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小标宋简体"/>
          <w:color w:val="FF0000"/>
          <w:w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小标宋简体"/>
          <w:color w:val="FF0000"/>
          <w:w w:val="3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小标宋简体"/>
          <w:color w:val="FF0000"/>
          <w:w w:val="38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OLE_LINK2"/>
      <w:r>
        <w:rPr>
          <w:rFonts w:hint="default" w:ascii="Times New Roman" w:hAnsi="Times New Roman" w:eastAsia="方正仿宋简体" w:cs="Times New Roman"/>
          <w:sz w:val="32"/>
          <w:szCs w:val="32"/>
        </w:rPr>
        <w:t>资雁府办发〔2022〕</w:t>
      </w:r>
      <w:r>
        <w:rPr>
          <w:rFonts w:hint="eastAsia" w:cs="Times New Roman"/>
          <w:sz w:val="32"/>
          <w:szCs w:val="32"/>
          <w:lang w:val="en-US" w:eastAsia="zh-CN"/>
        </w:rPr>
        <w:t>71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bookmarkEnd w:id="0"/>
    <w:p>
      <w:pPr>
        <w:spacing w:line="500" w:lineRule="exact"/>
        <w:rPr>
          <w:rFonts w:hint="eastAsia" w:ascii="Times New Roman" w:hAnsi="Times New Roman" w:eastAsia="方正仿宋简体"/>
          <w:w w:val="3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  <w:lang w:eastAsia="zh-CN"/>
        </w:rPr>
        <w:t>资阳市雁江区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32"/>
          <w:lang w:val="en-US" w:eastAsia="zh-CN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eastAsia="方正小标宋简体"/>
          <w:color w:val="000000"/>
          <w:sz w:val="44"/>
          <w:szCs w:val="32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调整农村敬老院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补助</w:t>
      </w:r>
      <w:r>
        <w:rPr>
          <w:rFonts w:hint="eastAsia" w:ascii="方正小标宋简体" w:eastAsia="方正小标宋简体"/>
          <w:sz w:val="44"/>
          <w:szCs w:val="44"/>
        </w:rPr>
        <w:t>标准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60" w:lineRule="exact"/>
        <w:ind w:left="0" w:leftChars="0" w:firstLine="0" w:firstLineChars="0"/>
        <w:jc w:val="center"/>
        <w:textAlignment w:val="auto"/>
        <w:rPr>
          <w:rFonts w:hint="eastAsia" w:eastAsia="方正小标宋简体"/>
          <w:color w:val="000000"/>
          <w:sz w:val="44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事宜</w:t>
      </w:r>
      <w:r>
        <w:rPr>
          <w:rFonts w:hint="eastAsia" w:ascii="方正小标宋简体" w:eastAsia="方正小标宋简体"/>
          <w:sz w:val="44"/>
          <w:szCs w:val="44"/>
        </w:rPr>
        <w:t>的</w:t>
      </w:r>
      <w:r>
        <w:rPr>
          <w:rFonts w:hint="eastAsia" w:eastAsia="方正小标宋简体"/>
          <w:color w:val="000000"/>
          <w:sz w:val="44"/>
          <w:szCs w:val="32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各镇人民政府</w:t>
      </w:r>
      <w:r>
        <w:rPr>
          <w:rFonts w:hint="eastAsia"/>
          <w:sz w:val="32"/>
          <w:szCs w:val="32"/>
          <w:lang w:val="en-US" w:eastAsia="zh-CN"/>
        </w:rPr>
        <w:t>、街道办事处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简体"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《四川省民政厅关于印发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〈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四川省特困人员救助供养工作规程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〉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的通知》（川民规〔2022〕1号）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《资阳市人民政府关于调整全市最低工资标准的通知》（资府规〔2022〕3号）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/>
          <w:sz w:val="32"/>
          <w:szCs w:val="32"/>
        </w:rPr>
        <w:t>《</w:t>
      </w:r>
      <w:r>
        <w:rPr>
          <w:rFonts w:hint="eastAsia"/>
          <w:color w:val="auto"/>
          <w:sz w:val="32"/>
          <w:szCs w:val="32"/>
          <w:lang w:val="en-US" w:eastAsia="zh-CN"/>
        </w:rPr>
        <w:t>资阳市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>雁江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区</w:t>
      </w:r>
      <w:r>
        <w:rPr>
          <w:rFonts w:hint="eastAsia" w:cs="方正仿宋简体"/>
          <w:color w:val="auto"/>
          <w:sz w:val="32"/>
          <w:szCs w:val="32"/>
          <w:lang w:val="en-US" w:eastAsia="zh-CN"/>
        </w:rPr>
        <w:t>人民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方正仿宋简体"/>
          <w:sz w:val="32"/>
          <w:szCs w:val="32"/>
        </w:rPr>
        <w:t>关于印发〈加快推进社会养老服务和老年人关爱服务体系建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设的实施意见〉的通知》（资雁府发〔2015〕15号）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精神，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经区政府常务会议研究，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决定对</w:t>
      </w:r>
      <w:r>
        <w:rPr>
          <w:rFonts w:hint="eastAsia" w:ascii="Times New Roman" w:hAnsi="Times New Roman" w:eastAsia="方正仿宋简体"/>
          <w:sz w:val="32"/>
          <w:szCs w:val="32"/>
        </w:rPr>
        <w:t>我区农村敬老院工作人员待遇标准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方正仿宋简体"/>
          <w:sz w:val="32"/>
          <w:szCs w:val="32"/>
        </w:rPr>
        <w:t>调整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color w:val="000000"/>
          <w:sz w:val="32"/>
          <w:szCs w:val="32"/>
          <w:lang w:val="en-US" w:eastAsia="zh-CN"/>
        </w:rPr>
        <w:t>现将有关事项通知如下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color w:val="auto"/>
          <w:sz w:val="32"/>
          <w:szCs w:val="32"/>
        </w:rPr>
        <w:t>农村敬老院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人员补助标准</w:t>
      </w:r>
      <w:r>
        <w:rPr>
          <w:rFonts w:hint="eastAsia"/>
          <w:color w:val="auto"/>
          <w:sz w:val="32"/>
          <w:szCs w:val="32"/>
          <w:lang w:val="en-US" w:eastAsia="zh-CN"/>
        </w:rPr>
        <w:t>调整为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每人每月1970元，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今后随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全市月最低工资标准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调整而相应调整。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sz w:val="32"/>
          <w:szCs w:val="32"/>
        </w:rPr>
        <w:t>农村敬老院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人员社保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补助标准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按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照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上年度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四川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省在岗职工平均工资</w:t>
      </w:r>
      <w:r>
        <w:rPr>
          <w:rFonts w:hint="default" w:ascii="Arial" w:hAnsi="Arial" w:eastAsia="方正仿宋简体" w:cs="Arial"/>
          <w:color w:val="auto"/>
          <w:sz w:val="32"/>
          <w:szCs w:val="32"/>
        </w:rPr>
        <w:t>×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60%</w:t>
      </w:r>
      <w:r>
        <w:rPr>
          <w:rFonts w:hint="default" w:ascii="Arial" w:hAnsi="Arial" w:eastAsia="方正仿宋简体" w:cs="Arial"/>
          <w:color w:val="auto"/>
          <w:sz w:val="32"/>
          <w:szCs w:val="32"/>
        </w:rPr>
        <w:t>×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20%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计算，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医保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补助标准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按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eastAsia="zh-CN"/>
        </w:rPr>
        <w:t>照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当年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>城乡居民医疗保险个人缴费最低档执行。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>具体金额按照本人实际在岗工作时间计算到月，当月</w:t>
      </w:r>
      <w:r>
        <w:rPr>
          <w:rFonts w:hint="eastAsia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>时间达到或超过半个月的，补助月份计算到当月，不足半个月的不计算。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>本通知自</w:t>
      </w:r>
      <w:r>
        <w:rPr>
          <w:rFonts w:hint="eastAsia" w:ascii="Times New Roman" w:hAnsi="Times New Roman" w:eastAsia="方正仿宋简体"/>
          <w:color w:val="auto"/>
          <w:sz w:val="32"/>
          <w:szCs w:val="32"/>
        </w:rPr>
        <w:t>2022年1月1日起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>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right"/>
        <w:textAlignment w:val="auto"/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right"/>
        <w:textAlignment w:val="auto"/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ind w:left="0" w:leftChars="0" w:right="1245" w:rightChars="0" w:firstLine="0" w:firstLineChars="0"/>
        <w:jc w:val="right"/>
        <w:textAlignment w:val="auto"/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>资阳市雁江区人民政府办公室</w:t>
      </w:r>
    </w:p>
    <w:p>
      <w:pPr>
        <w:pStyle w:val="5"/>
        <w:keepNext w:val="0"/>
        <w:keepLines w:val="0"/>
        <w:pageBreakBefore w:val="0"/>
        <w:widowControl w:val="0"/>
        <w:tabs>
          <w:tab w:val="left" w:pos="7511"/>
        </w:tabs>
        <w:kinsoku/>
        <w:wordWrap/>
        <w:overflowPunct/>
        <w:topLinePunct w:val="0"/>
        <w:autoSpaceDE/>
        <w:autoSpaceDN/>
        <w:bidi w:val="0"/>
        <w:snapToGrid/>
        <w:ind w:left="0" w:leftChars="0" w:right="1905" w:rightChars="0" w:firstLine="0" w:firstLineChars="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eastAsia="方正仿宋简体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 xml:space="preserve"> 2022年10月</w:t>
      </w:r>
      <w:r>
        <w:rPr>
          <w:rFonts w:hint="eastAsia" w:ascii="Times New Roman" w:eastAsia="方正仿宋简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简体"/>
          <w:color w:val="auto"/>
          <w:sz w:val="32"/>
          <w:szCs w:val="32"/>
          <w:lang w:val="en-US" w:eastAsia="zh-CN"/>
        </w:rPr>
        <w:t>日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0" w:firstLineChars="0"/>
        <w:jc w:val="both"/>
        <w:rPr>
          <w:rFonts w:hint="eastAsia" w:ascii="Times New Roman" w:hAnsi="Times New Roman"/>
          <w:color w:val="auto"/>
          <w:szCs w:val="32"/>
          <w:lang w:val="en-US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0" w:firstLineChars="0"/>
        <w:jc w:val="both"/>
        <w:rPr>
          <w:rFonts w:hint="eastAsia" w:ascii="Times New Roman" w:hAnsi="Times New Roman"/>
          <w:color w:val="auto"/>
          <w:szCs w:val="32"/>
          <w:lang w:val="en-US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firstLine="0" w:firstLineChars="0"/>
        <w:jc w:val="both"/>
        <w:rPr>
          <w:rFonts w:hint="eastAsia" w:ascii="Times New Roman" w:hAnsi="Times New Roman"/>
          <w:color w:val="auto"/>
          <w:szCs w:val="32"/>
          <w:lang w:val="en-US"/>
        </w:rPr>
      </w:pP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4" w:right="1474" w:bottom="1587" w:left="1587" w:header="851" w:footer="1247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spacing w:line="240" w:lineRule="auto"/>
      <w:ind w:firstLine="0" w:firstLineChars="0"/>
      <w:jc w:val="both"/>
      <w:rPr>
        <w:rStyle w:val="11"/>
        <w:rFonts w:hint="eastAsia" w:ascii="Times New Roman" w:hAnsi="Times New Roman"/>
        <w:sz w:val="28"/>
        <w:szCs w:val="28"/>
      </w:rPr>
    </w:pPr>
    <w:r>
      <w:rPr>
        <w:rStyle w:val="11"/>
        <w:rFonts w:hint="eastAsia" w:ascii="Times New Roman" w:hAnsi="Times New Roman"/>
        <w:sz w:val="28"/>
        <w:szCs w:val="28"/>
      </w:rPr>
      <w:t xml:space="preserve">— </w:t>
    </w:r>
    <w:r>
      <w:rPr>
        <w:rStyle w:val="11"/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</w:rPr>
      <w:t>4</w:t>
    </w:r>
    <w:r>
      <w:rPr>
        <w:rStyle w:val="11"/>
        <w:rFonts w:ascii="Times New Roman" w:hAnsi="Times New Roman"/>
        <w:sz w:val="28"/>
        <w:szCs w:val="28"/>
      </w:rPr>
      <w:fldChar w:fldCharType="end"/>
    </w:r>
    <w:r>
      <w:rPr>
        <w:rStyle w:val="11"/>
        <w:rFonts w:hint="eastAsia" w:ascii="Times New Roman" w:hAnsi="Times New Roman"/>
        <w:sz w:val="28"/>
        <w:szCs w:val="28"/>
      </w:rPr>
      <w:t xml:space="preserve"> —</w:t>
    </w:r>
  </w:p>
  <w:p>
    <w:pPr>
      <w:pStyle w:val="6"/>
      <w:spacing w:line="240" w:lineRule="auto"/>
      <w:ind w:firstLine="0" w:firstLineChars="0"/>
      <w:jc w:val="both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36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CC2089"/>
    <w:multiLevelType w:val="singleLevel"/>
    <w:tmpl w:val="94CC20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ZmUwYWE3MjRkNzU1ZTMyMzk2MjIxNmIwOTcyOTEifQ=="/>
  </w:docVars>
  <w:rsids>
    <w:rsidRoot w:val="58751ED7"/>
    <w:rsid w:val="22745F5D"/>
    <w:rsid w:val="22A538BD"/>
    <w:rsid w:val="25CD5BD6"/>
    <w:rsid w:val="3969127A"/>
    <w:rsid w:val="4AB573FB"/>
    <w:rsid w:val="543D0F41"/>
    <w:rsid w:val="58751ED7"/>
    <w:rsid w:val="6D1946ED"/>
    <w:rsid w:val="D7E39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600" w:lineRule="exact"/>
      <w:ind w:firstLine="420" w:firstLineChars="20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szCs w:val="24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方正仿宋简体"/>
      <w:snapToGrid w:val="0"/>
      <w:szCs w:val="32"/>
    </w:rPr>
  </w:style>
  <w:style w:type="paragraph" w:styleId="4">
    <w:name w:val="Body Text Indent"/>
    <w:basedOn w:val="1"/>
    <w:next w:val="3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 Indent 2"/>
    <w:basedOn w:val="1"/>
    <w:qFormat/>
    <w:uiPriority w:val="0"/>
    <w:pPr>
      <w:ind w:firstLine="720"/>
    </w:pPr>
    <w:rPr>
      <w:rFonts w:ascii="仿宋_GB2312" w:eastAsia="仿宋_GB2312"/>
      <w:sz w:val="3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paragraph" w:styleId="8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正文-公1"/>
    <w:basedOn w:val="1"/>
    <w:qFormat/>
    <w:uiPriority w:val="0"/>
    <w:pPr>
      <w:ind w:firstLine="200" w:firstLineChars="200"/>
    </w:pPr>
    <w:rPr>
      <w:rFonts w:hAnsi="宋体" w:eastAsia="方正仿宋简体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490</Characters>
  <Lines>0</Lines>
  <Paragraphs>0</Paragraphs>
  <TotalTime>2</TotalTime>
  <ScaleCrop>false</ScaleCrop>
  <LinksUpToDate>false</LinksUpToDate>
  <CharactersWithSpaces>517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2022-10-10T08:57:00Z</dcterms:created>
  <dc:creator>86183</dc:creator>
  <cp:lastModifiedBy>user</cp:lastModifiedBy>
  <cp:lastPrinted>2022-10-10T18:01:00Z</cp:lastPrinted>
  <dcterms:modified xsi:type="dcterms:W3CDTF">2022-10-27T09:02:28Z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DE2FA53C2D2B47DE9DF8DD9701867450</vt:lpwstr>
  </property>
</Properties>
</file>