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color w:val="000000"/>
        </w:rPr>
      </w:pPr>
      <w:r>
        <w:rPr>
          <w:rFonts w:ascii="宋体" w:hAnsi="宋体" w:eastAsia="方正小标宋_GBK"/>
          <w:color w:val="000000"/>
          <w:sz w:val="44"/>
          <w:szCs w:val="44"/>
        </w:rPr>
        <w:t xml:space="preserve"> </w:t>
      </w:r>
      <w:r>
        <w:rPr>
          <w:rFonts w:ascii="宋体" w:hAnsi="宋体"/>
          <w:color w:val="000000"/>
        </w:rPr>
        <w:t xml:space="preserve">                                                                                                                                                    </w:t>
      </w:r>
      <w:r>
        <w:rPr>
          <w:rFonts w:ascii="宋体" w:hAnsi="宋体" w:eastAsia="方正小标宋_GBK"/>
          <w:color w:val="000000"/>
        </w:rPr>
        <w:t xml:space="preserve">  </w:t>
      </w:r>
      <w:r>
        <w:rPr>
          <w:rFonts w:ascii="宋体"/>
          <w:color w:val="000000"/>
        </w:rPr>
        <w:br w:type="textWrapping" w:clear="all"/>
      </w:r>
    </w:p>
    <w:p>
      <w:pPr>
        <w:spacing w:line="600" w:lineRule="exact"/>
        <w:jc w:val="center"/>
        <w:rPr>
          <w:rFonts w:ascii="宋体"/>
          <w:color w:val="000000"/>
        </w:rPr>
      </w:pPr>
    </w:p>
    <w:p>
      <w:pPr>
        <w:pStyle w:val="3"/>
        <w:ind w:firstLine="420"/>
        <w:rPr>
          <w:rFonts w:ascii="宋体"/>
          <w:color w:val="000000"/>
        </w:rPr>
      </w:pPr>
    </w:p>
    <w:p>
      <w:pPr>
        <w:spacing w:line="540" w:lineRule="exact"/>
        <w:jc w:val="center"/>
        <w:rPr>
          <w:rFonts w:ascii="宋体" w:hAnsi="宋体" w:eastAsia="黑体"/>
          <w:color w:val="000000"/>
        </w:rPr>
      </w:pPr>
    </w:p>
    <w:p>
      <w:pPr>
        <w:spacing w:line="640" w:lineRule="exact"/>
        <w:jc w:val="center"/>
        <w:rPr>
          <w:rFonts w:ascii="宋体" w:hAnsi="宋体" w:eastAsia="黑体"/>
          <w:color w:val="000000"/>
        </w:rPr>
      </w:pPr>
      <w:bookmarkStart w:id="0" w:name="_GoBack"/>
      <w:bookmarkEnd w:id="0"/>
    </w:p>
    <w:p>
      <w:pPr>
        <w:spacing w:line="200" w:lineRule="exact"/>
        <w:jc w:val="center"/>
        <w:rPr>
          <w:rFonts w:ascii="宋体" w:hAnsi="宋体" w:eastAsia="黑体"/>
          <w:color w:val="000000"/>
        </w:rPr>
      </w:pPr>
    </w:p>
    <w:p>
      <w:pPr>
        <w:spacing w:line="620" w:lineRule="exact"/>
        <w:ind w:firstLine="105" w:firstLineChars="50"/>
        <w:rPr>
          <w:rFonts w:ascii="宋体"/>
          <w:color w:val="000000"/>
        </w:rPr>
      </w:pPr>
    </w:p>
    <w:p>
      <w:pPr>
        <w:spacing w:line="550" w:lineRule="exact"/>
        <w:ind w:firstLine="160" w:firstLineChars="50"/>
        <w:jc w:val="center"/>
        <w:rPr>
          <w:rFonts w:ascii="宋体" w:hAnsi="宋体" w:eastAsia="方正仿宋_GBK"/>
          <w:color w:val="000000"/>
          <w:sz w:val="32"/>
          <w:szCs w:val="32"/>
        </w:rPr>
      </w:pPr>
    </w:p>
    <w:p>
      <w:pPr>
        <w:spacing w:line="550" w:lineRule="exact"/>
        <w:ind w:firstLine="160" w:firstLineChars="50"/>
        <w:jc w:val="center"/>
        <w:rPr>
          <w:rFonts w:ascii="宋体" w:hAnsi="宋体" w:eastAsia="方正仿宋_GBK"/>
          <w:color w:val="000000"/>
          <w:sz w:val="32"/>
          <w:szCs w:val="32"/>
        </w:rPr>
      </w:pPr>
      <w:r>
        <w:rPr>
          <w:rFonts w:hint="eastAsia" w:ascii="宋体" w:hAnsi="宋体" w:eastAsia="方正仿宋_GBK"/>
          <w:color w:val="000000"/>
          <w:sz w:val="32"/>
          <w:szCs w:val="32"/>
        </w:rPr>
        <w:t>资高管发〔</w:t>
      </w:r>
      <w:r>
        <w:rPr>
          <w:rFonts w:ascii="宋体" w:hAnsi="宋体" w:eastAsia="方正仿宋_GBK"/>
          <w:color w:val="000000"/>
          <w:sz w:val="32"/>
          <w:szCs w:val="32"/>
        </w:rPr>
        <w:t>2022</w:t>
      </w:r>
      <w:r>
        <w:rPr>
          <w:rFonts w:hint="eastAsia" w:ascii="宋体" w:hAnsi="宋体" w:eastAsia="方正仿宋_GBK"/>
          <w:color w:val="000000"/>
          <w:sz w:val="32"/>
          <w:szCs w:val="32"/>
        </w:rPr>
        <w:t>〕</w:t>
      </w:r>
      <w:r>
        <w:rPr>
          <w:rFonts w:ascii="宋体" w:hAnsi="宋体" w:eastAsia="方正仿宋_GBK"/>
          <w:color w:val="000000"/>
          <w:sz w:val="32"/>
          <w:szCs w:val="32"/>
        </w:rPr>
        <w:t>32</w:t>
      </w:r>
      <w:r>
        <w:rPr>
          <w:rFonts w:hint="eastAsia" w:ascii="宋体" w:hAnsi="宋体" w:eastAsia="方正仿宋_GBK"/>
          <w:color w:val="000000"/>
          <w:sz w:val="32"/>
          <w:szCs w:val="32"/>
        </w:rPr>
        <w:t>号</w:t>
      </w:r>
    </w:p>
    <w:p>
      <w:pPr>
        <w:adjustRightInd w:val="0"/>
        <w:snapToGrid w:val="0"/>
        <w:spacing w:line="590" w:lineRule="exact"/>
        <w:ind w:firstLine="643" w:firstLineChars="200"/>
        <w:rPr>
          <w:rFonts w:ascii="宋体" w:hAnsi="宋体" w:eastAsia="方正仿宋_GBK"/>
          <w:b/>
          <w:bCs/>
          <w:color w:val="000000"/>
          <w:sz w:val="32"/>
          <w:szCs w:val="32"/>
        </w:rPr>
      </w:pPr>
    </w:p>
    <w:p>
      <w:pPr>
        <w:adjustRightInd w:val="0"/>
        <w:snapToGrid w:val="0"/>
        <w:spacing w:line="590" w:lineRule="exact"/>
        <w:ind w:firstLine="643" w:firstLineChars="200"/>
        <w:rPr>
          <w:rFonts w:ascii="宋体" w:hAnsi="宋体" w:eastAsia="方正仿宋_GBK"/>
          <w:b/>
          <w:bCs/>
          <w:color w:val="000000"/>
          <w:sz w:val="32"/>
          <w:szCs w:val="32"/>
        </w:rPr>
      </w:pPr>
    </w:p>
    <w:p>
      <w:pPr>
        <w:adjustRightInd w:val="0"/>
        <w:snapToGrid w:val="0"/>
        <w:spacing w:line="590" w:lineRule="exact"/>
        <w:jc w:val="center"/>
        <w:rPr>
          <w:rFonts w:ascii="宋体" w:hAnsi="宋体" w:eastAsia="方正小标宋_GBK"/>
          <w:bCs/>
          <w:color w:val="000000"/>
          <w:sz w:val="44"/>
          <w:szCs w:val="44"/>
        </w:rPr>
      </w:pPr>
      <w:r>
        <w:rPr>
          <w:rFonts w:hint="eastAsia" w:ascii="宋体" w:hAnsi="宋体" w:eastAsia="方正小标宋_GBK"/>
          <w:bCs/>
          <w:color w:val="000000"/>
          <w:sz w:val="44"/>
          <w:szCs w:val="44"/>
        </w:rPr>
        <w:t>资阳高新技术产业园区管理委员会</w:t>
      </w:r>
    </w:p>
    <w:p>
      <w:pPr>
        <w:adjustRightInd w:val="0"/>
        <w:snapToGrid w:val="0"/>
        <w:spacing w:line="590" w:lineRule="exact"/>
        <w:jc w:val="center"/>
        <w:rPr>
          <w:rFonts w:ascii="宋体" w:hAnsi="宋体" w:eastAsia="方正小标宋_GBK"/>
          <w:bCs/>
          <w:color w:val="000000"/>
          <w:sz w:val="44"/>
          <w:szCs w:val="44"/>
        </w:rPr>
      </w:pPr>
      <w:r>
        <w:rPr>
          <w:rFonts w:hint="eastAsia" w:ascii="宋体" w:hAnsi="宋体" w:eastAsia="方正小标宋_GBK"/>
          <w:bCs/>
          <w:color w:val="000000"/>
          <w:sz w:val="44"/>
          <w:szCs w:val="44"/>
        </w:rPr>
        <w:t>关于印发《资阳高新区建筑业稳增长促发展</w:t>
      </w:r>
    </w:p>
    <w:p>
      <w:pPr>
        <w:adjustRightInd w:val="0"/>
        <w:snapToGrid w:val="0"/>
        <w:spacing w:line="590" w:lineRule="exact"/>
        <w:jc w:val="center"/>
        <w:rPr>
          <w:rFonts w:ascii="宋体" w:hAnsi="宋体" w:eastAsia="方正小标宋_GBK"/>
          <w:bCs/>
          <w:color w:val="000000"/>
          <w:sz w:val="44"/>
          <w:szCs w:val="44"/>
        </w:rPr>
      </w:pPr>
      <w:r>
        <w:rPr>
          <w:rFonts w:hint="eastAsia" w:ascii="宋体" w:hAnsi="宋体" w:eastAsia="方正小标宋_GBK"/>
          <w:bCs/>
          <w:color w:val="000000"/>
          <w:sz w:val="44"/>
          <w:szCs w:val="44"/>
        </w:rPr>
        <w:t>若干措施》的通知</w:t>
      </w:r>
    </w:p>
    <w:p>
      <w:pPr>
        <w:pStyle w:val="3"/>
        <w:spacing w:before="0" w:beforeAutospacing="0" w:after="0" w:line="590" w:lineRule="exact"/>
        <w:ind w:firstLine="640" w:firstLineChars="200"/>
        <w:rPr>
          <w:rFonts w:ascii="宋体" w:hAnsi="宋体" w:eastAsia="方正仿宋_GBK"/>
          <w:color w:val="000000"/>
          <w:sz w:val="32"/>
          <w:szCs w:val="32"/>
        </w:rPr>
      </w:pPr>
    </w:p>
    <w:p>
      <w:pPr>
        <w:pStyle w:val="3"/>
        <w:adjustRightInd w:val="0"/>
        <w:snapToGrid w:val="0"/>
        <w:spacing w:before="0" w:beforeAutospacing="0" w:after="0" w:line="590" w:lineRule="exact"/>
        <w:rPr>
          <w:rFonts w:ascii="宋体" w:hAnsi="宋体" w:eastAsia="方正仿宋_GBK"/>
          <w:color w:val="000000"/>
          <w:spacing w:val="-6"/>
          <w:kern w:val="0"/>
          <w:sz w:val="32"/>
          <w:szCs w:val="32"/>
        </w:rPr>
      </w:pPr>
      <w:r>
        <w:rPr>
          <w:rFonts w:hint="eastAsia" w:ascii="宋体" w:hAnsi="宋体" w:eastAsia="方正仿宋_GBK"/>
          <w:color w:val="000000"/>
          <w:spacing w:val="-6"/>
          <w:kern w:val="0"/>
          <w:sz w:val="32"/>
          <w:szCs w:val="32"/>
        </w:rPr>
        <w:t>各分局、各部门，所属公司：</w:t>
      </w:r>
    </w:p>
    <w:p>
      <w:pPr>
        <w:spacing w:line="590" w:lineRule="exact"/>
        <w:ind w:firstLine="616" w:firstLineChars="200"/>
        <w:rPr>
          <w:rFonts w:ascii="宋体" w:hAnsi="宋体" w:eastAsia="方正仿宋_GBK"/>
          <w:color w:val="000000"/>
          <w:spacing w:val="-6"/>
          <w:kern w:val="0"/>
          <w:sz w:val="32"/>
          <w:szCs w:val="32"/>
        </w:rPr>
      </w:pPr>
      <w:r>
        <w:rPr>
          <w:rFonts w:hint="eastAsia" w:ascii="宋体" w:hAnsi="宋体" w:eastAsia="方正仿宋_GBK"/>
          <w:color w:val="000000"/>
          <w:spacing w:val="-6"/>
          <w:kern w:val="0"/>
          <w:sz w:val="32"/>
          <w:szCs w:val="32"/>
        </w:rPr>
        <w:t>经管委会同意，现将《资阳高新区建筑业稳增长促发展若干措施》印发你们，请认真贯彻落实。</w:t>
      </w:r>
    </w:p>
    <w:p>
      <w:pPr>
        <w:spacing w:line="590" w:lineRule="exact"/>
        <w:ind w:firstLine="640" w:firstLineChars="200"/>
        <w:rPr>
          <w:rFonts w:ascii="宋体" w:hAnsi="宋体" w:eastAsia="方正仿宋_GBK"/>
          <w:color w:val="000000"/>
          <w:sz w:val="32"/>
          <w:szCs w:val="32"/>
        </w:rPr>
      </w:pPr>
    </w:p>
    <w:p>
      <w:pPr>
        <w:spacing w:line="590" w:lineRule="exact"/>
        <w:ind w:firstLine="640" w:firstLineChars="200"/>
        <w:jc w:val="right"/>
        <w:rPr>
          <w:rFonts w:ascii="宋体" w:hAnsi="宋体" w:eastAsia="方正仿宋_GBK"/>
          <w:color w:val="000000"/>
          <w:sz w:val="32"/>
          <w:szCs w:val="32"/>
        </w:rPr>
      </w:pPr>
      <w:r>
        <w:rPr>
          <w:rFonts w:hint="eastAsia" w:ascii="宋体" w:hAnsi="宋体" w:eastAsia="方正仿宋_GBK"/>
          <w:color w:val="000000"/>
          <w:sz w:val="32"/>
          <w:szCs w:val="32"/>
        </w:rPr>
        <w:t>资阳高新技术产业园区管理委员会</w:t>
      </w:r>
    </w:p>
    <w:p>
      <w:pPr>
        <w:spacing w:line="590" w:lineRule="exact"/>
        <w:ind w:right="960" w:firstLine="640" w:firstLineChars="200"/>
        <w:jc w:val="center"/>
        <w:rPr>
          <w:rFonts w:ascii="宋体" w:hAnsi="宋体" w:eastAsia="方正仿宋_GBK"/>
          <w:color w:val="000000"/>
          <w:sz w:val="32"/>
          <w:szCs w:val="32"/>
        </w:rPr>
      </w:pPr>
      <w:r>
        <w:rPr>
          <w:rFonts w:ascii="宋体" w:hAnsi="宋体" w:eastAsia="方正仿宋_GBK"/>
          <w:color w:val="000000"/>
          <w:sz w:val="32"/>
          <w:szCs w:val="32"/>
        </w:rPr>
        <w:t xml:space="preserve">                          2022</w:t>
      </w:r>
      <w:r>
        <w:rPr>
          <w:rFonts w:hint="eastAsia" w:ascii="宋体" w:hAnsi="宋体" w:eastAsia="方正仿宋_GBK"/>
          <w:color w:val="000000"/>
          <w:sz w:val="32"/>
          <w:szCs w:val="32"/>
        </w:rPr>
        <w:t>年</w:t>
      </w:r>
      <w:r>
        <w:rPr>
          <w:rFonts w:ascii="宋体" w:hAnsi="宋体" w:eastAsia="方正仿宋_GBK"/>
          <w:color w:val="000000"/>
          <w:sz w:val="32"/>
          <w:szCs w:val="32"/>
        </w:rPr>
        <w:t>11</w:t>
      </w:r>
      <w:r>
        <w:rPr>
          <w:rFonts w:hint="eastAsia" w:ascii="宋体" w:hAnsi="宋体" w:eastAsia="方正仿宋_GBK"/>
          <w:color w:val="000000"/>
          <w:sz w:val="32"/>
          <w:szCs w:val="32"/>
        </w:rPr>
        <w:t>月</w:t>
      </w:r>
      <w:r>
        <w:rPr>
          <w:rFonts w:ascii="宋体" w:hAnsi="宋体" w:eastAsia="方正仿宋_GBK"/>
          <w:color w:val="000000"/>
          <w:sz w:val="32"/>
          <w:szCs w:val="32"/>
        </w:rPr>
        <w:t>16</w:t>
      </w:r>
      <w:r>
        <w:rPr>
          <w:rFonts w:hint="eastAsia" w:ascii="宋体" w:hAnsi="宋体" w:eastAsia="方正仿宋_GBK"/>
          <w:color w:val="000000"/>
          <w:sz w:val="32"/>
          <w:szCs w:val="32"/>
        </w:rPr>
        <w:t>日</w:t>
      </w:r>
      <w:r>
        <w:rPr>
          <w:rFonts w:ascii="宋体" w:hAnsi="宋体" w:eastAsia="方正仿宋_GBK"/>
          <w:color w:val="000000"/>
          <w:sz w:val="32"/>
          <w:szCs w:val="32"/>
        </w:rPr>
        <w:t xml:space="preserve">        </w:t>
      </w:r>
    </w:p>
    <w:p>
      <w:pPr>
        <w:adjustRightInd w:val="0"/>
        <w:snapToGrid w:val="0"/>
        <w:spacing w:line="590" w:lineRule="exact"/>
        <w:jc w:val="center"/>
        <w:rPr>
          <w:rFonts w:ascii="宋体" w:hAnsi="宋体" w:eastAsia="方正仿宋_GBK"/>
          <w:color w:val="000000"/>
          <w:spacing w:val="-6"/>
          <w:kern w:val="0"/>
          <w:sz w:val="32"/>
          <w:szCs w:val="32"/>
        </w:rPr>
      </w:pPr>
      <w:r>
        <w:rPr>
          <w:rFonts w:ascii="宋体" w:hAnsi="宋体" w:eastAsia="方正仿宋_GBK"/>
          <w:color w:val="000000"/>
          <w:spacing w:val="-6"/>
          <w:kern w:val="0"/>
          <w:sz w:val="32"/>
          <w:szCs w:val="32"/>
        </w:rPr>
        <w:br w:type="page"/>
      </w:r>
    </w:p>
    <w:p>
      <w:pPr>
        <w:adjustRightInd w:val="0"/>
        <w:snapToGrid w:val="0"/>
        <w:spacing w:line="590" w:lineRule="exact"/>
        <w:jc w:val="center"/>
        <w:rPr>
          <w:rFonts w:ascii="宋体" w:hAnsi="宋体" w:eastAsia="方正小标宋_GBK"/>
          <w:bCs/>
          <w:color w:val="000000"/>
          <w:sz w:val="40"/>
          <w:szCs w:val="40"/>
        </w:rPr>
      </w:pPr>
      <w:r>
        <w:rPr>
          <w:rFonts w:hint="eastAsia" w:ascii="宋体" w:hAnsi="宋体" w:eastAsia="方正小标宋_GBK"/>
          <w:bCs/>
          <w:color w:val="000000"/>
          <w:sz w:val="40"/>
          <w:szCs w:val="40"/>
        </w:rPr>
        <w:t>资阳高新区建筑业稳增长促发展若干措施</w:t>
      </w:r>
    </w:p>
    <w:p>
      <w:pPr>
        <w:spacing w:line="590" w:lineRule="exact"/>
        <w:ind w:firstLine="640" w:firstLineChars="200"/>
        <w:rPr>
          <w:rFonts w:ascii="宋体" w:hAnsi="宋体" w:eastAsia="方正仿宋_GBK"/>
          <w:color w:val="000000"/>
          <w:kern w:val="0"/>
          <w:sz w:val="32"/>
          <w:szCs w:val="32"/>
        </w:rPr>
      </w:pPr>
    </w:p>
    <w:p>
      <w:pPr>
        <w:spacing w:line="590" w:lineRule="exact"/>
        <w:ind w:firstLine="640" w:firstLineChars="200"/>
        <w:rPr>
          <w:rFonts w:ascii="宋体" w:hAnsi="宋体" w:eastAsia="方正仿宋_GBK"/>
          <w:color w:val="000000"/>
          <w:kern w:val="0"/>
          <w:sz w:val="32"/>
          <w:szCs w:val="32"/>
        </w:rPr>
      </w:pPr>
      <w:r>
        <w:rPr>
          <w:rFonts w:hint="eastAsia" w:ascii="宋体" w:hAnsi="宋体" w:eastAsia="方正仿宋_GBK"/>
          <w:color w:val="000000"/>
          <w:kern w:val="0"/>
          <w:sz w:val="32"/>
          <w:szCs w:val="32"/>
        </w:rPr>
        <w:t>为深入贯彻落实党中央、国务院稳增长稳市场主体保就业决策部署和省委、省政府加快“建筑强省”建设工作要求，培育壮大建筑业企业，增强建筑业综合实力，更好发挥建筑业稳增长促发展作用，根据《资阳市建筑业稳增长促发展若干措施》相关规定，结合高新区实际，特制定以下措施。</w:t>
      </w:r>
    </w:p>
    <w:p>
      <w:pPr>
        <w:pStyle w:val="3"/>
        <w:adjustRightInd w:val="0"/>
        <w:snapToGrid w:val="0"/>
        <w:spacing w:before="0" w:beforeAutospacing="0" w:after="0" w:line="590" w:lineRule="exact"/>
        <w:ind w:firstLine="640" w:firstLineChars="200"/>
        <w:rPr>
          <w:rFonts w:ascii="宋体" w:hAnsi="宋体" w:eastAsia="方正仿宋_GBK"/>
          <w:color w:val="000000"/>
          <w:kern w:val="0"/>
          <w:sz w:val="32"/>
          <w:szCs w:val="32"/>
        </w:rPr>
      </w:pPr>
      <w:r>
        <w:rPr>
          <w:rFonts w:hint="eastAsia" w:ascii="宋体" w:hAnsi="宋体" w:eastAsia="方正黑体_GBK"/>
          <w:color w:val="000000"/>
          <w:kern w:val="0"/>
          <w:sz w:val="32"/>
          <w:szCs w:val="32"/>
        </w:rPr>
        <w:t>一、培育发展骨干企业。</w:t>
      </w:r>
      <w:r>
        <w:rPr>
          <w:rFonts w:hint="eastAsia" w:ascii="宋体" w:hAnsi="宋体" w:eastAsia="方正仿宋_GBK"/>
          <w:color w:val="000000"/>
          <w:kern w:val="0"/>
          <w:sz w:val="32"/>
          <w:szCs w:val="32"/>
        </w:rPr>
        <w:t>深入实施“建筑强企”培育行动，在资质升级、科技创新、资金筹措和市场竞争能力提升等方面予以支持。在我区注册并入统企业晋升建筑施工总承包特级（综合）、一级（甲级）资质的，分别一次性给予</w:t>
      </w:r>
      <w:r>
        <w:rPr>
          <w:rFonts w:ascii="宋体" w:hAnsi="宋体" w:eastAsia="方正仿宋_GBK"/>
          <w:color w:val="000000"/>
          <w:kern w:val="0"/>
          <w:sz w:val="32"/>
          <w:szCs w:val="32"/>
        </w:rPr>
        <w:t>500</w:t>
      </w:r>
      <w:r>
        <w:rPr>
          <w:rFonts w:hint="eastAsia" w:ascii="宋体" w:hAnsi="宋体" w:eastAsia="方正仿宋_GBK"/>
          <w:color w:val="000000"/>
          <w:kern w:val="0"/>
          <w:sz w:val="32"/>
          <w:szCs w:val="32"/>
        </w:rPr>
        <w:t>万元、</w:t>
      </w:r>
      <w:r>
        <w:rPr>
          <w:rFonts w:ascii="宋体" w:hAnsi="宋体" w:eastAsia="方正仿宋_GBK"/>
          <w:color w:val="000000"/>
          <w:kern w:val="0"/>
          <w:sz w:val="32"/>
          <w:szCs w:val="32"/>
        </w:rPr>
        <w:t>300</w:t>
      </w:r>
      <w:r>
        <w:rPr>
          <w:rFonts w:hint="eastAsia" w:ascii="宋体" w:hAnsi="宋体" w:eastAsia="方正仿宋_GBK"/>
          <w:color w:val="000000"/>
          <w:kern w:val="0"/>
          <w:sz w:val="32"/>
          <w:szCs w:val="32"/>
        </w:rPr>
        <w:t>万元资金支持。一级（甲级）施工总承包资质企业取得甲级、乙级勘察或设计行业资质，分别一次性给予</w:t>
      </w:r>
      <w:r>
        <w:rPr>
          <w:rFonts w:ascii="宋体" w:hAnsi="宋体" w:eastAsia="方正仿宋_GBK"/>
          <w:color w:val="000000"/>
          <w:kern w:val="0"/>
          <w:sz w:val="32"/>
          <w:szCs w:val="32"/>
        </w:rPr>
        <w:t>200</w:t>
      </w:r>
      <w:r>
        <w:rPr>
          <w:rFonts w:hint="eastAsia" w:ascii="宋体" w:hAnsi="宋体" w:eastAsia="方正仿宋_GBK"/>
          <w:color w:val="000000"/>
          <w:kern w:val="0"/>
          <w:sz w:val="32"/>
          <w:szCs w:val="32"/>
        </w:rPr>
        <w:t>万元、</w:t>
      </w:r>
      <w:r>
        <w:rPr>
          <w:rFonts w:ascii="宋体" w:hAnsi="宋体" w:eastAsia="方正仿宋_GBK"/>
          <w:color w:val="000000"/>
          <w:kern w:val="0"/>
          <w:sz w:val="32"/>
          <w:szCs w:val="32"/>
        </w:rPr>
        <w:t>100</w:t>
      </w:r>
      <w:r>
        <w:rPr>
          <w:rFonts w:hint="eastAsia" w:ascii="宋体" w:hAnsi="宋体" w:eastAsia="方正仿宋_GBK"/>
          <w:color w:val="000000"/>
          <w:kern w:val="0"/>
          <w:sz w:val="32"/>
          <w:szCs w:val="32"/>
        </w:rPr>
        <w:t>万元资金支持；甲级勘察或设计行业资质企业取得一级（甲级）施工总承包资质，一次性给予</w:t>
      </w:r>
      <w:r>
        <w:rPr>
          <w:rFonts w:ascii="宋体" w:hAnsi="宋体" w:eastAsia="方正仿宋_GBK"/>
          <w:color w:val="000000"/>
          <w:kern w:val="0"/>
          <w:sz w:val="32"/>
          <w:szCs w:val="32"/>
        </w:rPr>
        <w:t>200</w:t>
      </w:r>
      <w:r>
        <w:rPr>
          <w:rFonts w:hint="eastAsia" w:ascii="宋体" w:hAnsi="宋体" w:eastAsia="方正仿宋_GBK"/>
          <w:color w:val="000000"/>
          <w:kern w:val="0"/>
          <w:sz w:val="32"/>
          <w:szCs w:val="32"/>
        </w:rPr>
        <w:t>万元资金支持。晋升桥梁、隧道、航道、铁路、公路交通、公路路面、公路路基等专业承包一级（甲级）的建筑施工企业，一次性给予</w:t>
      </w:r>
      <w:r>
        <w:rPr>
          <w:rFonts w:ascii="宋体" w:hAnsi="宋体" w:eastAsia="方正仿宋_GBK"/>
          <w:color w:val="000000"/>
          <w:kern w:val="0"/>
          <w:sz w:val="32"/>
          <w:szCs w:val="32"/>
        </w:rPr>
        <w:t>50</w:t>
      </w:r>
      <w:r>
        <w:rPr>
          <w:rFonts w:hint="eastAsia" w:ascii="宋体" w:hAnsi="宋体" w:eastAsia="方正仿宋_GBK"/>
          <w:color w:val="000000"/>
          <w:kern w:val="0"/>
          <w:sz w:val="32"/>
          <w:szCs w:val="32"/>
        </w:rPr>
        <w:t>万元资金支持。建筑施工企业升级增项总承包特级（综合）、一级（甲级）、二级（乙级）、专业承包一级（甲级）的，分别一次性给予</w:t>
      </w:r>
      <w:r>
        <w:rPr>
          <w:rFonts w:ascii="宋体" w:hAnsi="宋体" w:eastAsia="方正仿宋_GBK"/>
          <w:color w:val="000000"/>
          <w:kern w:val="0"/>
          <w:sz w:val="32"/>
          <w:szCs w:val="32"/>
        </w:rPr>
        <w:t>300</w:t>
      </w:r>
      <w:r>
        <w:rPr>
          <w:rFonts w:hint="eastAsia" w:ascii="宋体" w:hAnsi="宋体" w:eastAsia="方正仿宋_GBK"/>
          <w:color w:val="000000"/>
          <w:kern w:val="0"/>
          <w:sz w:val="32"/>
          <w:szCs w:val="32"/>
        </w:rPr>
        <w:t>万元、</w:t>
      </w:r>
      <w:r>
        <w:rPr>
          <w:rFonts w:ascii="宋体" w:hAnsi="宋体" w:eastAsia="方正仿宋_GBK"/>
          <w:color w:val="000000"/>
          <w:kern w:val="0"/>
          <w:sz w:val="32"/>
          <w:szCs w:val="32"/>
        </w:rPr>
        <w:t>50</w:t>
      </w:r>
      <w:r>
        <w:rPr>
          <w:rFonts w:hint="eastAsia" w:ascii="宋体" w:hAnsi="宋体" w:eastAsia="方正仿宋_GBK"/>
          <w:color w:val="000000"/>
          <w:kern w:val="0"/>
          <w:sz w:val="32"/>
          <w:szCs w:val="32"/>
        </w:rPr>
        <w:t>万元、</w:t>
      </w:r>
      <w:r>
        <w:rPr>
          <w:rFonts w:ascii="宋体" w:hAnsi="宋体" w:eastAsia="方正仿宋_GBK"/>
          <w:color w:val="000000"/>
          <w:kern w:val="0"/>
          <w:sz w:val="32"/>
          <w:szCs w:val="32"/>
        </w:rPr>
        <w:t>10</w:t>
      </w:r>
      <w:r>
        <w:rPr>
          <w:rFonts w:hint="eastAsia" w:ascii="宋体" w:hAnsi="宋体" w:eastAsia="方正仿宋_GBK"/>
          <w:color w:val="000000"/>
          <w:kern w:val="0"/>
          <w:sz w:val="32"/>
          <w:szCs w:val="32"/>
        </w:rPr>
        <w:t>万元、</w:t>
      </w:r>
      <w:r>
        <w:rPr>
          <w:rFonts w:ascii="宋体" w:hAnsi="宋体" w:eastAsia="方正仿宋_GBK"/>
          <w:color w:val="000000"/>
          <w:kern w:val="0"/>
          <w:sz w:val="32"/>
          <w:szCs w:val="32"/>
        </w:rPr>
        <w:t>10</w:t>
      </w:r>
      <w:r>
        <w:rPr>
          <w:rFonts w:hint="eastAsia" w:ascii="宋体" w:hAnsi="宋体" w:eastAsia="方正仿宋_GBK"/>
          <w:color w:val="000000"/>
          <w:kern w:val="0"/>
          <w:sz w:val="32"/>
          <w:szCs w:val="32"/>
        </w:rPr>
        <w:t>万元资金支持。对支持培训发展的骨干企业加强监督管理，增加企业在我区最低存续年限，实现政策享受与履行业务对等。支持骨干企业参与行业、地方标准以及工法编制，申请开展建设工程初、中级职称自主评审，组织开展职业技能培训及职业技能等级认定工作。（</w:t>
      </w:r>
      <w:r>
        <w:rPr>
          <w:rFonts w:hint="eastAsia" w:ascii="宋体" w:hAnsi="宋体" w:eastAsia="方正仿宋_GBK"/>
          <w:b/>
          <w:color w:val="000000"/>
          <w:kern w:val="0"/>
          <w:sz w:val="32"/>
          <w:szCs w:val="32"/>
        </w:rPr>
        <w:t>责任单位：</w:t>
      </w:r>
      <w:r>
        <w:rPr>
          <w:rFonts w:hint="eastAsia" w:ascii="宋体" w:hAnsi="宋体" w:eastAsia="方正仿宋_GBK"/>
          <w:color w:val="000000"/>
          <w:kern w:val="0"/>
          <w:sz w:val="32"/>
          <w:szCs w:val="32"/>
        </w:rPr>
        <w:t>财金局、住建局，党群部。逗号前的为牵头单位，下同）</w:t>
      </w:r>
    </w:p>
    <w:p>
      <w:pPr>
        <w:pStyle w:val="3"/>
        <w:adjustRightInd w:val="0"/>
        <w:snapToGrid w:val="0"/>
        <w:spacing w:before="0" w:beforeAutospacing="0" w:after="0" w:line="590" w:lineRule="exact"/>
        <w:ind w:firstLine="640" w:firstLineChars="200"/>
        <w:rPr>
          <w:rFonts w:ascii="宋体" w:hAnsi="宋体" w:eastAsia="方正仿宋_GBK"/>
          <w:color w:val="000000"/>
          <w:kern w:val="0"/>
          <w:sz w:val="32"/>
          <w:szCs w:val="32"/>
        </w:rPr>
      </w:pPr>
      <w:r>
        <w:rPr>
          <w:rFonts w:hint="eastAsia" w:ascii="宋体" w:hAnsi="宋体" w:eastAsia="方正黑体_GBK"/>
          <w:color w:val="000000"/>
          <w:kern w:val="0"/>
          <w:sz w:val="32"/>
          <w:szCs w:val="32"/>
        </w:rPr>
        <w:t>二、支持企业创先争优。</w:t>
      </w:r>
      <w:r>
        <w:rPr>
          <w:rFonts w:hint="eastAsia" w:ascii="宋体" w:hAnsi="宋体" w:eastAsia="方正仿宋_GBK"/>
          <w:color w:val="000000"/>
          <w:kern w:val="0"/>
          <w:sz w:val="32"/>
          <w:szCs w:val="32"/>
        </w:rPr>
        <w:t>落实“优质优价”“优质优先”政策，支持企业申报高星级绿色建筑、超低能耗建筑、高装配率建筑、智能建造示范项目专项资金补助。支持本地企业创建优质工程，对荣获“鲁班奖”“詹天佑奖”等国家级工程类奖项的市内项目奖励</w:t>
      </w:r>
      <w:r>
        <w:rPr>
          <w:rFonts w:ascii="宋体" w:hAnsi="宋体" w:eastAsia="方正仿宋_GBK"/>
          <w:color w:val="000000"/>
          <w:kern w:val="0"/>
          <w:sz w:val="32"/>
          <w:szCs w:val="32"/>
        </w:rPr>
        <w:t xml:space="preserve"> 100</w:t>
      </w:r>
      <w:r>
        <w:rPr>
          <w:rFonts w:hint="eastAsia" w:ascii="宋体" w:hAnsi="宋体" w:eastAsia="方正仿宋_GBK"/>
          <w:color w:val="000000"/>
          <w:kern w:val="0"/>
          <w:sz w:val="32"/>
          <w:szCs w:val="32"/>
        </w:rPr>
        <w:t>万元；荣获“天府杯”金奖和银奖的市内项目分别奖励</w:t>
      </w:r>
      <w:r>
        <w:rPr>
          <w:rFonts w:ascii="宋体" w:hAnsi="宋体" w:eastAsia="方正仿宋_GBK"/>
          <w:color w:val="000000"/>
          <w:kern w:val="0"/>
          <w:sz w:val="32"/>
          <w:szCs w:val="32"/>
        </w:rPr>
        <w:t xml:space="preserve">50 </w:t>
      </w:r>
      <w:r>
        <w:rPr>
          <w:rFonts w:hint="eastAsia" w:ascii="宋体" w:hAnsi="宋体" w:eastAsia="方正仿宋_GBK"/>
          <w:color w:val="000000"/>
          <w:kern w:val="0"/>
          <w:sz w:val="32"/>
          <w:szCs w:val="32"/>
        </w:rPr>
        <w:t>万元、</w:t>
      </w:r>
      <w:r>
        <w:rPr>
          <w:rFonts w:ascii="宋体" w:hAnsi="宋体" w:eastAsia="方正仿宋_GBK"/>
          <w:color w:val="000000"/>
          <w:kern w:val="0"/>
          <w:sz w:val="32"/>
          <w:szCs w:val="32"/>
        </w:rPr>
        <w:t>30</w:t>
      </w:r>
      <w:r>
        <w:rPr>
          <w:rFonts w:hint="eastAsia" w:ascii="宋体" w:hAnsi="宋体" w:eastAsia="方正仿宋_GBK"/>
          <w:color w:val="000000"/>
          <w:kern w:val="0"/>
          <w:sz w:val="32"/>
          <w:szCs w:val="32"/>
        </w:rPr>
        <w:t>万元；被评选为“资阳市优质结构工程”项目，奖励每个项目</w:t>
      </w:r>
      <w:r>
        <w:rPr>
          <w:rFonts w:ascii="宋体" w:hAnsi="宋体" w:eastAsia="方正仿宋_GBK"/>
          <w:color w:val="000000"/>
          <w:kern w:val="0"/>
          <w:sz w:val="32"/>
          <w:szCs w:val="32"/>
        </w:rPr>
        <w:t xml:space="preserve"> 10</w:t>
      </w:r>
      <w:r>
        <w:rPr>
          <w:rFonts w:hint="eastAsia" w:ascii="宋体" w:hAnsi="宋体" w:eastAsia="方正仿宋_GBK"/>
          <w:color w:val="000000"/>
          <w:kern w:val="0"/>
          <w:sz w:val="32"/>
          <w:szCs w:val="32"/>
        </w:rPr>
        <w:t>万元。凡</w:t>
      </w:r>
      <w:r>
        <w:rPr>
          <w:rFonts w:ascii="宋体" w:hAnsi="宋体" w:eastAsia="方正仿宋_GBK"/>
          <w:color w:val="000000"/>
          <w:kern w:val="0"/>
          <w:sz w:val="32"/>
          <w:szCs w:val="32"/>
        </w:rPr>
        <w:t>2022</w:t>
      </w:r>
      <w:r>
        <w:rPr>
          <w:rFonts w:hint="eastAsia" w:ascii="宋体" w:hAnsi="宋体" w:eastAsia="方正仿宋_GBK"/>
          <w:color w:val="000000"/>
          <w:kern w:val="0"/>
          <w:sz w:val="32"/>
          <w:szCs w:val="32"/>
        </w:rPr>
        <w:t>年起新入统建筑业企业，当年内产值达到</w:t>
      </w:r>
      <w:r>
        <w:rPr>
          <w:rFonts w:ascii="宋体" w:hAnsi="宋体" w:eastAsia="方正仿宋_GBK"/>
          <w:color w:val="000000"/>
          <w:kern w:val="0"/>
          <w:sz w:val="32"/>
          <w:szCs w:val="32"/>
        </w:rPr>
        <w:t xml:space="preserve">2000 </w:t>
      </w:r>
      <w:r>
        <w:rPr>
          <w:rFonts w:hint="eastAsia" w:ascii="宋体" w:hAnsi="宋体" w:eastAsia="方正仿宋_GBK"/>
          <w:color w:val="000000"/>
          <w:kern w:val="0"/>
          <w:sz w:val="32"/>
          <w:szCs w:val="32"/>
        </w:rPr>
        <w:t>万元，一次性给予企业</w:t>
      </w:r>
      <w:r>
        <w:rPr>
          <w:rFonts w:ascii="宋体" w:hAnsi="宋体" w:eastAsia="方正仿宋_GBK"/>
          <w:color w:val="000000"/>
          <w:kern w:val="0"/>
          <w:sz w:val="32"/>
          <w:szCs w:val="32"/>
        </w:rPr>
        <w:t>10</w:t>
      </w:r>
      <w:r>
        <w:rPr>
          <w:rFonts w:hint="eastAsia" w:ascii="宋体" w:hAnsi="宋体" w:eastAsia="方正仿宋_GBK"/>
          <w:color w:val="000000"/>
          <w:kern w:val="0"/>
          <w:sz w:val="32"/>
          <w:szCs w:val="32"/>
        </w:rPr>
        <w:t>万元资金支持。制定建筑业企业评价激励办法，依据建筑业产值、营业收入、纳税额度等指标对建筑业企业予以综合评估，鼓励本地企业申报全市优秀建筑业企业。支持建筑业企业创先争优奖励扶持资金在市建筑业发展专项资金中列支。（</w:t>
      </w:r>
      <w:r>
        <w:rPr>
          <w:rFonts w:hint="eastAsia" w:ascii="宋体" w:hAnsi="宋体" w:eastAsia="方正仿宋_GBK"/>
          <w:b/>
          <w:color w:val="000000"/>
          <w:kern w:val="0"/>
          <w:sz w:val="32"/>
          <w:szCs w:val="32"/>
        </w:rPr>
        <w:t>责任单位：</w:t>
      </w:r>
      <w:r>
        <w:rPr>
          <w:rFonts w:hint="eastAsia" w:ascii="宋体" w:hAnsi="宋体" w:eastAsia="方正仿宋_GBK"/>
          <w:color w:val="000000"/>
          <w:kern w:val="0"/>
          <w:sz w:val="32"/>
          <w:szCs w:val="32"/>
        </w:rPr>
        <w:t>财金局、住建局，党群部、科经局）</w:t>
      </w:r>
    </w:p>
    <w:p>
      <w:pPr>
        <w:pStyle w:val="3"/>
        <w:adjustRightInd w:val="0"/>
        <w:snapToGrid w:val="0"/>
        <w:spacing w:before="0" w:beforeAutospacing="0" w:after="0" w:line="590" w:lineRule="exact"/>
        <w:ind w:firstLine="640" w:firstLineChars="200"/>
        <w:rPr>
          <w:rFonts w:ascii="宋体" w:hAnsi="宋体" w:eastAsia="方正仿宋_GBK"/>
          <w:color w:val="000000"/>
          <w:kern w:val="0"/>
          <w:sz w:val="32"/>
          <w:szCs w:val="32"/>
        </w:rPr>
      </w:pPr>
      <w:r>
        <w:rPr>
          <w:rFonts w:hint="eastAsia" w:ascii="宋体" w:hAnsi="宋体" w:eastAsia="方正黑体_GBK"/>
          <w:color w:val="000000"/>
          <w:kern w:val="0"/>
          <w:sz w:val="32"/>
          <w:szCs w:val="32"/>
        </w:rPr>
        <w:t>三、鼓励企业增产创收。</w:t>
      </w:r>
      <w:r>
        <w:rPr>
          <w:rFonts w:hint="eastAsia" w:ascii="宋体" w:hAnsi="宋体" w:eastAsia="方正仿宋_GBK"/>
          <w:color w:val="000000"/>
          <w:kern w:val="0"/>
          <w:sz w:val="32"/>
          <w:szCs w:val="32"/>
        </w:rPr>
        <w:t>在我区注册并入统的建筑业企业，</w:t>
      </w:r>
      <w:r>
        <w:rPr>
          <w:rFonts w:ascii="宋体" w:hAnsi="宋体" w:eastAsia="方正仿宋_GBK"/>
          <w:color w:val="000000"/>
          <w:kern w:val="0"/>
          <w:sz w:val="32"/>
          <w:szCs w:val="32"/>
        </w:rPr>
        <w:t xml:space="preserve"> </w:t>
      </w:r>
      <w:r>
        <w:rPr>
          <w:rFonts w:hint="eastAsia" w:ascii="宋体" w:hAnsi="宋体" w:eastAsia="方正仿宋_GBK"/>
          <w:color w:val="000000"/>
          <w:kern w:val="0"/>
          <w:sz w:val="32"/>
          <w:szCs w:val="32"/>
        </w:rPr>
        <w:t>以上年产值为基数，当年每净增建筑业产值</w:t>
      </w:r>
      <w:r>
        <w:rPr>
          <w:rFonts w:ascii="宋体" w:hAnsi="宋体" w:eastAsia="方正仿宋_GBK"/>
          <w:color w:val="000000"/>
          <w:kern w:val="0"/>
          <w:sz w:val="32"/>
          <w:szCs w:val="32"/>
        </w:rPr>
        <w:t>1000</w:t>
      </w:r>
      <w:r>
        <w:rPr>
          <w:rFonts w:hint="eastAsia" w:ascii="宋体" w:hAnsi="宋体" w:eastAsia="方正仿宋_GBK"/>
          <w:color w:val="000000"/>
          <w:kern w:val="0"/>
          <w:sz w:val="32"/>
          <w:szCs w:val="32"/>
        </w:rPr>
        <w:t>万元，给予企业对本级财力贡献新增部分的</w:t>
      </w:r>
      <w:r>
        <w:rPr>
          <w:rFonts w:ascii="宋体" w:hAnsi="宋体" w:eastAsia="方正仿宋_GBK"/>
          <w:color w:val="000000"/>
          <w:kern w:val="0"/>
          <w:sz w:val="32"/>
          <w:szCs w:val="32"/>
        </w:rPr>
        <w:t>5%</w:t>
      </w:r>
      <w:r>
        <w:rPr>
          <w:rFonts w:hint="eastAsia" w:ascii="宋体" w:hAnsi="宋体" w:eastAsia="方正仿宋_GBK"/>
          <w:color w:val="000000"/>
          <w:kern w:val="0"/>
          <w:sz w:val="32"/>
          <w:szCs w:val="32"/>
        </w:rPr>
        <w:t>资金支持，以此类推，最高不超过当年度对本级财力贡献新增部分的</w:t>
      </w:r>
      <w:r>
        <w:rPr>
          <w:rFonts w:ascii="宋体" w:hAnsi="宋体" w:eastAsia="方正仿宋_GBK"/>
          <w:color w:val="000000"/>
          <w:kern w:val="0"/>
          <w:sz w:val="32"/>
          <w:szCs w:val="32"/>
        </w:rPr>
        <w:t>40%</w:t>
      </w:r>
      <w:r>
        <w:rPr>
          <w:rFonts w:hint="eastAsia" w:ascii="宋体" w:hAnsi="宋体" w:eastAsia="方正仿宋_GBK"/>
          <w:color w:val="000000"/>
          <w:kern w:val="0"/>
          <w:sz w:val="32"/>
          <w:szCs w:val="32"/>
        </w:rPr>
        <w:t>。在我区注册并入统的建筑业企业，当年市外建筑业产值在</w:t>
      </w:r>
      <w:r>
        <w:rPr>
          <w:rFonts w:ascii="宋体" w:hAnsi="宋体" w:eastAsia="方正仿宋_GBK"/>
          <w:color w:val="000000"/>
          <w:kern w:val="0"/>
          <w:sz w:val="32"/>
          <w:szCs w:val="32"/>
        </w:rPr>
        <w:t>1000</w:t>
      </w:r>
      <w:r>
        <w:rPr>
          <w:rFonts w:hint="eastAsia" w:ascii="宋体" w:hAnsi="宋体" w:eastAsia="方正仿宋_GBK"/>
          <w:color w:val="000000"/>
          <w:kern w:val="0"/>
          <w:sz w:val="32"/>
          <w:szCs w:val="32"/>
        </w:rPr>
        <w:t>万元及以上的，给予企业对本级财力贡献部分的</w:t>
      </w:r>
      <w:r>
        <w:rPr>
          <w:rFonts w:ascii="宋体" w:hAnsi="宋体" w:eastAsia="方正仿宋_GBK"/>
          <w:color w:val="000000"/>
          <w:kern w:val="0"/>
          <w:sz w:val="32"/>
          <w:szCs w:val="32"/>
        </w:rPr>
        <w:t>5%</w:t>
      </w:r>
      <w:r>
        <w:rPr>
          <w:rFonts w:hint="eastAsia" w:ascii="宋体" w:hAnsi="宋体" w:eastAsia="方正仿宋_GBK"/>
          <w:color w:val="000000"/>
          <w:kern w:val="0"/>
          <w:sz w:val="32"/>
          <w:szCs w:val="32"/>
        </w:rPr>
        <w:t>资金支持，以此类推，最高不超过当年度对本级财力贡献部分的</w:t>
      </w:r>
      <w:r>
        <w:rPr>
          <w:rFonts w:ascii="宋体" w:hAnsi="宋体" w:eastAsia="方正仿宋_GBK"/>
          <w:color w:val="000000"/>
          <w:kern w:val="0"/>
          <w:sz w:val="32"/>
          <w:szCs w:val="32"/>
        </w:rPr>
        <w:t>50%</w:t>
      </w:r>
      <w:r>
        <w:rPr>
          <w:rFonts w:hint="eastAsia" w:ascii="宋体" w:hAnsi="宋体" w:eastAsia="方正仿宋_GBK"/>
          <w:color w:val="000000"/>
          <w:kern w:val="0"/>
          <w:sz w:val="32"/>
          <w:szCs w:val="32"/>
        </w:rPr>
        <w:t>，该项资金支持与净增产值资金支持不重复。（</w:t>
      </w:r>
      <w:r>
        <w:rPr>
          <w:rFonts w:hint="eastAsia" w:ascii="宋体" w:hAnsi="宋体" w:eastAsia="方正仿宋_GBK"/>
          <w:b/>
          <w:color w:val="000000"/>
          <w:kern w:val="0"/>
          <w:sz w:val="32"/>
          <w:szCs w:val="32"/>
        </w:rPr>
        <w:t>责任单位：</w:t>
      </w:r>
      <w:r>
        <w:rPr>
          <w:rFonts w:hint="eastAsia" w:ascii="宋体" w:hAnsi="宋体" w:eastAsia="方正仿宋_GBK"/>
          <w:color w:val="000000"/>
          <w:kern w:val="0"/>
          <w:sz w:val="32"/>
          <w:szCs w:val="32"/>
        </w:rPr>
        <w:t>税务局、科经局、财金局、住建局）</w:t>
      </w:r>
    </w:p>
    <w:p>
      <w:pPr>
        <w:pStyle w:val="3"/>
        <w:adjustRightInd w:val="0"/>
        <w:snapToGrid w:val="0"/>
        <w:spacing w:before="0" w:beforeAutospacing="0" w:after="0" w:line="590" w:lineRule="exact"/>
        <w:ind w:firstLine="640" w:firstLineChars="200"/>
        <w:rPr>
          <w:rFonts w:ascii="宋体" w:hAnsi="宋体" w:eastAsia="方正仿宋_GBK"/>
          <w:color w:val="000000"/>
          <w:kern w:val="0"/>
          <w:sz w:val="32"/>
          <w:szCs w:val="32"/>
        </w:rPr>
      </w:pPr>
      <w:r>
        <w:rPr>
          <w:rFonts w:hint="eastAsia" w:ascii="宋体" w:hAnsi="宋体" w:eastAsia="方正黑体_GBK"/>
          <w:color w:val="000000"/>
          <w:kern w:val="0"/>
          <w:sz w:val="32"/>
          <w:szCs w:val="32"/>
        </w:rPr>
        <w:t>四、支持企业总部建设。</w:t>
      </w:r>
      <w:r>
        <w:rPr>
          <w:rFonts w:hint="eastAsia" w:ascii="宋体" w:hAnsi="宋体" w:eastAsia="方正仿宋_GBK"/>
          <w:color w:val="000000"/>
          <w:kern w:val="0"/>
          <w:sz w:val="32"/>
          <w:szCs w:val="32"/>
        </w:rPr>
        <w:t>在我区注册并入统，对本地入统年产值达</w:t>
      </w:r>
      <w:r>
        <w:rPr>
          <w:rFonts w:ascii="宋体" w:hAnsi="宋体" w:eastAsia="方正仿宋_GBK"/>
          <w:color w:val="000000"/>
          <w:kern w:val="0"/>
          <w:sz w:val="32"/>
          <w:szCs w:val="32"/>
        </w:rPr>
        <w:t>10</w:t>
      </w:r>
      <w:r>
        <w:rPr>
          <w:rFonts w:hint="eastAsia" w:ascii="宋体" w:hAnsi="宋体" w:eastAsia="方正仿宋_GBK"/>
          <w:color w:val="000000"/>
          <w:kern w:val="0"/>
          <w:sz w:val="32"/>
          <w:szCs w:val="32"/>
        </w:rPr>
        <w:t>亿元及以上，并对本级财政当年净贡献在</w:t>
      </w:r>
      <w:r>
        <w:rPr>
          <w:rFonts w:ascii="宋体" w:hAnsi="宋体" w:eastAsia="方正仿宋_GBK"/>
          <w:color w:val="000000"/>
          <w:kern w:val="0"/>
          <w:sz w:val="32"/>
          <w:szCs w:val="32"/>
        </w:rPr>
        <w:t>1000</w:t>
      </w:r>
      <w:r>
        <w:rPr>
          <w:rFonts w:hint="eastAsia" w:ascii="宋体" w:hAnsi="宋体" w:eastAsia="方正仿宋_GBK"/>
          <w:color w:val="000000"/>
          <w:kern w:val="0"/>
          <w:sz w:val="32"/>
          <w:szCs w:val="32"/>
        </w:rPr>
        <w:t>万元及以上的建筑业企业，企业根据自身需求在我区建设建安投资在</w:t>
      </w:r>
      <w:r>
        <w:rPr>
          <w:rFonts w:ascii="宋体" w:hAnsi="宋体" w:eastAsia="方正仿宋_GBK"/>
          <w:color w:val="000000"/>
          <w:kern w:val="0"/>
          <w:sz w:val="32"/>
          <w:szCs w:val="32"/>
        </w:rPr>
        <w:t>3000</w:t>
      </w:r>
      <w:r>
        <w:rPr>
          <w:rFonts w:hint="eastAsia" w:ascii="宋体" w:hAnsi="宋体" w:eastAsia="方正仿宋_GBK"/>
          <w:color w:val="000000"/>
          <w:kern w:val="0"/>
          <w:sz w:val="32"/>
          <w:szCs w:val="32"/>
        </w:rPr>
        <w:t>万元及以上总部基地的，一次性给予</w:t>
      </w:r>
      <w:r>
        <w:rPr>
          <w:rFonts w:ascii="宋体" w:hAnsi="宋体" w:eastAsia="方正仿宋_GBK"/>
          <w:color w:val="000000"/>
          <w:kern w:val="0"/>
          <w:sz w:val="32"/>
          <w:szCs w:val="32"/>
        </w:rPr>
        <w:t>800</w:t>
      </w:r>
      <w:r>
        <w:rPr>
          <w:rFonts w:hint="eastAsia" w:ascii="宋体" w:hAnsi="宋体" w:eastAsia="方正仿宋_GBK"/>
          <w:color w:val="000000"/>
          <w:kern w:val="0"/>
          <w:sz w:val="32"/>
          <w:szCs w:val="32"/>
        </w:rPr>
        <w:t>万元补助资金。（</w:t>
      </w:r>
      <w:r>
        <w:rPr>
          <w:rFonts w:hint="eastAsia" w:ascii="宋体" w:hAnsi="宋体" w:eastAsia="方正仿宋_GBK"/>
          <w:b/>
          <w:color w:val="000000"/>
          <w:kern w:val="0"/>
          <w:sz w:val="32"/>
          <w:szCs w:val="32"/>
        </w:rPr>
        <w:t>责任单位：</w:t>
      </w:r>
      <w:r>
        <w:rPr>
          <w:rFonts w:hint="eastAsia" w:ascii="宋体" w:hAnsi="宋体" w:eastAsia="方正仿宋_GBK"/>
          <w:color w:val="000000"/>
          <w:kern w:val="0"/>
          <w:sz w:val="32"/>
          <w:szCs w:val="32"/>
        </w:rPr>
        <w:t>财金局、住建局）</w:t>
      </w:r>
    </w:p>
    <w:p>
      <w:pPr>
        <w:pStyle w:val="3"/>
        <w:adjustRightInd w:val="0"/>
        <w:snapToGrid w:val="0"/>
        <w:spacing w:before="0" w:beforeAutospacing="0" w:after="0" w:line="590" w:lineRule="exact"/>
        <w:ind w:firstLine="640" w:firstLineChars="200"/>
        <w:rPr>
          <w:rFonts w:ascii="宋体" w:hAnsi="宋体" w:eastAsia="方正仿宋_GBK"/>
          <w:color w:val="000000"/>
          <w:kern w:val="0"/>
          <w:sz w:val="32"/>
          <w:szCs w:val="32"/>
        </w:rPr>
      </w:pPr>
      <w:r>
        <w:rPr>
          <w:rFonts w:hint="eastAsia" w:ascii="宋体" w:hAnsi="宋体" w:eastAsia="方正黑体_GBK"/>
          <w:color w:val="000000"/>
          <w:kern w:val="0"/>
          <w:sz w:val="32"/>
          <w:szCs w:val="32"/>
        </w:rPr>
        <w:t>五、推动企业战略合作。</w:t>
      </w:r>
      <w:r>
        <w:rPr>
          <w:rFonts w:hint="eastAsia" w:ascii="宋体" w:hAnsi="宋体" w:eastAsia="方正仿宋_GBK"/>
          <w:color w:val="000000"/>
          <w:kern w:val="0"/>
          <w:sz w:val="32"/>
          <w:szCs w:val="32"/>
        </w:rPr>
        <w:t>鼓励区内骨干企业与大型建筑业企业组建联合体，投标参与项目建设，对以联合体方式承接的工程项目业绩予以认可。建立央企、国有建筑业企业与民营建筑业企业结对联合机制，发挥各自比较优势，增强民营建筑业企业市场拓展能力。推动建筑业企业与国有企业深度合作，提升企业“投融建营”综合管理能力。支持有条件的骨干企业为主体，以股权多元化等方式筹建“大建工”集团，打造发展共同体。外地企业与本地企业联合承建、分包工程，本地企业当年该项目完成建筑业产值超过</w:t>
      </w:r>
      <w:r>
        <w:rPr>
          <w:rFonts w:ascii="宋体" w:hAnsi="宋体" w:eastAsia="方正仿宋_GBK"/>
          <w:color w:val="000000"/>
          <w:kern w:val="0"/>
          <w:sz w:val="32"/>
          <w:szCs w:val="32"/>
        </w:rPr>
        <w:t>1000</w:t>
      </w:r>
      <w:r>
        <w:rPr>
          <w:rFonts w:hint="eastAsia" w:ascii="宋体" w:hAnsi="宋体" w:eastAsia="方正仿宋_GBK"/>
          <w:color w:val="000000"/>
          <w:kern w:val="0"/>
          <w:sz w:val="32"/>
          <w:szCs w:val="32"/>
        </w:rPr>
        <w:t>万元并入统，按本地企业该项目建筑业对本级财力贡献的</w:t>
      </w:r>
      <w:r>
        <w:rPr>
          <w:rFonts w:ascii="宋体" w:hAnsi="宋体" w:eastAsia="方正仿宋_GBK"/>
          <w:color w:val="000000"/>
          <w:kern w:val="0"/>
          <w:sz w:val="32"/>
          <w:szCs w:val="32"/>
        </w:rPr>
        <w:t>10%</w:t>
      </w:r>
      <w:r>
        <w:rPr>
          <w:rFonts w:hint="eastAsia" w:ascii="宋体" w:hAnsi="宋体" w:eastAsia="方正仿宋_GBK"/>
          <w:color w:val="000000"/>
          <w:kern w:val="0"/>
          <w:sz w:val="32"/>
          <w:szCs w:val="32"/>
        </w:rPr>
        <w:t>对外地企业予以资金支持，最高不超过</w:t>
      </w:r>
      <w:r>
        <w:rPr>
          <w:rFonts w:ascii="宋体" w:hAnsi="宋体" w:eastAsia="方正仿宋_GBK"/>
          <w:color w:val="000000"/>
          <w:kern w:val="0"/>
          <w:sz w:val="32"/>
          <w:szCs w:val="32"/>
        </w:rPr>
        <w:t>300</w:t>
      </w:r>
      <w:r>
        <w:rPr>
          <w:rFonts w:hint="eastAsia" w:ascii="宋体" w:hAnsi="宋体" w:eastAsia="方正仿宋_GBK"/>
          <w:color w:val="000000"/>
          <w:kern w:val="0"/>
          <w:sz w:val="32"/>
          <w:szCs w:val="32"/>
        </w:rPr>
        <w:t>万元。市内民营投资项目依法依规选择本地企业作为施工总承包单位的，本地企业当年该项目完成建筑业产值超过</w:t>
      </w:r>
      <w:r>
        <w:rPr>
          <w:rFonts w:ascii="宋体" w:hAnsi="宋体" w:eastAsia="方正仿宋_GBK"/>
          <w:color w:val="000000"/>
          <w:kern w:val="0"/>
          <w:sz w:val="32"/>
          <w:szCs w:val="32"/>
        </w:rPr>
        <w:t>1000</w:t>
      </w:r>
      <w:r>
        <w:rPr>
          <w:rFonts w:hint="eastAsia" w:ascii="宋体" w:hAnsi="宋体" w:eastAsia="方正仿宋_GBK"/>
          <w:color w:val="000000"/>
          <w:kern w:val="0"/>
          <w:sz w:val="32"/>
          <w:szCs w:val="32"/>
        </w:rPr>
        <w:t>万元并入统，按本地企业该项目建筑业对本级财力贡献的</w:t>
      </w:r>
      <w:r>
        <w:rPr>
          <w:rFonts w:ascii="宋体" w:hAnsi="宋体" w:eastAsia="方正仿宋_GBK"/>
          <w:color w:val="000000"/>
          <w:kern w:val="0"/>
          <w:sz w:val="32"/>
          <w:szCs w:val="32"/>
        </w:rPr>
        <w:t>10%</w:t>
      </w:r>
      <w:r>
        <w:rPr>
          <w:rFonts w:hint="eastAsia" w:ascii="宋体" w:hAnsi="宋体" w:eastAsia="方正仿宋_GBK"/>
          <w:color w:val="000000"/>
          <w:kern w:val="0"/>
          <w:sz w:val="32"/>
          <w:szCs w:val="32"/>
        </w:rPr>
        <w:t>对投资企业予以资金支持，最高不超过</w:t>
      </w:r>
      <w:r>
        <w:rPr>
          <w:rFonts w:ascii="宋体" w:hAnsi="宋体" w:eastAsia="方正仿宋_GBK"/>
          <w:color w:val="000000"/>
          <w:kern w:val="0"/>
          <w:sz w:val="32"/>
          <w:szCs w:val="32"/>
        </w:rPr>
        <w:t>300</w:t>
      </w:r>
      <w:r>
        <w:rPr>
          <w:rFonts w:hint="eastAsia" w:ascii="宋体" w:hAnsi="宋体" w:eastAsia="方正仿宋_GBK"/>
          <w:color w:val="000000"/>
          <w:kern w:val="0"/>
          <w:sz w:val="32"/>
          <w:szCs w:val="32"/>
        </w:rPr>
        <w:t>万元。（</w:t>
      </w:r>
      <w:r>
        <w:rPr>
          <w:rFonts w:hint="eastAsia" w:ascii="宋体" w:hAnsi="宋体" w:eastAsia="方正仿宋_GBK"/>
          <w:b/>
          <w:color w:val="000000"/>
          <w:kern w:val="0"/>
          <w:sz w:val="32"/>
          <w:szCs w:val="32"/>
        </w:rPr>
        <w:t>责任单位：</w:t>
      </w:r>
      <w:r>
        <w:rPr>
          <w:rFonts w:hint="eastAsia" w:ascii="宋体" w:hAnsi="宋体" w:eastAsia="方正仿宋_GBK"/>
          <w:color w:val="000000"/>
          <w:kern w:val="0"/>
          <w:sz w:val="32"/>
          <w:szCs w:val="32"/>
        </w:rPr>
        <w:t>科经局、财金局，税务局、住建局）</w:t>
      </w:r>
    </w:p>
    <w:p>
      <w:pPr>
        <w:pStyle w:val="3"/>
        <w:adjustRightInd w:val="0"/>
        <w:snapToGrid w:val="0"/>
        <w:spacing w:before="0" w:beforeAutospacing="0" w:after="0" w:line="590" w:lineRule="exact"/>
        <w:ind w:firstLine="640" w:firstLineChars="200"/>
        <w:rPr>
          <w:rFonts w:ascii="宋体" w:hAnsi="宋体" w:eastAsia="方正仿宋_GBK"/>
          <w:color w:val="000000"/>
          <w:kern w:val="0"/>
          <w:sz w:val="32"/>
          <w:szCs w:val="32"/>
        </w:rPr>
      </w:pPr>
      <w:r>
        <w:rPr>
          <w:rFonts w:hint="eastAsia" w:ascii="宋体" w:hAnsi="宋体" w:eastAsia="方正黑体_GBK"/>
          <w:color w:val="000000"/>
          <w:kern w:val="0"/>
          <w:sz w:val="32"/>
          <w:szCs w:val="32"/>
        </w:rPr>
        <w:t>六、大力引进优势企业。</w:t>
      </w:r>
      <w:r>
        <w:rPr>
          <w:rFonts w:hint="eastAsia" w:ascii="宋体" w:hAnsi="宋体" w:eastAsia="方正仿宋_GBK"/>
          <w:color w:val="000000"/>
          <w:kern w:val="0"/>
          <w:sz w:val="32"/>
          <w:szCs w:val="32"/>
        </w:rPr>
        <w:t>支持特级（综合）、一级（甲级）、二级（乙级）施工总承包企业通过依法依规重组、合并、分立等方式优化资质结构，支持本地企业将有关资质分立至市内注册的全资子公司。凡市外特级（综合）企业迁入我区或将特级（综合）资质分立到我区设立独立法人资格公司并入统的，一次性给予</w:t>
      </w:r>
      <w:r>
        <w:rPr>
          <w:rFonts w:ascii="宋体" w:hAnsi="宋体" w:eastAsia="方正仿宋_GBK"/>
          <w:color w:val="000000"/>
          <w:kern w:val="0"/>
          <w:sz w:val="32"/>
          <w:szCs w:val="32"/>
        </w:rPr>
        <w:t xml:space="preserve"> 500</w:t>
      </w:r>
      <w:r>
        <w:rPr>
          <w:rFonts w:hint="eastAsia" w:ascii="宋体" w:hAnsi="宋体" w:eastAsia="方正仿宋_GBK"/>
          <w:color w:val="000000"/>
          <w:kern w:val="0"/>
          <w:sz w:val="32"/>
          <w:szCs w:val="32"/>
        </w:rPr>
        <w:t>万元资金支持。对市外一级（甲级）总承包企业迁入我区或将一级（甲级）总承包资质分立到我区设立独立法人资格公司并入统的，给予企业连续三个自然年度（自迁入年度开始计算）对本级财力贡献新增部分的</w:t>
      </w:r>
      <w:r>
        <w:rPr>
          <w:rFonts w:ascii="宋体" w:hAnsi="宋体" w:eastAsia="方正仿宋_GBK"/>
          <w:color w:val="000000"/>
          <w:kern w:val="0"/>
          <w:sz w:val="32"/>
          <w:szCs w:val="32"/>
        </w:rPr>
        <w:t>40%</w:t>
      </w:r>
      <w:r>
        <w:rPr>
          <w:rFonts w:hint="eastAsia" w:ascii="宋体" w:hAnsi="宋体" w:eastAsia="方正仿宋_GBK"/>
          <w:color w:val="000000"/>
          <w:kern w:val="0"/>
          <w:sz w:val="32"/>
          <w:szCs w:val="32"/>
        </w:rPr>
        <w:t>资金支持，三年总共不超过</w:t>
      </w:r>
      <w:r>
        <w:rPr>
          <w:rFonts w:ascii="宋体" w:hAnsi="宋体" w:eastAsia="方正仿宋_GBK"/>
          <w:color w:val="000000"/>
          <w:kern w:val="0"/>
          <w:sz w:val="32"/>
          <w:szCs w:val="32"/>
        </w:rPr>
        <w:t>300</w:t>
      </w:r>
      <w:r>
        <w:rPr>
          <w:rFonts w:hint="eastAsia" w:ascii="宋体" w:hAnsi="宋体" w:eastAsia="方正仿宋_GBK"/>
          <w:color w:val="000000"/>
          <w:kern w:val="0"/>
          <w:sz w:val="32"/>
          <w:szCs w:val="32"/>
        </w:rPr>
        <w:t>万元。对市外二级（乙级）总承包企业迁入我区或将二级（乙级）总承包资质分立到我区设立独立法人资格公司并入统的，给予企业连续三个自然年度（自迁入年度开始计算）对本级财力贡献新增部分的</w:t>
      </w:r>
      <w:r>
        <w:rPr>
          <w:rFonts w:ascii="宋体" w:hAnsi="宋体" w:eastAsia="方正仿宋_GBK"/>
          <w:color w:val="000000"/>
          <w:kern w:val="0"/>
          <w:sz w:val="32"/>
          <w:szCs w:val="32"/>
        </w:rPr>
        <w:t>20%</w:t>
      </w:r>
      <w:r>
        <w:rPr>
          <w:rFonts w:hint="eastAsia" w:ascii="宋体" w:hAnsi="宋体" w:eastAsia="方正仿宋_GBK"/>
          <w:color w:val="000000"/>
          <w:kern w:val="0"/>
          <w:sz w:val="32"/>
          <w:szCs w:val="32"/>
        </w:rPr>
        <w:t>资金支持，三年总共不超过</w:t>
      </w:r>
      <w:r>
        <w:rPr>
          <w:rFonts w:ascii="宋体" w:hAnsi="宋体" w:eastAsia="方正仿宋_GBK"/>
          <w:color w:val="000000"/>
          <w:kern w:val="0"/>
          <w:sz w:val="32"/>
          <w:szCs w:val="32"/>
        </w:rPr>
        <w:t>150</w:t>
      </w:r>
      <w:r>
        <w:rPr>
          <w:rFonts w:hint="eastAsia" w:ascii="宋体" w:hAnsi="宋体" w:eastAsia="方正仿宋_GBK"/>
          <w:color w:val="000000"/>
          <w:kern w:val="0"/>
          <w:sz w:val="32"/>
          <w:szCs w:val="32"/>
        </w:rPr>
        <w:t>万元。（</w:t>
      </w:r>
      <w:r>
        <w:rPr>
          <w:rFonts w:hint="eastAsia" w:ascii="宋体" w:hAnsi="宋体" w:eastAsia="方正仿宋_GBK"/>
          <w:b/>
          <w:color w:val="000000"/>
          <w:kern w:val="0"/>
          <w:sz w:val="32"/>
          <w:szCs w:val="32"/>
        </w:rPr>
        <w:t>责任单位：</w:t>
      </w:r>
      <w:r>
        <w:rPr>
          <w:rFonts w:hint="eastAsia" w:ascii="宋体" w:hAnsi="宋体" w:eastAsia="方正仿宋_GBK"/>
          <w:color w:val="000000"/>
          <w:kern w:val="0"/>
          <w:sz w:val="32"/>
          <w:szCs w:val="32"/>
        </w:rPr>
        <w:t>财金局、住建局）</w:t>
      </w:r>
    </w:p>
    <w:p>
      <w:pPr>
        <w:pStyle w:val="3"/>
        <w:adjustRightInd w:val="0"/>
        <w:snapToGrid w:val="0"/>
        <w:spacing w:before="0" w:beforeAutospacing="0" w:after="0" w:line="590" w:lineRule="exact"/>
        <w:ind w:firstLine="640" w:firstLineChars="200"/>
        <w:rPr>
          <w:rFonts w:ascii="宋体" w:hAnsi="宋体" w:eastAsia="方正仿宋_GBK"/>
          <w:color w:val="000000"/>
          <w:kern w:val="0"/>
          <w:sz w:val="32"/>
          <w:szCs w:val="32"/>
        </w:rPr>
      </w:pPr>
      <w:r>
        <w:rPr>
          <w:rFonts w:hint="eastAsia" w:ascii="宋体" w:hAnsi="宋体" w:eastAsia="方正黑体_GBK"/>
          <w:color w:val="000000"/>
          <w:kern w:val="0"/>
          <w:sz w:val="32"/>
          <w:szCs w:val="32"/>
        </w:rPr>
        <w:t>七、加强人才队伍建设。</w:t>
      </w:r>
      <w:r>
        <w:rPr>
          <w:rFonts w:hint="eastAsia" w:ascii="宋体" w:hAnsi="宋体" w:eastAsia="方正仿宋_GBK"/>
          <w:color w:val="000000"/>
          <w:kern w:val="0"/>
          <w:sz w:val="32"/>
          <w:szCs w:val="32"/>
        </w:rPr>
        <w:t>搭建建筑业人才服务平台，加强对复合型、创新型、综合型高级管理人才和专业人才培养。鼓励建筑业企业加强自主培训，职工教育经费支出不超过工资薪金总额</w:t>
      </w:r>
      <w:r>
        <w:rPr>
          <w:rFonts w:ascii="宋体" w:hAnsi="宋体" w:eastAsia="方正仿宋_GBK"/>
          <w:color w:val="000000"/>
          <w:kern w:val="0"/>
          <w:sz w:val="32"/>
          <w:szCs w:val="32"/>
        </w:rPr>
        <w:t xml:space="preserve"> 8%</w:t>
      </w:r>
      <w:r>
        <w:rPr>
          <w:rFonts w:hint="eastAsia" w:ascii="宋体" w:hAnsi="宋体" w:eastAsia="方正仿宋_GBK"/>
          <w:color w:val="000000"/>
          <w:kern w:val="0"/>
          <w:sz w:val="32"/>
          <w:szCs w:val="32"/>
        </w:rPr>
        <w:t>的部分，准予在计算企业所得税应纳税所得额时扣除，超过部分准予在以后纳税年度结转扣除。支持建筑业企业与建筑劳务输出地政府，以及高等院校、职业院校、科研机构等共建建筑产业工人培育基地，打造资阳建筑品牌，给予企业信用激励。广泛开展技能竞赛，获市级建筑技能大赛奖项的，支持申报“资阳市技术能手”“资阳市五一劳动奖章”等评选。（</w:t>
      </w:r>
      <w:r>
        <w:rPr>
          <w:rFonts w:hint="eastAsia" w:ascii="宋体" w:hAnsi="宋体" w:eastAsia="方正仿宋_GBK"/>
          <w:b/>
          <w:color w:val="000000"/>
          <w:kern w:val="0"/>
          <w:sz w:val="32"/>
          <w:szCs w:val="32"/>
        </w:rPr>
        <w:t>责任单位：</w:t>
      </w:r>
      <w:r>
        <w:rPr>
          <w:rFonts w:hint="eastAsia" w:ascii="宋体" w:hAnsi="宋体" w:eastAsia="方正仿宋_GBK"/>
          <w:color w:val="000000"/>
          <w:kern w:val="0"/>
          <w:sz w:val="32"/>
          <w:szCs w:val="32"/>
        </w:rPr>
        <w:t>税务局、党群部，住建局）</w:t>
      </w:r>
    </w:p>
    <w:p>
      <w:pPr>
        <w:pStyle w:val="3"/>
        <w:adjustRightInd w:val="0"/>
        <w:snapToGrid w:val="0"/>
        <w:spacing w:before="0" w:beforeAutospacing="0" w:after="0" w:line="590" w:lineRule="exact"/>
        <w:ind w:firstLine="640" w:firstLineChars="200"/>
        <w:rPr>
          <w:rFonts w:ascii="宋体" w:hAnsi="宋体" w:eastAsia="方正仿宋_GBK"/>
          <w:color w:val="000000"/>
          <w:kern w:val="0"/>
          <w:sz w:val="32"/>
          <w:szCs w:val="32"/>
        </w:rPr>
      </w:pPr>
      <w:r>
        <w:rPr>
          <w:rFonts w:hint="eastAsia" w:ascii="宋体" w:hAnsi="宋体" w:eastAsia="方正黑体_GBK"/>
          <w:color w:val="000000"/>
          <w:kern w:val="0"/>
          <w:sz w:val="32"/>
          <w:szCs w:val="32"/>
        </w:rPr>
        <w:t>八、优化市场营商环境。</w:t>
      </w:r>
      <w:r>
        <w:rPr>
          <w:rFonts w:hint="eastAsia" w:ascii="宋体" w:hAnsi="宋体" w:eastAsia="方正仿宋_GBK"/>
          <w:color w:val="000000"/>
          <w:kern w:val="0"/>
          <w:sz w:val="32"/>
          <w:szCs w:val="32"/>
        </w:rPr>
        <w:t>推行“评定分离”和不见面开标、远程异地评标。招标控制价应按照国家、省、市有关计价规定编制，鼓励发包人对价格风险进行合理分担。对工程质量、进度、交付有特殊要求的建设项目，招标人可对投标人获得的优质工程奖项设定合理加分项。鼓励在合同中约定因不可抗力以及重污染天气、政府重大活动保障等原因停工的，给予合理工期补偿，造成损失和费用增加的，按照有关规定和合同约定合理分担。规范施工现场监管“锁证”方式，在建工程项目仅“锁定”施工企业项目负责人和工程监理单位总监理工程师。同一施工单位在同一工程相邻标段施工过程中，可使用同一套满足工程规模和安全生产要求的现场管理人员。推行包容审慎监管，编制和落实建筑市场、施工现场轻微违法行为免于行政处罚清单。（</w:t>
      </w:r>
      <w:r>
        <w:rPr>
          <w:rFonts w:hint="eastAsia" w:ascii="宋体" w:hAnsi="宋体" w:eastAsia="方正仿宋_GBK"/>
          <w:b/>
          <w:color w:val="000000"/>
          <w:kern w:val="0"/>
          <w:sz w:val="32"/>
          <w:szCs w:val="32"/>
        </w:rPr>
        <w:t>责任单位：</w:t>
      </w:r>
      <w:r>
        <w:rPr>
          <w:rFonts w:hint="eastAsia" w:ascii="宋体" w:hAnsi="宋体" w:eastAsia="方正仿宋_GBK"/>
          <w:color w:val="000000"/>
          <w:kern w:val="0"/>
          <w:sz w:val="32"/>
          <w:szCs w:val="32"/>
        </w:rPr>
        <w:t>科经局、住建局、社事局）</w:t>
      </w:r>
    </w:p>
    <w:p>
      <w:pPr>
        <w:pStyle w:val="3"/>
        <w:adjustRightInd w:val="0"/>
        <w:snapToGrid w:val="0"/>
        <w:spacing w:before="0" w:beforeAutospacing="0" w:after="0" w:line="590" w:lineRule="exact"/>
        <w:ind w:firstLine="640" w:firstLineChars="200"/>
        <w:rPr>
          <w:rFonts w:ascii="宋体" w:hAnsi="宋体" w:eastAsia="方正仿宋_GBK"/>
          <w:color w:val="000000"/>
          <w:kern w:val="0"/>
          <w:sz w:val="32"/>
          <w:szCs w:val="32"/>
        </w:rPr>
      </w:pPr>
      <w:r>
        <w:rPr>
          <w:rFonts w:hint="eastAsia" w:ascii="宋体" w:hAnsi="宋体" w:eastAsia="方正黑体_GBK"/>
          <w:color w:val="000000"/>
          <w:kern w:val="0"/>
          <w:sz w:val="32"/>
          <w:szCs w:val="32"/>
        </w:rPr>
        <w:t>九、着力减轻企业负担。</w:t>
      </w:r>
      <w:r>
        <w:rPr>
          <w:rFonts w:hint="eastAsia" w:ascii="宋体" w:hAnsi="宋体" w:eastAsia="方正仿宋_GBK"/>
          <w:color w:val="000000"/>
          <w:kern w:val="0"/>
          <w:sz w:val="32"/>
          <w:szCs w:val="32"/>
        </w:rPr>
        <w:t>严格执行投标保证金、履约保证金、工程质量保证金有关限额和退还规定，全面推行工程担保制度，</w:t>
      </w:r>
      <w:r>
        <w:rPr>
          <w:rFonts w:ascii="宋体" w:hAnsi="宋体" w:eastAsia="方正仿宋_GBK"/>
          <w:color w:val="000000"/>
          <w:kern w:val="0"/>
          <w:sz w:val="32"/>
          <w:szCs w:val="32"/>
        </w:rPr>
        <w:t xml:space="preserve"> </w:t>
      </w:r>
      <w:r>
        <w:rPr>
          <w:rFonts w:hint="eastAsia" w:ascii="宋体" w:hAnsi="宋体" w:eastAsia="方正仿宋_GBK"/>
          <w:color w:val="000000"/>
          <w:kern w:val="0"/>
          <w:sz w:val="32"/>
          <w:szCs w:val="32"/>
        </w:rPr>
        <w:t>建筑业企业可采取银行保函、专业担保公司保函、保证保险等方式替代现金形式缴纳各类保证金。党政机关、事业单位的工程建设项目投标保证金不超过招标项目估算价的</w:t>
      </w:r>
      <w:r>
        <w:rPr>
          <w:rFonts w:ascii="宋体" w:hAnsi="宋体" w:eastAsia="方正仿宋_GBK"/>
          <w:color w:val="000000"/>
          <w:kern w:val="0"/>
          <w:sz w:val="32"/>
          <w:szCs w:val="32"/>
        </w:rPr>
        <w:t>1%</w:t>
      </w:r>
      <w:r>
        <w:rPr>
          <w:rFonts w:hint="eastAsia" w:ascii="宋体" w:hAnsi="宋体" w:eastAsia="方正仿宋_GBK"/>
          <w:color w:val="000000"/>
          <w:kern w:val="0"/>
          <w:sz w:val="32"/>
          <w:szCs w:val="32"/>
        </w:rPr>
        <w:t>。工程项目已提供履约担保或竣工前已缴纳履约保证金的，建设单位不得同时预留工程质量保证金。积极推行工程款支付担保，建设单位应向施工单位提供工程款支付担保。严格实行施工过程结算，落实工程预付款、进度款和竣工结算制度，不得要求施工单位垫资建设。建设单位不得以审计机关的审计结论作为竣工结算依据，不得以未完成审计为由延期工程结算、拖欠工程款、不退还质量保证金。（</w:t>
      </w:r>
      <w:r>
        <w:rPr>
          <w:rFonts w:hint="eastAsia" w:ascii="宋体" w:hAnsi="宋体" w:eastAsia="方正仿宋_GBK"/>
          <w:b/>
          <w:color w:val="000000"/>
          <w:kern w:val="0"/>
          <w:sz w:val="32"/>
          <w:szCs w:val="32"/>
        </w:rPr>
        <w:t>责任单位：</w:t>
      </w:r>
      <w:r>
        <w:rPr>
          <w:rFonts w:hint="eastAsia" w:ascii="宋体" w:hAnsi="宋体" w:eastAsia="方正仿宋_GBK"/>
          <w:color w:val="000000"/>
          <w:kern w:val="0"/>
          <w:sz w:val="32"/>
          <w:szCs w:val="32"/>
        </w:rPr>
        <w:t>科经局、住建局、社事局）</w:t>
      </w:r>
    </w:p>
    <w:p>
      <w:pPr>
        <w:pStyle w:val="3"/>
        <w:adjustRightInd w:val="0"/>
        <w:snapToGrid w:val="0"/>
        <w:spacing w:before="0" w:beforeAutospacing="0" w:after="0" w:line="590" w:lineRule="exact"/>
        <w:ind w:firstLine="640" w:firstLineChars="200"/>
        <w:rPr>
          <w:rFonts w:ascii="宋体" w:hAnsi="宋体" w:eastAsia="方正仿宋_GBK"/>
          <w:color w:val="000000"/>
          <w:kern w:val="0"/>
          <w:sz w:val="32"/>
          <w:szCs w:val="32"/>
        </w:rPr>
      </w:pPr>
      <w:r>
        <w:rPr>
          <w:rFonts w:hint="eastAsia" w:ascii="宋体" w:hAnsi="宋体" w:eastAsia="方正黑体_GBK"/>
          <w:color w:val="000000"/>
          <w:kern w:val="0"/>
          <w:sz w:val="32"/>
          <w:szCs w:val="32"/>
        </w:rPr>
        <w:t>十、加强金融税收支持。</w:t>
      </w:r>
      <w:r>
        <w:rPr>
          <w:rFonts w:hint="eastAsia" w:ascii="宋体" w:hAnsi="宋体" w:eastAsia="方正仿宋_GBK"/>
          <w:color w:val="000000"/>
          <w:kern w:val="0"/>
          <w:sz w:val="32"/>
          <w:szCs w:val="32"/>
        </w:rPr>
        <w:t>建立完善政银企合作机制，推行信用良好的建筑业企业以工程施工合同、施工许可证、建筑材料、工程设备、企业自建工程作为增信措施申请银行贷款。鼓励银行业金融机构在授信额度、担保方式、利率优惠等方面给予有市场、有信用的建筑业企业支持。支持建筑业企业通过股票市场、债券市场实现直接融资，拓展融资渠道。落实国家支持西部大开发、研发费用加计扣除、固定资产加速折旧等相关税费优惠政策，支持建筑业企业开展新能源与节能、绿色建造等领域研发和应用。做好税银互动，利用纳税信用等级为企业融资助力。（</w:t>
      </w:r>
      <w:r>
        <w:rPr>
          <w:rFonts w:hint="eastAsia" w:ascii="宋体" w:hAnsi="宋体" w:eastAsia="方正仿宋_GBK"/>
          <w:b/>
          <w:color w:val="000000"/>
          <w:kern w:val="0"/>
          <w:sz w:val="32"/>
          <w:szCs w:val="32"/>
        </w:rPr>
        <w:t>责任单位：</w:t>
      </w:r>
      <w:r>
        <w:rPr>
          <w:rFonts w:hint="eastAsia" w:ascii="宋体" w:hAnsi="宋体" w:eastAsia="方正仿宋_GBK"/>
          <w:color w:val="000000"/>
          <w:kern w:val="0"/>
          <w:sz w:val="32"/>
          <w:szCs w:val="32"/>
        </w:rPr>
        <w:t>税务局、财金局，住建局）</w:t>
      </w:r>
    </w:p>
    <w:p>
      <w:pPr>
        <w:pStyle w:val="3"/>
        <w:adjustRightInd w:val="0"/>
        <w:snapToGrid w:val="0"/>
        <w:spacing w:before="0" w:beforeAutospacing="0" w:after="0" w:line="590" w:lineRule="exact"/>
        <w:ind w:firstLine="640" w:firstLineChars="200"/>
        <w:rPr>
          <w:rFonts w:ascii="宋体" w:hAnsi="宋体" w:eastAsia="方正仿宋_GBK"/>
          <w:color w:val="000000"/>
          <w:kern w:val="0"/>
          <w:sz w:val="32"/>
          <w:szCs w:val="32"/>
        </w:rPr>
      </w:pPr>
      <w:r>
        <w:rPr>
          <w:rFonts w:hint="eastAsia" w:ascii="宋体" w:hAnsi="宋体" w:eastAsia="方正黑体_GBK"/>
          <w:color w:val="000000"/>
          <w:kern w:val="0"/>
          <w:sz w:val="32"/>
          <w:szCs w:val="32"/>
        </w:rPr>
        <w:t>十一、加强诚信体系建设。</w:t>
      </w:r>
      <w:r>
        <w:rPr>
          <w:rFonts w:hint="eastAsia" w:ascii="宋体" w:hAnsi="宋体" w:eastAsia="方正仿宋_GBK"/>
          <w:color w:val="000000"/>
          <w:kern w:val="0"/>
          <w:sz w:val="32"/>
          <w:szCs w:val="32"/>
        </w:rPr>
        <w:t>根据《施工企业信用评价管理办法》，上线运行“施工企业信用综合评价系统平台”，对施工企业信用信息情况进行量化评价，并依据评价结果实施分级分类监管。实行建设工程“三标”（商务标、技术标、诚信标）评分制招标投标，将信用评价结果与招标投标、资质审批、监督抽查、评优评奖、工程担保等挂钩；实行施工企业“红黑名单”管理制度，对信用评价结果优的企业，给予激励措施；对违反环保、拖欠民工工资、出现质量安全问题、存在严重税收违法行为的企业，依法依规限制市场准入。（</w:t>
      </w:r>
      <w:r>
        <w:rPr>
          <w:rFonts w:hint="eastAsia" w:ascii="宋体" w:hAnsi="宋体" w:eastAsia="方正仿宋_GBK"/>
          <w:b/>
          <w:color w:val="000000"/>
          <w:kern w:val="0"/>
          <w:sz w:val="32"/>
          <w:szCs w:val="32"/>
        </w:rPr>
        <w:t>责任单位：</w:t>
      </w:r>
      <w:r>
        <w:rPr>
          <w:rFonts w:hint="eastAsia" w:ascii="宋体" w:hAnsi="宋体" w:eastAsia="方正仿宋_GBK"/>
          <w:color w:val="000000"/>
          <w:kern w:val="0"/>
          <w:sz w:val="32"/>
          <w:szCs w:val="32"/>
        </w:rPr>
        <w:t>住建局，税务局、市监分局、科经局、审批局）</w:t>
      </w:r>
    </w:p>
    <w:p>
      <w:pPr>
        <w:pStyle w:val="3"/>
        <w:adjustRightInd w:val="0"/>
        <w:snapToGrid w:val="0"/>
        <w:spacing w:before="0" w:beforeAutospacing="0" w:after="0" w:line="590" w:lineRule="exact"/>
        <w:ind w:firstLine="640" w:firstLineChars="200"/>
        <w:rPr>
          <w:rFonts w:ascii="宋体" w:hAnsi="宋体" w:eastAsia="方正仿宋_GBK"/>
          <w:color w:val="000000"/>
          <w:kern w:val="0"/>
          <w:sz w:val="32"/>
          <w:szCs w:val="32"/>
        </w:rPr>
      </w:pPr>
      <w:r>
        <w:rPr>
          <w:rFonts w:hint="eastAsia" w:ascii="宋体" w:hAnsi="宋体" w:eastAsia="方正黑体_GBK"/>
          <w:color w:val="000000"/>
          <w:kern w:val="0"/>
          <w:sz w:val="32"/>
          <w:szCs w:val="32"/>
        </w:rPr>
        <w:t>十二、优化企业人才服务。</w:t>
      </w:r>
      <w:r>
        <w:rPr>
          <w:rFonts w:hint="eastAsia" w:ascii="宋体" w:hAnsi="宋体" w:eastAsia="方正仿宋_GBK"/>
          <w:color w:val="000000"/>
          <w:kern w:val="0"/>
          <w:sz w:val="32"/>
          <w:szCs w:val="32"/>
        </w:rPr>
        <w:t>企业对我区地方经济贡献当年达到</w:t>
      </w:r>
      <w:r>
        <w:rPr>
          <w:rFonts w:ascii="宋体" w:hAnsi="宋体" w:eastAsia="方正仿宋_GBK"/>
          <w:color w:val="000000"/>
          <w:kern w:val="0"/>
          <w:sz w:val="32"/>
          <w:szCs w:val="32"/>
        </w:rPr>
        <w:t>500</w:t>
      </w:r>
      <w:r>
        <w:rPr>
          <w:rFonts w:hint="eastAsia" w:ascii="宋体" w:hAnsi="宋体" w:eastAsia="方正仿宋_GBK"/>
          <w:color w:val="000000"/>
          <w:kern w:val="0"/>
          <w:sz w:val="32"/>
          <w:szCs w:val="32"/>
        </w:rPr>
        <w:t>万元以上的，对在企业任职满一年的高层管理人员，经认定可以其当年工资薪金所得对我区地方经济贡献的</w:t>
      </w:r>
      <w:r>
        <w:rPr>
          <w:rFonts w:ascii="宋体" w:hAnsi="宋体" w:eastAsia="方正仿宋_GBK"/>
          <w:color w:val="000000"/>
          <w:kern w:val="0"/>
          <w:sz w:val="32"/>
          <w:szCs w:val="32"/>
        </w:rPr>
        <w:t>100%</w:t>
      </w:r>
      <w:r>
        <w:rPr>
          <w:rFonts w:hint="eastAsia" w:ascii="宋体" w:hAnsi="宋体" w:eastAsia="方正仿宋_GBK"/>
          <w:color w:val="000000"/>
          <w:kern w:val="0"/>
          <w:sz w:val="32"/>
          <w:szCs w:val="32"/>
        </w:rPr>
        <w:t>给予补助，每户企业补助总人数原则上不超过</w:t>
      </w:r>
      <w:r>
        <w:rPr>
          <w:rFonts w:ascii="宋体" w:hAnsi="宋体" w:eastAsia="方正仿宋_GBK"/>
          <w:color w:val="000000"/>
          <w:kern w:val="0"/>
          <w:sz w:val="32"/>
          <w:szCs w:val="32"/>
        </w:rPr>
        <w:t>10</w:t>
      </w:r>
      <w:r>
        <w:rPr>
          <w:rFonts w:hint="eastAsia" w:ascii="宋体" w:hAnsi="宋体" w:eastAsia="方正仿宋_GBK"/>
          <w:color w:val="000000"/>
          <w:kern w:val="0"/>
          <w:sz w:val="32"/>
          <w:szCs w:val="32"/>
        </w:rPr>
        <w:t>名。高层管理人员的随迁子女就读义务教育阶段学校，结合本人意愿和居住地等情况，由管委会按当地政策协调入学事宜。（</w:t>
      </w:r>
      <w:r>
        <w:rPr>
          <w:rFonts w:hint="eastAsia" w:ascii="宋体" w:hAnsi="宋体" w:eastAsia="方正仿宋_GBK"/>
          <w:b/>
          <w:color w:val="000000"/>
          <w:kern w:val="0"/>
          <w:sz w:val="32"/>
          <w:szCs w:val="32"/>
        </w:rPr>
        <w:t>责任单位：</w:t>
      </w:r>
      <w:r>
        <w:rPr>
          <w:rFonts w:hint="eastAsia" w:ascii="宋体" w:hAnsi="宋体" w:eastAsia="方正仿宋_GBK"/>
          <w:color w:val="000000"/>
          <w:kern w:val="0"/>
          <w:sz w:val="32"/>
          <w:szCs w:val="32"/>
        </w:rPr>
        <w:t>党群部，财金局、住建局）</w:t>
      </w:r>
    </w:p>
    <w:p>
      <w:pPr>
        <w:pStyle w:val="3"/>
        <w:adjustRightInd w:val="0"/>
        <w:snapToGrid w:val="0"/>
        <w:spacing w:before="0" w:beforeAutospacing="0" w:after="0" w:line="590" w:lineRule="exact"/>
        <w:ind w:firstLine="640" w:firstLineChars="200"/>
        <w:rPr>
          <w:rFonts w:ascii="宋体" w:hAnsi="宋体" w:eastAsia="方正仿宋_GBK"/>
          <w:color w:val="000000"/>
          <w:kern w:val="0"/>
          <w:sz w:val="32"/>
          <w:szCs w:val="32"/>
        </w:rPr>
      </w:pPr>
      <w:r>
        <w:rPr>
          <w:rFonts w:hint="eastAsia" w:ascii="宋体" w:hAnsi="宋体" w:eastAsia="方正黑体_GBK"/>
          <w:color w:val="000000"/>
          <w:kern w:val="0"/>
          <w:sz w:val="32"/>
          <w:szCs w:val="32"/>
        </w:rPr>
        <w:t>十三、健全服务保障体系。</w:t>
      </w:r>
      <w:r>
        <w:rPr>
          <w:rFonts w:hint="eastAsia" w:ascii="宋体" w:hAnsi="宋体" w:eastAsia="方正仿宋_GBK"/>
          <w:color w:val="000000"/>
          <w:kern w:val="0"/>
          <w:sz w:val="32"/>
          <w:szCs w:val="32"/>
        </w:rPr>
        <w:t>成立由管委会主要领导任组长的高新区建筑业发展领导小组，负责统筹协调全区建筑业高质量发展工作。区财政将建筑业发展专项资金纳入年初预算，统筹用于帮扶支持建筑产业和企业高质量发展。建立区领导挂联帮扶机制，为企业发展进行服务指导和纾困解难。鼓励相关企业为本区建筑业企业搭建建材集中采购平台，为建筑业企业提供大宗建材采购服务。（</w:t>
      </w:r>
      <w:r>
        <w:rPr>
          <w:rFonts w:hint="eastAsia" w:ascii="宋体" w:hAnsi="宋体" w:eastAsia="方正仿宋_GBK"/>
          <w:b/>
          <w:color w:val="000000"/>
          <w:kern w:val="0"/>
          <w:sz w:val="32"/>
          <w:szCs w:val="32"/>
        </w:rPr>
        <w:t>责任单位：</w:t>
      </w:r>
      <w:r>
        <w:rPr>
          <w:rFonts w:hint="eastAsia" w:ascii="宋体" w:hAnsi="宋体" w:eastAsia="方正仿宋_GBK"/>
          <w:color w:val="000000"/>
          <w:kern w:val="0"/>
          <w:sz w:val="32"/>
          <w:szCs w:val="32"/>
        </w:rPr>
        <w:t>财金局、住建局，科经局、社事局）</w:t>
      </w:r>
    </w:p>
    <w:p>
      <w:pPr>
        <w:pStyle w:val="3"/>
        <w:adjustRightInd w:val="0"/>
        <w:snapToGrid w:val="0"/>
        <w:spacing w:before="0" w:beforeAutospacing="0" w:after="0" w:line="590" w:lineRule="exact"/>
        <w:ind w:firstLine="640" w:firstLineChars="200"/>
        <w:rPr>
          <w:rFonts w:ascii="宋体" w:hAnsi="宋体" w:eastAsia="方正仿宋_GBK"/>
          <w:color w:val="000000"/>
          <w:kern w:val="0"/>
          <w:sz w:val="32"/>
          <w:szCs w:val="32"/>
        </w:rPr>
      </w:pPr>
      <w:r>
        <w:rPr>
          <w:rFonts w:hint="eastAsia" w:ascii="宋体" w:hAnsi="宋体" w:eastAsia="方正黑体_GBK"/>
          <w:color w:val="000000"/>
          <w:kern w:val="0"/>
          <w:sz w:val="32"/>
          <w:szCs w:val="32"/>
        </w:rPr>
        <w:t>十四、加强目标绩效考核。</w:t>
      </w:r>
      <w:r>
        <w:rPr>
          <w:rFonts w:hint="eastAsia" w:ascii="宋体" w:hAnsi="宋体" w:eastAsia="方正仿宋_GBK"/>
          <w:color w:val="000000"/>
          <w:kern w:val="0"/>
          <w:sz w:val="32"/>
          <w:szCs w:val="32"/>
        </w:rPr>
        <w:t>制定建筑业发展考核办法，将建筑业总产值和建安工程投资中建筑业产值落地率纳入区年度目标绩效考核；国有企业承担工程项目建设任务的，将其承建项目的建筑业产值落地率纳入国有企业领导人经营业绩考核。（</w:t>
      </w:r>
      <w:r>
        <w:rPr>
          <w:rFonts w:hint="eastAsia" w:ascii="宋体" w:hAnsi="宋体" w:eastAsia="方正仿宋_GBK"/>
          <w:b/>
          <w:color w:val="000000"/>
          <w:kern w:val="0"/>
          <w:sz w:val="32"/>
          <w:szCs w:val="32"/>
        </w:rPr>
        <w:t>责任单位：</w:t>
      </w:r>
      <w:r>
        <w:rPr>
          <w:rFonts w:hint="eastAsia" w:ascii="宋体" w:hAnsi="宋体" w:eastAsia="方正仿宋_GBK"/>
          <w:color w:val="000000"/>
          <w:kern w:val="0"/>
          <w:sz w:val="32"/>
          <w:szCs w:val="32"/>
        </w:rPr>
        <w:t>办公室、财金局、住建局）</w:t>
      </w:r>
    </w:p>
    <w:p>
      <w:pPr>
        <w:widowControl/>
        <w:spacing w:line="590" w:lineRule="exact"/>
        <w:ind w:firstLine="640" w:firstLineChars="200"/>
        <w:jc w:val="left"/>
        <w:rPr>
          <w:rFonts w:ascii="宋体" w:hAnsi="宋体" w:eastAsia="方正仿宋_GBK"/>
          <w:color w:val="000000"/>
          <w:kern w:val="0"/>
          <w:sz w:val="32"/>
          <w:szCs w:val="32"/>
        </w:rPr>
      </w:pPr>
      <w:r>
        <w:rPr>
          <w:rFonts w:hint="eastAsia" w:ascii="宋体" w:hAnsi="宋体" w:eastAsia="方正仿宋_GBK"/>
          <w:color w:val="000000"/>
          <w:kern w:val="0"/>
          <w:sz w:val="32"/>
          <w:szCs w:val="32"/>
        </w:rPr>
        <w:t>同一项目同一类奖励，或与国家、省、市有关优惠政策重复的，按照就高原则，不重复奖励。凡存在拖欠民工工资、发生较大以上质量安全事故等违法行为的企业，不得享受当年度各项奖励支持资金。本措施自</w:t>
      </w:r>
      <w:r>
        <w:rPr>
          <w:rFonts w:ascii="宋体" w:hAnsi="宋体" w:eastAsia="方正仿宋_GBK"/>
          <w:color w:val="000000"/>
          <w:kern w:val="0"/>
          <w:sz w:val="32"/>
          <w:szCs w:val="32"/>
        </w:rPr>
        <w:t>2022</w:t>
      </w:r>
      <w:r>
        <w:rPr>
          <w:rFonts w:hint="eastAsia" w:ascii="宋体" w:hAnsi="宋体" w:eastAsia="方正仿宋_GBK"/>
          <w:color w:val="000000"/>
          <w:kern w:val="0"/>
          <w:sz w:val="32"/>
          <w:szCs w:val="32"/>
        </w:rPr>
        <w:t>年</w:t>
      </w:r>
      <w:r>
        <w:rPr>
          <w:rFonts w:ascii="宋体" w:hAnsi="宋体" w:eastAsia="方正仿宋_GBK"/>
          <w:color w:val="000000"/>
          <w:kern w:val="0"/>
          <w:sz w:val="32"/>
          <w:szCs w:val="32"/>
        </w:rPr>
        <w:t>12</w:t>
      </w:r>
      <w:r>
        <w:rPr>
          <w:rFonts w:hint="eastAsia" w:ascii="宋体" w:hAnsi="宋体" w:eastAsia="方正仿宋_GBK"/>
          <w:color w:val="000000"/>
          <w:kern w:val="0"/>
          <w:sz w:val="32"/>
          <w:szCs w:val="32"/>
        </w:rPr>
        <w:t>月</w:t>
      </w:r>
      <w:r>
        <w:rPr>
          <w:rFonts w:ascii="宋体" w:hAnsi="宋体" w:eastAsia="方正仿宋_GBK"/>
          <w:color w:val="000000"/>
          <w:kern w:val="0"/>
          <w:sz w:val="32"/>
          <w:szCs w:val="32"/>
        </w:rPr>
        <w:t>16</w:t>
      </w:r>
      <w:r>
        <w:rPr>
          <w:rFonts w:hint="eastAsia" w:ascii="宋体" w:hAnsi="宋体" w:eastAsia="方正仿宋_GBK"/>
          <w:color w:val="000000"/>
          <w:kern w:val="0"/>
          <w:sz w:val="32"/>
          <w:szCs w:val="32"/>
        </w:rPr>
        <w:t>日起施行，有效期至</w:t>
      </w:r>
      <w:r>
        <w:rPr>
          <w:rFonts w:ascii="宋体" w:hAnsi="宋体" w:eastAsia="方正仿宋_GBK"/>
          <w:color w:val="000000"/>
          <w:kern w:val="0"/>
          <w:sz w:val="32"/>
          <w:szCs w:val="32"/>
        </w:rPr>
        <w:t>2025</w:t>
      </w:r>
      <w:r>
        <w:rPr>
          <w:rFonts w:hint="eastAsia" w:ascii="宋体" w:hAnsi="宋体" w:eastAsia="方正仿宋_GBK"/>
          <w:color w:val="000000"/>
          <w:kern w:val="0"/>
          <w:sz w:val="32"/>
          <w:szCs w:val="32"/>
        </w:rPr>
        <w:t>年</w:t>
      </w:r>
      <w:r>
        <w:rPr>
          <w:rFonts w:ascii="宋体" w:hAnsi="宋体" w:eastAsia="方正仿宋_GBK"/>
          <w:color w:val="000000"/>
          <w:kern w:val="0"/>
          <w:sz w:val="32"/>
          <w:szCs w:val="32"/>
        </w:rPr>
        <w:t>12</w:t>
      </w:r>
      <w:r>
        <w:rPr>
          <w:rFonts w:hint="eastAsia" w:ascii="宋体" w:hAnsi="宋体" w:eastAsia="方正仿宋_GBK"/>
          <w:color w:val="000000"/>
          <w:kern w:val="0"/>
          <w:sz w:val="32"/>
          <w:szCs w:val="32"/>
        </w:rPr>
        <w:t>月</w:t>
      </w:r>
      <w:r>
        <w:rPr>
          <w:rFonts w:ascii="宋体" w:hAnsi="宋体" w:eastAsia="方正仿宋_GBK"/>
          <w:color w:val="000000"/>
          <w:kern w:val="0"/>
          <w:sz w:val="32"/>
          <w:szCs w:val="32"/>
        </w:rPr>
        <w:t>16</w:t>
      </w:r>
      <w:r>
        <w:rPr>
          <w:rFonts w:hint="eastAsia" w:ascii="宋体" w:hAnsi="宋体" w:eastAsia="方正仿宋_GBK"/>
          <w:color w:val="000000"/>
          <w:kern w:val="0"/>
          <w:sz w:val="32"/>
          <w:szCs w:val="32"/>
        </w:rPr>
        <w:t>日止。本措施解释权归资阳高新技术产业园区住房和城乡建设局所有。</w:t>
      </w: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sectPr>
          <w:headerReference r:id="rId3" w:type="default"/>
          <w:footerReference r:id="rId4" w:type="default"/>
          <w:footerReference r:id="rId5" w:type="even"/>
          <w:pgSz w:w="11906" w:h="16838"/>
          <w:pgMar w:top="1985" w:right="1531" w:bottom="1701" w:left="1531" w:header="851" w:footer="1531" w:gutter="0"/>
          <w:cols w:space="425" w:num="1"/>
          <w:docGrid w:type="lines" w:linePitch="312" w:charSpace="0"/>
        </w:sect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ind w:left="5250" w:firstLine="640"/>
        <w:rPr>
          <w:rFonts w:ascii="宋体" w:hAnsi="宋体" w:eastAsia="方正仿宋_GBK" w:cs="方正仿宋_GBK"/>
          <w:color w:val="000000"/>
          <w:kern w:val="2"/>
        </w:rPr>
      </w:pPr>
    </w:p>
    <w:p>
      <w:pPr>
        <w:pStyle w:val="13"/>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800" w:lineRule="exact"/>
        <w:ind w:left="5250" w:firstLine="640"/>
        <w:rPr>
          <w:rFonts w:ascii="宋体" w:hAnsi="宋体" w:eastAsia="方正仿宋_GBK" w:cs="方正仿宋_GBK"/>
          <w:color w:val="000000"/>
          <w:kern w:val="2"/>
        </w:rPr>
      </w:pPr>
    </w:p>
    <w:p>
      <w:pPr>
        <w:pStyle w:val="13"/>
        <w:spacing w:line="590" w:lineRule="exact"/>
        <w:ind w:firstLine="160" w:firstLineChars="50"/>
        <w:rPr>
          <w:rFonts w:ascii="宋体" w:hAnsi="宋体" w:eastAsia="方正仿宋_GBK"/>
          <w:color w:val="000000"/>
          <w:sz w:val="28"/>
          <w:szCs w:val="28"/>
        </w:rPr>
      </w:pPr>
      <w:r>
        <w:pict>
          <v:line id="_x0000_s1029" o:spid="_x0000_s1029" o:spt="20" style="position:absolute;left:0pt;margin-left:0pt;margin-top:5.25pt;height:0pt;width:440.2pt;z-index:251659264;mso-width-relative:page;mso-height-relative:page;" coordsize="21600,21600" o:gfxdata="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fq75tIAAAAEAQAADwAAAAAAAAABACAAAAAiAAAAZHJzL2Rvd25yZXYueG1sUEsBAhQAFAAA&#10;AAgAh07iQCyNDkH1AQAA5AMAAA4AAAAAAAAAAQAgAAAAIQEAAGRycy9lMm9Eb2MueG1sUEsFBgAA&#10;AAAGAAYAWQEAAIgFAAAAAA==&#10;">
            <v:path arrowok="t"/>
            <v:fill focussize="0,0"/>
            <v:stroke/>
            <v:imagedata o:title=""/>
            <o:lock v:ext="edit"/>
          </v:line>
        </w:pict>
      </w:r>
      <w:r>
        <w:pict>
          <v:line id="_x0000_s1030" o:spid="_x0000_s1030" o:spt="20" style="position:absolute;left:0pt;margin-left:0pt;margin-top:31.1pt;height:0pt;width:440.2pt;z-index:251660288;mso-width-relative:page;mso-height-relative:page;" coordsize="21600,21600" o:gfxdata="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pwxITUAAAABgEAAA8AAAAAAAAAAQAgAAAAIgAAAGRycy9kb3ducmV2LnhtbFBLAQIUABQA&#10;AAAIAIdO4kAfMKL29AEAAOQDAAAOAAAAAAAAAAEAIAAAACMBAABkcnMvZTJvRG9jLnhtbFBLBQYA&#10;AAAABgAGAFkBAACJBQAAAAA=&#10;">
            <v:path arrowok="t"/>
            <v:fill focussize="0,0"/>
            <v:stroke/>
            <v:imagedata o:title=""/>
            <o:lock v:ext="edit"/>
          </v:line>
        </w:pict>
      </w:r>
      <w:r>
        <w:rPr>
          <w:rFonts w:hint="eastAsia" w:ascii="宋体" w:hAnsi="宋体" w:eastAsia="方正仿宋_GBK"/>
          <w:sz w:val="28"/>
          <w:szCs w:val="28"/>
        </w:rPr>
        <w:t>资阳高新技术产业园区办公室</w:t>
      </w:r>
      <w:r>
        <w:rPr>
          <w:rFonts w:ascii="宋体" w:hAnsi="宋体" w:eastAsia="方正仿宋_GBK"/>
          <w:sz w:val="28"/>
          <w:szCs w:val="28"/>
        </w:rPr>
        <w:t xml:space="preserve">                2022</w:t>
      </w:r>
      <w:r>
        <w:rPr>
          <w:rFonts w:hint="eastAsia" w:ascii="宋体" w:hAnsi="宋体" w:eastAsia="方正仿宋_GBK"/>
          <w:sz w:val="28"/>
          <w:szCs w:val="28"/>
        </w:rPr>
        <w:t>年</w:t>
      </w:r>
      <w:r>
        <w:rPr>
          <w:rFonts w:ascii="宋体" w:hAnsi="宋体" w:eastAsia="方正仿宋_GBK"/>
          <w:sz w:val="28"/>
          <w:szCs w:val="28"/>
        </w:rPr>
        <w:t>11</w:t>
      </w:r>
      <w:r>
        <w:rPr>
          <w:rFonts w:hint="eastAsia" w:ascii="宋体" w:hAnsi="宋体" w:eastAsia="方正仿宋_GBK"/>
          <w:sz w:val="28"/>
          <w:szCs w:val="28"/>
        </w:rPr>
        <w:t>月</w:t>
      </w:r>
      <w:r>
        <w:rPr>
          <w:rFonts w:ascii="宋体" w:hAnsi="宋体" w:eastAsia="方正仿宋_GBK"/>
          <w:sz w:val="28"/>
          <w:szCs w:val="28"/>
        </w:rPr>
        <w:t>16</w:t>
      </w:r>
      <w:r>
        <w:rPr>
          <w:rFonts w:hint="eastAsia" w:ascii="宋体" w:hAnsi="宋体" w:eastAsia="方正仿宋_GBK"/>
          <w:sz w:val="28"/>
          <w:szCs w:val="28"/>
        </w:rPr>
        <w:t>日印发</w:t>
      </w:r>
    </w:p>
    <w:sectPr>
      <w:pgSz w:w="11906" w:h="16838"/>
      <w:pgMar w:top="1985" w:right="1531" w:bottom="1701" w:left="1531" w:header="851" w:footer="153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sz w:val="28"/>
        <w:szCs w:val="28"/>
      </w:rPr>
    </w:pPr>
    <w:r>
      <w:rPr>
        <w:rStyle w:val="8"/>
        <w:rFonts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2</w:t>
    </w:r>
    <w:r>
      <w:rPr>
        <w:rStyle w:val="8"/>
        <w:rFonts w:ascii="宋体" w:hAnsi="宋体"/>
        <w:sz w:val="28"/>
        <w:szCs w:val="28"/>
      </w:rPr>
      <w:fldChar w:fldCharType="end"/>
    </w:r>
    <w:r>
      <w:rPr>
        <w:rStyle w:val="8"/>
        <w:rFonts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ljNmJiNTE1NmYwMTAwMjg4Y2EwNGI3M2QzNDBiNWIifQ=="/>
  </w:docVars>
  <w:rsids>
    <w:rsidRoot w:val="1D2E47C6"/>
    <w:rsid w:val="00142BAA"/>
    <w:rsid w:val="00370500"/>
    <w:rsid w:val="00675A7E"/>
    <w:rsid w:val="009169DB"/>
    <w:rsid w:val="00924CCB"/>
    <w:rsid w:val="0096234D"/>
    <w:rsid w:val="00A0776C"/>
    <w:rsid w:val="00A658D6"/>
    <w:rsid w:val="00AF07ED"/>
    <w:rsid w:val="00B9521F"/>
    <w:rsid w:val="00B96E9B"/>
    <w:rsid w:val="00BB698B"/>
    <w:rsid w:val="00F47BC2"/>
    <w:rsid w:val="00F76544"/>
    <w:rsid w:val="01884FDF"/>
    <w:rsid w:val="07597B5D"/>
    <w:rsid w:val="18645BB7"/>
    <w:rsid w:val="1D2E47C6"/>
    <w:rsid w:val="1FA85442"/>
    <w:rsid w:val="34D058E1"/>
    <w:rsid w:val="39096AFA"/>
    <w:rsid w:val="3E650498"/>
    <w:rsid w:val="40381A73"/>
    <w:rsid w:val="426B76B2"/>
    <w:rsid w:val="42C70E46"/>
    <w:rsid w:val="479C3271"/>
    <w:rsid w:val="47F203C3"/>
    <w:rsid w:val="490B41C9"/>
    <w:rsid w:val="4F136919"/>
    <w:rsid w:val="56A52A1F"/>
    <w:rsid w:val="6AAD28B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0"/>
    <w:uiPriority w:val="99"/>
    <w:pPr>
      <w:ind w:firstLine="420"/>
    </w:pPr>
  </w:style>
  <w:style w:type="paragraph" w:styleId="3">
    <w:name w:val="Body Text"/>
    <w:basedOn w:val="1"/>
    <w:next w:val="1"/>
    <w:link w:val="9"/>
    <w:uiPriority w:val="99"/>
    <w:pPr>
      <w:spacing w:before="100" w:beforeAutospacing="1" w:after="12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Body Text Char"/>
    <w:basedOn w:val="7"/>
    <w:link w:val="3"/>
    <w:semiHidden/>
    <w:qFormat/>
    <w:locked/>
    <w:uiPriority w:val="99"/>
    <w:rPr>
      <w:rFonts w:ascii="Times New Roman" w:hAnsi="Times New Roman" w:cs="Times New Roman"/>
      <w:sz w:val="24"/>
      <w:szCs w:val="24"/>
    </w:rPr>
  </w:style>
  <w:style w:type="character" w:customStyle="1" w:styleId="10">
    <w:name w:val="Body Text First Indent Char"/>
    <w:basedOn w:val="9"/>
    <w:link w:val="2"/>
    <w:semiHidden/>
    <w:uiPriority w:val="99"/>
  </w:style>
  <w:style w:type="character" w:customStyle="1" w:styleId="11">
    <w:name w:val="Footer Char"/>
    <w:basedOn w:val="7"/>
    <w:link w:val="4"/>
    <w:semiHidden/>
    <w:qFormat/>
    <w:locked/>
    <w:uiPriority w:val="99"/>
    <w:rPr>
      <w:rFonts w:ascii="Times New Roman" w:hAnsi="Times New Roman" w:cs="Times New Roman"/>
      <w:sz w:val="18"/>
      <w:szCs w:val="18"/>
    </w:rPr>
  </w:style>
  <w:style w:type="character" w:customStyle="1" w:styleId="12">
    <w:name w:val="Header Char"/>
    <w:basedOn w:val="7"/>
    <w:link w:val="5"/>
    <w:semiHidden/>
    <w:qFormat/>
    <w:locked/>
    <w:uiPriority w:val="99"/>
    <w:rPr>
      <w:rFonts w:ascii="Times New Roman" w:hAnsi="Times New Roman" w:cs="Times New Roman"/>
      <w:sz w:val="18"/>
      <w:szCs w:val="18"/>
    </w:rPr>
  </w:style>
  <w:style w:type="paragraph" w:customStyle="1" w:styleId="13">
    <w:name w:val="15公文正文"/>
    <w:basedOn w:val="1"/>
    <w:qFormat/>
    <w:uiPriority w:val="99"/>
    <w:pPr>
      <w:snapToGrid w:val="0"/>
      <w:spacing w:line="600" w:lineRule="exact"/>
      <w:ind w:firstLine="880" w:firstLineChars="200"/>
    </w:pPr>
    <w:rPr>
      <w:rFonts w:ascii="仿宋_GB2312" w:hAnsi="仿宋_GB2312" w:eastAsia="仿宋_GB2312" w:cs="仿宋_GB2312"/>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697</Words>
  <Characters>3976</Characters>
  <Lines>0</Lines>
  <Paragraphs>0</Paragraphs>
  <TotalTime>10</TotalTime>
  <ScaleCrop>false</ScaleCrop>
  <LinksUpToDate>false</LinksUpToDate>
  <CharactersWithSpaces>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2022-11-18T07:32:00Z</dcterms:created>
  <dc:creator>WPS_1491270342</dc:creator>
  <cp:lastModifiedBy>刘泳成</cp:lastModifiedBy>
  <dcterms:modified xsi:type="dcterms:W3CDTF">2022-12-13T02:48:45Z</dcterms:modified>
  <dc:title>资阳高新技术产业园区管理委员会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A8A967A4C4BB4DF989EF1C74F19066E4</vt:lpwstr>
  </property>
</Properties>
</file>