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C6" w:rsidRPr="00AD4CD6" w:rsidRDefault="003871C6" w:rsidP="003871C6">
      <w:pPr>
        <w:spacing w:line="510" w:lineRule="exact"/>
        <w:jc w:val="center"/>
        <w:rPr>
          <w:rFonts w:asciiTheme="minorEastAsia" w:eastAsiaTheme="minorEastAsia" w:hAnsiTheme="minorEastAsia" w:hint="eastAsia"/>
          <w:sz w:val="28"/>
          <w:szCs w:val="28"/>
        </w:rPr>
      </w:pPr>
    </w:p>
    <w:p w:rsidR="00AD4CD6" w:rsidRPr="00AD4CD6" w:rsidRDefault="00AD4CD6" w:rsidP="003871C6">
      <w:pPr>
        <w:spacing w:line="510" w:lineRule="exact"/>
        <w:jc w:val="center"/>
        <w:rPr>
          <w:rFonts w:asciiTheme="minorEastAsia" w:eastAsiaTheme="minorEastAsia" w:hAnsiTheme="minorEastAsia"/>
          <w:sz w:val="28"/>
          <w:szCs w:val="28"/>
        </w:rPr>
      </w:pPr>
    </w:p>
    <w:p w:rsidR="003871C6" w:rsidRPr="00AD4CD6" w:rsidRDefault="003871C6" w:rsidP="003871C6">
      <w:pPr>
        <w:spacing w:line="510" w:lineRule="exact"/>
        <w:jc w:val="center"/>
        <w:rPr>
          <w:rFonts w:asciiTheme="minorEastAsia" w:eastAsiaTheme="minorEastAsia" w:hAnsiTheme="minorEastAsia"/>
          <w:sz w:val="28"/>
          <w:szCs w:val="28"/>
        </w:rPr>
      </w:pPr>
    </w:p>
    <w:p w:rsidR="003871C6" w:rsidRPr="00AD4CD6" w:rsidRDefault="003871C6" w:rsidP="00AD4CD6">
      <w:pPr>
        <w:spacing w:line="590" w:lineRule="exact"/>
        <w:ind w:firstLineChars="200" w:firstLine="560"/>
        <w:jc w:val="right"/>
        <w:rPr>
          <w:rFonts w:asciiTheme="minorEastAsia" w:eastAsiaTheme="minorEastAsia" w:hAnsiTheme="minorEastAsia" w:hint="eastAsia"/>
          <w:sz w:val="28"/>
          <w:szCs w:val="28"/>
        </w:rPr>
      </w:pPr>
      <w:r w:rsidRPr="00AD4CD6">
        <w:rPr>
          <w:rFonts w:asciiTheme="minorEastAsia" w:eastAsiaTheme="minorEastAsia" w:hAnsiTheme="minorEastAsia" w:hint="eastAsia"/>
          <w:sz w:val="28"/>
          <w:szCs w:val="28"/>
        </w:rPr>
        <w:t>资府函〔2022〕24号</w:t>
      </w:r>
    </w:p>
    <w:p w:rsidR="003871C6" w:rsidRPr="00AD4CD6" w:rsidRDefault="003871C6" w:rsidP="003871C6">
      <w:pPr>
        <w:spacing w:line="590" w:lineRule="exact"/>
        <w:rPr>
          <w:rFonts w:asciiTheme="minorEastAsia" w:eastAsiaTheme="minorEastAsia" w:hAnsiTheme="minorEastAsia" w:hint="eastAsia"/>
          <w:sz w:val="28"/>
          <w:szCs w:val="28"/>
        </w:rPr>
      </w:pPr>
    </w:p>
    <w:p w:rsidR="003871C6" w:rsidRPr="00AD4CD6" w:rsidRDefault="003871C6" w:rsidP="003871C6">
      <w:pPr>
        <w:spacing w:line="590" w:lineRule="exact"/>
        <w:jc w:val="left"/>
        <w:rPr>
          <w:rFonts w:asciiTheme="minorEastAsia" w:eastAsiaTheme="minorEastAsia" w:hAnsiTheme="minorEastAsia" w:cs="方正小标宋_GBK" w:hint="eastAsia"/>
          <w:sz w:val="28"/>
          <w:szCs w:val="28"/>
        </w:rPr>
      </w:pPr>
    </w:p>
    <w:p w:rsidR="003871C6" w:rsidRPr="00AD4CD6" w:rsidRDefault="003871C6" w:rsidP="003871C6">
      <w:pPr>
        <w:spacing w:line="590" w:lineRule="exact"/>
        <w:jc w:val="center"/>
        <w:rPr>
          <w:rFonts w:asciiTheme="minorEastAsia" w:eastAsiaTheme="minorEastAsia" w:hAnsiTheme="minorEastAsia" w:hint="eastAsia"/>
          <w:color w:val="000000"/>
          <w:sz w:val="28"/>
          <w:szCs w:val="28"/>
        </w:rPr>
      </w:pPr>
      <w:r w:rsidRPr="00AD4CD6">
        <w:rPr>
          <w:rFonts w:asciiTheme="minorEastAsia" w:eastAsiaTheme="minorEastAsia" w:hAnsiTheme="minorEastAsia" w:hint="eastAsia"/>
          <w:color w:val="000000"/>
          <w:sz w:val="28"/>
          <w:szCs w:val="28"/>
        </w:rPr>
        <w:t>资阳市人民政府  资阳军分区</w:t>
      </w:r>
    </w:p>
    <w:p w:rsidR="003871C6" w:rsidRPr="00AD4CD6" w:rsidRDefault="003871C6" w:rsidP="00AD4CD6">
      <w:pPr>
        <w:spacing w:line="590" w:lineRule="exact"/>
        <w:jc w:val="center"/>
        <w:rPr>
          <w:rFonts w:asciiTheme="minorEastAsia" w:eastAsiaTheme="minorEastAsia" w:hAnsiTheme="minorEastAsia" w:hint="eastAsia"/>
          <w:color w:val="000000"/>
          <w:sz w:val="28"/>
          <w:szCs w:val="28"/>
        </w:rPr>
      </w:pPr>
      <w:r w:rsidRPr="00AD4CD6">
        <w:rPr>
          <w:rFonts w:asciiTheme="minorEastAsia" w:eastAsiaTheme="minorEastAsia" w:hAnsiTheme="minorEastAsia" w:hint="eastAsia"/>
          <w:color w:val="000000"/>
          <w:sz w:val="28"/>
          <w:szCs w:val="28"/>
        </w:rPr>
        <w:t>关于表扬2021年度征兵工作先进单位和先进个人的通报</w:t>
      </w:r>
    </w:p>
    <w:p w:rsidR="003871C6" w:rsidRPr="00AD4CD6" w:rsidRDefault="003871C6" w:rsidP="00AD4CD6">
      <w:pPr>
        <w:spacing w:line="590" w:lineRule="exact"/>
        <w:ind w:firstLineChars="200" w:firstLine="560"/>
        <w:rPr>
          <w:rFonts w:asciiTheme="minorEastAsia" w:eastAsiaTheme="minorEastAsia" w:hAnsiTheme="minorEastAsia" w:hint="eastAsia"/>
          <w:color w:val="000000"/>
          <w:sz w:val="28"/>
          <w:szCs w:val="28"/>
        </w:rPr>
      </w:pPr>
    </w:p>
    <w:p w:rsidR="003871C6" w:rsidRPr="00AD4CD6" w:rsidRDefault="003871C6" w:rsidP="003871C6">
      <w:pPr>
        <w:spacing w:line="590" w:lineRule="exact"/>
        <w:rPr>
          <w:rFonts w:asciiTheme="minorEastAsia" w:eastAsiaTheme="minorEastAsia" w:hAnsiTheme="minorEastAsia" w:cs="方正仿宋_GBK" w:hint="eastAsia"/>
          <w:color w:val="000000"/>
          <w:sz w:val="28"/>
          <w:szCs w:val="28"/>
        </w:rPr>
      </w:pPr>
      <w:r w:rsidRPr="00AD4CD6">
        <w:rPr>
          <w:rFonts w:asciiTheme="minorEastAsia" w:eastAsiaTheme="minorEastAsia" w:hAnsiTheme="minorEastAsia" w:cs="方正仿宋_GBK" w:hint="eastAsia"/>
          <w:color w:val="000000"/>
          <w:sz w:val="28"/>
          <w:szCs w:val="28"/>
        </w:rPr>
        <w:t>各县（区）人民政府，各县（区）人民武装部，高新区管委会，临空经济区管委会，市级各部门（单位）：</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color w:val="000000"/>
          <w:sz w:val="28"/>
          <w:szCs w:val="28"/>
        </w:rPr>
        <w:t>2021年，全市各级各部门和兵役机关坚持以习近平新时代中国特色社会主义思想为指导，深入贯彻习近平强军思想，认真贯彻党中央、国务院、中央军委决策部署，</w:t>
      </w:r>
      <w:r w:rsidRPr="00AD4CD6">
        <w:rPr>
          <w:rFonts w:asciiTheme="minorEastAsia" w:eastAsiaTheme="minorEastAsia" w:hAnsiTheme="minorEastAsia" w:cs="方正仿宋_GBK" w:hint="eastAsia"/>
          <w:sz w:val="28"/>
          <w:szCs w:val="28"/>
        </w:rPr>
        <w:t>坚决执行省政府、省军区征兵命令，</w:t>
      </w:r>
      <w:r w:rsidRPr="00AD4CD6">
        <w:rPr>
          <w:rFonts w:asciiTheme="minorEastAsia" w:eastAsiaTheme="minorEastAsia" w:hAnsiTheme="minorEastAsia" w:cs="方正仿宋_GBK" w:hint="eastAsia"/>
          <w:color w:val="000000"/>
          <w:sz w:val="28"/>
          <w:szCs w:val="28"/>
        </w:rPr>
        <w:t>坚持以兵员质量为核心，狠抓各项工作落实，圆满完成兵员征集任务，涌现出一批先进单位和先进个人。为</w:t>
      </w:r>
      <w:r w:rsidRPr="00AD4CD6">
        <w:rPr>
          <w:rFonts w:asciiTheme="minorEastAsia" w:eastAsiaTheme="minorEastAsia" w:hAnsiTheme="minorEastAsia" w:cs="方正仿宋_GBK" w:hint="eastAsia"/>
          <w:sz w:val="28"/>
          <w:szCs w:val="28"/>
        </w:rPr>
        <w:t>鼓励先进，树立榜样，激励征兵工作人员进一步做好兵员征集工作，资阳市人民政府、资阳军分区决定对市公安局等8个先进单位和郭维等14名先进个人予以通报表扬。</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希望获得表扬的单位和个人珍惜荣誉、再接再厉，在今后工作中取得更大成绩。全市各级各部门、兵役机关、高等院校及广大兵役工作者要以先进单位和先进个人为榜样，开拓进取，扎实工作，高标准高质量高效率完成年度征兵任务，努力为部队输送更多优质兵员，为新时代国防和军队建设作出新的更大贡献。</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附件：2021年度征兵工作先进单位和先进个人名单</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p>
    <w:p w:rsidR="003871C6" w:rsidRPr="00AD4CD6" w:rsidRDefault="003871C6" w:rsidP="00AD4CD6">
      <w:pPr>
        <w:spacing w:line="590" w:lineRule="exact"/>
        <w:ind w:rightChars="591" w:right="1241" w:firstLineChars="200" w:firstLine="560"/>
        <w:jc w:val="right"/>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资阳市人民政府                 资阳军分区</w:t>
      </w:r>
    </w:p>
    <w:p w:rsidR="003871C6" w:rsidRPr="00AD4CD6" w:rsidRDefault="00AD4CD6" w:rsidP="00AD4CD6">
      <w:pPr>
        <w:spacing w:line="590" w:lineRule="exact"/>
        <w:ind w:rightChars="371" w:right="779" w:firstLineChars="200" w:firstLine="560"/>
        <w:jc w:val="center"/>
        <w:rPr>
          <w:rFonts w:asciiTheme="minorEastAsia" w:eastAsiaTheme="minorEastAsia" w:hAnsiTheme="minorEastAsia" w:hint="eastAsia"/>
          <w:sz w:val="28"/>
          <w:szCs w:val="28"/>
        </w:rPr>
      </w:pPr>
      <w:r>
        <w:rPr>
          <w:rFonts w:asciiTheme="minorEastAsia" w:eastAsiaTheme="minorEastAsia" w:hAnsiTheme="minorEastAsia" w:cs="方正仿宋_GBK" w:hint="eastAsia"/>
          <w:sz w:val="28"/>
          <w:szCs w:val="28"/>
        </w:rPr>
        <w:t xml:space="preserve">         </w:t>
      </w:r>
      <w:smartTag w:uri="urn:schemas-microsoft-com:office:smarttags" w:element="chsdate">
        <w:smartTagPr>
          <w:attr w:name="Year" w:val="2022"/>
          <w:attr w:name="Month" w:val="6"/>
          <w:attr w:name="Day" w:val="21"/>
          <w:attr w:name="IsLunarDate" w:val="False"/>
          <w:attr w:name="IsROCDate" w:val="False"/>
        </w:smartTagPr>
        <w:r w:rsidR="003871C6" w:rsidRPr="00AD4CD6">
          <w:rPr>
            <w:rFonts w:asciiTheme="minorEastAsia" w:eastAsiaTheme="minorEastAsia" w:hAnsiTheme="minorEastAsia" w:cs="方正仿宋_GBK" w:hint="eastAsia"/>
            <w:sz w:val="28"/>
            <w:szCs w:val="28"/>
          </w:rPr>
          <w:t>2022年6月21日</w:t>
        </w:r>
      </w:smartTag>
    </w:p>
    <w:p w:rsidR="003871C6" w:rsidRPr="00AD4CD6" w:rsidRDefault="003871C6" w:rsidP="003871C6">
      <w:pPr>
        <w:spacing w:line="590" w:lineRule="exact"/>
        <w:ind w:rightChars="591" w:right="1241"/>
        <w:jc w:val="left"/>
        <w:rPr>
          <w:rFonts w:asciiTheme="minorEastAsia" w:eastAsiaTheme="minorEastAsia" w:hAnsiTheme="minorEastAsia" w:hint="eastAsia"/>
          <w:sz w:val="28"/>
          <w:szCs w:val="28"/>
        </w:rPr>
      </w:pPr>
      <w:r w:rsidRPr="00AD4CD6">
        <w:rPr>
          <w:rFonts w:asciiTheme="minorEastAsia" w:eastAsiaTheme="minorEastAsia" w:hAnsiTheme="minorEastAsia" w:hint="eastAsia"/>
          <w:sz w:val="28"/>
          <w:szCs w:val="28"/>
        </w:rPr>
        <w:br w:type="page"/>
      </w:r>
      <w:r w:rsidRPr="00AD4CD6">
        <w:rPr>
          <w:rFonts w:asciiTheme="minorEastAsia" w:eastAsiaTheme="minorEastAsia" w:hAnsiTheme="minorEastAsia" w:hint="eastAsia"/>
          <w:sz w:val="28"/>
          <w:szCs w:val="28"/>
        </w:rPr>
        <w:lastRenderedPageBreak/>
        <w:t>附件</w:t>
      </w:r>
    </w:p>
    <w:p w:rsidR="003871C6" w:rsidRPr="00AD4CD6" w:rsidRDefault="003871C6" w:rsidP="00AD4CD6">
      <w:pPr>
        <w:spacing w:line="590" w:lineRule="exact"/>
        <w:ind w:firstLineChars="200" w:firstLine="560"/>
        <w:rPr>
          <w:rFonts w:asciiTheme="minorEastAsia" w:eastAsiaTheme="minorEastAsia" w:hAnsiTheme="minorEastAsia" w:hint="eastAsia"/>
          <w:color w:val="000000"/>
          <w:sz w:val="28"/>
          <w:szCs w:val="28"/>
        </w:rPr>
      </w:pPr>
    </w:p>
    <w:p w:rsidR="003871C6" w:rsidRPr="00AD4CD6" w:rsidRDefault="003871C6" w:rsidP="003871C6">
      <w:pPr>
        <w:spacing w:line="590" w:lineRule="exact"/>
        <w:jc w:val="center"/>
        <w:rPr>
          <w:rFonts w:asciiTheme="minorEastAsia" w:eastAsiaTheme="minorEastAsia" w:hAnsiTheme="minorEastAsia" w:hint="eastAsia"/>
          <w:color w:val="000000"/>
          <w:sz w:val="28"/>
          <w:szCs w:val="28"/>
        </w:rPr>
      </w:pPr>
      <w:r w:rsidRPr="00AD4CD6">
        <w:rPr>
          <w:rFonts w:asciiTheme="minorEastAsia" w:eastAsiaTheme="minorEastAsia" w:hAnsiTheme="minorEastAsia" w:hint="eastAsia"/>
          <w:color w:val="000000"/>
          <w:sz w:val="28"/>
          <w:szCs w:val="28"/>
        </w:rPr>
        <w:t>2021年度征兵工作先进单位和先进个人名单</w:t>
      </w:r>
    </w:p>
    <w:p w:rsidR="003871C6" w:rsidRPr="00AD4CD6" w:rsidRDefault="003871C6" w:rsidP="00AD4CD6">
      <w:pPr>
        <w:spacing w:line="590" w:lineRule="exact"/>
        <w:ind w:firstLineChars="200" w:firstLine="560"/>
        <w:rPr>
          <w:rFonts w:asciiTheme="minorEastAsia" w:eastAsiaTheme="minorEastAsia" w:hAnsiTheme="minorEastAsia" w:hint="eastAsia"/>
          <w:color w:val="000000"/>
          <w:sz w:val="28"/>
          <w:szCs w:val="28"/>
        </w:rPr>
      </w:pPr>
    </w:p>
    <w:p w:rsidR="003871C6" w:rsidRPr="00AD4CD6" w:rsidRDefault="003871C6" w:rsidP="00AD4CD6">
      <w:pPr>
        <w:spacing w:line="590" w:lineRule="exact"/>
        <w:ind w:firstLineChars="200" w:firstLine="560"/>
        <w:rPr>
          <w:rFonts w:asciiTheme="minorEastAsia" w:eastAsiaTheme="minorEastAsia" w:hAnsiTheme="minorEastAsia" w:hint="eastAsia"/>
          <w:color w:val="000000"/>
          <w:sz w:val="28"/>
          <w:szCs w:val="28"/>
        </w:rPr>
      </w:pPr>
      <w:r w:rsidRPr="00AD4CD6">
        <w:rPr>
          <w:rFonts w:asciiTheme="minorEastAsia" w:eastAsiaTheme="minorEastAsia" w:hAnsiTheme="minorEastAsia" w:hint="eastAsia"/>
          <w:color w:val="000000"/>
          <w:sz w:val="28"/>
          <w:szCs w:val="28"/>
        </w:rPr>
        <w:t>一、征兵工作先进单位</w:t>
      </w:r>
      <w:r w:rsidRPr="00AD4CD6">
        <w:rPr>
          <w:rFonts w:asciiTheme="minorEastAsia" w:eastAsiaTheme="minorEastAsia" w:hAnsiTheme="minorEastAsia" w:cs="方正仿宋_GBK" w:hint="eastAsia"/>
          <w:sz w:val="28"/>
          <w:szCs w:val="28"/>
        </w:rPr>
        <w:t>（共8个）</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市公安局</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雁江区三贤祠街道办事处</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雁江区老君镇人民政府</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安岳县人武部军事科</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安岳县兴隆镇人民政府</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安岳县来凤乡人民政府</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乐至县天池街道办事处</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乐至县中和场镇人民政府</w:t>
      </w:r>
    </w:p>
    <w:p w:rsidR="003871C6" w:rsidRPr="00AD4CD6" w:rsidRDefault="003871C6" w:rsidP="00AD4CD6">
      <w:pPr>
        <w:spacing w:line="590" w:lineRule="exact"/>
        <w:ind w:firstLineChars="200" w:firstLine="560"/>
        <w:rPr>
          <w:rFonts w:asciiTheme="minorEastAsia" w:eastAsiaTheme="minorEastAsia" w:hAnsiTheme="minorEastAsia" w:hint="eastAsia"/>
          <w:color w:val="000000"/>
          <w:sz w:val="28"/>
          <w:szCs w:val="28"/>
        </w:rPr>
      </w:pPr>
      <w:r w:rsidRPr="00AD4CD6">
        <w:rPr>
          <w:rFonts w:asciiTheme="minorEastAsia" w:eastAsiaTheme="minorEastAsia" w:hAnsiTheme="minorEastAsia" w:hint="eastAsia"/>
          <w:color w:val="000000"/>
          <w:sz w:val="28"/>
          <w:szCs w:val="28"/>
        </w:rPr>
        <w:t>二、征兵工作先进个人</w:t>
      </w:r>
      <w:r w:rsidRPr="00AD4CD6">
        <w:rPr>
          <w:rFonts w:asciiTheme="minorEastAsia" w:eastAsiaTheme="minorEastAsia" w:hAnsiTheme="minorEastAsia" w:cs="方正仿宋_GBK" w:hint="eastAsia"/>
          <w:sz w:val="28"/>
          <w:szCs w:val="28"/>
        </w:rPr>
        <w:t>（共14名）</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郭  维  市卫生健康委医政医管科科长</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袁华丽  市教育和体育局教体二科副科长</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曾胜楠  雁江区小院镇武装部部长</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钟继高  雁江区退役军人事务局副局长</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唐  记  雁江区人民医院神经内科主任</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吴智强  安岳县人民医院普放室主任</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吴长春  安岳县岳阳镇武装部部长</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韦耀文  安岳县乾龙镇武装部部长</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lastRenderedPageBreak/>
        <w:t>李跃勇  安岳县姚市镇武装部部长</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刘志文  安岳县文化镇武装部干事</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黄远红  乐至县天池街道武装部副部长</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刘  亮  乐至县龙门镇武装部部长</w:t>
      </w:r>
    </w:p>
    <w:p w:rsidR="003871C6" w:rsidRPr="00AD4CD6" w:rsidRDefault="003871C6" w:rsidP="00AD4CD6">
      <w:pPr>
        <w:spacing w:line="590" w:lineRule="exact"/>
        <w:ind w:firstLineChars="200" w:firstLine="560"/>
        <w:rPr>
          <w:rFonts w:asciiTheme="minorEastAsia" w:eastAsiaTheme="minorEastAsia" w:hAnsiTheme="minorEastAsia" w:cs="方正仿宋_GBK" w:hint="eastAsia"/>
          <w:sz w:val="28"/>
          <w:szCs w:val="28"/>
        </w:rPr>
      </w:pPr>
      <w:r w:rsidRPr="00AD4CD6">
        <w:rPr>
          <w:rFonts w:asciiTheme="minorEastAsia" w:eastAsiaTheme="minorEastAsia" w:hAnsiTheme="minorEastAsia" w:cs="方正仿宋_GBK" w:hint="eastAsia"/>
          <w:sz w:val="28"/>
          <w:szCs w:val="28"/>
        </w:rPr>
        <w:t>倪建明  乐至县金顺镇武装部部长</w:t>
      </w:r>
    </w:p>
    <w:p w:rsidR="003871C6" w:rsidRPr="00AD4CD6" w:rsidRDefault="003871C6" w:rsidP="00AD4CD6">
      <w:pPr>
        <w:spacing w:line="590" w:lineRule="exact"/>
        <w:ind w:firstLineChars="200" w:firstLine="560"/>
        <w:rPr>
          <w:rFonts w:asciiTheme="minorEastAsia" w:eastAsiaTheme="minorEastAsia" w:hAnsiTheme="minorEastAsia" w:cs="仿宋_GB2312" w:hint="eastAsia"/>
          <w:color w:val="000000"/>
          <w:sz w:val="28"/>
          <w:szCs w:val="28"/>
        </w:rPr>
      </w:pPr>
      <w:r w:rsidRPr="00AD4CD6">
        <w:rPr>
          <w:rFonts w:asciiTheme="minorEastAsia" w:eastAsiaTheme="minorEastAsia" w:hAnsiTheme="minorEastAsia" w:cs="方正仿宋_GBK" w:hint="eastAsia"/>
          <w:sz w:val="28"/>
          <w:szCs w:val="28"/>
        </w:rPr>
        <w:t>陈奉龙  乐至县高寺镇武装部干事</w:t>
      </w:r>
    </w:p>
    <w:p w:rsidR="003871C6" w:rsidRPr="00AD4CD6" w:rsidRDefault="003871C6">
      <w:pPr>
        <w:rPr>
          <w:rFonts w:asciiTheme="minorEastAsia" w:eastAsiaTheme="minorEastAsia" w:hAnsiTheme="minorEastAsia"/>
          <w:sz w:val="28"/>
          <w:szCs w:val="28"/>
        </w:rPr>
      </w:pPr>
    </w:p>
    <w:sectPr w:rsidR="003871C6" w:rsidRPr="00AD4CD6" w:rsidSect="00B737EF">
      <w:headerReference w:type="default" r:id="rId6"/>
      <w:footerReference w:type="even" r:id="rId7"/>
      <w:footerReference w:type="default" r:id="rId8"/>
      <w:pgSz w:w="11906" w:h="16838" w:code="9"/>
      <w:pgMar w:top="2098" w:right="1474" w:bottom="964" w:left="1588" w:header="720" w:footer="147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880" w:rsidRDefault="00024880">
      <w:r>
        <w:separator/>
      </w:r>
    </w:p>
  </w:endnote>
  <w:endnote w:type="continuationSeparator" w:id="0">
    <w:p w:rsidR="00024880" w:rsidRDefault="00024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D0" w:rsidRDefault="003517D0">
    <w:pPr>
      <w:pStyle w:val="a3"/>
      <w:rPr>
        <w:rFonts w:ascii="宋体" w:hAnsi="宋体"/>
        <w:sz w:val="28"/>
        <w:szCs w:val="28"/>
      </w:rPr>
    </w:pPr>
    <w:r>
      <w:rPr>
        <w:rFonts w:ascii="宋体" w:hAnsi="宋体"/>
        <w:color w:val="FFFFFF"/>
        <w:sz w:val="28"/>
        <w:szCs w:val="28"/>
      </w:rPr>
      <w:t>——</w:t>
    </w:r>
    <w:r>
      <w:rPr>
        <w:rFonts w:ascii="宋体" w:hAnsi="宋体"/>
        <w:color w:val="FFFFFF"/>
        <w:sz w:val="28"/>
        <w:szCs w:val="28"/>
      </w:rPr>
      <w:fldChar w:fldCharType="begin"/>
    </w:r>
    <w:r>
      <w:rPr>
        <w:rFonts w:ascii="宋体" w:hAnsi="宋体"/>
        <w:color w:val="FFFFFF"/>
        <w:sz w:val="28"/>
        <w:szCs w:val="28"/>
      </w:rPr>
      <w:instrText>PAGE   \* MERGEFORMAT</w:instrText>
    </w:r>
    <w:r>
      <w:rPr>
        <w:rFonts w:ascii="宋体" w:hAnsi="宋体"/>
        <w:color w:val="FFFFFF"/>
        <w:sz w:val="28"/>
        <w:szCs w:val="28"/>
      </w:rPr>
      <w:fldChar w:fldCharType="separate"/>
    </w:r>
    <w:r>
      <w:rPr>
        <w:rFonts w:ascii="宋体" w:hAnsi="宋体"/>
        <w:color w:val="FFFFFF"/>
        <w:sz w:val="28"/>
        <w:szCs w:val="28"/>
        <w:lang w:val="zh-CN"/>
      </w:rPr>
      <w:t>2</w:t>
    </w:r>
    <w:r>
      <w:rPr>
        <w:rFonts w:ascii="宋体" w:hAnsi="宋体"/>
        <w:color w:val="FFFFFF"/>
        <w:sz w:val="28"/>
        <w:szCs w:val="28"/>
      </w:rPr>
      <w:fldChar w:fldCharType="end"/>
    </w:r>
    <w:r>
      <w:rPr>
        <w:rFonts w:ascii="宋体" w:hAnsi="宋体"/>
        <w:color w:val="FFFFFF"/>
        <w:sz w:val="28"/>
        <w:szCs w:val="28"/>
      </w:rPr>
      <w:t>—</w:t>
    </w:r>
  </w:p>
  <w:p w:rsidR="003517D0" w:rsidRDefault="003517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D0" w:rsidRPr="00F81BF1" w:rsidRDefault="003517D0" w:rsidP="00B737EF">
    <w:pPr>
      <w:pStyle w:val="a3"/>
      <w:framePr w:wrap="around" w:vAnchor="text" w:hAnchor="margin" w:xAlign="outside" w:y="1"/>
      <w:rPr>
        <w:rStyle w:val="a5"/>
        <w:rFonts w:ascii="Times New Roman" w:hAnsi="Times New Roman" w:hint="eastAsia"/>
        <w:sz w:val="28"/>
      </w:rPr>
    </w:pPr>
    <w:r w:rsidRPr="00F81BF1">
      <w:rPr>
        <w:rStyle w:val="a5"/>
        <w:rFonts w:ascii="Times New Roman" w:hAnsi="Times New Roman" w:hint="eastAsia"/>
        <w:sz w:val="28"/>
      </w:rPr>
      <w:t>—</w:t>
    </w:r>
    <w:r w:rsidRPr="00F81BF1">
      <w:rPr>
        <w:rStyle w:val="a5"/>
        <w:rFonts w:ascii="Times New Roman" w:hAnsi="Times New Roman" w:hint="eastAsia"/>
        <w:sz w:val="28"/>
      </w:rPr>
      <w:t xml:space="preserve"> </w:t>
    </w:r>
    <w:r w:rsidRPr="00F81BF1">
      <w:rPr>
        <w:rStyle w:val="a5"/>
        <w:rFonts w:ascii="Times New Roman" w:hAnsi="Times New Roman"/>
        <w:sz w:val="28"/>
      </w:rPr>
      <w:fldChar w:fldCharType="begin"/>
    </w:r>
    <w:r w:rsidRPr="00F81BF1">
      <w:rPr>
        <w:rStyle w:val="a5"/>
        <w:rFonts w:ascii="Times New Roman" w:hAnsi="Times New Roman"/>
        <w:sz w:val="28"/>
      </w:rPr>
      <w:instrText xml:space="preserve">PAGE  </w:instrText>
    </w:r>
    <w:r w:rsidRPr="00F81BF1">
      <w:rPr>
        <w:rStyle w:val="a5"/>
        <w:rFonts w:ascii="Times New Roman" w:hAnsi="Times New Roman"/>
        <w:sz w:val="28"/>
      </w:rPr>
      <w:fldChar w:fldCharType="separate"/>
    </w:r>
    <w:r w:rsidR="00AD4CD6">
      <w:rPr>
        <w:rStyle w:val="a5"/>
        <w:rFonts w:ascii="Times New Roman" w:hAnsi="Times New Roman"/>
        <w:noProof/>
        <w:sz w:val="28"/>
      </w:rPr>
      <w:t>2</w:t>
    </w:r>
    <w:r w:rsidRPr="00F81BF1">
      <w:rPr>
        <w:rStyle w:val="a5"/>
        <w:rFonts w:ascii="Times New Roman" w:hAnsi="Times New Roman"/>
        <w:sz w:val="28"/>
      </w:rPr>
      <w:fldChar w:fldCharType="end"/>
    </w:r>
    <w:r w:rsidRPr="00F81BF1">
      <w:rPr>
        <w:rStyle w:val="a5"/>
        <w:rFonts w:ascii="Times New Roman" w:hAnsi="Times New Roman" w:hint="eastAsia"/>
        <w:sz w:val="28"/>
      </w:rPr>
      <w:t xml:space="preserve"> </w:t>
    </w:r>
    <w:r w:rsidRPr="00F81BF1">
      <w:rPr>
        <w:rStyle w:val="a5"/>
        <w:rFonts w:ascii="Times New Roman" w:hAnsi="Times New Roman" w:hint="eastAsia"/>
        <w:sz w:val="28"/>
      </w:rPr>
      <w:t>—</w:t>
    </w:r>
  </w:p>
  <w:p w:rsidR="003517D0" w:rsidRDefault="003517D0" w:rsidP="00B737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880" w:rsidRDefault="00024880">
      <w:r>
        <w:separator/>
      </w:r>
    </w:p>
  </w:footnote>
  <w:footnote w:type="continuationSeparator" w:id="0">
    <w:p w:rsidR="00024880" w:rsidRDefault="00024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D0" w:rsidRDefault="003517D0" w:rsidP="00AE056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1C6"/>
    <w:rsid w:val="00024880"/>
    <w:rsid w:val="003517D0"/>
    <w:rsid w:val="003871C6"/>
    <w:rsid w:val="00A23AE6"/>
    <w:rsid w:val="00AD2D70"/>
    <w:rsid w:val="00AD4CD6"/>
    <w:rsid w:val="00AE0565"/>
    <w:rsid w:val="00B737EF"/>
    <w:rsid w:val="00C65064"/>
    <w:rsid w:val="00E00FFA"/>
    <w:rsid w:val="00F12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1C6"/>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
    <w:unhideWhenUsed/>
    <w:qFormat/>
    <w:rsid w:val="003871C6"/>
    <w:pPr>
      <w:tabs>
        <w:tab w:val="center" w:pos="4153"/>
        <w:tab w:val="right" w:pos="8306"/>
      </w:tabs>
      <w:snapToGrid w:val="0"/>
      <w:jc w:val="left"/>
    </w:pPr>
    <w:rPr>
      <w:sz w:val="18"/>
      <w:szCs w:val="18"/>
    </w:rPr>
  </w:style>
  <w:style w:type="character" w:customStyle="1" w:styleId="Char">
    <w:name w:val="页脚 Char"/>
    <w:basedOn w:val="a0"/>
    <w:link w:val="a3"/>
    <w:qFormat/>
    <w:rsid w:val="003871C6"/>
    <w:rPr>
      <w:rFonts w:ascii="Calibri" w:eastAsia="宋体" w:hAnsi="Calibri"/>
      <w:kern w:val="2"/>
      <w:sz w:val="18"/>
      <w:szCs w:val="18"/>
      <w:lang w:val="en-US" w:eastAsia="zh-CN" w:bidi="ar-SA"/>
    </w:rPr>
  </w:style>
  <w:style w:type="paragraph" w:styleId="a4">
    <w:name w:val="header"/>
    <w:basedOn w:val="a"/>
    <w:link w:val="Char0"/>
    <w:unhideWhenUsed/>
    <w:qFormat/>
    <w:rsid w:val="003871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871C6"/>
    <w:rPr>
      <w:rFonts w:ascii="Calibri" w:eastAsia="宋体" w:hAnsi="Calibri"/>
      <w:kern w:val="2"/>
      <w:sz w:val="18"/>
      <w:szCs w:val="18"/>
      <w:lang w:val="en-US" w:eastAsia="zh-CN" w:bidi="ar-SA"/>
    </w:rPr>
  </w:style>
  <w:style w:type="character" w:styleId="a5">
    <w:name w:val="page number"/>
    <w:qFormat/>
    <w:rsid w:val="003871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Words>
  <Characters>798</Characters>
  <Application>Microsoft Office Word</Application>
  <DocSecurity>0</DocSecurity>
  <Lines>6</Lines>
  <Paragraphs>1</Paragraphs>
  <ScaleCrop>false</ScaleCrop>
  <Company>Microsoft China</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2022-06-21T03:03:00Z</cp:lastPrinted>
  <dcterms:created xsi:type="dcterms:W3CDTF">2022-06-22T10:31:00Z</dcterms:created>
  <dcterms:modified xsi:type="dcterms:W3CDTF">2022-06-22T10:31:00Z</dcterms:modified>
</cp:coreProperties>
</file>