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EF" w:rsidRPr="009B61E9" w:rsidRDefault="004F73EF" w:rsidP="004F73EF">
      <w:pPr>
        <w:spacing w:line="600" w:lineRule="exact"/>
        <w:ind w:firstLine="640"/>
        <w:rPr>
          <w:rFonts w:asciiTheme="minorEastAsia" w:eastAsiaTheme="minorEastAsia" w:hAnsiTheme="minorEastAsia" w:hint="eastAsia"/>
          <w:color w:val="000000"/>
          <w:sz w:val="28"/>
          <w:szCs w:val="28"/>
        </w:rPr>
      </w:pPr>
    </w:p>
    <w:p w:rsidR="004F73EF" w:rsidRPr="009B61E9" w:rsidRDefault="004F73EF" w:rsidP="004F73EF">
      <w:pPr>
        <w:spacing w:line="600" w:lineRule="exact"/>
        <w:ind w:firstLine="640"/>
        <w:rPr>
          <w:rFonts w:asciiTheme="minorEastAsia" w:eastAsiaTheme="minorEastAsia" w:hAnsiTheme="minorEastAsia" w:hint="eastAsia"/>
          <w:color w:val="000000"/>
          <w:sz w:val="28"/>
          <w:szCs w:val="28"/>
        </w:rPr>
      </w:pPr>
    </w:p>
    <w:p w:rsidR="004F73EF" w:rsidRPr="009B61E9" w:rsidRDefault="004F73EF" w:rsidP="004F73EF">
      <w:pPr>
        <w:spacing w:line="600" w:lineRule="exact"/>
        <w:ind w:firstLine="640"/>
        <w:rPr>
          <w:rFonts w:asciiTheme="minorEastAsia" w:eastAsiaTheme="minorEastAsia" w:hAnsiTheme="minorEastAsia" w:hint="eastAsia"/>
          <w:color w:val="000000"/>
          <w:sz w:val="28"/>
          <w:szCs w:val="28"/>
        </w:rPr>
      </w:pPr>
    </w:p>
    <w:p w:rsidR="004F73EF" w:rsidRPr="009B61E9" w:rsidRDefault="004F73EF" w:rsidP="004F73EF">
      <w:pPr>
        <w:spacing w:line="600" w:lineRule="exact"/>
        <w:ind w:firstLine="640"/>
        <w:rPr>
          <w:rFonts w:asciiTheme="minorEastAsia" w:eastAsiaTheme="minorEastAsia" w:hAnsiTheme="minorEastAsia" w:hint="eastAsia"/>
          <w:color w:val="000000"/>
          <w:sz w:val="28"/>
          <w:szCs w:val="28"/>
        </w:rPr>
      </w:pPr>
    </w:p>
    <w:p w:rsidR="004F73EF" w:rsidRPr="009B61E9" w:rsidRDefault="004F73EF" w:rsidP="004F73EF">
      <w:pPr>
        <w:spacing w:line="600" w:lineRule="exact"/>
        <w:ind w:firstLine="640"/>
        <w:rPr>
          <w:rFonts w:asciiTheme="minorEastAsia" w:eastAsiaTheme="minorEastAsia" w:hAnsiTheme="minorEastAsia" w:hint="eastAsia"/>
          <w:color w:val="000000"/>
          <w:sz w:val="28"/>
          <w:szCs w:val="28"/>
        </w:rPr>
      </w:pPr>
    </w:p>
    <w:p w:rsidR="004F73EF" w:rsidRPr="009B61E9" w:rsidRDefault="004F73EF" w:rsidP="004F73EF">
      <w:pPr>
        <w:spacing w:line="600" w:lineRule="exact"/>
        <w:ind w:firstLine="640"/>
        <w:rPr>
          <w:rFonts w:asciiTheme="minorEastAsia" w:eastAsiaTheme="minorEastAsia" w:hAnsiTheme="minorEastAsia" w:hint="eastAsia"/>
          <w:color w:val="000000"/>
          <w:sz w:val="28"/>
          <w:szCs w:val="28"/>
        </w:rPr>
      </w:pPr>
    </w:p>
    <w:p w:rsidR="004F73EF" w:rsidRPr="009B61E9" w:rsidRDefault="004F73EF" w:rsidP="004F73EF">
      <w:pPr>
        <w:spacing w:line="600" w:lineRule="exact"/>
        <w:ind w:firstLine="640"/>
        <w:rPr>
          <w:rFonts w:asciiTheme="minorEastAsia" w:eastAsiaTheme="minorEastAsia" w:hAnsiTheme="minorEastAsia" w:hint="eastAsia"/>
          <w:color w:val="000000"/>
          <w:sz w:val="28"/>
          <w:szCs w:val="28"/>
        </w:rPr>
      </w:pPr>
    </w:p>
    <w:p w:rsidR="004F73EF" w:rsidRPr="009B61E9" w:rsidRDefault="004F73EF" w:rsidP="004F73EF">
      <w:pPr>
        <w:spacing w:line="600" w:lineRule="exact"/>
        <w:ind w:firstLine="640"/>
        <w:jc w:val="left"/>
        <w:rPr>
          <w:rFonts w:asciiTheme="minorEastAsia" w:eastAsiaTheme="minorEastAsia" w:hAnsiTheme="minorEastAsia" w:hint="eastAsia"/>
          <w:color w:val="000000"/>
          <w:sz w:val="28"/>
          <w:szCs w:val="28"/>
        </w:rPr>
      </w:pPr>
    </w:p>
    <w:p w:rsidR="004F73EF" w:rsidRPr="009B61E9" w:rsidRDefault="004F73EF" w:rsidP="004F73EF">
      <w:pPr>
        <w:spacing w:line="600" w:lineRule="exact"/>
        <w:jc w:val="center"/>
        <w:rPr>
          <w:rFonts w:asciiTheme="minorEastAsia" w:eastAsiaTheme="minorEastAsia" w:hAnsiTheme="minorEastAsia" w:hint="eastAsia"/>
          <w:color w:val="000000"/>
          <w:sz w:val="28"/>
          <w:szCs w:val="28"/>
        </w:rPr>
      </w:pPr>
      <w:r w:rsidRPr="009B61E9">
        <w:rPr>
          <w:rFonts w:asciiTheme="minorEastAsia" w:eastAsiaTheme="minorEastAsia" w:hAnsiTheme="minorEastAsia" w:hint="eastAsia"/>
          <w:color w:val="000000"/>
          <w:sz w:val="28"/>
          <w:szCs w:val="28"/>
        </w:rPr>
        <w:t>资府办规〔2022〕4号</w:t>
      </w:r>
    </w:p>
    <w:p w:rsidR="004F73EF" w:rsidRPr="009B61E9" w:rsidRDefault="004F73EF" w:rsidP="004F73EF">
      <w:pPr>
        <w:adjustRightInd w:val="0"/>
        <w:snapToGrid w:val="0"/>
        <w:spacing w:line="600" w:lineRule="exact"/>
        <w:rPr>
          <w:rFonts w:asciiTheme="minorEastAsia" w:eastAsiaTheme="minorEastAsia" w:hAnsiTheme="minorEastAsia" w:hint="eastAsia"/>
          <w:color w:val="000000"/>
          <w:sz w:val="28"/>
          <w:szCs w:val="28"/>
        </w:rPr>
      </w:pPr>
    </w:p>
    <w:p w:rsidR="004F73EF" w:rsidRPr="009B61E9" w:rsidRDefault="004F73EF" w:rsidP="009B61E9">
      <w:pPr>
        <w:pStyle w:val="1"/>
        <w:spacing w:line="600" w:lineRule="exact"/>
        <w:ind w:left="980" w:hanging="560"/>
        <w:rPr>
          <w:rFonts w:asciiTheme="minorEastAsia" w:eastAsiaTheme="minorEastAsia" w:hAnsiTheme="minorEastAsia" w:hint="eastAsia"/>
          <w:sz w:val="28"/>
          <w:szCs w:val="28"/>
        </w:rPr>
      </w:pPr>
    </w:p>
    <w:p w:rsidR="0089635D" w:rsidRPr="009B61E9" w:rsidRDefault="0089635D" w:rsidP="001B3E05">
      <w:pPr>
        <w:spacing w:line="530" w:lineRule="exact"/>
        <w:jc w:val="center"/>
        <w:rPr>
          <w:rFonts w:asciiTheme="minorEastAsia" w:eastAsiaTheme="minorEastAsia" w:hAnsiTheme="minorEastAsia" w:cs="方正小标宋_GBK" w:hint="eastAsia"/>
          <w:sz w:val="28"/>
          <w:szCs w:val="28"/>
        </w:rPr>
      </w:pPr>
      <w:r w:rsidRPr="009B61E9">
        <w:rPr>
          <w:rFonts w:asciiTheme="minorEastAsia" w:eastAsiaTheme="minorEastAsia" w:hAnsiTheme="minorEastAsia" w:cs="方正小标宋_GBK" w:hint="eastAsia"/>
          <w:sz w:val="28"/>
          <w:szCs w:val="28"/>
        </w:rPr>
        <w:t>资阳市人民政府办公室</w:t>
      </w:r>
    </w:p>
    <w:p w:rsidR="0089635D" w:rsidRPr="009B61E9" w:rsidRDefault="0089635D" w:rsidP="009B61E9">
      <w:pPr>
        <w:spacing w:line="530" w:lineRule="exact"/>
        <w:jc w:val="center"/>
        <w:rPr>
          <w:rFonts w:asciiTheme="minorEastAsia" w:eastAsiaTheme="minorEastAsia" w:hAnsiTheme="minorEastAsia" w:cs="方正小标宋_GBK" w:hint="eastAsia"/>
          <w:sz w:val="28"/>
          <w:szCs w:val="28"/>
        </w:rPr>
      </w:pPr>
      <w:r w:rsidRPr="009B61E9">
        <w:rPr>
          <w:rFonts w:asciiTheme="minorEastAsia" w:eastAsiaTheme="minorEastAsia" w:hAnsiTheme="minorEastAsia" w:cs="方正小标宋_GBK" w:hint="eastAsia"/>
          <w:sz w:val="28"/>
          <w:szCs w:val="28"/>
        </w:rPr>
        <w:t>关于印发资阳市支持服务业发展政策措施的通知</w:t>
      </w:r>
    </w:p>
    <w:p w:rsidR="0089635D" w:rsidRPr="009B61E9" w:rsidRDefault="0089635D" w:rsidP="009B61E9">
      <w:pPr>
        <w:pStyle w:val="2"/>
        <w:spacing w:line="530" w:lineRule="exact"/>
        <w:ind w:firstLineChars="131" w:firstLine="367"/>
        <w:rPr>
          <w:rFonts w:asciiTheme="minorEastAsia" w:eastAsiaTheme="minorEastAsia" w:hAnsiTheme="minorEastAsia" w:hint="eastAsia"/>
          <w:sz w:val="28"/>
          <w:szCs w:val="28"/>
        </w:rPr>
      </w:pPr>
    </w:p>
    <w:p w:rsidR="0089635D" w:rsidRPr="009B61E9" w:rsidRDefault="0089635D" w:rsidP="001B3E05">
      <w:pPr>
        <w:spacing w:line="530" w:lineRule="exact"/>
        <w:rPr>
          <w:rFonts w:asciiTheme="minorEastAsia" w:eastAsiaTheme="minorEastAsia" w:hAnsiTheme="minorEastAsia" w:cs="方正仿宋_GBK" w:hint="eastAsia"/>
          <w:sz w:val="28"/>
          <w:szCs w:val="28"/>
        </w:rPr>
      </w:pPr>
      <w:r w:rsidRPr="009B61E9">
        <w:rPr>
          <w:rFonts w:asciiTheme="minorEastAsia" w:eastAsiaTheme="minorEastAsia" w:hAnsiTheme="minorEastAsia" w:cs="方正仿宋_GBK" w:hint="eastAsia"/>
          <w:sz w:val="28"/>
          <w:szCs w:val="28"/>
        </w:rPr>
        <w:t>各县（区）人民政府，高新区管委会、临空经济区管委会，市政府各部门（单位）：</w:t>
      </w:r>
    </w:p>
    <w:p w:rsidR="0089635D" w:rsidRPr="009B61E9" w:rsidRDefault="0089635D" w:rsidP="009B61E9">
      <w:pPr>
        <w:pStyle w:val="a6"/>
        <w:spacing w:beforeAutospacing="0" w:afterAutospacing="0" w:line="530" w:lineRule="exact"/>
        <w:ind w:firstLineChars="200" w:firstLine="560"/>
        <w:jc w:val="both"/>
        <w:rPr>
          <w:rFonts w:asciiTheme="minorEastAsia" w:eastAsiaTheme="minorEastAsia" w:hAnsiTheme="minorEastAsia" w:cs="方正仿宋_GBK" w:hint="eastAsia"/>
          <w:sz w:val="28"/>
          <w:szCs w:val="28"/>
          <w:shd w:val="clear" w:color="auto" w:fill="FFFFFF"/>
        </w:rPr>
      </w:pPr>
      <w:r w:rsidRPr="009B61E9">
        <w:rPr>
          <w:rFonts w:asciiTheme="minorEastAsia" w:eastAsiaTheme="minorEastAsia" w:hAnsiTheme="minorEastAsia" w:cs="方正仿宋_GBK" w:hint="eastAsia"/>
          <w:sz w:val="28"/>
          <w:szCs w:val="28"/>
        </w:rPr>
        <w:t>经市政府同意，现将《资阳市支持服务业发展政策措施》印发给你们，请结合实际，抓好贯彻落实</w:t>
      </w:r>
      <w:r w:rsidRPr="009B61E9">
        <w:rPr>
          <w:rFonts w:asciiTheme="minorEastAsia" w:eastAsiaTheme="minorEastAsia" w:hAnsiTheme="minorEastAsia" w:cs="方正仿宋_GBK" w:hint="eastAsia"/>
          <w:sz w:val="28"/>
          <w:szCs w:val="28"/>
          <w:shd w:val="clear" w:color="auto" w:fill="FFFFFF"/>
        </w:rPr>
        <w:t>。</w:t>
      </w:r>
    </w:p>
    <w:p w:rsidR="0089635D" w:rsidRPr="009B61E9" w:rsidRDefault="0089635D" w:rsidP="009B61E9">
      <w:pPr>
        <w:pStyle w:val="a6"/>
        <w:spacing w:beforeAutospacing="0" w:afterAutospacing="0" w:line="440" w:lineRule="exact"/>
        <w:ind w:firstLineChars="200" w:firstLine="560"/>
        <w:jc w:val="both"/>
        <w:rPr>
          <w:rFonts w:asciiTheme="minorEastAsia" w:eastAsiaTheme="minorEastAsia" w:hAnsiTheme="minorEastAsia" w:cs="方正仿宋简体" w:hint="eastAsia"/>
          <w:sz w:val="28"/>
          <w:szCs w:val="28"/>
          <w:shd w:val="clear" w:color="auto" w:fill="FFFFFF"/>
        </w:rPr>
      </w:pPr>
    </w:p>
    <w:p w:rsidR="001B3E05" w:rsidRPr="009B61E9" w:rsidRDefault="001B3E05" w:rsidP="009B61E9">
      <w:pPr>
        <w:pStyle w:val="a6"/>
        <w:spacing w:beforeAutospacing="0" w:afterAutospacing="0" w:line="400" w:lineRule="exact"/>
        <w:ind w:firstLineChars="200" w:firstLine="560"/>
        <w:jc w:val="both"/>
        <w:rPr>
          <w:rFonts w:asciiTheme="minorEastAsia" w:eastAsiaTheme="minorEastAsia" w:hAnsiTheme="minorEastAsia" w:cs="方正仿宋简体" w:hint="eastAsia"/>
          <w:sz w:val="28"/>
          <w:szCs w:val="28"/>
          <w:shd w:val="clear" w:color="auto" w:fill="FFFFFF"/>
        </w:rPr>
      </w:pPr>
    </w:p>
    <w:p w:rsidR="0089635D" w:rsidRPr="009B61E9" w:rsidRDefault="0089635D" w:rsidP="009B61E9">
      <w:pPr>
        <w:spacing w:line="530" w:lineRule="exact"/>
        <w:ind w:rightChars="605" w:right="1270" w:firstLineChars="200" w:firstLine="560"/>
        <w:jc w:val="right"/>
        <w:rPr>
          <w:rFonts w:asciiTheme="minorEastAsia" w:eastAsiaTheme="minorEastAsia" w:hAnsiTheme="minorEastAsia" w:cs="??????" w:hint="eastAsia"/>
          <w:sz w:val="28"/>
          <w:szCs w:val="28"/>
        </w:rPr>
      </w:pPr>
      <w:r w:rsidRPr="009B61E9">
        <w:rPr>
          <w:rFonts w:asciiTheme="minorEastAsia" w:eastAsiaTheme="minorEastAsia" w:hAnsiTheme="minorEastAsia" w:cs="方正仿宋_GBK" w:hint="eastAsia"/>
          <w:sz w:val="28"/>
          <w:szCs w:val="28"/>
        </w:rPr>
        <w:t>资阳市人民政府办公室</w:t>
      </w:r>
    </w:p>
    <w:p w:rsidR="0089635D" w:rsidRPr="009B61E9" w:rsidRDefault="0089635D" w:rsidP="009B61E9">
      <w:pPr>
        <w:adjustRightInd w:val="0"/>
        <w:snapToGrid w:val="0"/>
        <w:spacing w:line="530" w:lineRule="exact"/>
        <w:ind w:rightChars="818" w:right="1718" w:firstLineChars="200" w:firstLine="560"/>
        <w:jc w:val="right"/>
        <w:rPr>
          <w:rFonts w:asciiTheme="minorEastAsia" w:eastAsiaTheme="minorEastAsia" w:hAnsiTheme="minorEastAsia" w:cs="??????"/>
          <w:sz w:val="28"/>
          <w:szCs w:val="28"/>
        </w:rPr>
      </w:pPr>
      <w:r w:rsidRPr="009B61E9">
        <w:rPr>
          <w:rFonts w:asciiTheme="minorEastAsia" w:eastAsiaTheme="minorEastAsia" w:hAnsiTheme="minorEastAsia" w:cs="??????" w:hint="eastAsia"/>
          <w:sz w:val="28"/>
          <w:szCs w:val="28"/>
        </w:rPr>
        <w:t xml:space="preserve">                          2022年7月</w:t>
      </w:r>
      <w:r w:rsidR="001B3E05" w:rsidRPr="009B61E9">
        <w:rPr>
          <w:rFonts w:asciiTheme="minorEastAsia" w:eastAsiaTheme="minorEastAsia" w:hAnsiTheme="minorEastAsia" w:cs="??????" w:hint="eastAsia"/>
          <w:sz w:val="28"/>
          <w:szCs w:val="28"/>
        </w:rPr>
        <w:t>5</w:t>
      </w:r>
      <w:r w:rsidRPr="009B61E9">
        <w:rPr>
          <w:rFonts w:asciiTheme="minorEastAsia" w:eastAsiaTheme="minorEastAsia" w:hAnsiTheme="minorEastAsia" w:cs="??????" w:hint="eastAsia"/>
          <w:sz w:val="28"/>
          <w:szCs w:val="28"/>
        </w:rPr>
        <w:t>日</w:t>
      </w:r>
    </w:p>
    <w:p w:rsidR="0089635D" w:rsidRPr="009B61E9" w:rsidRDefault="0089635D" w:rsidP="009B61E9">
      <w:pPr>
        <w:adjustRightInd w:val="0"/>
        <w:snapToGrid w:val="0"/>
        <w:spacing w:line="590" w:lineRule="exact"/>
        <w:ind w:firstLineChars="200" w:firstLine="560"/>
        <w:jc w:val="center"/>
        <w:rPr>
          <w:rFonts w:asciiTheme="minorEastAsia" w:eastAsiaTheme="minorEastAsia" w:hAnsiTheme="minorEastAsia" w:hint="eastAsia"/>
          <w:sz w:val="28"/>
          <w:szCs w:val="28"/>
          <w:lang/>
        </w:rPr>
      </w:pPr>
      <w:r w:rsidRPr="009B61E9">
        <w:rPr>
          <w:rFonts w:asciiTheme="minorEastAsia" w:eastAsiaTheme="minorEastAsia" w:hAnsiTheme="minorEastAsia" w:cs="??????" w:hint="eastAsia"/>
          <w:sz w:val="28"/>
          <w:szCs w:val="28"/>
        </w:rPr>
        <w:br w:type="page"/>
      </w:r>
      <w:r w:rsidRPr="009B61E9">
        <w:rPr>
          <w:rFonts w:asciiTheme="minorEastAsia" w:eastAsiaTheme="minorEastAsia" w:hAnsiTheme="minorEastAsia" w:hint="eastAsia"/>
          <w:sz w:val="28"/>
          <w:szCs w:val="28"/>
        </w:rPr>
        <w:lastRenderedPageBreak/>
        <w:t>资阳市支持服务业发展政策措施</w:t>
      </w:r>
    </w:p>
    <w:p w:rsidR="0089635D" w:rsidRPr="009B61E9" w:rsidRDefault="0089635D" w:rsidP="009B61E9">
      <w:pPr>
        <w:pStyle w:val="a5"/>
        <w:adjustRightInd w:val="0"/>
        <w:snapToGrid w:val="0"/>
        <w:spacing w:line="600" w:lineRule="exact"/>
        <w:ind w:firstLineChars="200" w:firstLine="560"/>
        <w:jc w:val="both"/>
        <w:rPr>
          <w:rFonts w:asciiTheme="minorEastAsia" w:eastAsiaTheme="minorEastAsia" w:hAnsiTheme="minorEastAsia" w:hint="eastAsia"/>
          <w:color w:val="000000"/>
          <w:sz w:val="28"/>
          <w:szCs w:val="28"/>
          <w:shd w:val="clear" w:color="auto" w:fill="FFFFFF"/>
        </w:rPr>
      </w:pPr>
    </w:p>
    <w:p w:rsidR="0089635D" w:rsidRPr="009B61E9" w:rsidRDefault="0089635D" w:rsidP="009B61E9">
      <w:pPr>
        <w:pStyle w:val="a5"/>
        <w:adjustRightInd w:val="0"/>
        <w:snapToGrid w:val="0"/>
        <w:spacing w:line="60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为深入贯彻落实国省关于稳定增长的决策部署，推动全市服务业持续稳定发展，制定如下政策措施。</w:t>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一、支持企业升规上限</w:t>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一）对首次纳入国家统计且连续两年稳定在库的规模以上服务业企业，市级给予每户10万元的补助，从次年起分两年兑现（每年50%）。对首次纳入国家统计且连续两年稳定在库的限上单位，市级分类给予补助，从次年起分两年兑现（每年50%），其中：批发业单位10万元/户、零售业单位5万元/户、住宿和餐饮单位2万元/户。对月度入库的企业、单位在上述补助的基础上，再给予1万元奖励。</w:t>
      </w:r>
      <w:r w:rsidRPr="009B61E9">
        <w:rPr>
          <w:rFonts w:asciiTheme="minorEastAsia" w:eastAsiaTheme="minorEastAsia" w:hAnsiTheme="minorEastAsia" w:hint="eastAsia"/>
          <w:sz w:val="28"/>
          <w:szCs w:val="28"/>
          <w:shd w:val="clear" w:color="auto" w:fill="FFFFFF"/>
        </w:rPr>
        <w:tab/>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（二）支持个体经营户转为企业经营，对“个转企”并新纳入国家统计的规上（限上）企业，在对应的新入统补助政策的基础上，市级再给予5万元一次性奖励。</w:t>
      </w:r>
    </w:p>
    <w:p w:rsidR="0089635D" w:rsidRPr="009B61E9" w:rsidRDefault="0089635D" w:rsidP="009B61E9">
      <w:pPr>
        <w:pStyle w:val="a6"/>
        <w:shd w:val="clear" w:color="auto" w:fill="FFFFFF"/>
        <w:adjustRightInd w:val="0"/>
        <w:snapToGrid w:val="0"/>
        <w:spacing w:beforeAutospacing="0" w:afterAutospacing="0" w:line="600" w:lineRule="exact"/>
        <w:ind w:firstLineChars="200" w:firstLine="560"/>
        <w:jc w:val="both"/>
        <w:rPr>
          <w:rFonts w:asciiTheme="minorEastAsia" w:eastAsiaTheme="minorEastAsia" w:hAnsiTheme="minorEastAsia" w:hint="eastAsia"/>
          <w:kern w:val="2"/>
          <w:sz w:val="28"/>
          <w:szCs w:val="28"/>
          <w:shd w:val="clear" w:color="auto" w:fill="FFFFFF"/>
        </w:rPr>
      </w:pPr>
      <w:r w:rsidRPr="009B61E9">
        <w:rPr>
          <w:rFonts w:asciiTheme="minorEastAsia" w:eastAsiaTheme="minorEastAsia" w:hAnsiTheme="minorEastAsia" w:hint="eastAsia"/>
          <w:kern w:val="2"/>
          <w:sz w:val="28"/>
          <w:szCs w:val="28"/>
          <w:shd w:val="clear" w:color="auto" w:fill="FFFFFF"/>
        </w:rPr>
        <w:t>二、支持集中管理结算</w:t>
      </w:r>
    </w:p>
    <w:p w:rsidR="0089635D" w:rsidRPr="009B61E9" w:rsidRDefault="0089635D" w:rsidP="009B61E9">
      <w:pPr>
        <w:pStyle w:val="a6"/>
        <w:shd w:val="clear" w:color="auto" w:fill="FFFFFF"/>
        <w:adjustRightInd w:val="0"/>
        <w:snapToGrid w:val="0"/>
        <w:spacing w:beforeAutospacing="0" w:afterAutospacing="0" w:line="600" w:lineRule="exact"/>
        <w:ind w:firstLineChars="200" w:firstLine="560"/>
        <w:jc w:val="both"/>
        <w:rPr>
          <w:rFonts w:asciiTheme="minorEastAsia" w:eastAsiaTheme="minorEastAsia" w:hAnsiTheme="minorEastAsia" w:hint="eastAsia"/>
          <w:color w:val="000000"/>
          <w:sz w:val="28"/>
          <w:szCs w:val="28"/>
          <w:shd w:val="clear" w:color="auto" w:fill="FFFFFF"/>
        </w:rPr>
      </w:pPr>
      <w:r w:rsidRPr="009B61E9">
        <w:rPr>
          <w:rFonts w:asciiTheme="minorEastAsia" w:eastAsiaTheme="minorEastAsia" w:hAnsiTheme="minorEastAsia" w:hint="eastAsia"/>
          <w:kern w:val="2"/>
          <w:sz w:val="28"/>
          <w:szCs w:val="28"/>
          <w:shd w:val="clear" w:color="auto" w:fill="FFFFFF"/>
        </w:rPr>
        <w:t>（三）</w:t>
      </w:r>
      <w:r w:rsidRPr="009B61E9">
        <w:rPr>
          <w:rFonts w:asciiTheme="minorEastAsia" w:eastAsiaTheme="minorEastAsia" w:hAnsiTheme="minorEastAsia" w:hint="eastAsia"/>
          <w:color w:val="000000"/>
          <w:sz w:val="28"/>
          <w:szCs w:val="28"/>
          <w:shd w:val="clear" w:color="auto" w:fill="FFFFFF"/>
        </w:rPr>
        <w:t>鼓励商业综合体、专业市场（包括二手车、建材、家居家装、农贸市场等）、特色商业街、民宿等实施联营模式，联合组建统一收银、统一核算、统一报税的法人企业并统一管理。对纳入“规上”营利性服务业或“限上”商贸流通业统计的且批发年销售额达10亿元以上、零售年销售额达5亿元以上、住宿业和餐饮业营业额达0.5亿元以上的，自入统年度次年起，连续三年按不超过主营业务收入的3‰给予管理公司奖励，</w:t>
      </w:r>
      <w:r w:rsidRPr="009B61E9">
        <w:rPr>
          <w:rFonts w:asciiTheme="minorEastAsia" w:eastAsiaTheme="minorEastAsia" w:hAnsiTheme="minorEastAsia" w:hint="eastAsia"/>
          <w:color w:val="000000"/>
          <w:sz w:val="28"/>
          <w:szCs w:val="28"/>
          <w:shd w:val="clear" w:color="auto" w:fill="FFFFFF"/>
        </w:rPr>
        <w:lastRenderedPageBreak/>
        <w:t>每年最高不超过100万元。</w:t>
      </w:r>
    </w:p>
    <w:p w:rsidR="0089635D" w:rsidRPr="009B61E9" w:rsidRDefault="0089635D" w:rsidP="009B61E9">
      <w:pPr>
        <w:pStyle w:val="a6"/>
        <w:shd w:val="clear" w:color="auto" w:fill="FFFFFF"/>
        <w:adjustRightInd w:val="0"/>
        <w:snapToGrid w:val="0"/>
        <w:spacing w:beforeAutospacing="0" w:afterAutospacing="0" w:line="600" w:lineRule="exact"/>
        <w:ind w:firstLineChars="200" w:firstLine="560"/>
        <w:jc w:val="both"/>
        <w:rPr>
          <w:rFonts w:asciiTheme="minorEastAsia" w:eastAsiaTheme="minorEastAsia" w:hAnsiTheme="minorEastAsia" w:hint="eastAsia"/>
          <w:kern w:val="2"/>
          <w:sz w:val="28"/>
          <w:szCs w:val="28"/>
          <w:shd w:val="clear" w:color="auto" w:fill="FFFFFF"/>
        </w:rPr>
      </w:pPr>
      <w:r w:rsidRPr="009B61E9">
        <w:rPr>
          <w:rFonts w:asciiTheme="minorEastAsia" w:eastAsiaTheme="minorEastAsia" w:hAnsiTheme="minorEastAsia" w:hint="eastAsia"/>
          <w:kern w:val="2"/>
          <w:sz w:val="28"/>
          <w:szCs w:val="28"/>
          <w:shd w:val="clear" w:color="auto" w:fill="FFFFFF"/>
        </w:rPr>
        <w:t>三、支持企业做大做强</w:t>
      </w:r>
    </w:p>
    <w:p w:rsidR="0089635D" w:rsidRPr="009B61E9" w:rsidRDefault="0089635D" w:rsidP="009B61E9">
      <w:pPr>
        <w:pStyle w:val="a6"/>
        <w:shd w:val="clear" w:color="auto" w:fill="FFFFFF"/>
        <w:adjustRightInd w:val="0"/>
        <w:snapToGrid w:val="0"/>
        <w:spacing w:beforeAutospacing="0" w:afterAutospacing="0" w:line="600" w:lineRule="exact"/>
        <w:ind w:firstLineChars="200" w:firstLine="560"/>
        <w:jc w:val="both"/>
        <w:rPr>
          <w:rFonts w:asciiTheme="minorEastAsia" w:eastAsiaTheme="minorEastAsia" w:hAnsiTheme="minorEastAsia" w:hint="eastAsia"/>
          <w:sz w:val="28"/>
          <w:szCs w:val="28"/>
        </w:rPr>
      </w:pPr>
      <w:r w:rsidRPr="009B61E9">
        <w:rPr>
          <w:rFonts w:asciiTheme="minorEastAsia" w:eastAsiaTheme="minorEastAsia" w:hAnsiTheme="minorEastAsia" w:hint="eastAsia"/>
          <w:kern w:val="2"/>
          <w:sz w:val="28"/>
          <w:szCs w:val="28"/>
          <w:shd w:val="clear" w:color="auto" w:fill="FFFFFF"/>
        </w:rPr>
        <w:t>（四）设立服务业企业“上台阶奖”。</w:t>
      </w:r>
      <w:r w:rsidRPr="009B61E9">
        <w:rPr>
          <w:rFonts w:asciiTheme="minorEastAsia" w:eastAsiaTheme="minorEastAsia" w:hAnsiTheme="minorEastAsia" w:hint="eastAsia"/>
          <w:color w:val="000000"/>
          <w:sz w:val="28"/>
          <w:szCs w:val="28"/>
          <w:shd w:val="clear" w:color="auto" w:fill="FFFFFF"/>
        </w:rPr>
        <w:t>对年主营业务收入首次超20亿元、10亿元、5亿元、3亿元、1亿元的重点行业规模（限额）以上服务业企业，次年一次性给予企业100万元、50万元、25万元、15万元、5万元的奖励。</w:t>
      </w:r>
    </w:p>
    <w:p w:rsidR="0089635D" w:rsidRPr="009B61E9" w:rsidRDefault="0089635D" w:rsidP="009B61E9">
      <w:pPr>
        <w:pStyle w:val="a6"/>
        <w:shd w:val="clear" w:color="auto" w:fill="FFFFFF"/>
        <w:adjustRightInd w:val="0"/>
        <w:snapToGrid w:val="0"/>
        <w:spacing w:beforeAutospacing="0" w:afterAutospacing="0" w:line="600" w:lineRule="exact"/>
        <w:ind w:firstLineChars="200" w:firstLine="560"/>
        <w:jc w:val="both"/>
        <w:rPr>
          <w:rFonts w:asciiTheme="minorEastAsia" w:eastAsiaTheme="minorEastAsia" w:hAnsiTheme="minorEastAsia" w:hint="eastAsia"/>
          <w:color w:val="000000"/>
          <w:sz w:val="28"/>
          <w:szCs w:val="28"/>
          <w:shd w:val="clear" w:color="auto" w:fill="FFFFFF"/>
        </w:rPr>
      </w:pPr>
      <w:r w:rsidRPr="009B61E9">
        <w:rPr>
          <w:rFonts w:asciiTheme="minorEastAsia" w:eastAsiaTheme="minorEastAsia" w:hAnsiTheme="minorEastAsia" w:hint="eastAsia"/>
          <w:kern w:val="2"/>
          <w:sz w:val="28"/>
          <w:szCs w:val="28"/>
          <w:shd w:val="clear" w:color="auto" w:fill="FFFFFF"/>
        </w:rPr>
        <w:t>（五）</w:t>
      </w:r>
      <w:r w:rsidRPr="009B61E9">
        <w:rPr>
          <w:rFonts w:asciiTheme="minorEastAsia" w:eastAsiaTheme="minorEastAsia" w:hAnsiTheme="minorEastAsia" w:hint="eastAsia"/>
          <w:sz w:val="28"/>
          <w:szCs w:val="28"/>
          <w:shd w:val="clear" w:color="auto" w:fill="FFFFFF"/>
        </w:rPr>
        <w:t>对重点行业规上服务业企业，营业收入四个季度增速率均达到或超过30%、40%、50%的，市级分别给予1万元、2万元、3万元的一次性奖励。</w:t>
      </w:r>
      <w:r w:rsidRPr="009B61E9">
        <w:rPr>
          <w:rFonts w:asciiTheme="minorEastAsia" w:eastAsiaTheme="minorEastAsia" w:hAnsiTheme="minorEastAsia" w:hint="eastAsia"/>
          <w:color w:val="000000"/>
          <w:sz w:val="28"/>
          <w:szCs w:val="28"/>
          <w:shd w:val="clear" w:color="auto" w:fill="FFFFFF"/>
        </w:rPr>
        <w:t>对限额以上商贸单位，四个季度增速均达到或超过全市平均增速、且规模达到对应标准的，市级给予奖励，其中：批发业年销售收入需达到或超过0.5亿元、1亿元、5亿元，零售业年销售收入需达到或超过0.3亿元、0.5亿元、1亿元，住宿、餐饮业年营业收入需达到或超过0.1亿元、0.2亿</w:t>
      </w:r>
      <w:r w:rsidRPr="009B61E9">
        <w:rPr>
          <w:rFonts w:asciiTheme="minorEastAsia" w:eastAsiaTheme="minorEastAsia" w:hAnsiTheme="minorEastAsia" w:hint="eastAsia"/>
          <w:color w:val="000000"/>
          <w:spacing w:val="-8"/>
          <w:sz w:val="28"/>
          <w:szCs w:val="28"/>
          <w:shd w:val="clear" w:color="auto" w:fill="FFFFFF"/>
        </w:rPr>
        <w:t>元、0.3亿元，次年分别给予1万元、3万元、5万元的一次性奖励。</w:t>
      </w:r>
    </w:p>
    <w:p w:rsidR="001B3E05"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（六）支持农业、工业企业主辅分离，对实施主辅分离后当年新设的服务业企业并纳入规模（限额）以上统计的，在对应的新入统补助政策的基础上，市级给予10万元一次性补助。</w:t>
      </w:r>
    </w:p>
    <w:p w:rsidR="0089635D" w:rsidRPr="009B61E9" w:rsidRDefault="0089635D" w:rsidP="009B61E9">
      <w:pPr>
        <w:pStyle w:val="a5"/>
        <w:adjustRightInd w:val="0"/>
        <w:snapToGrid w:val="0"/>
        <w:spacing w:line="60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四、支持重大产业项目提质</w:t>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（七）支持争取试点示范项目。对成功争创国家级、省级服务业集聚区、服务业强县及商贸流通领域试点示范项目的，市级按</w:t>
      </w:r>
      <w:r w:rsidRPr="009B61E9">
        <w:rPr>
          <w:rFonts w:asciiTheme="minorEastAsia" w:eastAsiaTheme="minorEastAsia" w:hAnsiTheme="minorEastAsia" w:hint="eastAsia"/>
          <w:color w:val="000000"/>
          <w:spacing w:val="-8"/>
          <w:kern w:val="0"/>
          <w:sz w:val="28"/>
          <w:szCs w:val="28"/>
          <w:shd w:val="clear" w:color="auto" w:fill="FFFFFF"/>
        </w:rPr>
        <w:t>国家、省级奖补资金总额的30%、</w:t>
      </w:r>
      <w:r w:rsidRPr="009B61E9">
        <w:rPr>
          <w:rFonts w:asciiTheme="minorEastAsia" w:eastAsiaTheme="minorEastAsia" w:hAnsiTheme="minorEastAsia" w:hint="eastAsia"/>
          <w:color w:val="000000"/>
          <w:spacing w:val="-8"/>
          <w:kern w:val="0"/>
          <w:sz w:val="28"/>
          <w:szCs w:val="28"/>
        </w:rPr>
        <w:t>20</w:t>
      </w:r>
      <w:r w:rsidRPr="009B61E9">
        <w:rPr>
          <w:rFonts w:asciiTheme="minorEastAsia" w:eastAsiaTheme="minorEastAsia" w:hAnsiTheme="minorEastAsia" w:hint="eastAsia"/>
          <w:color w:val="000000"/>
          <w:spacing w:val="-8"/>
          <w:kern w:val="0"/>
          <w:sz w:val="28"/>
          <w:szCs w:val="28"/>
          <w:shd w:val="clear" w:color="auto" w:fill="FFFFFF"/>
        </w:rPr>
        <w:t>%给予创建主体一次性奖励。</w:t>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lastRenderedPageBreak/>
        <w:t>（八）支持申报“三百工程”。对成功申报省级服务业“三百工程”且年度绩效评价合格的企业（项目、品牌），按其所获得的省级财政资金补助额，给予20%一次性配套奖补，单个企业（项目、品牌）每年奖补最高不超过100万元。</w:t>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九）支持开展项目融资。“规上”“限上”企业通过资本市场，开展股权、债权融资用于全省“三百工程”项目或全省重大服务业项目建设，按照实际用于项目建设的1‰给予奖补，单户企业的奖补资金最高不超过200万元。</w:t>
      </w:r>
    </w:p>
    <w:p w:rsidR="0089635D" w:rsidRPr="009B61E9" w:rsidRDefault="0089635D" w:rsidP="009B61E9">
      <w:pPr>
        <w:pStyle w:val="a5"/>
        <w:adjustRightInd w:val="0"/>
        <w:snapToGrid w:val="0"/>
        <w:spacing w:line="60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五、支持新经济新业态发展</w:t>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十）支持首店经济。对在资阳市注册为独立法人且纳入限额以上商贸统计的国内外知名零售企业，若在资阳市新设立西南首店、四川首店、资阳首店的，对通过评审且具有引领性、示范性和带动性的品牌首店，每年择优不超过十家分别给予一次性10万元、6万元、2万元奖励。</w:t>
      </w:r>
    </w:p>
    <w:p w:rsidR="0089635D" w:rsidRPr="009B61E9" w:rsidRDefault="0089635D" w:rsidP="009B61E9">
      <w:pPr>
        <w:pStyle w:val="a6"/>
        <w:shd w:val="clear" w:color="auto" w:fill="FFFFFF"/>
        <w:adjustRightInd w:val="0"/>
        <w:snapToGrid w:val="0"/>
        <w:spacing w:beforeAutospacing="0" w:afterAutospacing="0" w:line="60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kern w:val="2"/>
          <w:sz w:val="28"/>
          <w:szCs w:val="28"/>
          <w:shd w:val="clear" w:color="auto" w:fill="FFFFFF"/>
        </w:rPr>
        <w:t>（十一）支持总部经济发展。</w:t>
      </w:r>
      <w:r w:rsidRPr="009B61E9">
        <w:rPr>
          <w:rFonts w:asciiTheme="minorEastAsia" w:eastAsiaTheme="minorEastAsia" w:hAnsiTheme="minorEastAsia" w:hint="eastAsia"/>
          <w:sz w:val="28"/>
          <w:szCs w:val="28"/>
          <w:shd w:val="clear" w:color="auto" w:fill="FFFFFF"/>
        </w:rPr>
        <w:t>支持服务业企业在资阳发展区域总部经济，对经认定的总部（含区域总部）且纳入“规上”“限上”统计，自认定当年起，按其每年对地方经济贡献，前三年给予50%研发补助资金支持，后两年给予30%研发补助资金支持。</w:t>
      </w:r>
    </w:p>
    <w:p w:rsidR="0089635D" w:rsidRPr="009B61E9" w:rsidRDefault="0089635D" w:rsidP="009B61E9">
      <w:pPr>
        <w:shd w:val="clear" w:color="auto" w:fill="FFFFFF"/>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（十二）支持楼宇经济发展。对经认定的重点楼宇（年对地方经济贡献3000万元及以上）和特色楼宇（年对地方经济贡献2000万元及以上），一次性给予楼宇运营管理单位20万元、10万元奖励。</w:t>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（十三）支持电商直播基地建设。对达到省级电商直播基地标准，经</w:t>
      </w:r>
      <w:r w:rsidRPr="009B61E9">
        <w:rPr>
          <w:rFonts w:asciiTheme="minorEastAsia" w:eastAsiaTheme="minorEastAsia" w:hAnsiTheme="minorEastAsia" w:hint="eastAsia"/>
          <w:sz w:val="28"/>
          <w:szCs w:val="28"/>
          <w:shd w:val="clear" w:color="auto" w:fill="FFFFFF"/>
        </w:rPr>
        <w:lastRenderedPageBreak/>
        <w:t>市级主管部门认定为直播电商基地运营机构，一次性给予房租、基地运营费用补贴20万元、10万元。获得中、省命名，按照中、省奖励（补贴）等资金给予20%配套支持。</w:t>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（十四）支持电商企业快速发展。对注册地在资阳、纳入统计、正常运营一年以上的电子商务经营主体，线上年销售额达到0.2亿元、1亿元、5亿元、10亿元的，分别给予1万元、3万元、5万元、10万元一次性奖励。</w:t>
      </w:r>
    </w:p>
    <w:p w:rsidR="001B3E05" w:rsidRPr="009B61E9" w:rsidRDefault="0089635D" w:rsidP="009B61E9">
      <w:pPr>
        <w:shd w:val="clear" w:color="auto" w:fill="FFFFFF"/>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十五）支持展会经济发展。对参加全市统一组织的境内重要展览和推销活动的企业，市级按省外、市外、市内的标准分别给予4000元、3000元、2000元的一次性补助。对参加进博会等重大展会的，可适当提高补助标准。对在资阳注册登记的商贸企业（协会）举办符合《四川省加强管理服务促进会展业发展的规定》的展会活动，给予相关商贸企业（协会）全年最高不超过30万元一次性补贴。</w:t>
      </w:r>
    </w:p>
    <w:p w:rsidR="0089635D" w:rsidRPr="009B61E9" w:rsidRDefault="0089635D" w:rsidP="009B61E9">
      <w:pPr>
        <w:adjustRightInd w:val="0"/>
        <w:snapToGrid w:val="0"/>
        <w:spacing w:line="60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六、支持现代物流业发展</w:t>
      </w:r>
    </w:p>
    <w:p w:rsidR="0089635D" w:rsidRPr="009B61E9" w:rsidRDefault="0089635D" w:rsidP="009B61E9">
      <w:pPr>
        <w:pStyle w:val="a6"/>
        <w:adjustRightInd w:val="0"/>
        <w:snapToGrid w:val="0"/>
        <w:spacing w:beforeAutospacing="0" w:afterAutospacing="0" w:line="600" w:lineRule="exact"/>
        <w:ind w:firstLineChars="200" w:firstLine="560"/>
        <w:jc w:val="both"/>
        <w:rPr>
          <w:rFonts w:asciiTheme="minorEastAsia" w:eastAsiaTheme="minorEastAsia" w:hAnsiTheme="minorEastAsia" w:hint="eastAsia"/>
          <w:sz w:val="28"/>
          <w:szCs w:val="28"/>
        </w:rPr>
      </w:pPr>
      <w:r w:rsidRPr="009B61E9">
        <w:rPr>
          <w:rFonts w:asciiTheme="minorEastAsia" w:eastAsiaTheme="minorEastAsia" w:hAnsiTheme="minorEastAsia" w:hint="eastAsia"/>
          <w:kern w:val="2"/>
          <w:sz w:val="28"/>
          <w:szCs w:val="28"/>
          <w:shd w:val="clear" w:color="auto" w:fill="FFFFFF"/>
        </w:rPr>
        <w:t>（十六）鼓励投资设立物流公司。</w:t>
      </w:r>
      <w:r w:rsidRPr="009B61E9">
        <w:rPr>
          <w:rFonts w:asciiTheme="minorEastAsia" w:eastAsiaTheme="minorEastAsia" w:hAnsiTheme="minorEastAsia" w:hint="eastAsia"/>
          <w:sz w:val="28"/>
          <w:szCs w:val="28"/>
          <w:shd w:val="clear" w:color="auto" w:fill="FFFFFF"/>
        </w:rPr>
        <w:t>鼓励生产企业、流通企业、专业市场剥离物流业务成立独立核算的第三方物流企业。剥离后成立的第三方物流企业</w:t>
      </w:r>
      <w:r w:rsidRPr="009B61E9">
        <w:rPr>
          <w:rFonts w:asciiTheme="minorEastAsia" w:eastAsiaTheme="minorEastAsia" w:hAnsiTheme="minorEastAsia" w:hint="eastAsia"/>
          <w:color w:val="000000"/>
          <w:sz w:val="28"/>
          <w:szCs w:val="28"/>
          <w:shd w:val="clear" w:color="auto" w:fill="FFFFFF"/>
        </w:rPr>
        <w:t>自成立当年起的三年内纳入规模以上服务业统计，且地方经济新增贡献达到100万元及以上的，</w:t>
      </w:r>
      <w:r w:rsidRPr="009B61E9">
        <w:rPr>
          <w:rFonts w:asciiTheme="minorEastAsia" w:eastAsiaTheme="minorEastAsia" w:hAnsiTheme="minorEastAsia" w:hint="eastAsia"/>
          <w:sz w:val="28"/>
          <w:szCs w:val="28"/>
        </w:rPr>
        <w:t>给予一次性奖补资金20万元。</w:t>
      </w:r>
    </w:p>
    <w:p w:rsidR="0089635D" w:rsidRPr="009B61E9" w:rsidRDefault="0089635D" w:rsidP="009B61E9">
      <w:pPr>
        <w:pStyle w:val="a6"/>
        <w:adjustRightInd w:val="0"/>
        <w:snapToGrid w:val="0"/>
        <w:spacing w:beforeAutospacing="0" w:afterAutospacing="0" w:line="600" w:lineRule="exact"/>
        <w:ind w:firstLineChars="200" w:firstLine="560"/>
        <w:jc w:val="both"/>
        <w:rPr>
          <w:rFonts w:asciiTheme="minorEastAsia" w:eastAsiaTheme="minorEastAsia" w:hAnsiTheme="minorEastAsia" w:hint="eastAsia"/>
          <w:sz w:val="28"/>
          <w:szCs w:val="28"/>
        </w:rPr>
      </w:pPr>
      <w:r w:rsidRPr="009B61E9">
        <w:rPr>
          <w:rFonts w:asciiTheme="minorEastAsia" w:eastAsiaTheme="minorEastAsia" w:hAnsiTheme="minorEastAsia" w:hint="eastAsia"/>
          <w:sz w:val="28"/>
          <w:szCs w:val="28"/>
        </w:rPr>
        <w:t>（十七）鼓励物流企业提质升级。依照《物流企业分类与评估指标中华人民共和国国家标准（GB/T19680-2013）》有关规定，首次获得3A、4A、5A级认证的规上物流企业，获得认证的次年给予一次性奖补资金10</w:t>
      </w:r>
      <w:r w:rsidRPr="009B61E9">
        <w:rPr>
          <w:rFonts w:asciiTheme="minorEastAsia" w:eastAsiaTheme="minorEastAsia" w:hAnsiTheme="minorEastAsia" w:hint="eastAsia"/>
          <w:sz w:val="28"/>
          <w:szCs w:val="28"/>
        </w:rPr>
        <w:lastRenderedPageBreak/>
        <w:t>万元、20万元、40万元。</w:t>
      </w:r>
    </w:p>
    <w:p w:rsidR="0089635D" w:rsidRPr="009B61E9" w:rsidRDefault="0089635D" w:rsidP="009B61E9">
      <w:pPr>
        <w:pStyle w:val="a6"/>
        <w:adjustRightInd w:val="0"/>
        <w:snapToGrid w:val="0"/>
        <w:spacing w:beforeAutospacing="0" w:afterAutospacing="0" w:line="600" w:lineRule="exact"/>
        <w:ind w:firstLineChars="200" w:firstLine="560"/>
        <w:jc w:val="both"/>
        <w:rPr>
          <w:rFonts w:asciiTheme="minorEastAsia" w:eastAsiaTheme="minorEastAsia" w:hAnsiTheme="minorEastAsia" w:hint="eastAsia"/>
          <w:sz w:val="28"/>
          <w:szCs w:val="28"/>
        </w:rPr>
      </w:pPr>
      <w:r w:rsidRPr="009B61E9">
        <w:rPr>
          <w:rFonts w:asciiTheme="minorEastAsia" w:eastAsiaTheme="minorEastAsia" w:hAnsiTheme="minorEastAsia" w:hint="eastAsia"/>
          <w:sz w:val="28"/>
          <w:szCs w:val="28"/>
        </w:rPr>
        <w:t>（十八）提升物流装载设备现代化水平。规上物流企业（含仓储企业）新增集装箱、托盘设备并循环共用，以及新增新能源运输装备、装卸作业设备、自动化立体仓储系统，按照实际采购设备费用的2%给予资金扶持，最高不超过100万元。</w:t>
      </w:r>
    </w:p>
    <w:p w:rsidR="001B3E05" w:rsidRPr="009B61E9" w:rsidRDefault="0089635D" w:rsidP="009B61E9">
      <w:pPr>
        <w:pStyle w:val="a6"/>
        <w:adjustRightInd w:val="0"/>
        <w:snapToGrid w:val="0"/>
        <w:spacing w:beforeAutospacing="0" w:afterAutospacing="0" w:line="600" w:lineRule="exact"/>
        <w:ind w:firstLineChars="200" w:firstLine="560"/>
        <w:jc w:val="both"/>
        <w:rPr>
          <w:rFonts w:asciiTheme="minorEastAsia" w:eastAsiaTheme="minorEastAsia" w:hAnsiTheme="minorEastAsia" w:hint="eastAsia"/>
          <w:sz w:val="28"/>
          <w:szCs w:val="28"/>
        </w:rPr>
      </w:pPr>
      <w:r w:rsidRPr="009B61E9">
        <w:rPr>
          <w:rFonts w:asciiTheme="minorEastAsia" w:eastAsiaTheme="minorEastAsia" w:hAnsiTheme="minorEastAsia" w:hint="eastAsia"/>
          <w:sz w:val="28"/>
          <w:szCs w:val="28"/>
        </w:rPr>
        <w:t>（十九）支持快递企业和电商融合发展。本市寄递企业在本市范围内年输出业务量同比增加10万件、20万件、30万件、40万件、50万件、60万件的，分别给予3万元、6万元、9万元、12万元、15万元、18万元补贴，单户企业年最高补贴不超过18万元。当年内新成立且快递业务量超过50万件的快递企业，给予一次性奖励10万元。</w:t>
      </w:r>
    </w:p>
    <w:p w:rsidR="0089635D" w:rsidRPr="009B61E9" w:rsidRDefault="0089635D" w:rsidP="009B61E9">
      <w:pPr>
        <w:pStyle w:val="a6"/>
        <w:shd w:val="clear" w:color="auto" w:fill="FFFFFF"/>
        <w:adjustRightInd w:val="0"/>
        <w:snapToGrid w:val="0"/>
        <w:spacing w:beforeAutospacing="0" w:afterAutospacing="0" w:line="570" w:lineRule="exact"/>
        <w:ind w:firstLineChars="200" w:firstLine="560"/>
        <w:jc w:val="both"/>
        <w:rPr>
          <w:rFonts w:asciiTheme="minorEastAsia" w:eastAsiaTheme="minorEastAsia" w:hAnsiTheme="minorEastAsia" w:hint="eastAsia"/>
          <w:sz w:val="28"/>
          <w:szCs w:val="28"/>
        </w:rPr>
      </w:pPr>
      <w:r w:rsidRPr="009B61E9">
        <w:rPr>
          <w:rFonts w:asciiTheme="minorEastAsia" w:eastAsiaTheme="minorEastAsia" w:hAnsiTheme="minorEastAsia" w:hint="eastAsia"/>
          <w:sz w:val="28"/>
          <w:szCs w:val="28"/>
        </w:rPr>
        <w:t>七、支持行业商（协）会发展</w:t>
      </w:r>
    </w:p>
    <w:p w:rsidR="0089635D" w:rsidRPr="009B61E9" w:rsidRDefault="0089635D" w:rsidP="009B61E9">
      <w:pPr>
        <w:shd w:val="clear" w:color="auto" w:fill="FFFFFF"/>
        <w:adjustRightInd w:val="0"/>
        <w:snapToGrid w:val="0"/>
        <w:spacing w:line="570" w:lineRule="exact"/>
        <w:ind w:firstLineChars="200" w:firstLine="560"/>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二十）积极发挥服务业商（协）会作用，对新组建会员单位50个以上、正常运行一年以上的全市性服务业商（协）会，市级给予5万元的一次性补助。支持市级服务业行业商（协）会开展行业统计分析、信息发布、预测预警等工作，根据工作实绩给予相关商（协）会每年不超过3万元的补助。</w:t>
      </w:r>
    </w:p>
    <w:p w:rsidR="0089635D" w:rsidRPr="009B61E9" w:rsidRDefault="0089635D" w:rsidP="009B61E9">
      <w:pPr>
        <w:pStyle w:val="a6"/>
        <w:shd w:val="clear" w:color="auto" w:fill="FFFFFF"/>
        <w:adjustRightInd w:val="0"/>
        <w:snapToGrid w:val="0"/>
        <w:spacing w:beforeAutospacing="0" w:afterAutospacing="0" w:line="57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kern w:val="2"/>
          <w:sz w:val="28"/>
          <w:szCs w:val="28"/>
          <w:shd w:val="clear" w:color="auto" w:fill="FFFFFF"/>
        </w:rPr>
        <w:t>八、附则</w:t>
      </w:r>
      <w:r w:rsidRPr="009B61E9">
        <w:rPr>
          <w:rFonts w:asciiTheme="minorEastAsia" w:eastAsiaTheme="minorEastAsia" w:hAnsiTheme="minorEastAsia" w:hint="eastAsia"/>
          <w:sz w:val="28"/>
          <w:szCs w:val="28"/>
          <w:shd w:val="clear" w:color="auto" w:fill="FFFFFF"/>
        </w:rPr>
        <w:t xml:space="preserve">  </w:t>
      </w:r>
    </w:p>
    <w:p w:rsidR="0089635D" w:rsidRPr="009B61E9" w:rsidRDefault="0089635D" w:rsidP="009B61E9">
      <w:pPr>
        <w:pStyle w:val="a6"/>
        <w:shd w:val="clear" w:color="auto" w:fill="FFFFFF"/>
        <w:adjustRightInd w:val="0"/>
        <w:snapToGrid w:val="0"/>
        <w:spacing w:beforeAutospacing="0" w:afterAutospacing="0" w:line="57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（一）本政策措施实行最高限额的原则，同一事项涉及多项补助扶持政策的，按就高且不重复执行。</w:t>
      </w:r>
    </w:p>
    <w:p w:rsidR="0089635D" w:rsidRPr="009B61E9" w:rsidRDefault="0089635D" w:rsidP="009B61E9">
      <w:pPr>
        <w:pStyle w:val="a6"/>
        <w:shd w:val="clear" w:color="auto" w:fill="FFFFFF"/>
        <w:adjustRightInd w:val="0"/>
        <w:snapToGrid w:val="0"/>
        <w:spacing w:beforeAutospacing="0" w:afterAutospacing="0" w:line="57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（二）上述政策，除明确由市本级财政和属地财政全额承担外，其余政策由市、县（区）财政按4：6分担。</w:t>
      </w:r>
    </w:p>
    <w:p w:rsidR="0089635D" w:rsidRPr="009B61E9" w:rsidRDefault="0089635D" w:rsidP="009B61E9">
      <w:pPr>
        <w:pStyle w:val="a6"/>
        <w:shd w:val="clear" w:color="auto" w:fill="FFFFFF"/>
        <w:adjustRightInd w:val="0"/>
        <w:snapToGrid w:val="0"/>
        <w:spacing w:beforeAutospacing="0" w:afterAutospacing="0" w:line="57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lastRenderedPageBreak/>
        <w:t>（三）</w:t>
      </w:r>
      <w:r w:rsidRPr="009B61E9">
        <w:rPr>
          <w:rFonts w:asciiTheme="minorEastAsia" w:eastAsiaTheme="minorEastAsia" w:hAnsiTheme="minorEastAsia"/>
          <w:sz w:val="28"/>
          <w:szCs w:val="28"/>
          <w:shd w:val="clear" w:color="auto" w:fill="FFFFFF"/>
        </w:rPr>
        <w:t>政策申报由企业（单位）自愿申报，县（区）服务业领导小组办公室初审，各县（区）政府出具初审意见（涉及市本级申报单位由相关行业部门初审并出具意见），报市服务业发展领导小组办公室。市服务业领导小组办公室会同相关部门进行复核后，组织专家进行评审，提出拟支持名单并向社会公示。对公示无异议的，提请市服务业发展领导小组资金例会审批。</w:t>
      </w:r>
    </w:p>
    <w:p w:rsidR="0089635D" w:rsidRPr="009B61E9" w:rsidRDefault="0089635D" w:rsidP="009B61E9">
      <w:pPr>
        <w:pStyle w:val="a6"/>
        <w:shd w:val="clear" w:color="auto" w:fill="FFFFFF"/>
        <w:adjustRightInd w:val="0"/>
        <w:snapToGrid w:val="0"/>
        <w:spacing w:beforeAutospacing="0" w:afterAutospacing="0" w:line="57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sz w:val="28"/>
          <w:szCs w:val="28"/>
          <w:shd w:val="clear" w:color="auto" w:fill="FFFFFF"/>
        </w:rPr>
        <w:t>（四）政策涉及的企业（单位）须纳入资阳统计，企业经营状况相关数据以国家统计平台认定的统计数据为准，且要有完整的统计台账、会计核算资料和纳税申报资料予以佐证。</w:t>
      </w:r>
    </w:p>
    <w:p w:rsidR="0089635D" w:rsidRPr="009B61E9" w:rsidRDefault="0089635D" w:rsidP="009B61E9">
      <w:pPr>
        <w:pStyle w:val="a6"/>
        <w:shd w:val="clear" w:color="auto" w:fill="FFFFFF"/>
        <w:adjustRightInd w:val="0"/>
        <w:snapToGrid w:val="0"/>
        <w:spacing w:beforeAutospacing="0" w:afterAutospacing="0" w:line="570" w:lineRule="exact"/>
        <w:ind w:firstLineChars="200" w:firstLine="560"/>
        <w:jc w:val="both"/>
        <w:rPr>
          <w:rFonts w:asciiTheme="minorEastAsia" w:eastAsiaTheme="minorEastAsia" w:hAnsiTheme="minorEastAsia" w:hint="eastAsia"/>
          <w:sz w:val="28"/>
          <w:szCs w:val="28"/>
        </w:rPr>
      </w:pPr>
      <w:r w:rsidRPr="009B61E9">
        <w:rPr>
          <w:rFonts w:asciiTheme="minorEastAsia" w:eastAsiaTheme="minorEastAsia" w:hAnsiTheme="minorEastAsia" w:hint="eastAsia"/>
          <w:sz w:val="28"/>
          <w:szCs w:val="28"/>
          <w:shd w:val="clear" w:color="auto" w:fill="FFFFFF"/>
        </w:rPr>
        <w:t>（五）当年发生安全生产、食品安全、环境污染等重大责任事故或较大群体性事件，以及列入各级失信黑名单且未修复的企业，不享受本政策。</w:t>
      </w:r>
    </w:p>
    <w:p w:rsidR="004F73EF" w:rsidRPr="009B61E9" w:rsidRDefault="0089635D" w:rsidP="009B61E9">
      <w:pPr>
        <w:pStyle w:val="a6"/>
        <w:shd w:val="clear" w:color="auto" w:fill="FFFFFF"/>
        <w:adjustRightInd w:val="0"/>
        <w:snapToGrid w:val="0"/>
        <w:spacing w:beforeAutospacing="0" w:afterAutospacing="0" w:line="570" w:lineRule="exact"/>
        <w:ind w:firstLineChars="200" w:firstLine="560"/>
        <w:jc w:val="both"/>
        <w:rPr>
          <w:rFonts w:asciiTheme="minorEastAsia" w:eastAsiaTheme="minorEastAsia" w:hAnsiTheme="minorEastAsia" w:hint="eastAsia"/>
          <w:sz w:val="28"/>
          <w:szCs w:val="28"/>
          <w:shd w:val="clear" w:color="auto" w:fill="FFFFFF"/>
        </w:rPr>
      </w:pPr>
      <w:r w:rsidRPr="009B61E9">
        <w:rPr>
          <w:rFonts w:asciiTheme="minorEastAsia" w:eastAsiaTheme="minorEastAsia" w:hAnsiTheme="minorEastAsia" w:hint="eastAsia"/>
          <w:color w:val="000000"/>
          <w:sz w:val="28"/>
          <w:szCs w:val="28"/>
          <w:shd w:val="clear" w:color="auto" w:fill="FFFFFF"/>
        </w:rPr>
        <w:t>本政策措施自2022年8月6日起施行，有效期3年。</w:t>
      </w:r>
      <w:r w:rsidRPr="009B61E9">
        <w:rPr>
          <w:rFonts w:asciiTheme="minorEastAsia" w:eastAsiaTheme="minorEastAsia" w:hAnsiTheme="minorEastAsia" w:hint="eastAsia"/>
          <w:sz w:val="28"/>
          <w:szCs w:val="28"/>
          <w:shd w:val="clear" w:color="auto" w:fill="FFFFFF"/>
        </w:rPr>
        <w:t>期间如遇国家政策调整，以国家调整后的政策规定为准。</w:t>
      </w:r>
    </w:p>
    <w:sectPr w:rsidR="004F73EF" w:rsidRPr="009B61E9" w:rsidSect="001B3E05">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9A5" w:rsidRDefault="008539A5">
      <w:r>
        <w:separator/>
      </w:r>
    </w:p>
  </w:endnote>
  <w:endnote w:type="continuationSeparator" w:id="0">
    <w:p w:rsidR="008539A5" w:rsidRDefault="00853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方正楷体_GBK"/>
    <w:charset w:val="00"/>
    <w:family w:val="modern"/>
    <w:pitch w:val="default"/>
    <w:sig w:usb0="00000000" w:usb1="0000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
    <w:altName w:val="Meiryo"/>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05" w:rsidRDefault="001B3E05" w:rsidP="0089635D">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1B3E05" w:rsidRDefault="001B3E05" w:rsidP="001B3E05">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05" w:rsidRPr="001B3E05" w:rsidRDefault="001B3E05" w:rsidP="0089635D">
    <w:pPr>
      <w:pStyle w:val="a8"/>
      <w:framePr w:wrap="around" w:vAnchor="text" w:hAnchor="margin" w:xAlign="outside" w:y="1"/>
      <w:rPr>
        <w:rStyle w:val="a9"/>
        <w:rFonts w:ascii="Times New Roman" w:eastAsia="方正仿宋_GBK" w:hAnsi="Times New Roman" w:hint="eastAsia"/>
        <w:sz w:val="28"/>
        <w:szCs w:val="28"/>
      </w:rPr>
    </w:pPr>
    <w:r w:rsidRPr="001B3E05">
      <w:rPr>
        <w:rStyle w:val="a9"/>
        <w:rFonts w:ascii="Times New Roman" w:eastAsia="方正仿宋_GBK" w:hAnsi="Times New Roman" w:hint="eastAsia"/>
        <w:sz w:val="28"/>
        <w:szCs w:val="28"/>
      </w:rPr>
      <w:t>—</w:t>
    </w:r>
    <w:r w:rsidRPr="001B3E05">
      <w:rPr>
        <w:rStyle w:val="a9"/>
        <w:rFonts w:ascii="Times New Roman" w:eastAsia="方正仿宋_GBK" w:hAnsi="Times New Roman" w:hint="eastAsia"/>
        <w:sz w:val="28"/>
        <w:szCs w:val="28"/>
      </w:rPr>
      <w:t xml:space="preserve"> </w:t>
    </w:r>
    <w:r w:rsidRPr="001B3E05">
      <w:rPr>
        <w:rStyle w:val="a9"/>
        <w:rFonts w:ascii="Times New Roman" w:eastAsia="方正仿宋_GBK" w:hAnsi="Times New Roman"/>
        <w:sz w:val="28"/>
        <w:szCs w:val="28"/>
      </w:rPr>
      <w:fldChar w:fldCharType="begin"/>
    </w:r>
    <w:r w:rsidRPr="001B3E05">
      <w:rPr>
        <w:rStyle w:val="a9"/>
        <w:rFonts w:ascii="Times New Roman" w:eastAsia="方正仿宋_GBK" w:hAnsi="Times New Roman"/>
        <w:sz w:val="28"/>
        <w:szCs w:val="28"/>
      </w:rPr>
      <w:instrText xml:space="preserve">PAGE  </w:instrText>
    </w:r>
    <w:r w:rsidRPr="001B3E05">
      <w:rPr>
        <w:rStyle w:val="a9"/>
        <w:rFonts w:ascii="Times New Roman" w:eastAsia="方正仿宋_GBK" w:hAnsi="Times New Roman"/>
        <w:sz w:val="28"/>
        <w:szCs w:val="28"/>
      </w:rPr>
      <w:fldChar w:fldCharType="separate"/>
    </w:r>
    <w:r w:rsidR="009B61E9">
      <w:rPr>
        <w:rStyle w:val="a9"/>
        <w:rFonts w:ascii="Times New Roman" w:eastAsia="方正仿宋_GBK" w:hAnsi="Times New Roman"/>
        <w:noProof/>
        <w:sz w:val="28"/>
        <w:szCs w:val="28"/>
      </w:rPr>
      <w:t>1</w:t>
    </w:r>
    <w:r w:rsidRPr="001B3E05">
      <w:rPr>
        <w:rStyle w:val="a9"/>
        <w:rFonts w:ascii="Times New Roman" w:eastAsia="方正仿宋_GBK" w:hAnsi="Times New Roman"/>
        <w:sz w:val="28"/>
        <w:szCs w:val="28"/>
      </w:rPr>
      <w:fldChar w:fldCharType="end"/>
    </w:r>
    <w:r w:rsidRPr="001B3E05">
      <w:rPr>
        <w:rStyle w:val="a9"/>
        <w:rFonts w:ascii="Times New Roman" w:eastAsia="方正仿宋_GBK" w:hAnsi="Times New Roman" w:hint="eastAsia"/>
        <w:sz w:val="28"/>
        <w:szCs w:val="28"/>
      </w:rPr>
      <w:t xml:space="preserve"> </w:t>
    </w:r>
    <w:r w:rsidRPr="001B3E05">
      <w:rPr>
        <w:rStyle w:val="a9"/>
        <w:rFonts w:ascii="Times New Roman" w:eastAsia="方正仿宋_GBK" w:hAnsi="Times New Roman" w:hint="eastAsia"/>
        <w:sz w:val="28"/>
        <w:szCs w:val="28"/>
      </w:rPr>
      <w:t>—</w:t>
    </w:r>
  </w:p>
  <w:p w:rsidR="001B3E05" w:rsidRPr="001B3E05" w:rsidRDefault="001B3E05" w:rsidP="001B3E05">
    <w:pPr>
      <w:pStyle w:val="a8"/>
      <w:ind w:right="360" w:firstLine="360"/>
      <w:rPr>
        <w:rFonts w:ascii="Times New Roman" w:eastAsia="方正仿宋_GBK"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EF" w:rsidRDefault="004F73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9A5" w:rsidRDefault="008539A5">
      <w:r>
        <w:separator/>
      </w:r>
    </w:p>
  </w:footnote>
  <w:footnote w:type="continuationSeparator" w:id="0">
    <w:p w:rsidR="008539A5" w:rsidRDefault="00853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EF" w:rsidRDefault="004F73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05" w:rsidRDefault="001B3E05" w:rsidP="004F73EF">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EF" w:rsidRDefault="004F73E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BFA6F936"/>
    <w:rsid w:val="001B3E05"/>
    <w:rsid w:val="004F73EF"/>
    <w:rsid w:val="008539A5"/>
    <w:rsid w:val="0089635D"/>
    <w:rsid w:val="009B61E9"/>
    <w:rsid w:val="00D41F56"/>
    <w:rsid w:val="1FB9A0AB"/>
    <w:rsid w:val="28612D48"/>
    <w:rsid w:val="5BFC3658"/>
    <w:rsid w:val="7CEDB7BB"/>
    <w:rsid w:val="7EED6F11"/>
    <w:rsid w:val="7EFF5AC7"/>
    <w:rsid w:val="7FAE3308"/>
    <w:rsid w:val="7FBD7B13"/>
    <w:rsid w:val="AB77A611"/>
    <w:rsid w:val="AEFEB649"/>
    <w:rsid w:val="BFA6F936"/>
    <w:rsid w:val="D7CDA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First Indent"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semiHidden/>
  </w:style>
  <w:style w:type="paragraph" w:styleId="2">
    <w:name w:val="Body Text First Indent 2"/>
    <w:basedOn w:val="a4"/>
    <w:uiPriority w:val="99"/>
    <w:unhideWhenUsed/>
    <w:qFormat/>
    <w:pPr>
      <w:tabs>
        <w:tab w:val="left" w:pos="960"/>
      </w:tabs>
      <w:ind w:firstLine="420"/>
    </w:pPr>
    <w:rPr>
      <w:rFonts w:ascii="Times New Roman" w:hAnsi="Times New Roman"/>
    </w:rPr>
  </w:style>
  <w:style w:type="paragraph" w:styleId="a5">
    <w:name w:val="Body Text First Indent"/>
    <w:basedOn w:val="a0"/>
    <w:qFormat/>
    <w:pPr>
      <w:ind w:firstLineChars="100" w:firstLine="420"/>
    </w:pPr>
  </w:style>
  <w:style w:type="paragraph" w:styleId="a6">
    <w:name w:val="Normal (Web)"/>
    <w:basedOn w:val="a"/>
    <w:qFormat/>
    <w:pPr>
      <w:spacing w:beforeAutospacing="1" w:afterAutospacing="1"/>
      <w:jc w:val="left"/>
    </w:pPr>
    <w:rPr>
      <w:kern w:val="0"/>
      <w:sz w:val="24"/>
    </w:rPr>
  </w:style>
  <w:style w:type="paragraph" w:styleId="a4">
    <w:name w:val="Body Text Indent"/>
    <w:basedOn w:val="a"/>
    <w:qFormat/>
    <w:pPr>
      <w:ind w:firstLine="636"/>
    </w:pPr>
    <w:rPr>
      <w:rFonts w:eastAsia="楷体_GB2312"/>
      <w:szCs w:val="32"/>
    </w:rPr>
  </w:style>
  <w:style w:type="paragraph" w:styleId="a0">
    <w:name w:val="Body Text"/>
    <w:basedOn w:val="a"/>
    <w:next w:val="a"/>
    <w:uiPriority w:val="99"/>
    <w:unhideWhenUsed/>
    <w:qFormat/>
    <w:pPr>
      <w:jc w:val="center"/>
    </w:pPr>
    <w:rPr>
      <w:rFonts w:ascii="宋体" w:hAnsi="宋体"/>
      <w:szCs w:val="18"/>
    </w:rPr>
  </w:style>
  <w:style w:type="paragraph" w:styleId="a7">
    <w:name w:val="header"/>
    <w:basedOn w:val="a"/>
    <w:rsid w:val="001B3E05"/>
    <w:pPr>
      <w:pBdr>
        <w:bottom w:val="single" w:sz="6" w:space="1" w:color="auto"/>
      </w:pBdr>
      <w:tabs>
        <w:tab w:val="center" w:pos="4153"/>
        <w:tab w:val="right" w:pos="8306"/>
      </w:tabs>
      <w:snapToGrid w:val="0"/>
      <w:jc w:val="center"/>
    </w:pPr>
    <w:rPr>
      <w:sz w:val="18"/>
      <w:szCs w:val="18"/>
    </w:rPr>
  </w:style>
  <w:style w:type="paragraph" w:styleId="a8">
    <w:name w:val="footer"/>
    <w:basedOn w:val="a"/>
    <w:rsid w:val="001B3E05"/>
    <w:pPr>
      <w:tabs>
        <w:tab w:val="center" w:pos="4153"/>
        <w:tab w:val="right" w:pos="8306"/>
      </w:tabs>
      <w:snapToGrid w:val="0"/>
      <w:jc w:val="left"/>
    </w:pPr>
    <w:rPr>
      <w:sz w:val="18"/>
      <w:szCs w:val="18"/>
    </w:rPr>
  </w:style>
  <w:style w:type="paragraph" w:customStyle="1" w:styleId="1">
    <w:name w:val="图表目录1"/>
    <w:basedOn w:val="a"/>
    <w:next w:val="a"/>
    <w:qFormat/>
    <w:rsid w:val="001B3E05"/>
    <w:pPr>
      <w:ind w:leftChars="200" w:left="200" w:hangingChars="200" w:hanging="200"/>
    </w:pPr>
    <w:rPr>
      <w:szCs w:val="22"/>
    </w:rPr>
  </w:style>
  <w:style w:type="character" w:styleId="a9">
    <w:name w:val="page number"/>
    <w:basedOn w:val="a1"/>
    <w:rsid w:val="001B3E05"/>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497</Words>
  <Characters>2839</Characters>
  <Application>Microsoft Office Word</Application>
  <DocSecurity>0</DocSecurity>
  <Lines>23</Lines>
  <Paragraphs>6</Paragraphs>
  <ScaleCrop>false</ScaleCrop>
  <Company>Microsoft China</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jihuanming</dc:creator>
  <cp:lastModifiedBy>xbany</cp:lastModifiedBy>
  <cp:revision>2</cp:revision>
  <dcterms:created xsi:type="dcterms:W3CDTF">2022-07-07T02:08:00Z</dcterms:created>
  <dcterms:modified xsi:type="dcterms:W3CDTF">2022-07-07T02:08:00Z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