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pageBreakBefore w:val="0"/>
        <w:kinsoku/>
        <w:wordWrap/>
        <w:overflowPunct/>
        <w:topLinePunct w:val="0"/>
        <w:bidi w:val="0"/>
        <w:adjustRightInd/>
        <w:snapToGrid/>
        <w:spacing w:after="0" w:line="580" w:lineRule="exact"/>
        <w:ind w:left="0" w:leftChars="0"/>
        <w:textAlignment w:val="auto"/>
        <w:rPr>
          <w:rFonts w:hint="default" w:ascii="宋体" w:hAnsi="宋体" w:eastAsia="方正小标宋简体" w:cs="Nimbus Roman No9 L"/>
          <w:sz w:val="44"/>
          <w:szCs w:val="44"/>
        </w:rPr>
      </w:pPr>
      <w:bookmarkStart w:id="4" w:name="_GoBack"/>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jc w:val="center"/>
        <w:textAlignment w:val="auto"/>
        <w:rPr>
          <w:rFonts w:hint="default" w:ascii="宋体" w:hAnsi="宋体" w:eastAsia="方正小标宋简体" w:cs="Nimbus Roman No9 L"/>
          <w:sz w:val="44"/>
          <w:szCs w:val="44"/>
        </w:rPr>
      </w:pPr>
      <w:r>
        <w:rPr>
          <w:rFonts w:hint="default" w:ascii="宋体" w:hAnsi="宋体" w:eastAsia="方正小标宋简体" w:cs="Nimbus Roman No9 L"/>
          <w:sz w:val="44"/>
          <w:szCs w:val="44"/>
        </w:rPr>
        <w:t>资阳高新区2022年度食品安全抽检监测</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jc w:val="center"/>
        <w:textAlignment w:val="auto"/>
        <w:rPr>
          <w:rFonts w:hint="default" w:ascii="宋体" w:hAnsi="宋体" w:eastAsia="方正小标宋简体" w:cs="Nimbus Roman No9 L"/>
          <w:sz w:val="44"/>
          <w:szCs w:val="44"/>
        </w:rPr>
      </w:pPr>
      <w:r>
        <w:rPr>
          <w:rFonts w:hint="default" w:ascii="宋体" w:hAnsi="宋体" w:eastAsia="方正小标宋简体" w:cs="Nimbus Roman No9 L"/>
          <w:sz w:val="44"/>
          <w:szCs w:val="44"/>
        </w:rPr>
        <w:t>实施方案</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left"/>
        <w:textAlignment w:val="auto"/>
        <w:rPr>
          <w:rFonts w:ascii="宋体" w:hAnsi="宋体" w:eastAsia="仿宋" w:cs="仿宋"/>
          <w:sz w:val="32"/>
          <w:szCs w:val="32"/>
        </w:rPr>
      </w:pP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bookmarkStart w:id="0" w:name="为深入贯彻落实《中共中央  国"/>
      <w:bookmarkEnd w:id="0"/>
      <w:r>
        <w:rPr>
          <w:rFonts w:hint="default" w:ascii="宋体" w:hAnsi="宋体" w:eastAsia="方正仿宋_GBK" w:cs="Nimbus Roman No9 L"/>
          <w:sz w:val="32"/>
          <w:szCs w:val="32"/>
        </w:rPr>
        <w:t>为深入贯彻落实《中共中央 国务院关于深化改革加强食品安全工作的意见》，按照《资阳市2022年度食品安全抽检监测实施方案》有关要求，结合我</w:t>
      </w:r>
      <w:r>
        <w:rPr>
          <w:rFonts w:hint="default" w:ascii="宋体" w:hAnsi="宋体" w:eastAsia="方正仿宋_GBK" w:cs="Nimbus Roman No9 L"/>
          <w:sz w:val="32"/>
          <w:szCs w:val="32"/>
          <w:lang w:eastAsia="zh-CN"/>
        </w:rPr>
        <w:t>区</w:t>
      </w:r>
      <w:r>
        <w:rPr>
          <w:rFonts w:hint="default" w:ascii="宋体" w:hAnsi="宋体" w:eastAsia="方正仿宋_GBK" w:cs="Nimbus Roman No9 L"/>
          <w:sz w:val="32"/>
          <w:szCs w:val="32"/>
        </w:rPr>
        <w:t>实际，特制定本实施方案。</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0"/>
        <w:jc w:val="both"/>
        <w:textAlignment w:val="auto"/>
        <w:rPr>
          <w:rFonts w:hint="eastAsia" w:ascii="宋体" w:hAnsi="宋体" w:eastAsia="方正黑体_GBK" w:cs="方正黑体_GBK"/>
          <w:sz w:val="32"/>
          <w:szCs w:val="32"/>
        </w:rPr>
      </w:pPr>
      <w:bookmarkStart w:id="1" w:name="一、工作目标"/>
      <w:bookmarkEnd w:id="1"/>
      <w:r>
        <w:rPr>
          <w:rFonts w:ascii="宋体" w:hAnsi="宋体"/>
          <w:sz w:val="32"/>
          <w:szCs w:val="32"/>
        </w:rPr>
        <w:t xml:space="preserve">    </w:t>
      </w:r>
      <w:r>
        <w:rPr>
          <w:rFonts w:hint="eastAsia" w:ascii="宋体" w:hAnsi="宋体" w:eastAsia="方正黑体_GBK" w:cs="方正黑体_GBK"/>
          <w:sz w:val="32"/>
          <w:szCs w:val="32"/>
        </w:rPr>
        <w:t>一、工作目标</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bookmarkStart w:id="2" w:name="坚持以人民为中心，为落实“四"/>
      <w:bookmarkEnd w:id="2"/>
      <w:r>
        <w:rPr>
          <w:rFonts w:hint="default" w:ascii="宋体" w:hAnsi="宋体" w:eastAsia="方正仿宋_GBK" w:cs="Nimbus Roman No9 L"/>
          <w:sz w:val="32"/>
          <w:szCs w:val="32"/>
        </w:rPr>
        <w:t>坚持以人民为中心，为落实“四个最严”提供技术支撑。坚持问题导向，紧盯高风险食品、高风险指标、高风险区域等安全问题，排查隐患，增强食品抽检的针对性、有效性、系统性。全面排查治理食品安全领域风险隐患，满足人民群众“吃的安全放心”的目标，让人们群众有更多的获得感幸福感安全感。</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40" w:firstLineChars="200"/>
        <w:jc w:val="both"/>
        <w:textAlignment w:val="auto"/>
        <w:rPr>
          <w:rFonts w:hint="eastAsia" w:ascii="宋体" w:hAnsi="宋体" w:eastAsia="方正黑体_GBK" w:cs="方正黑体_GBK"/>
          <w:sz w:val="32"/>
          <w:szCs w:val="32"/>
        </w:rPr>
      </w:pPr>
      <w:bookmarkStart w:id="3" w:name="二、工作原则"/>
      <w:bookmarkEnd w:id="3"/>
      <w:r>
        <w:rPr>
          <w:rFonts w:hint="eastAsia" w:ascii="宋体" w:hAnsi="宋体" w:eastAsia="方正黑体_GBK" w:cs="方正黑体_GBK"/>
          <w:sz w:val="32"/>
          <w:szCs w:val="32"/>
        </w:rPr>
        <w:t>二、工作原则</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（一）突出问题导向。</w:t>
      </w:r>
      <w:r>
        <w:rPr>
          <w:rFonts w:hint="default" w:ascii="宋体" w:hAnsi="宋体" w:eastAsia="方正仿宋_GBK" w:cs="Nimbus Roman No9 L"/>
          <w:sz w:val="32"/>
          <w:szCs w:val="32"/>
        </w:rPr>
        <w:t>以发现问题、防控风险、消除隐患为基本原则，聚焦群众关切，覆盖社会危害范围广、不可控因素多、风险管控难度大的重金属污染物、非食用物质、生物毒素、农兽药残留等重点项目；覆盖监管力量弱、管理难度大、舆情处置风险高的重点领域，重点关注学校及周边和集体用餐配送单位。原则上对本地区食品安全风险较高的场所、在产食品生产企业及产品抽检全覆盖。</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（二）坚持广泛覆盖。</w:t>
      </w:r>
      <w:r>
        <w:rPr>
          <w:rFonts w:hint="default" w:ascii="宋体" w:hAnsi="宋体" w:eastAsia="方正仿宋_GBK" w:cs="Nimbus Roman No9 L"/>
          <w:sz w:val="32"/>
          <w:szCs w:val="32"/>
        </w:rPr>
        <w:t>坚持统一制定计划、统一组织实施、统一数据报送、统一结果利用“四统一”原则，在国家、省级、市级安排的抽检任务基础上，进行合理分工，全面均衡推进抽检和科学抽检，持续提升食品抽检数据质量，抽检覆盖市场销售的主要食品品种，覆盖城市、农村、城乡结合部等重点区域，覆盖生产、经营、餐饮等不同业态。</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lang w:eastAsia="zh-CN"/>
        </w:rPr>
        <w:t>（三）</w:t>
      </w:r>
      <w:r>
        <w:rPr>
          <w:rFonts w:hint="eastAsia" w:ascii="宋体" w:hAnsi="宋体" w:eastAsia="方正楷体_GBK" w:cs="方正楷体_GBK"/>
          <w:b/>
          <w:sz w:val="32"/>
          <w:szCs w:val="32"/>
        </w:rPr>
        <w:t>突出结果运用。</w:t>
      </w:r>
      <w:r>
        <w:rPr>
          <w:rFonts w:hint="default" w:ascii="宋体" w:hAnsi="宋体" w:eastAsia="方正仿宋_GBK" w:cs="Nimbus Roman No9 L"/>
          <w:sz w:val="32"/>
          <w:szCs w:val="32"/>
        </w:rPr>
        <w:t>市场监管系统协作联动，深入推进抽检监测、监督检查、稽查执法、投诉举报、舆情监测一体化；部门间协作联动，建立完善风险会商、分析研判、信息通报等机制，推动问题有效解决，逐步实现既治标又治本；区域间协作联动，持续推进“成德眉资宜”五市食品安全风险交流，提升区域食品安全风险防控和协同应对能力；媒体协作联动，借力新闻媒体的传播力、引导力、影响力、公信力，依托食品安全“你点我检”的方式，走进公众开展食品安全风险预警交流，积极回应社会关切。企业协作联动，针对抽检发现的突出问题，及时向企业发出预警信息，组织开展风险研判、预警交流和帮扶指导活动，督促企业落实主体责任。</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（四）严格规范实施。</w:t>
      </w:r>
      <w:r>
        <w:rPr>
          <w:rFonts w:hint="default" w:ascii="宋体" w:hAnsi="宋体" w:eastAsia="方正仿宋_GBK" w:cs="Nimbus Roman No9 L"/>
          <w:sz w:val="32"/>
          <w:szCs w:val="32"/>
        </w:rPr>
        <w:t>按照相关法律法规、制度规范开展抽检，明确抽检职责分工，注重工作衔接配合，加强抽检质量控制，严格承检机构考评，做到程序合规、环节相扣、实施有序。</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40" w:firstLineChars="200"/>
        <w:jc w:val="both"/>
        <w:textAlignment w:val="auto"/>
        <w:rPr>
          <w:rFonts w:hint="eastAsia" w:ascii="宋体" w:hAnsi="宋体" w:eastAsia="方正黑体_GBK" w:cs="方正黑体_GBK"/>
          <w:sz w:val="32"/>
          <w:szCs w:val="32"/>
        </w:rPr>
      </w:pPr>
      <w:r>
        <w:rPr>
          <w:rFonts w:hint="eastAsia" w:ascii="宋体" w:hAnsi="宋体" w:eastAsia="方正黑体_GBK" w:cs="方正黑体_GBK"/>
          <w:sz w:val="32"/>
          <w:szCs w:val="32"/>
        </w:rPr>
        <w:t>三、区级抽检任务</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default" w:ascii="宋体" w:hAnsi="宋体" w:eastAsia="方正仿宋_GBK" w:cs="Nimbus Roman No9 L"/>
          <w:sz w:val="32"/>
          <w:szCs w:val="32"/>
        </w:rPr>
        <w:t>按照《资阳市2022年度食品安全抽检监测实施方案》分配的抽检任务，2022年资阳高新区开展食品抽检170批次。</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（一）抽检品种和项目。</w:t>
      </w:r>
      <w:r>
        <w:rPr>
          <w:rFonts w:hint="default" w:ascii="宋体" w:hAnsi="宋体" w:eastAsia="方正仿宋_GBK" w:cs="Nimbus Roman No9 L"/>
          <w:sz w:val="32"/>
          <w:szCs w:val="32"/>
        </w:rPr>
        <w:t>主要对辖区内市场销售食用农产品、餐饮食品、“三小”食品和既往发现的问题进行抽检，检验项目按照市局方案执行。在执行本级食用农产品抽检任务时，除应完成指定的必检品种和项目外，还应完成不少于2个自选项目，必检品种不得少于农产品任务数的50%。自选品种和项目，应结合当地实际并以问题为导向进行确定。</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（二）抽检时间和频次。</w:t>
      </w:r>
      <w:r>
        <w:rPr>
          <w:rFonts w:hint="default" w:ascii="宋体" w:hAnsi="宋体" w:eastAsia="方正仿宋_GBK" w:cs="Nimbus Roman No9 L"/>
          <w:sz w:val="32"/>
          <w:szCs w:val="32"/>
        </w:rPr>
        <w:t>原则上全年均衡开展。于每月抽检辖区内市场销售量大的食用农产品。</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Pr>
        <w:t>（三）抽样区域和场所。</w:t>
      </w:r>
      <w:r>
        <w:rPr>
          <w:rFonts w:hint="default" w:ascii="宋体" w:hAnsi="宋体" w:eastAsia="方正仿宋_GBK" w:cs="Nimbus Roman No9 L"/>
          <w:sz w:val="32"/>
          <w:szCs w:val="32"/>
        </w:rPr>
        <w:t>城乡结合部、农村地区的农贸市场、集市、商场、超市、便利店、小食杂店、小作坊等进行食品抽样。国抽、省抽和市抽已经覆盖获证生产企业生产的食品，原则上不再组织重复抽检。</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40" w:firstLineChars="200"/>
        <w:jc w:val="both"/>
        <w:textAlignment w:val="auto"/>
        <w:rPr>
          <w:rFonts w:hint="eastAsia" w:ascii="宋体" w:hAnsi="宋体" w:eastAsia="方正黑体_GBK" w:cs="方正黑体_GBK"/>
          <w:sz w:val="32"/>
          <w:szCs w:val="32"/>
          <w:rtl w:val="0"/>
        </w:rPr>
      </w:pPr>
      <w:r>
        <w:rPr>
          <w:rFonts w:hint="eastAsia" w:ascii="宋体" w:hAnsi="宋体" w:eastAsia="方正黑体_GBK" w:cs="方正黑体_GBK"/>
          <w:sz w:val="32"/>
          <w:szCs w:val="32"/>
          <w:rtl w:val="0"/>
        </w:rPr>
        <w:t>四、职责分工</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（一）市监分局。</w:t>
      </w:r>
      <w:r>
        <w:rPr>
          <w:rFonts w:hint="default" w:ascii="宋体" w:hAnsi="宋体" w:eastAsia="方正仿宋_GBK" w:cs="Nimbus Roman No9 L"/>
          <w:sz w:val="32"/>
          <w:szCs w:val="32"/>
        </w:rPr>
        <w:t>负责本级食品安全抽检方案制定、组织实施、综合协调、数据收集、异议受理和信息发布等工作；负责本级监督抽检和不合格食品核查处置信息公布工作；汇总上报本辖区年度抽检工作情况；负责会同承检机构共同完成辖区内国家、省、市、区级食品抽样工作，向承检机构提供辖区内获证在产企业相关信息；负责将承办的不合格食品检验报告及相关材料送至被抽样单位和食品标识生产者；负责组织对承办的辖区内不合格食品开展问题产生原因的分析调查及督促整改等核查处置工作，按时限要求将相关处置情况上报数据平台；负责本级抽检任务承检机构的确定及考评管理工作。</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（二）承检机构。</w:t>
      </w:r>
      <w:r>
        <w:rPr>
          <w:rFonts w:hint="default" w:ascii="宋体" w:hAnsi="宋体" w:eastAsia="方正仿宋_GBK" w:cs="Nimbus Roman No9 L"/>
          <w:sz w:val="32"/>
          <w:szCs w:val="32"/>
        </w:rPr>
        <w:t xml:space="preserve">负责依据各自承担的任务细化抽检实施方案；负责抽样检验、数据报送和结果判定；负责核对拟公布抽检结果，解读不合格抽检信息；负责组织专家进行项目评审、撰写分析报告。 </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eastAsia" w:ascii="宋体" w:hAnsi="宋体" w:eastAsia="方正黑体_GBK" w:cs="方正黑体_GBK"/>
          <w:color w:val="000000"/>
          <w:spacing w:val="0"/>
          <w:sz w:val="32"/>
          <w:szCs w:val="32"/>
          <w:rtl w:val="0"/>
        </w:rPr>
      </w:pPr>
      <w:r>
        <w:rPr>
          <w:rFonts w:hint="eastAsia" w:ascii="宋体" w:hAnsi="宋体" w:eastAsia="方正黑体_GBK" w:cs="方正黑体_GBK"/>
          <w:color w:val="000000"/>
          <w:spacing w:val="0"/>
          <w:sz w:val="32"/>
          <w:szCs w:val="32"/>
          <w:rtl w:val="0"/>
        </w:rPr>
        <w:t>五、组织实施</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default" w:ascii="宋体" w:hAnsi="宋体" w:eastAsia="方正仿宋_GBK" w:cs="Nimbus Roman No9 L"/>
          <w:sz w:val="32"/>
          <w:szCs w:val="32"/>
        </w:rPr>
        <w:t>严格按照《中华人民共和国食品安全法》《中华人民共和国食品安全法实施条例》《食品安全抽样检验管理办法》（总局令第15号）等要求执行。</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（一）抽样检验。</w:t>
      </w:r>
      <w:r>
        <w:rPr>
          <w:rFonts w:hint="default" w:ascii="宋体" w:hAnsi="宋体" w:eastAsia="方正仿宋_GBK" w:cs="Nimbus Roman No9 L"/>
          <w:sz w:val="32"/>
          <w:szCs w:val="32"/>
        </w:rPr>
        <w:t>区级抽检任务参照《2022年四川省食品安全监督抽检实施细则》执行，抽样过程中发现企业停产的要做好记录报告。区级抽检任务全面通过“国家食品安全抽样检验信息系统”实时录入抽样检验信息，使用移动终端抽样和出具电子检验报告，抽样编号自动生成。食品抽样备份样品处置工作按照《食品安全抽样检验备份样品处置工作规程》执行。</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（二）数据报送。</w:t>
      </w:r>
      <w:r>
        <w:rPr>
          <w:rFonts w:hint="default" w:ascii="宋体" w:hAnsi="宋体" w:eastAsia="方正仿宋_GBK" w:cs="Nimbus Roman No9 L"/>
          <w:sz w:val="32"/>
          <w:szCs w:val="32"/>
        </w:rPr>
        <w:t>区级抽检任务数据全部报送至“国抽系统”，全面在线进行计划制定、任务部署、基础表编辑、抽样检验数据录入、核查处置领取办理审核及公示信息上传等工作，全面遵守系统各环节数据填报时限要求。数据上报人员应确保数据报送的准确性、规范性和安全性。对抽检中发现的可能对身体健康和生命安全造成严重危害的不合格样品，承检机构应当在确认检验结果后24小时之内报告组织实施的市场监管部门，并抄报上一级市场监管部门。</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tl w:val="0"/>
        </w:rPr>
      </w:pPr>
      <w:r>
        <w:rPr>
          <w:rFonts w:hint="eastAsia" w:ascii="宋体" w:hAnsi="宋体" w:eastAsia="方正楷体_GBK" w:cs="方正楷体_GBK"/>
          <w:b/>
          <w:sz w:val="32"/>
          <w:szCs w:val="32"/>
          <w:rtl w:val="0"/>
        </w:rPr>
        <w:t>（三）复检异议。</w:t>
      </w:r>
      <w:r>
        <w:rPr>
          <w:rFonts w:hint="default" w:ascii="宋体" w:hAnsi="宋体" w:eastAsia="方正仿宋_GBK" w:cs="Nimbus Roman No9 L"/>
          <w:sz w:val="32"/>
          <w:szCs w:val="32"/>
        </w:rPr>
        <w:t>区市场监管部门受理复检异议具体工作严格按照《食品安全抽样检验管理办法》（总局令第15号）和总局关于食品安全监督抽检复检和异议工作的要求执行。复检和异议受理后，受理部门应及时登录“国抽系统”进行登记、办理及审核。</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tl w:val="0"/>
        </w:rPr>
      </w:pPr>
      <w:r>
        <w:rPr>
          <w:rFonts w:hint="eastAsia" w:ascii="宋体" w:hAnsi="宋体" w:eastAsia="方正楷体_GBK" w:cs="方正楷体_GBK"/>
          <w:b/>
          <w:sz w:val="32"/>
          <w:szCs w:val="32"/>
          <w:rtl w:val="0"/>
        </w:rPr>
        <w:t>（四）核查处置。</w:t>
      </w:r>
      <w:r>
        <w:rPr>
          <w:rFonts w:hint="default" w:ascii="宋体" w:hAnsi="宋体" w:eastAsia="方正仿宋_GBK" w:cs="Nimbus Roman No9 L"/>
          <w:sz w:val="32"/>
          <w:szCs w:val="32"/>
        </w:rPr>
        <w:t>区市场监管</w:t>
      </w:r>
      <w:r>
        <w:rPr>
          <w:rFonts w:hint="eastAsia" w:ascii="宋体" w:hAnsi="宋体" w:eastAsia="方正仿宋_GBK" w:cs="Nimbus Roman No9 L"/>
          <w:sz w:val="32"/>
          <w:szCs w:val="32"/>
          <w:lang w:eastAsia="zh-CN"/>
        </w:rPr>
        <w:t>部门</w:t>
      </w:r>
      <w:r>
        <w:rPr>
          <w:rFonts w:hint="default" w:ascii="宋体" w:hAnsi="宋体" w:eastAsia="方正仿宋_GBK" w:cs="Nimbus Roman No9 L"/>
          <w:sz w:val="32"/>
          <w:szCs w:val="32"/>
        </w:rPr>
        <w:t>应按照《食品安全抽样检验管理办法》(总局令第15号)《资阳市市场监督管理局食品安全抽检监测核查处置联动工作规范》等相关规定，收到不合格食品检验报告后应及时送达食品生产经营者，按规定要求督促其采取风险控制措施，依法开展核查处置工作，并通过“国抽系统”及时填报核查处置工作进展，确保启动处置及时、产品控制到位、原因排查到位、行政处罚到位、整改复查到位、通报移送到位。不合格检验结论表明可能对身体健康和生命安全造成严重危害的，应在 24 小时内启动核查处置工作。</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（五）信息公布。</w:t>
      </w:r>
      <w:r>
        <w:rPr>
          <w:rFonts w:hint="default" w:ascii="宋体" w:hAnsi="宋体" w:eastAsia="方正仿宋_GBK" w:cs="Nimbus Roman No9 L"/>
          <w:sz w:val="32"/>
          <w:szCs w:val="32"/>
        </w:rPr>
        <w:t>区市场监管部门应按照《食品安全抽样检验管理办法》(总局令第15号)《食品安全监督抽检信息公布工作规程》等相关规定，及时公布监督抽检和核查处置信息，同时加强敏感信息的审核把关。公布信息严格按照总局统一格式和要求，并对不合格产品信息进行风险解读。监督抽检结果信息公开与否都应按有关规定要求履行报批程序。区级市场监管部门负责公布本级抽检结果和本级核查处置信息。</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eastAsia" w:ascii="宋体" w:hAnsi="宋体" w:eastAsia="方正黑体_GBK" w:cs="方正黑体_GBK"/>
          <w:color w:val="000000"/>
          <w:spacing w:val="0"/>
          <w:sz w:val="32"/>
          <w:szCs w:val="32"/>
          <w:rtl w:val="0"/>
        </w:rPr>
      </w:pPr>
      <w:r>
        <w:rPr>
          <w:rFonts w:hint="eastAsia" w:ascii="宋体" w:hAnsi="宋体" w:eastAsia="方正黑体_GBK" w:cs="方正黑体_GBK"/>
          <w:color w:val="000000"/>
          <w:spacing w:val="0"/>
          <w:sz w:val="32"/>
          <w:szCs w:val="32"/>
          <w:rtl w:val="0"/>
        </w:rPr>
        <w:t>六、工作要求</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tl w:val="0"/>
        </w:rPr>
      </w:pPr>
      <w:r>
        <w:rPr>
          <w:rFonts w:hint="eastAsia" w:ascii="宋体" w:hAnsi="宋体" w:eastAsia="方正楷体_GBK" w:cs="方正楷体_GBK"/>
          <w:b/>
          <w:sz w:val="32"/>
          <w:szCs w:val="32"/>
          <w:rtl w:val="0"/>
        </w:rPr>
        <w:t>（一）实施均衡抽检。</w:t>
      </w:r>
      <w:r>
        <w:rPr>
          <w:rFonts w:hint="default" w:ascii="宋体" w:hAnsi="宋体" w:eastAsia="方正仿宋_GBK" w:cs="Nimbus Roman No9 L"/>
          <w:sz w:val="32"/>
          <w:szCs w:val="32"/>
        </w:rPr>
        <w:t>结合本年度抽检任务，从时间、区域、品种上推进均衡抽检，确保年度任务均衡推进，按时按质完成。</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（二）突出风险研判。</w:t>
      </w:r>
      <w:r>
        <w:rPr>
          <w:rFonts w:hint="default" w:ascii="宋体" w:hAnsi="宋体" w:eastAsia="方正仿宋_GBK" w:cs="Nimbus Roman No9 L"/>
          <w:sz w:val="32"/>
          <w:szCs w:val="32"/>
        </w:rPr>
        <w:t>每季召开一次食品安全风险研判，形成风险研判报告并报送</w:t>
      </w:r>
      <w:r>
        <w:rPr>
          <w:rFonts w:hint="eastAsia" w:ascii="宋体" w:hAnsi="宋体" w:eastAsia="方正仿宋_GBK" w:cs="Nimbus Roman No9 L"/>
          <w:sz w:val="32"/>
          <w:szCs w:val="32"/>
          <w:lang w:eastAsia="zh-CN"/>
        </w:rPr>
        <w:t>市市场监管局</w:t>
      </w:r>
      <w:r>
        <w:rPr>
          <w:rFonts w:hint="default" w:ascii="宋体" w:hAnsi="宋体" w:eastAsia="方正仿宋_GBK" w:cs="Nimbus Roman No9 L"/>
          <w:sz w:val="32"/>
          <w:szCs w:val="32"/>
        </w:rPr>
        <w:t>。报告应聚焦区域性、系统性、突出性、前瞻性问题，提出针对性监管措施和下一步风险控制手段，及时化解风险隐患。</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（三）强化经费保障。</w:t>
      </w:r>
      <w:r>
        <w:rPr>
          <w:rFonts w:hint="default" w:ascii="宋体" w:hAnsi="宋体" w:eastAsia="方正仿宋_GBK" w:cs="Nimbus Roman No9 L"/>
          <w:sz w:val="32"/>
          <w:szCs w:val="32"/>
        </w:rPr>
        <w:t>区级食品（含食用农产品）抽检所需经费由属地财政解决。坚持抽检经费专款专用，杜绝利用抽检监测开展有偿活动、牟取不正当利益。</w:t>
      </w:r>
    </w:p>
    <w:p>
      <w:pPr>
        <w:keepNext w:val="0"/>
        <w:keepLines w:val="0"/>
        <w:pageBreakBefore w:val="0"/>
        <w:kinsoku/>
        <w:wordWrap/>
        <w:overflowPunct/>
        <w:topLinePunct w:val="0"/>
        <w:bidi w:val="0"/>
        <w:adjustRightInd/>
        <w:snapToGrid/>
        <w:spacing w:before="0" w:line="580" w:lineRule="exact"/>
        <w:ind w:left="0" w:leftChars="0" w:right="0" w:firstLine="638"/>
        <w:jc w:val="left"/>
        <w:textAlignment w:val="auto"/>
        <w:rPr>
          <w:rFonts w:hint="default" w:ascii="宋体" w:hAnsi="宋体" w:eastAsia="方正仿宋_GBK" w:cs="Nimbus Roman No9 L"/>
          <w:sz w:val="32"/>
          <w:szCs w:val="32"/>
        </w:rPr>
      </w:pPr>
      <w:r>
        <w:rPr>
          <w:rFonts w:hint="eastAsia" w:ascii="宋体" w:hAnsi="宋体" w:eastAsia="方正楷体_GBK" w:cs="方正楷体_GBK"/>
          <w:b/>
          <w:sz w:val="32"/>
          <w:szCs w:val="32"/>
          <w:rtl w:val="0"/>
        </w:rPr>
        <w:t>（</w:t>
      </w:r>
      <w:r>
        <w:rPr>
          <w:rFonts w:hint="eastAsia" w:ascii="宋体" w:hAnsi="宋体" w:eastAsia="方正楷体_GBK" w:cs="方正楷体_GBK"/>
          <w:b/>
          <w:sz w:val="32"/>
          <w:szCs w:val="32"/>
          <w:rtl w:val="0"/>
          <w:lang w:eastAsia="zh-CN"/>
        </w:rPr>
        <w:t>四</w:t>
      </w:r>
      <w:r>
        <w:rPr>
          <w:rFonts w:hint="eastAsia" w:ascii="宋体" w:hAnsi="宋体" w:eastAsia="方正楷体_GBK" w:cs="方正楷体_GBK"/>
          <w:b/>
          <w:sz w:val="32"/>
          <w:szCs w:val="32"/>
          <w:rtl w:val="0"/>
        </w:rPr>
        <w:t>）按时报送情况。</w:t>
      </w:r>
      <w:r>
        <w:rPr>
          <w:rFonts w:hint="eastAsia" w:ascii="宋体" w:hAnsi="宋体" w:eastAsia="方正仿宋_GBK" w:cs="Nimbus Roman No9 L"/>
          <w:sz w:val="32"/>
          <w:szCs w:val="32"/>
          <w:rtl w:val="0"/>
          <w:lang w:eastAsia="zh-CN"/>
        </w:rPr>
        <w:t>分局</w:t>
      </w:r>
      <w:r>
        <w:rPr>
          <w:rFonts w:hint="default" w:ascii="宋体" w:hAnsi="宋体" w:eastAsia="方正仿宋_GBK" w:cs="Nimbus Roman No9 L"/>
          <w:sz w:val="32"/>
          <w:szCs w:val="32"/>
        </w:rPr>
        <w:t>于2022年12月5日前将对本行政区域内抽检情况进行总结，并将抽检年度工作总结报送市局食品抽检监测科。</w:t>
      </w:r>
    </w:p>
    <w:p>
      <w:pPr>
        <w:keepNext w:val="0"/>
        <w:keepLines w:val="0"/>
        <w:pageBreakBefore w:val="0"/>
        <w:widowControl/>
        <w:kinsoku/>
        <w:wordWrap/>
        <w:overflowPunct/>
        <w:topLinePunct w:val="0"/>
        <w:autoSpaceDE w:val="0"/>
        <w:autoSpaceDN w:val="0"/>
        <w:bidi w:val="0"/>
        <w:adjustRightInd/>
        <w:snapToGrid/>
        <w:spacing w:before="0" w:line="580" w:lineRule="exact"/>
        <w:ind w:left="0" w:leftChars="0" w:right="0" w:firstLine="638"/>
        <w:jc w:val="both"/>
        <w:textAlignment w:val="auto"/>
        <w:rPr>
          <w:rFonts w:hint="default" w:ascii="宋体" w:hAnsi="宋体" w:eastAsia="方正仿宋_GBK" w:cs="Nimbus Roman No9 L"/>
          <w:sz w:val="32"/>
          <w:szCs w:val="32"/>
        </w:rPr>
      </w:pPr>
      <w:r>
        <w:rPr>
          <w:rFonts w:hint="default" w:ascii="宋体" w:hAnsi="宋体" w:eastAsia="方正仿宋_GBK" w:cs="Nimbus Roman No9 L"/>
          <w:sz w:val="32"/>
          <w:szCs w:val="32"/>
        </w:rPr>
        <w:t>附件：1、资阳市市场监督管理局高新区分局2022年食品安全监督抽检任务计划表</w:t>
      </w:r>
    </w:p>
    <w:p>
      <w:pPr>
        <w:keepNext w:val="0"/>
        <w:keepLines w:val="0"/>
        <w:pageBreakBefore w:val="0"/>
        <w:widowControl/>
        <w:numPr>
          <w:ilvl w:val="0"/>
          <w:numId w:val="0"/>
        </w:numPr>
        <w:kinsoku/>
        <w:wordWrap/>
        <w:overflowPunct/>
        <w:topLinePunct w:val="0"/>
        <w:autoSpaceDE w:val="0"/>
        <w:autoSpaceDN w:val="0"/>
        <w:bidi w:val="0"/>
        <w:adjustRightInd/>
        <w:snapToGrid/>
        <w:spacing w:before="0" w:line="580" w:lineRule="exact"/>
        <w:ind w:right="0" w:rightChars="0" w:firstLine="1600" w:firstLineChars="500"/>
        <w:jc w:val="both"/>
        <w:textAlignment w:val="auto"/>
        <w:rPr>
          <w:rFonts w:hint="default" w:ascii="宋体" w:hAnsi="宋体" w:eastAsia="方正仿宋_GBK" w:cs="Nimbus Roman No9 L"/>
          <w:color w:val="000000"/>
          <w:sz w:val="32"/>
          <w:szCs w:val="32"/>
          <w:lang w:val="en-US" w:eastAsia="zh-CN"/>
        </w:rPr>
      </w:pPr>
      <w:r>
        <w:rPr>
          <w:rFonts w:hint="eastAsia" w:ascii="宋体" w:hAnsi="宋体" w:eastAsia="方正仿宋_GBK" w:cs="Nimbus Roman No9 L"/>
          <w:sz w:val="32"/>
          <w:szCs w:val="32"/>
          <w:lang w:val="en-US" w:eastAsia="zh-CN"/>
        </w:rPr>
        <w:t>2、</w:t>
      </w:r>
      <w:r>
        <w:rPr>
          <w:rFonts w:hint="default" w:ascii="宋体" w:hAnsi="宋体" w:eastAsia="方正仿宋_GBK" w:cs="Nimbus Roman No9 L"/>
          <w:sz w:val="32"/>
          <w:szCs w:val="32"/>
        </w:rPr>
        <w:t>资阳市市场监督管理局高新区分局2022年食用农产品监督抽检任务</w:t>
      </w:r>
      <w:r>
        <w:rPr>
          <w:rFonts w:hint="eastAsia" w:ascii="宋体" w:hAnsi="宋体" w:eastAsia="方正仿宋_GBK" w:cs="Nimbus Roman No9 L"/>
          <w:sz w:val="32"/>
          <w:szCs w:val="32"/>
          <w:lang w:eastAsia="zh-CN"/>
        </w:rPr>
        <w:t>计划</w:t>
      </w:r>
    </w:p>
    <w:bookmarkEnd w:id="4"/>
    <w:sectPr>
      <w:footerReference r:id="rId3" w:type="default"/>
      <w:pgSz w:w="11906" w:h="16838"/>
      <w:pgMar w:top="2098" w:right="1474" w:bottom="1984" w:left="1587" w:header="851" w:footer="1474" w:gutter="0"/>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5798541-C18C-42F3-818A-CD991B121392}"/>
  </w:font>
  <w:font w:name="Arial">
    <w:panose1 w:val="020B0604020202020204"/>
    <w:charset w:val="01"/>
    <w:family w:val="swiss"/>
    <w:pitch w:val="default"/>
    <w:sig w:usb0="E0002EFF" w:usb1="C000785B" w:usb2="00000009" w:usb3="00000000" w:csb0="400001FF" w:csb1="FFFF0000"/>
    <w:embedRegular r:id="rId2" w:fontKey="{94A1E2D6-824B-47ED-A206-65993AAAB05A}"/>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B9A062EB-8122-42CD-A277-917ECC6C86A2}"/>
  </w:font>
  <w:font w:name="Symbol">
    <w:panose1 w:val="05050102010706020507"/>
    <w:charset w:val="02"/>
    <w:family w:val="roman"/>
    <w:pitch w:val="default"/>
    <w:sig w:usb0="00000000" w:usb1="00000000" w:usb2="00000000" w:usb3="00000000" w:csb0="80000000" w:csb1="00000000"/>
    <w:embedRegular r:id="rId4" w:fontKey="{67C2A35A-3F59-4984-86DF-BC45E2FE2446}"/>
  </w:font>
  <w:font w:name="Calibri">
    <w:panose1 w:val="020F0502020204030204"/>
    <w:charset w:val="00"/>
    <w:family w:val="swiss"/>
    <w:pitch w:val="default"/>
    <w:sig w:usb0="E4002EFF" w:usb1="C000247B" w:usb2="00000009" w:usb3="00000000" w:csb0="200001FF" w:csb1="00000000"/>
    <w:embedRegular r:id="rId5" w:fontKey="{7C606641-D03B-4F25-88ED-0AAFE208D863}"/>
  </w:font>
  <w:font w:name="方正仿宋简体">
    <w:panose1 w:val="02010601030101010101"/>
    <w:charset w:val="86"/>
    <w:family w:val="script"/>
    <w:pitch w:val="default"/>
    <w:sig w:usb0="00000001" w:usb1="080E0000" w:usb2="00000000" w:usb3="00000000" w:csb0="00040000" w:csb1="00000000"/>
  </w:font>
  <w:font w:name="Nimbus Roman No9 L">
    <w:altName w:val="Segoe Print"/>
    <w:panose1 w:val="00000000000000000000"/>
    <w:charset w:val="00"/>
    <w:family w:val="auto"/>
    <w:pitch w:val="default"/>
    <w:sig w:usb0="00000000" w:usb1="00000000" w:usb2="00000000" w:usb3="00000000" w:csb0="00000000" w:csb1="00000000"/>
    <w:embedRegular r:id="rId6" w:fontKey="{A72E21FA-97A2-4373-ABF2-E33B28C4D39C}"/>
  </w:font>
  <w:font w:name="Segoe Print">
    <w:panose1 w:val="02000600000000000000"/>
    <w:charset w:val="00"/>
    <w:family w:val="auto"/>
    <w:pitch w:val="default"/>
    <w:sig w:usb0="0000028F" w:usb1="00000000" w:usb2="00000000" w:usb3="00000000" w:csb0="2000009F" w:csb1="47010000"/>
    <w:embedRegular r:id="rId7" w:fontKey="{76EAD819-E971-4CD2-AE16-088BD5BC8335}"/>
  </w:font>
  <w:font w:name="方正仿宋_GBK">
    <w:panose1 w:val="03000509000000000000"/>
    <w:charset w:val="86"/>
    <w:family w:val="script"/>
    <w:pitch w:val="default"/>
    <w:sig w:usb0="00000001" w:usb1="080E0000" w:usb2="00000000" w:usb3="00000000" w:csb0="00040000" w:csb1="00000000"/>
    <w:embedRegular r:id="rId8" w:fontKey="{7C9312EF-EC4D-4D81-AEAD-435F33101F36}"/>
  </w:font>
  <w:font w:name="方正小标宋简体">
    <w:panose1 w:val="02010601030101010101"/>
    <w:charset w:val="86"/>
    <w:family w:val="script"/>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9" w:fontKey="{DCB9D8E2-C1B2-4AD7-BCA8-E055599C3376}"/>
  </w:font>
  <w:font w:name="方正黑体_GBK">
    <w:panose1 w:val="03000509000000000000"/>
    <w:charset w:val="86"/>
    <w:family w:val="auto"/>
    <w:pitch w:val="default"/>
    <w:sig w:usb0="00000001" w:usb1="080E0000" w:usb2="00000000" w:usb3="00000000" w:csb0="00040000" w:csb1="00000000"/>
    <w:embedRegular r:id="rId10" w:fontKey="{A3883B87-06F3-4F97-A02F-435894F5DFFC}"/>
  </w:font>
  <w:font w:name="方正楷体_GBK">
    <w:panose1 w:val="03000509000000000000"/>
    <w:charset w:val="86"/>
    <w:family w:val="auto"/>
    <w:pitch w:val="default"/>
    <w:sig w:usb0="00000001" w:usb1="080E0000" w:usb2="00000000" w:usb3="00000000" w:csb0="00040000" w:csb1="00000000"/>
    <w:embedRegular r:id="rId11" w:fontKey="{34367E44-06FB-46F8-B6CE-909A84147AC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right"/>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jc w:val="right"/>
                          </w:pPr>
                          <w:r>
                            <w:rPr>
                              <w:rStyle w:val="12"/>
                              <w:rFonts w:ascii="Times New Roman" w:hAnsi="Times New Roman"/>
                              <w:sz w:val="28"/>
                              <w:szCs w:val="28"/>
                            </w:rPr>
                            <w:t xml:space="preserve">— </w:t>
                          </w:r>
                          <w:r>
                            <w:rPr>
                              <w:rStyle w:val="12"/>
                              <w:rFonts w:ascii="Times New Roman" w:hAnsi="Times New Roman"/>
                              <w:sz w:val="28"/>
                              <w:szCs w:val="28"/>
                            </w:rPr>
                            <w:fldChar w:fldCharType="begin"/>
                          </w:r>
                          <w:r>
                            <w:rPr>
                              <w:rStyle w:val="12"/>
                              <w:rFonts w:ascii="Times New Roman" w:hAnsi="Times New Roman"/>
                              <w:sz w:val="28"/>
                              <w:szCs w:val="28"/>
                            </w:rPr>
                            <w:instrText xml:space="preserve">PAGE  </w:instrText>
                          </w:r>
                          <w:r>
                            <w:rPr>
                              <w:rStyle w:val="12"/>
                              <w:rFonts w:ascii="Times New Roman" w:hAnsi="Times New Roman"/>
                              <w:sz w:val="28"/>
                              <w:szCs w:val="28"/>
                            </w:rPr>
                            <w:fldChar w:fldCharType="separate"/>
                          </w:r>
                          <w:r>
                            <w:rPr>
                              <w:rStyle w:val="12"/>
                              <w:rFonts w:ascii="Times New Roman" w:hAnsi="Times New Roman"/>
                              <w:sz w:val="28"/>
                              <w:szCs w:val="28"/>
                            </w:rPr>
                            <w:t>9</w:t>
                          </w:r>
                          <w:r>
                            <w:rPr>
                              <w:rStyle w:val="12"/>
                              <w:rFonts w:ascii="Times New Roman" w:hAnsi="Times New Roman"/>
                              <w:sz w:val="28"/>
                              <w:szCs w:val="28"/>
                            </w:rPr>
                            <w:fldChar w:fldCharType="end"/>
                          </w:r>
                          <w:r>
                            <w:rPr>
                              <w:rStyle w:val="12"/>
                              <w:rFonts w:ascii="Times New Roman" w:hAnsi="Times New Roman"/>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6"/>
                      <w:jc w:val="right"/>
                    </w:pPr>
                    <w:r>
                      <w:rPr>
                        <w:rStyle w:val="12"/>
                        <w:rFonts w:ascii="Times New Roman" w:hAnsi="Times New Roman"/>
                        <w:sz w:val="28"/>
                        <w:szCs w:val="28"/>
                      </w:rPr>
                      <w:t xml:space="preserve">— </w:t>
                    </w:r>
                    <w:r>
                      <w:rPr>
                        <w:rStyle w:val="12"/>
                        <w:rFonts w:ascii="Times New Roman" w:hAnsi="Times New Roman"/>
                        <w:sz w:val="28"/>
                        <w:szCs w:val="28"/>
                      </w:rPr>
                      <w:fldChar w:fldCharType="begin"/>
                    </w:r>
                    <w:r>
                      <w:rPr>
                        <w:rStyle w:val="12"/>
                        <w:rFonts w:ascii="Times New Roman" w:hAnsi="Times New Roman"/>
                        <w:sz w:val="28"/>
                        <w:szCs w:val="28"/>
                      </w:rPr>
                      <w:instrText xml:space="preserve">PAGE  </w:instrText>
                    </w:r>
                    <w:r>
                      <w:rPr>
                        <w:rStyle w:val="12"/>
                        <w:rFonts w:ascii="Times New Roman" w:hAnsi="Times New Roman"/>
                        <w:sz w:val="28"/>
                        <w:szCs w:val="28"/>
                      </w:rPr>
                      <w:fldChar w:fldCharType="separate"/>
                    </w:r>
                    <w:r>
                      <w:rPr>
                        <w:rStyle w:val="12"/>
                        <w:rFonts w:ascii="Times New Roman" w:hAnsi="Times New Roman"/>
                        <w:sz w:val="28"/>
                        <w:szCs w:val="28"/>
                      </w:rPr>
                      <w:t>9</w:t>
                    </w:r>
                    <w:r>
                      <w:rPr>
                        <w:rStyle w:val="12"/>
                        <w:rFonts w:ascii="Times New Roman" w:hAnsi="Times New Roman"/>
                        <w:sz w:val="28"/>
                        <w:szCs w:val="28"/>
                      </w:rPr>
                      <w:fldChar w:fldCharType="end"/>
                    </w:r>
                    <w:r>
                      <w:rPr>
                        <w:rStyle w:val="12"/>
                        <w:rFonts w:ascii="Times New Roman" w:hAnsi="Times New Roman"/>
                        <w:sz w:val="28"/>
                        <w:szCs w:val="28"/>
                      </w:rP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RhYjA1ODI4NDk1YmE5NmY0N2VkYWMxNTYxODA5ZjgifQ=="/>
  </w:docVars>
  <w:rsids>
    <w:rsidRoot w:val="00E30B2F"/>
    <w:rsid w:val="000156F6"/>
    <w:rsid w:val="0001603D"/>
    <w:rsid w:val="00020A03"/>
    <w:rsid w:val="00041070"/>
    <w:rsid w:val="000863C3"/>
    <w:rsid w:val="000A3611"/>
    <w:rsid w:val="000C5C7F"/>
    <w:rsid w:val="00117A42"/>
    <w:rsid w:val="00144EFB"/>
    <w:rsid w:val="0017456A"/>
    <w:rsid w:val="00185D84"/>
    <w:rsid w:val="0019372D"/>
    <w:rsid w:val="001B410B"/>
    <w:rsid w:val="001F0D84"/>
    <w:rsid w:val="00223FE4"/>
    <w:rsid w:val="002277C7"/>
    <w:rsid w:val="00230F43"/>
    <w:rsid w:val="00240D62"/>
    <w:rsid w:val="00265038"/>
    <w:rsid w:val="002719F5"/>
    <w:rsid w:val="00290228"/>
    <w:rsid w:val="0029542E"/>
    <w:rsid w:val="00296601"/>
    <w:rsid w:val="002D1F9A"/>
    <w:rsid w:val="002D3075"/>
    <w:rsid w:val="002E5F25"/>
    <w:rsid w:val="0030502D"/>
    <w:rsid w:val="0035035C"/>
    <w:rsid w:val="00383E59"/>
    <w:rsid w:val="00385916"/>
    <w:rsid w:val="003A09C9"/>
    <w:rsid w:val="003A1DE7"/>
    <w:rsid w:val="003A755E"/>
    <w:rsid w:val="00400437"/>
    <w:rsid w:val="00435B19"/>
    <w:rsid w:val="00453C37"/>
    <w:rsid w:val="00472D84"/>
    <w:rsid w:val="00473A9F"/>
    <w:rsid w:val="00474227"/>
    <w:rsid w:val="004843FE"/>
    <w:rsid w:val="004D0EFB"/>
    <w:rsid w:val="004D5EDB"/>
    <w:rsid w:val="004D60ED"/>
    <w:rsid w:val="004E7A3F"/>
    <w:rsid w:val="00507723"/>
    <w:rsid w:val="00510A57"/>
    <w:rsid w:val="0052126F"/>
    <w:rsid w:val="005441B1"/>
    <w:rsid w:val="0055482F"/>
    <w:rsid w:val="005556AD"/>
    <w:rsid w:val="005602FF"/>
    <w:rsid w:val="00567157"/>
    <w:rsid w:val="00576013"/>
    <w:rsid w:val="0058075B"/>
    <w:rsid w:val="0058091E"/>
    <w:rsid w:val="00591DD6"/>
    <w:rsid w:val="005C45A0"/>
    <w:rsid w:val="005D21C5"/>
    <w:rsid w:val="005E2103"/>
    <w:rsid w:val="005E4880"/>
    <w:rsid w:val="005F442B"/>
    <w:rsid w:val="005F61BF"/>
    <w:rsid w:val="00614FFE"/>
    <w:rsid w:val="006426B9"/>
    <w:rsid w:val="0065569F"/>
    <w:rsid w:val="006630DE"/>
    <w:rsid w:val="00671049"/>
    <w:rsid w:val="00675D21"/>
    <w:rsid w:val="00684F35"/>
    <w:rsid w:val="006A0EBB"/>
    <w:rsid w:val="006A0F8C"/>
    <w:rsid w:val="006C41E4"/>
    <w:rsid w:val="006D7873"/>
    <w:rsid w:val="006E0FA2"/>
    <w:rsid w:val="006E2613"/>
    <w:rsid w:val="006F31E5"/>
    <w:rsid w:val="006F7D9D"/>
    <w:rsid w:val="0070288F"/>
    <w:rsid w:val="00706A5B"/>
    <w:rsid w:val="00712D72"/>
    <w:rsid w:val="007324C7"/>
    <w:rsid w:val="007377A4"/>
    <w:rsid w:val="00762E93"/>
    <w:rsid w:val="00773C05"/>
    <w:rsid w:val="00796C08"/>
    <w:rsid w:val="007B0CF7"/>
    <w:rsid w:val="007C0F83"/>
    <w:rsid w:val="007C4C4A"/>
    <w:rsid w:val="007D09B0"/>
    <w:rsid w:val="007D67F2"/>
    <w:rsid w:val="007D79FB"/>
    <w:rsid w:val="00811D18"/>
    <w:rsid w:val="00823C88"/>
    <w:rsid w:val="008248F8"/>
    <w:rsid w:val="008337C6"/>
    <w:rsid w:val="008435BA"/>
    <w:rsid w:val="00846D66"/>
    <w:rsid w:val="0085484F"/>
    <w:rsid w:val="008969A0"/>
    <w:rsid w:val="008A0B80"/>
    <w:rsid w:val="008A3C01"/>
    <w:rsid w:val="008B3FD4"/>
    <w:rsid w:val="008D5AC3"/>
    <w:rsid w:val="008E1425"/>
    <w:rsid w:val="008F0615"/>
    <w:rsid w:val="008F17C8"/>
    <w:rsid w:val="00906819"/>
    <w:rsid w:val="00916CE6"/>
    <w:rsid w:val="00945081"/>
    <w:rsid w:val="00947529"/>
    <w:rsid w:val="00957BAE"/>
    <w:rsid w:val="00967742"/>
    <w:rsid w:val="00976FFD"/>
    <w:rsid w:val="00982F41"/>
    <w:rsid w:val="00A0371D"/>
    <w:rsid w:val="00A118AA"/>
    <w:rsid w:val="00A37C52"/>
    <w:rsid w:val="00A41153"/>
    <w:rsid w:val="00A76FEC"/>
    <w:rsid w:val="00A8251C"/>
    <w:rsid w:val="00A8464E"/>
    <w:rsid w:val="00A862A3"/>
    <w:rsid w:val="00A86CE0"/>
    <w:rsid w:val="00A872F7"/>
    <w:rsid w:val="00A95D4D"/>
    <w:rsid w:val="00AB3D3C"/>
    <w:rsid w:val="00AB723E"/>
    <w:rsid w:val="00B12AE9"/>
    <w:rsid w:val="00B1600F"/>
    <w:rsid w:val="00B167CB"/>
    <w:rsid w:val="00B17418"/>
    <w:rsid w:val="00B30948"/>
    <w:rsid w:val="00B468F2"/>
    <w:rsid w:val="00B54BFB"/>
    <w:rsid w:val="00B65123"/>
    <w:rsid w:val="00B67672"/>
    <w:rsid w:val="00BB0DD4"/>
    <w:rsid w:val="00BC1B73"/>
    <w:rsid w:val="00BC1D98"/>
    <w:rsid w:val="00BC3493"/>
    <w:rsid w:val="00BD044F"/>
    <w:rsid w:val="00BE0FDE"/>
    <w:rsid w:val="00C030E2"/>
    <w:rsid w:val="00C11356"/>
    <w:rsid w:val="00C12633"/>
    <w:rsid w:val="00C135CB"/>
    <w:rsid w:val="00C24094"/>
    <w:rsid w:val="00C32206"/>
    <w:rsid w:val="00C33624"/>
    <w:rsid w:val="00C9090D"/>
    <w:rsid w:val="00CC0845"/>
    <w:rsid w:val="00CC60DD"/>
    <w:rsid w:val="00CD3BC2"/>
    <w:rsid w:val="00D03585"/>
    <w:rsid w:val="00D70BF6"/>
    <w:rsid w:val="00D8337A"/>
    <w:rsid w:val="00D843EF"/>
    <w:rsid w:val="00D85889"/>
    <w:rsid w:val="00DA0103"/>
    <w:rsid w:val="00DD1320"/>
    <w:rsid w:val="00DD71F1"/>
    <w:rsid w:val="00E12E9C"/>
    <w:rsid w:val="00E30B2F"/>
    <w:rsid w:val="00E54555"/>
    <w:rsid w:val="00E56E2C"/>
    <w:rsid w:val="00E905C8"/>
    <w:rsid w:val="00E97083"/>
    <w:rsid w:val="00EB2D30"/>
    <w:rsid w:val="00EC70CF"/>
    <w:rsid w:val="00EE589E"/>
    <w:rsid w:val="00EF17D9"/>
    <w:rsid w:val="00EF596E"/>
    <w:rsid w:val="00F103A8"/>
    <w:rsid w:val="00F33BAE"/>
    <w:rsid w:val="00F462E1"/>
    <w:rsid w:val="00F53FE3"/>
    <w:rsid w:val="00F71DDA"/>
    <w:rsid w:val="00F91F72"/>
    <w:rsid w:val="00FC20C9"/>
    <w:rsid w:val="00FD3C6B"/>
    <w:rsid w:val="00FE0F85"/>
    <w:rsid w:val="00FF075A"/>
    <w:rsid w:val="038D4567"/>
    <w:rsid w:val="03AE1CBD"/>
    <w:rsid w:val="03EE00F5"/>
    <w:rsid w:val="06190B14"/>
    <w:rsid w:val="07490DA0"/>
    <w:rsid w:val="07FFEBE9"/>
    <w:rsid w:val="09302EEF"/>
    <w:rsid w:val="0A7B20A8"/>
    <w:rsid w:val="0BAE17FA"/>
    <w:rsid w:val="0C3E0B46"/>
    <w:rsid w:val="0CE32757"/>
    <w:rsid w:val="0D0B2393"/>
    <w:rsid w:val="0E4275AA"/>
    <w:rsid w:val="0FC76BC1"/>
    <w:rsid w:val="11425BCF"/>
    <w:rsid w:val="12352DD7"/>
    <w:rsid w:val="13114718"/>
    <w:rsid w:val="13880F4E"/>
    <w:rsid w:val="13BC12FF"/>
    <w:rsid w:val="13F06049"/>
    <w:rsid w:val="154E6A56"/>
    <w:rsid w:val="17155571"/>
    <w:rsid w:val="18230C93"/>
    <w:rsid w:val="18BF4580"/>
    <w:rsid w:val="19A53297"/>
    <w:rsid w:val="1A8A74ED"/>
    <w:rsid w:val="1AD01BF0"/>
    <w:rsid w:val="1C310697"/>
    <w:rsid w:val="1CA65C33"/>
    <w:rsid w:val="1DDE1656"/>
    <w:rsid w:val="1DFC7B1E"/>
    <w:rsid w:val="1DFD74E5"/>
    <w:rsid w:val="1E026C30"/>
    <w:rsid w:val="1E9E219F"/>
    <w:rsid w:val="22CB787E"/>
    <w:rsid w:val="23310BC6"/>
    <w:rsid w:val="24055A17"/>
    <w:rsid w:val="2425401F"/>
    <w:rsid w:val="24455BF3"/>
    <w:rsid w:val="25183730"/>
    <w:rsid w:val="25A444A3"/>
    <w:rsid w:val="26223CB7"/>
    <w:rsid w:val="27BE5897"/>
    <w:rsid w:val="27EA226A"/>
    <w:rsid w:val="28077CAF"/>
    <w:rsid w:val="28712CD7"/>
    <w:rsid w:val="287D108F"/>
    <w:rsid w:val="2969304A"/>
    <w:rsid w:val="29AA6C9C"/>
    <w:rsid w:val="29BD870B"/>
    <w:rsid w:val="2AB46C17"/>
    <w:rsid w:val="2B936321"/>
    <w:rsid w:val="2C5212EC"/>
    <w:rsid w:val="2D6BF404"/>
    <w:rsid w:val="2DE66313"/>
    <w:rsid w:val="2FCE43F5"/>
    <w:rsid w:val="305E442B"/>
    <w:rsid w:val="32A50F81"/>
    <w:rsid w:val="340B6938"/>
    <w:rsid w:val="34BF784C"/>
    <w:rsid w:val="350B219A"/>
    <w:rsid w:val="3677678B"/>
    <w:rsid w:val="369764BF"/>
    <w:rsid w:val="37203DCD"/>
    <w:rsid w:val="37DE271D"/>
    <w:rsid w:val="37FF10E0"/>
    <w:rsid w:val="380222C0"/>
    <w:rsid w:val="397FA9B7"/>
    <w:rsid w:val="3B6657F6"/>
    <w:rsid w:val="3CBDF9A4"/>
    <w:rsid w:val="3DCFC1E1"/>
    <w:rsid w:val="3DFD9E78"/>
    <w:rsid w:val="3DFED245"/>
    <w:rsid w:val="3DFF289B"/>
    <w:rsid w:val="3E5C0F38"/>
    <w:rsid w:val="3EC9399F"/>
    <w:rsid w:val="3EFE70CC"/>
    <w:rsid w:val="3F2CB125"/>
    <w:rsid w:val="3FA35878"/>
    <w:rsid w:val="3FFF82B0"/>
    <w:rsid w:val="409A438B"/>
    <w:rsid w:val="40B13C66"/>
    <w:rsid w:val="415E67E5"/>
    <w:rsid w:val="41815E93"/>
    <w:rsid w:val="41DF1815"/>
    <w:rsid w:val="4216560F"/>
    <w:rsid w:val="426C3C56"/>
    <w:rsid w:val="43516100"/>
    <w:rsid w:val="43616786"/>
    <w:rsid w:val="44EE3B87"/>
    <w:rsid w:val="44F46F2C"/>
    <w:rsid w:val="45B707B6"/>
    <w:rsid w:val="47190677"/>
    <w:rsid w:val="48AE2A59"/>
    <w:rsid w:val="4A304323"/>
    <w:rsid w:val="4B1839F5"/>
    <w:rsid w:val="4C1463ED"/>
    <w:rsid w:val="4CB50AC1"/>
    <w:rsid w:val="4CBFBB24"/>
    <w:rsid w:val="4D107DE4"/>
    <w:rsid w:val="4DD6C2D8"/>
    <w:rsid w:val="4EFE8E79"/>
    <w:rsid w:val="4F3FDD66"/>
    <w:rsid w:val="4FB70350"/>
    <w:rsid w:val="5092172A"/>
    <w:rsid w:val="51370B52"/>
    <w:rsid w:val="51FED7AB"/>
    <w:rsid w:val="53237538"/>
    <w:rsid w:val="534040B4"/>
    <w:rsid w:val="559D7F9F"/>
    <w:rsid w:val="56D170CE"/>
    <w:rsid w:val="57323713"/>
    <w:rsid w:val="573F6F7E"/>
    <w:rsid w:val="597F6949"/>
    <w:rsid w:val="598803F4"/>
    <w:rsid w:val="5A0F4BC3"/>
    <w:rsid w:val="5B34684D"/>
    <w:rsid w:val="5B7723BD"/>
    <w:rsid w:val="5BA50DBC"/>
    <w:rsid w:val="5CD37B74"/>
    <w:rsid w:val="5CF27DBB"/>
    <w:rsid w:val="5D4C4853"/>
    <w:rsid w:val="5EFA7CCD"/>
    <w:rsid w:val="5F2B3779"/>
    <w:rsid w:val="5FBF73E7"/>
    <w:rsid w:val="5FC80DB0"/>
    <w:rsid w:val="62EB4A07"/>
    <w:rsid w:val="63086480"/>
    <w:rsid w:val="63446ABE"/>
    <w:rsid w:val="6BF58B05"/>
    <w:rsid w:val="6BFC921A"/>
    <w:rsid w:val="6C0B1412"/>
    <w:rsid w:val="6C294EF9"/>
    <w:rsid w:val="6C3B65E4"/>
    <w:rsid w:val="6CC84C5C"/>
    <w:rsid w:val="6D8455B5"/>
    <w:rsid w:val="6D9B171D"/>
    <w:rsid w:val="6D9C84FD"/>
    <w:rsid w:val="6E137462"/>
    <w:rsid w:val="6F6F782F"/>
    <w:rsid w:val="6FBC3A8D"/>
    <w:rsid w:val="6FF63580"/>
    <w:rsid w:val="70C22BD2"/>
    <w:rsid w:val="72AC24EE"/>
    <w:rsid w:val="73B12482"/>
    <w:rsid w:val="740E6403"/>
    <w:rsid w:val="74FFCD45"/>
    <w:rsid w:val="752D91EE"/>
    <w:rsid w:val="755A5B74"/>
    <w:rsid w:val="75DB262F"/>
    <w:rsid w:val="77CB301F"/>
    <w:rsid w:val="77EB55FE"/>
    <w:rsid w:val="787C62C9"/>
    <w:rsid w:val="787D20C6"/>
    <w:rsid w:val="793603DB"/>
    <w:rsid w:val="7B2F4BEA"/>
    <w:rsid w:val="7CA9ECF2"/>
    <w:rsid w:val="7CD70BCF"/>
    <w:rsid w:val="7CE00DC2"/>
    <w:rsid w:val="7D47F035"/>
    <w:rsid w:val="7D7FC33D"/>
    <w:rsid w:val="7DB0185D"/>
    <w:rsid w:val="7DE0593B"/>
    <w:rsid w:val="7E9FD603"/>
    <w:rsid w:val="7EB254D3"/>
    <w:rsid w:val="7EBE4A7F"/>
    <w:rsid w:val="7F3FFE0F"/>
    <w:rsid w:val="7F720F90"/>
    <w:rsid w:val="7F7D58EC"/>
    <w:rsid w:val="7F9BFD10"/>
    <w:rsid w:val="7FA74CE6"/>
    <w:rsid w:val="7FC70495"/>
    <w:rsid w:val="7FDFE532"/>
    <w:rsid w:val="7FEC2EDA"/>
    <w:rsid w:val="7FF64332"/>
    <w:rsid w:val="7FF7CF68"/>
    <w:rsid w:val="9D4B5CFF"/>
    <w:rsid w:val="9D4B6207"/>
    <w:rsid w:val="B7778DE2"/>
    <w:rsid w:val="BA7B23C6"/>
    <w:rsid w:val="BBFED364"/>
    <w:rsid w:val="BFF378D9"/>
    <w:rsid w:val="CBFEC971"/>
    <w:rsid w:val="D5E61643"/>
    <w:rsid w:val="D7AE4B80"/>
    <w:rsid w:val="D9DB94E3"/>
    <w:rsid w:val="D9F77CBC"/>
    <w:rsid w:val="DCFBDC11"/>
    <w:rsid w:val="DDFBF63D"/>
    <w:rsid w:val="DDFF1B07"/>
    <w:rsid w:val="DEFF1FA3"/>
    <w:rsid w:val="DF7712E1"/>
    <w:rsid w:val="DFAEC099"/>
    <w:rsid w:val="DFF7EE5B"/>
    <w:rsid w:val="DFFF362D"/>
    <w:rsid w:val="E7AFD1E8"/>
    <w:rsid w:val="EBE3FEC4"/>
    <w:rsid w:val="EBFFC6DA"/>
    <w:rsid w:val="EDB28AAB"/>
    <w:rsid w:val="EEFED412"/>
    <w:rsid w:val="F7DEBF55"/>
    <w:rsid w:val="FC8DCFE1"/>
    <w:rsid w:val="FC973530"/>
    <w:rsid w:val="FDE737F0"/>
    <w:rsid w:val="FE734873"/>
    <w:rsid w:val="FF6BD017"/>
    <w:rsid w:val="FFAF361B"/>
    <w:rsid w:val="FFDE2F2C"/>
    <w:rsid w:val="FFFD229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qFormat="1" w:unhideWhenUsed="0"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qFormat="1" w:unhideWhenUsed="0"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semiHidden/>
    <w:qFormat/>
    <w:uiPriority w:val="99"/>
    <w:pPr>
      <w:ind w:firstLine="420" w:firstLineChars="200"/>
    </w:pPr>
  </w:style>
  <w:style w:type="paragraph" w:styleId="3">
    <w:name w:val="Body Text Indent"/>
    <w:basedOn w:val="1"/>
    <w:semiHidden/>
    <w:qFormat/>
    <w:uiPriority w:val="99"/>
    <w:pPr>
      <w:spacing w:after="120"/>
      <w:ind w:left="420" w:leftChars="200"/>
    </w:pPr>
  </w:style>
  <w:style w:type="paragraph" w:styleId="4">
    <w:name w:val="Normal Indent"/>
    <w:basedOn w:val="1"/>
    <w:qFormat/>
    <w:uiPriority w:val="0"/>
    <w:pPr>
      <w:widowControl w:val="0"/>
      <w:autoSpaceDE/>
      <w:autoSpaceDN/>
      <w:spacing w:before="0" w:after="0" w:line="240" w:lineRule="auto"/>
      <w:ind w:left="420" w:firstLine="3748"/>
      <w:jc w:val="both"/>
    </w:pPr>
  </w:style>
  <w:style w:type="paragraph" w:styleId="5">
    <w:name w:val="Balloon Text"/>
    <w:basedOn w:val="1"/>
    <w:link w:val="14"/>
    <w:semiHidden/>
    <w:qFormat/>
    <w:uiPriority w:val="99"/>
    <w:rPr>
      <w:sz w:val="18"/>
      <w:szCs w:val="18"/>
    </w:rPr>
  </w:style>
  <w:style w:type="paragraph" w:styleId="6">
    <w:name w:val="footer"/>
    <w:basedOn w:val="1"/>
    <w:link w:val="15"/>
    <w:qFormat/>
    <w:uiPriority w:val="99"/>
    <w:pPr>
      <w:tabs>
        <w:tab w:val="center" w:pos="4153"/>
        <w:tab w:val="right" w:pos="8306"/>
      </w:tabs>
      <w:snapToGrid w:val="0"/>
      <w:jc w:val="left"/>
    </w:pPr>
    <w:rPr>
      <w:sz w:val="18"/>
      <w:szCs w:val="18"/>
    </w:rPr>
  </w:style>
  <w:style w:type="paragraph" w:styleId="7">
    <w:name w:val="header"/>
    <w:basedOn w:val="1"/>
    <w:link w:val="16"/>
    <w:qFormat/>
    <w:uiPriority w:val="99"/>
    <w:pPr>
      <w:pBdr>
        <w:bottom w:val="single" w:color="auto" w:sz="6" w:space="1"/>
      </w:pBdr>
      <w:tabs>
        <w:tab w:val="center" w:pos="4153"/>
        <w:tab w:val="right" w:pos="8306"/>
      </w:tabs>
      <w:snapToGrid w:val="0"/>
      <w:jc w:val="center"/>
    </w:pPr>
    <w:rPr>
      <w:sz w:val="18"/>
      <w:szCs w:val="18"/>
    </w:rPr>
  </w:style>
  <w:style w:type="paragraph" w:styleId="8">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table" w:styleId="10">
    <w:name w:val="Table Grid"/>
    <w:basedOn w:val="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page number"/>
    <w:basedOn w:val="11"/>
    <w:qFormat/>
    <w:uiPriority w:val="99"/>
    <w:rPr>
      <w:rFonts w:cs="Times New Roman"/>
    </w:rPr>
  </w:style>
  <w:style w:type="character" w:styleId="13">
    <w:name w:val="Hyperlink"/>
    <w:basedOn w:val="11"/>
    <w:semiHidden/>
    <w:qFormat/>
    <w:uiPriority w:val="99"/>
    <w:rPr>
      <w:rFonts w:cs="Times New Roman"/>
      <w:color w:val="0063C8"/>
      <w:u w:val="none"/>
    </w:rPr>
  </w:style>
  <w:style w:type="character" w:customStyle="1" w:styleId="14">
    <w:name w:val="批注框文本 Char"/>
    <w:basedOn w:val="11"/>
    <w:link w:val="5"/>
    <w:semiHidden/>
    <w:qFormat/>
    <w:locked/>
    <w:uiPriority w:val="99"/>
    <w:rPr>
      <w:rFonts w:cs="Times New Roman"/>
      <w:sz w:val="18"/>
      <w:szCs w:val="18"/>
    </w:rPr>
  </w:style>
  <w:style w:type="character" w:customStyle="1" w:styleId="15">
    <w:name w:val="页脚 Char"/>
    <w:basedOn w:val="11"/>
    <w:link w:val="6"/>
    <w:qFormat/>
    <w:locked/>
    <w:uiPriority w:val="99"/>
    <w:rPr>
      <w:rFonts w:cs="Times New Roman"/>
      <w:sz w:val="18"/>
      <w:szCs w:val="18"/>
    </w:rPr>
  </w:style>
  <w:style w:type="character" w:customStyle="1" w:styleId="16">
    <w:name w:val="页眉 Char"/>
    <w:basedOn w:val="11"/>
    <w:link w:val="7"/>
    <w:qFormat/>
    <w:locked/>
    <w:uiPriority w:val="99"/>
    <w:rPr>
      <w:rFonts w:cs="Times New Roman"/>
      <w:sz w:val="18"/>
      <w:szCs w:val="18"/>
    </w:rPr>
  </w:style>
  <w:style w:type="paragraph" w:styleId="17">
    <w:name w:val="List Paragraph"/>
    <w:basedOn w:val="1"/>
    <w:qFormat/>
    <w:uiPriority w:val="99"/>
    <w:pPr>
      <w:ind w:firstLine="420" w:firstLineChars="200"/>
    </w:pPr>
  </w:style>
  <w:style w:type="character" w:customStyle="1" w:styleId="18">
    <w:name w:val="style12"/>
    <w:basedOn w:val="11"/>
    <w:qFormat/>
    <w:uiPriority w:val="99"/>
    <w:rPr>
      <w:rFonts w:cs="Times New Roman"/>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7</Pages>
  <Words>2957</Words>
  <Characters>2992</Characters>
  <Lines>29</Lines>
  <Paragraphs>8</Paragraphs>
  <TotalTime>15</TotalTime>
  <ScaleCrop>false</ScaleCrop>
  <LinksUpToDate>false</LinksUpToDate>
  <CharactersWithSpaces>3000</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2020-10-27T09:31:00Z</dcterms:created>
  <dc:creator>贺盛彪</dc:creator>
  <cp:lastModifiedBy>牛虻1404061557</cp:lastModifiedBy>
  <cp:lastPrinted>2022-04-22T02:42:00Z</cp:lastPrinted>
  <dcterms:modified xsi:type="dcterms:W3CDTF">2022-09-07T02:48:37Z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99C5DB628B2042418E834765F3A5A609</vt:lpwstr>
  </property>
  <property fmtid="{D5CDD505-2E9C-101B-9397-08002B2CF9AE}" pid="4" name="KSOSaveFontToCloudKey">
    <vt:lpwstr>1010359147_embed</vt:lpwstr>
  </property>
</Properties>
</file>