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bookmarkStart w:id="0" w:name="_GoBack"/>
      <w:bookmarkEnd w:id="0"/>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乐府发〔20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65</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val="0"/>
        <w:topLinePunct/>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乐至县人民政府</w:t>
      </w:r>
    </w:p>
    <w:p>
      <w:pPr>
        <w:keepNext w:val="0"/>
        <w:keepLines w:val="0"/>
        <w:pageBreakBefore w:val="0"/>
        <w:widowControl w:val="0"/>
        <w:kinsoku/>
        <w:wordWrap/>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乐至县乡村水务示范实施方案（2023</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rPr>
        <w:t>2025年）</w:t>
      </w:r>
      <w:r>
        <w:rPr>
          <w:rFonts w:hint="eastAsia" w:ascii="Times New Roman" w:hAnsi="Times New Roman" w:eastAsia="方正小标宋简体" w:cs="Times New Roman"/>
          <w:sz w:val="44"/>
          <w:szCs w:val="44"/>
          <w:lang w:eastAsia="zh-CN"/>
        </w:rPr>
        <w:t>的批复</w:t>
      </w:r>
    </w:p>
    <w:p>
      <w:pPr>
        <w:keepNext w:val="0"/>
        <w:keepLines w:val="0"/>
        <w:pageBreakBefore w:val="0"/>
        <w:widowControl w:val="0"/>
        <w:kinsoku/>
        <w:wordWrap/>
        <w:overflowPunct/>
        <w:topLinePunct w:val="0"/>
        <w:autoSpaceDE/>
        <w:autoSpaceDN/>
        <w:bidi w:val="0"/>
        <w:adjustRightInd/>
        <w:snapToGrid/>
        <w:spacing w:beforeLines="0" w:line="600" w:lineRule="exact"/>
        <w:ind w:left="0" w:leftChars="0"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50" w:lineRule="exact"/>
        <w:jc w:val="left"/>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乐至县水务局：</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你局上报的《乐至县乡村水务示范实施方案（2023—2025年）》（以下简称“方案”）收悉。经研究，同意方案内容，现就有关事项批复如下：</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left"/>
        <w:textAlignment w:val="auto"/>
        <w:rPr>
          <w:rFonts w:hint="eastAsia" w:ascii="方正黑体简体" w:hAnsi="方正黑体简体" w:eastAsia="方正黑体简体" w:cs="方正黑体简体"/>
          <w:i w:val="0"/>
          <w:caps w:val="0"/>
          <w:color w:val="auto"/>
          <w:spacing w:val="0"/>
          <w:kern w:val="0"/>
          <w:sz w:val="32"/>
          <w:szCs w:val="32"/>
          <w:u w:val="none"/>
          <w:shd w:val="clear" w:color="auto" w:fill="FFFFFF"/>
          <w:lang w:val="en-US" w:eastAsia="zh-CN" w:bidi="ar"/>
        </w:rPr>
      </w:pPr>
      <w:r>
        <w:rPr>
          <w:rFonts w:hint="eastAsia" w:ascii="方正黑体简体" w:hAnsi="方正黑体简体" w:eastAsia="方正黑体简体" w:cs="方正黑体简体"/>
          <w:i w:val="0"/>
          <w:caps w:val="0"/>
          <w:color w:val="auto"/>
          <w:spacing w:val="0"/>
          <w:kern w:val="0"/>
          <w:sz w:val="32"/>
          <w:szCs w:val="32"/>
          <w:u w:val="none"/>
          <w:shd w:val="clear" w:color="auto" w:fill="FFFFFF"/>
          <w:lang w:val="en-US" w:eastAsia="zh-CN" w:bidi="ar"/>
        </w:rPr>
        <w:t>一、总体目标</w:t>
      </w:r>
    </w:p>
    <w:p>
      <w:pPr>
        <w:keepNext w:val="0"/>
        <w:keepLines w:val="0"/>
        <w:pageBreakBefore w:val="0"/>
        <w:widowControl/>
        <w:suppressLineNumbers w:val="0"/>
        <w:kinsoku/>
        <w:wordWrap/>
        <w:overflowPunct/>
        <w:topLinePunct w:val="0"/>
        <w:autoSpaceDE/>
        <w:autoSpaceDN/>
        <w:bidi w:val="0"/>
        <w:adjustRightInd/>
        <w:snapToGrid/>
        <w:spacing w:line="550" w:lineRule="exact"/>
        <w:ind w:left="-193" w:leftChars="-92" w:firstLine="754" w:firstLineChars="235"/>
        <w:jc w:val="left"/>
        <w:textAlignment w:val="auto"/>
        <w:rPr>
          <w:rFonts w:hint="default" w:ascii="Times New Roman" w:hAnsi="Times New Roman" w:eastAsia="楷体_GB2312" w:cs="楷体_GB2312"/>
          <w:b/>
          <w:bCs/>
          <w:i w:val="0"/>
          <w:caps w:val="0"/>
          <w:color w:val="auto"/>
          <w:spacing w:val="0"/>
          <w:kern w:val="0"/>
          <w:sz w:val="32"/>
          <w:szCs w:val="32"/>
          <w:u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u w:val="none"/>
          <w:shd w:val="clear" w:color="auto" w:fill="FFFFFF"/>
          <w:lang w:val="en-US" w:eastAsia="zh-CN" w:bidi="ar"/>
        </w:rPr>
        <w:t>（一）主要目标</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2023年度：年度计划投资21667.4万元，建设农村供水工程4处，其中管网延伸工程1处，新建规模化供水工程2处，改扩建规模化供水工程1处，受益人口11.64万人，新增规模化工程覆盖人口2.33万人；农村自来水普及率90%；规模化供水工程覆盖农村人口比例73%；集中供水工程规范化管理达标水平比例100%；集中供水工程水费收取率98.5%；水质合格率97%；问题投诉率小于0.001%。</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2024年度：年度计划投资22826万元，建设农村供水工程3处，其中管网延伸工程1处，改扩建规模化供水工程1处，受益人口3.15万人，新增规模化工程覆盖人口1.17万人；农村自来水普及率91%；规模化供水工程覆盖农村人口比例77%；集中供水工程规范化管理达标水平比例100%；集中供水工程水费收取率99%；水质合格率98%；问题投诉率小于0.001%。</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2025年度：年度计划投资21500万元，建设农村供水工程2处，其中管网延伸工程1处，新建规模化供水工程1处，受益人口6.84万人，新增规模化工程覆盖人口2.62万人；农村自来水普及率92%；规模化供水工程覆盖农村人口比例86%；集中供水工程规范化管理达标水平比例100%；集中供水工程水费收取率99.5%；水质合格率98%；问题投诉率小于0.001%。</w:t>
      </w:r>
    </w:p>
    <w:p>
      <w:pPr>
        <w:keepNext w:val="0"/>
        <w:keepLines w:val="0"/>
        <w:pageBreakBefore w:val="0"/>
        <w:widowControl/>
        <w:suppressLineNumbers w:val="0"/>
        <w:kinsoku/>
        <w:wordWrap/>
        <w:overflowPunct/>
        <w:topLinePunct w:val="0"/>
        <w:autoSpaceDE/>
        <w:autoSpaceDN/>
        <w:bidi w:val="0"/>
        <w:adjustRightInd/>
        <w:snapToGrid/>
        <w:spacing w:line="550" w:lineRule="exact"/>
        <w:ind w:left="-193" w:leftChars="-92" w:firstLine="754" w:firstLineChars="235"/>
        <w:jc w:val="left"/>
        <w:textAlignment w:val="auto"/>
        <w:rPr>
          <w:rFonts w:hint="eastAsia" w:ascii="Times New Roman" w:hAnsi="Times New Roman" w:eastAsia="楷体_GB2312" w:cs="楷体_GB2312"/>
          <w:b/>
          <w:bCs/>
          <w:i w:val="0"/>
          <w:caps w:val="0"/>
          <w:color w:val="auto"/>
          <w:spacing w:val="0"/>
          <w:kern w:val="0"/>
          <w:sz w:val="32"/>
          <w:szCs w:val="32"/>
          <w:u w:val="none"/>
          <w:shd w:val="clear" w:color="auto" w:fill="FFFFFF"/>
          <w:lang w:val="en-US" w:eastAsia="zh-CN" w:bidi="ar"/>
        </w:rPr>
      </w:pPr>
      <w:r>
        <w:rPr>
          <w:rFonts w:hint="eastAsia" w:ascii="Times New Roman" w:hAnsi="Times New Roman" w:eastAsia="楷体_GB2312" w:cs="楷体_GB2312"/>
          <w:b/>
          <w:bCs/>
          <w:i w:val="0"/>
          <w:caps w:val="0"/>
          <w:color w:val="auto"/>
          <w:spacing w:val="0"/>
          <w:kern w:val="0"/>
          <w:sz w:val="32"/>
          <w:szCs w:val="32"/>
          <w:u w:val="none"/>
          <w:shd w:val="clear" w:color="auto" w:fill="FFFFFF"/>
          <w:lang w:val="en-US" w:eastAsia="zh-CN" w:bidi="ar"/>
        </w:rPr>
        <w:t>（二）协同目标</w:t>
      </w:r>
    </w:p>
    <w:p>
      <w:pPr>
        <w:pStyle w:val="3"/>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b w:val="0"/>
          <w:bCs w:val="0"/>
          <w:color w:val="auto"/>
          <w:sz w:val="32"/>
          <w:szCs w:val="32"/>
          <w:highlight w:val="yellow"/>
          <w:lang w:val="en-US" w:eastAsia="zh-CN"/>
        </w:rPr>
      </w:pPr>
      <w:r>
        <w:rPr>
          <w:rFonts w:hint="eastAsia" w:ascii="Times New Roman" w:hAnsi="Times New Roman" w:eastAsia="仿宋_GB2312" w:cs="Times New Roman"/>
          <w:b w:val="0"/>
          <w:bCs w:val="0"/>
          <w:color w:val="auto"/>
          <w:kern w:val="2"/>
          <w:sz w:val="32"/>
          <w:szCs w:val="32"/>
          <w:lang w:val="en-US" w:eastAsia="zh-CN" w:bidi="ar-SA"/>
        </w:rPr>
        <w:t>以乡村水务为突破口，协同推进水库及渠系、农业灌溉、水美新村等版块建设。2023—2025年，将完成东禅寺、蟠龙河、棉花沟3座中型水库除险加固、2个小型水库灌区改造以及每年正常进行的农业水价综合改革奖惩制度投资建设，并完成每年2处建设目标的水美新村建设及四川资阳蟠龙河水利风景区建设等。</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left"/>
        <w:textAlignment w:val="auto"/>
        <w:rPr>
          <w:rFonts w:hint="eastAsia" w:ascii="方正黑体简体" w:hAnsi="方正黑体简体" w:eastAsia="方正黑体简体" w:cs="方正黑体简体"/>
          <w:i w:val="0"/>
          <w:caps w:val="0"/>
          <w:color w:val="auto"/>
          <w:spacing w:val="0"/>
          <w:kern w:val="0"/>
          <w:sz w:val="32"/>
          <w:szCs w:val="32"/>
          <w:u w:val="none"/>
          <w:shd w:val="clear" w:color="auto" w:fill="FFFFFF"/>
          <w:lang w:val="en-US" w:eastAsia="zh-CN" w:bidi="ar"/>
        </w:rPr>
      </w:pPr>
      <w:r>
        <w:rPr>
          <w:rFonts w:hint="eastAsia" w:ascii="方正黑体简体" w:hAnsi="方正黑体简体" w:eastAsia="方正黑体简体" w:cs="方正黑体简体"/>
          <w:i w:val="0"/>
          <w:caps w:val="0"/>
          <w:color w:val="auto"/>
          <w:spacing w:val="0"/>
          <w:kern w:val="0"/>
          <w:sz w:val="32"/>
          <w:szCs w:val="32"/>
          <w:u w:val="none"/>
          <w:shd w:val="clear" w:color="auto" w:fill="FFFFFF"/>
          <w:lang w:val="en-US" w:eastAsia="zh-CN" w:bidi="ar"/>
        </w:rPr>
        <w:t>二、项目管理</w:t>
      </w:r>
    </w:p>
    <w:p>
      <w:pPr>
        <w:pStyle w:val="3"/>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kern w:val="2"/>
          <w:sz w:val="32"/>
          <w:szCs w:val="32"/>
          <w:lang w:val="en-US" w:eastAsia="zh-CN" w:bidi="ar-SA"/>
        </w:rPr>
        <w:t>按照“建大、并中、减小”的思路，结合本县实际，严格按照乡村水务示范建设项目管理建设程序进行，实行全过程管理、监督、服务，落实项目法人责任制、招投标制、建设监理制、合同管理制、竣工验收制。</w:t>
      </w:r>
      <w:r>
        <w:rPr>
          <w:rFonts w:hint="eastAsia" w:ascii="Times New Roman" w:hAnsi="Times New Roman" w:eastAsia="仿宋_GB2312" w:cs="Times New Roman"/>
          <w:b w:val="0"/>
          <w:bCs w:val="0"/>
          <w:color w:val="auto"/>
          <w:sz w:val="32"/>
          <w:szCs w:val="32"/>
          <w:lang w:val="en-US" w:eastAsia="zh-CN"/>
        </w:rPr>
        <w:t>行业主管部门要积极配合相关单位严格落实项目监管的主体责任，保障项目按期建成发挥效益，自觉接受各级监管部门的监督检查，并会同相关部门严格落实投资计划执行和项目实施属地监管责任，做到问题早发现、早解决。县级相关部门将适时对计划执行情况进行抽查，切实履行好职责，增强大局意识和服务意识，加强协作，密切配合，抓好供水设施建设项目的前期规划设计，施工的进度、质量和安全，项目验收等工作，重点检查项目管理、资金使用、施工进度、工程质量等，确保项目尽早完工投用。</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left"/>
        <w:textAlignment w:val="auto"/>
        <w:rPr>
          <w:rFonts w:hint="eastAsia" w:ascii="方正黑体简体" w:hAnsi="方正黑体简体" w:eastAsia="方正黑体简体" w:cs="方正黑体简体"/>
          <w:i w:val="0"/>
          <w:caps w:val="0"/>
          <w:color w:val="auto"/>
          <w:spacing w:val="0"/>
          <w:kern w:val="0"/>
          <w:sz w:val="32"/>
          <w:szCs w:val="32"/>
          <w:u w:val="none"/>
          <w:shd w:val="clear" w:color="auto" w:fill="FFFFFF"/>
          <w:lang w:val="en-US" w:eastAsia="zh-CN" w:bidi="ar"/>
        </w:rPr>
      </w:pPr>
      <w:r>
        <w:rPr>
          <w:rFonts w:hint="eastAsia" w:ascii="方正黑体简体" w:hAnsi="方正黑体简体" w:eastAsia="方正黑体简体" w:cs="方正黑体简体"/>
          <w:i w:val="0"/>
          <w:caps w:val="0"/>
          <w:color w:val="auto"/>
          <w:spacing w:val="0"/>
          <w:kern w:val="0"/>
          <w:sz w:val="32"/>
          <w:szCs w:val="32"/>
          <w:u w:val="none"/>
          <w:shd w:val="clear" w:color="auto" w:fill="FFFFFF"/>
          <w:lang w:val="en-US" w:eastAsia="zh-CN" w:bidi="ar"/>
        </w:rPr>
        <w:t>三、资金管理</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乡村水务示范项目资金实行专项专款制度，要严格按照规定范围安排使用，不得擅自扩大资金使用范围，杜绝因资金筹措不齐、时间滞后导致项目无法落地等情况发生。要加强项目规划和设计，力争纳入国省重点水利项目计划，争取资金补助；加大各级财政资金统筹使用力度，盘活存量资金，争取地方政府债券和水利基金用于规划纲要实施；加快政府和社会资本合作模式在规划纲要实施项目的应用，引导社会资本、民营资本投入，积极争取政策性银行贷款；加强资源配置，对依法取得建设用地批准文件的土地，通过区位调整等方式盘活存量土地，优化配置资源，积极争取市场资金投入，积极推动经济社会的可持续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50" w:lineRule="exact"/>
        <w:ind w:left="-193" w:leftChars="-92" w:firstLine="752" w:firstLineChars="235"/>
        <w:jc w:val="left"/>
        <w:textAlignment w:val="auto"/>
        <w:rPr>
          <w:rFonts w:hint="eastAsia" w:ascii="Times New Roman" w:hAnsi="Times New Roman" w:eastAsia="黑体" w:cs="黑体"/>
          <w:i w:val="0"/>
          <w:caps w:val="0"/>
          <w:color w:val="auto"/>
          <w:spacing w:val="0"/>
          <w:kern w:val="0"/>
          <w:sz w:val="32"/>
          <w:szCs w:val="32"/>
          <w:highlight w:val="none"/>
          <w:u w:val="none"/>
          <w:shd w:val="clear" w:color="auto" w:fill="FFFFFF"/>
          <w:lang w:val="en-US" w:eastAsia="zh-CN" w:bidi="ar"/>
        </w:rPr>
      </w:pPr>
      <w:r>
        <w:rPr>
          <w:rFonts w:hint="eastAsia" w:ascii="Times New Roman" w:hAnsi="Times New Roman" w:eastAsia="黑体" w:cs="黑体"/>
          <w:i w:val="0"/>
          <w:caps w:val="0"/>
          <w:color w:val="auto"/>
          <w:spacing w:val="0"/>
          <w:kern w:val="0"/>
          <w:sz w:val="32"/>
          <w:szCs w:val="32"/>
          <w:highlight w:val="none"/>
          <w:u w:val="none"/>
          <w:shd w:val="clear" w:color="auto" w:fill="FFFFFF"/>
          <w:lang w:val="en-US" w:eastAsia="zh-CN" w:bidi="ar"/>
        </w:rPr>
        <w:t>四、绩效考评</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一是开展自评。行业主管部门要督促项目建设单位在项目完工后积极开展绩效自评工作，形成自评报告和绩效自评表，并报送行业主管部门。二是自评复核。行业主管部门要成立评价工作组对绩效自评报告和自评表进行复核，对证明材料进行核实分析，并进行自评复核打分。评价工作组根据需要开展现场抽查，并通过座谈交流、资料查阅、现场察看等方式，对存在的问题、自评分数进一步核实。三是综合分析。行业主管部门要对资金绩效情况进行全面的定量、定性分析和综合评价，汇总分析全县乡村水务资金年度绩效情况，提出总体评价结论与建议意见。四是严格督查。由行业主管部门牵头，相关部门配合，强化对乡村水务建设工作的督促检查力度，确保资金、措施、质量、进度四到位。</w:t>
      </w:r>
    </w:p>
    <w:p>
      <w:pPr>
        <w:keepNext w:val="0"/>
        <w:keepLines w:val="0"/>
        <w:pageBreakBefore w:val="0"/>
        <w:widowControl w:val="0"/>
        <w:kinsoku/>
        <w:wordWrap/>
        <w:overflowPunct/>
        <w:topLinePunct w:val="0"/>
        <w:autoSpaceDE/>
        <w:autoSpaceDN/>
        <w:bidi w:val="0"/>
        <w:adjustRightInd/>
        <w:snapToGrid/>
        <w:spacing w:line="550" w:lineRule="exact"/>
        <w:ind w:firstLine="616"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pacing w:val="-6"/>
          <w:sz w:val="32"/>
          <w:szCs w:val="32"/>
          <w:lang w:val="en-US" w:eastAsia="zh-CN"/>
        </w:rPr>
        <w:t>此复。</w:t>
      </w:r>
    </w:p>
    <w:p>
      <w:pPr>
        <w:keepNext w:val="0"/>
        <w:keepLines w:val="0"/>
        <w:pageBreakBefore w:val="0"/>
        <w:widowControl w:val="0"/>
        <w:kinsoku/>
        <w:wordWrap w:val="0"/>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50" w:lineRule="exact"/>
        <w:jc w:val="right"/>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乐至县人民政府</w:t>
      </w:r>
      <w:r>
        <w:rPr>
          <w:rFonts w:hint="default" w:ascii="Times New Roman" w:hAnsi="Times New Roman" w:eastAsia="方正仿宋简体"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Lines="0" w:line="550" w:lineRule="exact"/>
        <w:ind w:firstLine="198" w:firstLineChars="62"/>
        <w:jc w:val="right"/>
        <w:textAlignment w:val="auto"/>
        <w:rPr>
          <w:rFonts w:hint="default" w:ascii="Times New Roman" w:hAnsi="Times New Roman" w:eastAsia="方正仿宋简体" w:cs="Times New Roman"/>
          <w:bCs/>
          <w:color w:val="000000"/>
          <w:sz w:val="32"/>
          <w:szCs w:val="32"/>
          <w:lang w:val="en-US" w:eastAsia="zh-CN"/>
        </w:rPr>
      </w:pPr>
      <w:r>
        <w:rPr>
          <w:rFonts w:hint="default" w:ascii="Times New Roman" w:hAnsi="Times New Roman" w:eastAsia="方正仿宋简体" w:cs="Times New Roman"/>
          <w:color w:val="auto"/>
          <w:sz w:val="32"/>
          <w:szCs w:val="32"/>
          <w:lang w:val="en-US" w:eastAsia="zh-CN"/>
        </w:rPr>
        <w:t>202</w:t>
      </w:r>
      <w:r>
        <w:rPr>
          <w:rFonts w:hint="eastAsia" w:ascii="Times New Roman" w:hAnsi="Times New Roman" w:eastAsia="方正仿宋简体"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方正仿宋简体" w:cs="Times New Roman"/>
          <w:color w:val="auto"/>
          <w:sz w:val="32"/>
          <w:szCs w:val="32"/>
          <w:lang w:val="en-US" w:eastAsia="zh-CN"/>
        </w:rPr>
        <w:t>25</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方正仿宋简体" w:cs="Times New Roman"/>
          <w:sz w:val="32"/>
          <w:szCs w:val="32"/>
          <w:lang w:val="en-US" w:eastAsia="zh-CN"/>
        </w:rPr>
        <w:t xml:space="preserve">        </w:t>
      </w:r>
    </w:p>
    <w:p>
      <w:pPr>
        <w:tabs>
          <w:tab w:val="left" w:pos="720"/>
        </w:tabs>
        <w:spacing w:beforeLines="0"/>
        <w:ind w:firstLine="0" w:firstLineChars="0"/>
        <w:rPr>
          <w:rFonts w:hint="default" w:ascii="Times New Roman" w:hAnsi="Times New Roman" w:cs="Times New Roman"/>
          <w:color w:val="000000"/>
          <w:sz w:val="28"/>
          <w:szCs w:val="28"/>
        </w:rPr>
      </w:pPr>
    </w:p>
    <w:p>
      <w:pPr>
        <w:tabs>
          <w:tab w:val="left" w:pos="720"/>
        </w:tabs>
        <w:spacing w:beforeLines="0"/>
        <w:ind w:firstLine="0" w:firstLineChars="0"/>
        <w:rPr>
          <w:rFonts w:hint="default" w:ascii="Times New Roman" w:hAnsi="Times New Roman" w:cs="Times New Roman"/>
          <w:color w:val="000000"/>
          <w:sz w:val="28"/>
          <w:szCs w:val="28"/>
        </w:rPr>
      </w:pPr>
    </w:p>
    <w:p>
      <w:pPr>
        <w:pStyle w:val="9"/>
        <w:ind w:left="0" w:leftChars="0" w:firstLine="0" w:firstLineChars="0"/>
        <w:rPr>
          <w:rFonts w:hint="default"/>
        </w:rPr>
      </w:pPr>
    </w:p>
    <w:p>
      <w:pPr>
        <w:rPr>
          <w:rFonts w:hint="default"/>
        </w:rPr>
      </w:pPr>
    </w:p>
    <w:p>
      <w:pPr>
        <w:pStyle w:val="2"/>
        <w:rPr>
          <w:rFonts w:hint="default"/>
        </w:rPr>
      </w:pPr>
    </w:p>
    <w:p>
      <w:pPr>
        <w:pStyle w:val="3"/>
        <w:rPr>
          <w:rFonts w:hint="default"/>
        </w:rPr>
      </w:pPr>
    </w:p>
    <w:p>
      <w:pPr>
        <w:pStyle w:val="3"/>
        <w:ind w:left="0" w:leftChars="0" w:firstLine="0" w:firstLineChars="0"/>
        <w:rPr>
          <w:rFonts w:hint="default"/>
        </w:rPr>
      </w:pPr>
    </w:p>
    <w:p>
      <w:pPr>
        <w:pStyle w:val="3"/>
        <w:ind w:left="0" w:leftChars="0" w:firstLine="0" w:firstLineChars="0"/>
        <w:rPr>
          <w:rFonts w:hint="default"/>
        </w:rPr>
      </w:pPr>
    </w:p>
    <w:p>
      <w:pPr>
        <w:pStyle w:val="3"/>
        <w:ind w:left="0" w:leftChars="0" w:firstLine="0" w:firstLineChars="0"/>
        <w:rPr>
          <w:rFonts w:hint="default"/>
        </w:rPr>
      </w:pPr>
    </w:p>
    <w:p>
      <w:pPr>
        <w:pStyle w:val="3"/>
        <w:ind w:left="0" w:leftChars="0" w:firstLine="0" w:firstLineChars="0"/>
        <w:rPr>
          <w:rFonts w:hint="default"/>
        </w:rPr>
      </w:pPr>
    </w:p>
    <w:p>
      <w:pPr>
        <w:pStyle w:val="3"/>
        <w:ind w:left="0" w:leftChars="0" w:firstLine="0" w:firstLineChars="0"/>
        <w:rPr>
          <w:rFonts w:hint="default"/>
        </w:rPr>
      </w:pPr>
    </w:p>
    <w:p>
      <w:pPr>
        <w:pStyle w:val="2"/>
        <w:rPr>
          <w:rFonts w:hint="default"/>
        </w:rPr>
      </w:pPr>
    </w:p>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580" w:lineRule="exact"/>
        <w:ind w:right="315" w:rightChars="150"/>
        <w:textAlignment w:val="auto"/>
        <w:rPr>
          <w:rFonts w:hint="default" w:ascii="Times New Roman" w:hAnsi="Times New Roman" w:eastAsia="方正小标宋_GBK" w:cs="Times New Roman"/>
          <w:sz w:val="44"/>
          <w:szCs w:val="44"/>
        </w:rPr>
      </w:pPr>
    </w:p>
    <w:sectPr>
      <w:headerReference r:id="rId3" w:type="default"/>
      <w:footerReference r:id="rId5" w:type="default"/>
      <w:headerReference r:id="rId4" w:type="even"/>
      <w:footerReference r:id="rId6" w:type="even"/>
      <w:pgSz w:w="11906" w:h="16838"/>
      <w:pgMar w:top="2098" w:right="1474" w:bottom="1928" w:left="1587" w:header="851" w:footer="150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TimesNewRomanPSMT">
    <w:altName w:val="DejaVu Sans"/>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default"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wordWrap w:val="0"/>
                            <w:jc w:val="right"/>
                          </w:pPr>
                          <w:r>
                            <w:rPr>
                              <w:rFonts w:hint="eastAsia" w:ascii="Times New Roman" w:hAnsi="Times New Roman"/>
                              <w:sz w:val="28"/>
                              <w:szCs w:val="28"/>
                              <w:lang w:val="en-US" w:eastAsia="zh-CN"/>
                            </w:rPr>
                            <w:t xml:space="preserve">  </w:t>
                          </w:r>
                          <w:r>
                            <w:rPr>
                              <w:rFonts w:hint="eastAsia" w:ascii="Times New Roman" w:hAnsi="Times New Roman"/>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3</w:t>
                          </w:r>
                          <w:r>
                            <w:rPr>
                              <w:rFonts w:hint="eastAsia" w:asciiTheme="minorEastAsia" w:hAnsiTheme="minorEastAsia" w:eastAsiaTheme="minorEastAsia" w:cstheme="minorEastAsia"/>
                              <w:sz w:val="28"/>
                              <w:szCs w:val="28"/>
                            </w:rPr>
                            <w:fldChar w:fldCharType="end"/>
                          </w:r>
                          <w:r>
                            <w:rPr>
                              <w:rFonts w:hint="eastAsia" w:ascii="Times New Roman" w:hAnsi="Times New Roman"/>
                              <w:sz w:val="28"/>
                              <w:szCs w:val="28"/>
                            </w:rPr>
                            <w:t xml:space="preserve"> —</w:t>
                          </w:r>
                          <w:r>
                            <w:rPr>
                              <w:rFonts w:hint="eastAsia" w:ascii="Times New Roman" w:hAnsi="Times New Roman"/>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BJGYjHAQAAew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V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EBJGYjHAQAAewMAAA4AAAAAAAAA&#10;AQAgAAAANAEAAGRycy9lMm9Eb2MueG1sUEsFBgAAAAAGAAYAWQEAAG0FAAAAAA==&#10;">
              <v:fill on="f" focussize="0,0"/>
              <v:stroke on="f"/>
              <v:imagedata o:title=""/>
              <o:lock v:ext="edit" aspectratio="f"/>
              <v:textbox inset="0mm,0mm,0mm,0mm" style="mso-fit-shape-to-text:t;">
                <w:txbxContent>
                  <w:p>
                    <w:pPr>
                      <w:pStyle w:val="7"/>
                      <w:wordWrap w:val="0"/>
                      <w:jc w:val="right"/>
                    </w:pPr>
                    <w:r>
                      <w:rPr>
                        <w:rFonts w:hint="eastAsia" w:ascii="Times New Roman" w:hAnsi="Times New Roman"/>
                        <w:sz w:val="28"/>
                        <w:szCs w:val="28"/>
                        <w:lang w:val="en-US" w:eastAsia="zh-CN"/>
                      </w:rPr>
                      <w:t xml:space="preserve">  </w:t>
                    </w:r>
                    <w:r>
                      <w:rPr>
                        <w:rFonts w:hint="eastAsia" w:ascii="Times New Roman" w:hAnsi="Times New Roman"/>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3</w:t>
                    </w:r>
                    <w:r>
                      <w:rPr>
                        <w:rFonts w:hint="eastAsia" w:asciiTheme="minorEastAsia" w:hAnsiTheme="minorEastAsia" w:eastAsiaTheme="minorEastAsia" w:cstheme="minorEastAsia"/>
                        <w:sz w:val="28"/>
                        <w:szCs w:val="28"/>
                      </w:rPr>
                      <w:fldChar w:fldCharType="end"/>
                    </w:r>
                    <w:r>
                      <w:rPr>
                        <w:rFonts w:hint="eastAsia" w:ascii="Times New Roman" w:hAnsi="Times New Roman"/>
                        <w:sz w:val="28"/>
                        <w:szCs w:val="28"/>
                      </w:rPr>
                      <w:t xml:space="preserve"> —</w:t>
                    </w:r>
                    <w:r>
                      <w:rPr>
                        <w:rFonts w:hint="eastAsia" w:ascii="Times New Roman" w:hAnsi="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hint="eastAsia"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26"/>
    <w:rsid w:val="000E5626"/>
    <w:rsid w:val="00191623"/>
    <w:rsid w:val="003D2C2F"/>
    <w:rsid w:val="00510F27"/>
    <w:rsid w:val="005963BE"/>
    <w:rsid w:val="006119C3"/>
    <w:rsid w:val="00665232"/>
    <w:rsid w:val="007D5128"/>
    <w:rsid w:val="008768C5"/>
    <w:rsid w:val="008911DE"/>
    <w:rsid w:val="00BC6893"/>
    <w:rsid w:val="00C41733"/>
    <w:rsid w:val="00CE339A"/>
    <w:rsid w:val="00E16D57"/>
    <w:rsid w:val="00EA0E2E"/>
    <w:rsid w:val="00F27B1B"/>
    <w:rsid w:val="0E9E68DD"/>
    <w:rsid w:val="11CF3B84"/>
    <w:rsid w:val="12256B2A"/>
    <w:rsid w:val="1EE93F77"/>
    <w:rsid w:val="2777388A"/>
    <w:rsid w:val="3986639D"/>
    <w:rsid w:val="3B4B40DF"/>
    <w:rsid w:val="3D840BB6"/>
    <w:rsid w:val="3FFB9B4A"/>
    <w:rsid w:val="53EA2F55"/>
    <w:rsid w:val="5AFB7F28"/>
    <w:rsid w:val="5FFF0115"/>
    <w:rsid w:val="679A1B76"/>
    <w:rsid w:val="68E12C7C"/>
    <w:rsid w:val="6BC7E9E0"/>
    <w:rsid w:val="6E2E2065"/>
    <w:rsid w:val="7683469E"/>
    <w:rsid w:val="7BCAF035"/>
    <w:rsid w:val="7ECDEE60"/>
    <w:rsid w:val="7F43B9C0"/>
    <w:rsid w:val="7FD5E6F0"/>
    <w:rsid w:val="7FEEB927"/>
    <w:rsid w:val="AF3F2850"/>
    <w:rsid w:val="B57C5228"/>
    <w:rsid w:val="BB489A84"/>
    <w:rsid w:val="BF3DF4B7"/>
    <w:rsid w:val="BFBD7A73"/>
    <w:rsid w:val="C6DA5009"/>
    <w:rsid w:val="CDEFAB92"/>
    <w:rsid w:val="D9D71D7B"/>
    <w:rsid w:val="DFCF4128"/>
    <w:rsid w:val="E0761C22"/>
    <w:rsid w:val="EDCE783D"/>
    <w:rsid w:val="EFDD3994"/>
    <w:rsid w:val="F3FD8A52"/>
    <w:rsid w:val="F6EBFBF7"/>
    <w:rsid w:val="F7CF1C82"/>
    <w:rsid w:val="F9FE7E77"/>
    <w:rsid w:val="FAFED34A"/>
    <w:rsid w:val="FAFFA346"/>
    <w:rsid w:val="FD5B11EF"/>
    <w:rsid w:val="FD7AD5AD"/>
    <w:rsid w:val="FDE74673"/>
    <w:rsid w:val="FF3F304B"/>
    <w:rsid w:val="FFFE89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semiHidden/>
    <w:qFormat/>
    <w:uiPriority w:val="0"/>
    <w:pPr>
      <w:ind w:firstLine="420" w:firstLineChars="100"/>
    </w:pPr>
  </w:style>
  <w:style w:type="paragraph" w:styleId="4">
    <w:name w:val="Salutation"/>
    <w:basedOn w:val="1"/>
    <w:next w:val="1"/>
    <w:qFormat/>
    <w:uiPriority w:val="0"/>
  </w:style>
  <w:style w:type="paragraph" w:styleId="5">
    <w:name w:val="Body Text Indent"/>
    <w:basedOn w:val="1"/>
    <w:semiHidden/>
    <w:qFormat/>
    <w:uiPriority w:val="99"/>
    <w:pPr>
      <w:spacing w:after="120"/>
      <w:ind w:left="420" w:leftChars="200"/>
    </w:pPr>
  </w:style>
  <w:style w:type="paragraph" w:styleId="6">
    <w:name w:val="Body Text Indent 2"/>
    <w:basedOn w:val="1"/>
    <w:link w:val="13"/>
    <w:unhideWhenUsed/>
    <w:qFormat/>
    <w:uiPriority w:val="0"/>
    <w:pPr>
      <w:spacing w:after="120" w:line="480" w:lineRule="auto"/>
      <w:ind w:left="420" w:leftChars="20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1"/>
    <w:qFormat/>
    <w:uiPriority w:val="99"/>
    <w:pPr>
      <w:ind w:firstLine="420" w:firstLineChars="200"/>
    </w:pPr>
  </w:style>
  <w:style w:type="character" w:styleId="12">
    <w:name w:val="page number"/>
    <w:basedOn w:val="11"/>
    <w:qFormat/>
    <w:uiPriority w:val="99"/>
    <w:rPr>
      <w:rFonts w:cs="Times New Roman"/>
    </w:rPr>
  </w:style>
  <w:style w:type="character" w:customStyle="1" w:styleId="13">
    <w:name w:val="正文文本缩进 2 Char"/>
    <w:basedOn w:val="11"/>
    <w:link w:val="6"/>
    <w:qFormat/>
    <w:uiPriority w:val="0"/>
    <w:rPr>
      <w:rFonts w:ascii="Calibri" w:hAnsi="Calibri" w:eastAsia="宋体" w:cs="Times New Roman"/>
      <w:szCs w:val="24"/>
    </w:rPr>
  </w:style>
  <w:style w:type="character" w:customStyle="1" w:styleId="14">
    <w:name w:val="页脚 Char"/>
    <w:basedOn w:val="11"/>
    <w:link w:val="7"/>
    <w:qFormat/>
    <w:uiPriority w:val="99"/>
    <w:rPr>
      <w:kern w:val="2"/>
      <w:sz w:val="18"/>
      <w:szCs w:val="18"/>
    </w:rPr>
  </w:style>
  <w:style w:type="character" w:customStyle="1" w:styleId="15">
    <w:name w:val="页眉 Char"/>
    <w:basedOn w:val="11"/>
    <w:link w:val="8"/>
    <w:semiHidden/>
    <w:qFormat/>
    <w:uiPriority w:val="99"/>
    <w:rPr>
      <w:kern w:val="2"/>
      <w:sz w:val="18"/>
      <w:szCs w:val="18"/>
    </w:rPr>
  </w:style>
  <w:style w:type="character" w:customStyle="1" w:styleId="16">
    <w:name w:val="fontstyle01"/>
    <w:basedOn w:val="11"/>
    <w:qFormat/>
    <w:uiPriority w:val="0"/>
    <w:rPr>
      <w:rFonts w:hint="eastAsia" w:ascii="仿宋_GB2312" w:eastAsia="仿宋_GB2312"/>
      <w:color w:val="000000"/>
      <w:sz w:val="32"/>
      <w:szCs w:val="32"/>
    </w:rPr>
  </w:style>
  <w:style w:type="character" w:customStyle="1" w:styleId="17">
    <w:name w:val="fontstyle21"/>
    <w:basedOn w:val="11"/>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1687</Words>
  <Characters>1813</Characters>
  <Lines>17</Lines>
  <Paragraphs>4</Paragraphs>
  <TotalTime>0</TotalTime>
  <ScaleCrop>false</ScaleCrop>
  <LinksUpToDate>false</LinksUpToDate>
  <CharactersWithSpaces>1849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2022-03-02T06:45:00Z</dcterms:created>
  <dc:creator>宋红林</dc:creator>
  <cp:lastModifiedBy>W</cp:lastModifiedBy>
  <cp:lastPrinted>2023-03-17T12:05:00Z</cp:lastPrinted>
  <dcterms:modified xsi:type="dcterms:W3CDTF">2023-12-15T13:44:14Z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40437DC313A6450DBC141CEEAAF60CCD</vt:lpwstr>
  </property>
</Properties>
</file>