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乐府发〔20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乐至县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乡村水务试点三年实施方案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2022—2024年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）的批复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8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</w:pPr>
      <w:r>
        <w:rPr>
          <w:rFonts w:hint="eastAsia" w:eastAsia="方正仿宋简体"/>
          <w:color w:val="auto"/>
          <w:spacing w:val="-6"/>
          <w:sz w:val="32"/>
          <w:szCs w:val="32"/>
          <w:lang w:val="en-US" w:eastAsia="zh-CN"/>
        </w:rPr>
        <w:t>乐至县水务</w:t>
      </w:r>
      <w:r>
        <w:rPr>
          <w:rFonts w:eastAsia="方正仿宋简体"/>
          <w:color w:val="auto"/>
          <w:spacing w:val="-6"/>
          <w:sz w:val="32"/>
          <w:szCs w:val="32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你局上报的《乐至县乡村水务试点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三年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实施方案（2022—2024年）》（以下简称“方案”）收悉。经研究，同意方案内容，现就有关事项批复如下：</w:t>
      </w:r>
    </w:p>
    <w:p>
      <w:pPr>
        <w:keepNext w:val="0"/>
        <w:keepLines w:val="0"/>
        <w:pageBreakBefore w:val="0"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24" w:firstLine="640" w:firstLineChars="200"/>
        <w:textAlignment w:val="auto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  <w:t>一、总体目标</w:t>
      </w:r>
    </w:p>
    <w:p>
      <w:pPr>
        <w:keepNext w:val="0"/>
        <w:keepLines w:val="0"/>
        <w:pageBreakBefore w:val="0"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24" w:firstLine="629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（一）主要目标</w:t>
      </w:r>
    </w:p>
    <w:p>
      <w:pPr>
        <w:keepNext w:val="0"/>
        <w:keepLines w:val="0"/>
        <w:pageBreakBefore w:val="0"/>
        <w:shd w:val="clear" w:color="auto" w:fill="FFFFFF"/>
        <w:tabs>
          <w:tab w:val="left" w:pos="8820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24" w:firstLine="629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2022年度：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完成农村供水工程建设1处，其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u w:val="none"/>
          <w:lang w:val="en-US" w:eastAsia="zh-CN"/>
        </w:rPr>
        <w:t>中管网延伸工程本年度完成工程30%，改扩建规模化供水工程1处，受益人口1.83万人，新增规模化工程覆盖人口0.1万人；农村自来水普及率89.5%；规模化供水工程覆盖农村人口比例65%；集中供水工程规范化管理达标水平比例100%；集中供水工程水费收取率98%；水质合格率96%；问题投诉率小于0.001%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u w:val="none"/>
          <w:lang w:val="en-US" w:eastAsia="zh-CN"/>
        </w:rPr>
        <w:br w:type="textWrapping"/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2023年度：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u w:val="none"/>
          <w:lang w:val="en-US" w:eastAsia="zh-CN"/>
        </w:rPr>
        <w:t>完成两座新建供水站工程50%，其中管网延伸工程续建38%；农村自来水普及率90%；规模化供水工程覆盖农村人口比例73%；集中供水工程规范化管理达标水平比例100%；集中供水工程水费收取率98.5%；水质合格率97%；问题投诉率小于0.001%。</w:t>
      </w:r>
    </w:p>
    <w:p>
      <w:pPr>
        <w:keepNext w:val="0"/>
        <w:keepLines w:val="0"/>
        <w:pageBreakBefore w:val="0"/>
        <w:shd w:val="clear" w:color="auto" w:fill="FFFFFF"/>
        <w:tabs>
          <w:tab w:val="left" w:pos="8820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24" w:firstLine="629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2024年度：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u w:val="none"/>
          <w:lang w:val="en-US" w:eastAsia="zh-CN"/>
        </w:rPr>
        <w:t>完成农村供水工程建设6处，其中管网延伸工程1处，新建规模化供水工程2处，改扩建规模化供水工程3处，受益人口22.1万人，新增规模化工程覆盖人口4.87万人；农村自来水普及率91%；规模化供水工程覆盖农村人口比例81%；集中供水工程规范化管理达标水平比例100%；集中供水工程水费收取率99%；水质合格率98%；问题投诉率小于0.001%。</w:t>
      </w:r>
    </w:p>
    <w:p>
      <w:pPr>
        <w:keepNext w:val="0"/>
        <w:keepLines w:val="0"/>
        <w:pageBreakBefore w:val="0"/>
        <w:shd w:val="clear" w:color="auto" w:fill="FFFFFF"/>
        <w:tabs>
          <w:tab w:val="left" w:pos="8820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24" w:firstLine="629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（二）协同目标</w:t>
      </w:r>
    </w:p>
    <w:p>
      <w:pPr>
        <w:keepNext w:val="0"/>
        <w:keepLines w:val="0"/>
        <w:pageBreakBefore w:val="0"/>
        <w:shd w:val="clear" w:color="auto" w:fill="FFFFFF"/>
        <w:tabs>
          <w:tab w:val="left" w:pos="8820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24" w:firstLine="629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u w:val="none"/>
          <w:lang w:val="en-US" w:eastAsia="zh-CN"/>
        </w:rPr>
        <w:t>以乡村水务为突破口，协同推进水库及渠系、农业灌溉、水美新村等版块建设。2022年完成6处小型病险水库除险加固，完成1处中型灌区建设，创建2个水美新村；2023年创建2个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水美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新村；2024年创建2个水美新村；全面完成现有病险水库除险加固等建设任务，实现中型水库标准化管理、推行小型水库专业化管护模式，切实做好中型灌区续建配套与节水改造，积极推进水美新村、水利风景区创建。</w:t>
      </w:r>
    </w:p>
    <w:p>
      <w:pPr>
        <w:keepNext w:val="0"/>
        <w:keepLines w:val="0"/>
        <w:pageBreakBefore w:val="0"/>
        <w:shd w:val="clear" w:color="auto" w:fill="FFFFFF"/>
        <w:tabs>
          <w:tab w:val="left" w:pos="8820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24" w:firstLine="640" w:firstLineChars="200"/>
        <w:textAlignment w:val="auto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highlight w:val="none"/>
          <w:lang w:val="en-US" w:eastAsia="zh-CN"/>
        </w:rPr>
        <w:t>二、项目管理</w:t>
      </w:r>
    </w:p>
    <w:p>
      <w:pPr>
        <w:keepNext w:val="0"/>
        <w:keepLines w:val="0"/>
        <w:pageBreakBefore w:val="0"/>
        <w:shd w:val="clear" w:color="auto" w:fill="FFFFFF"/>
        <w:tabs>
          <w:tab w:val="left" w:pos="8820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24" w:firstLine="629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乡村水务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作为“十四五”时期国民经济和社会发展的优先领域，水利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工作纳入政府任期工作目标。合理划分事权，落实目标任务，加强督查考核，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做到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责任到位、措施到位、投入到位，确保项目顺利实施。有关部门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（单位）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要切实履行职责，增强大局意识和服务意识，加强协作，密切配合，大力推进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乡村水务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工程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建设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发展。</w:t>
      </w:r>
    </w:p>
    <w:p>
      <w:pPr>
        <w:keepNext w:val="0"/>
        <w:keepLines w:val="0"/>
        <w:pageBreakBefore w:val="0"/>
        <w:shd w:val="clear" w:color="auto" w:fill="FFFFFF"/>
        <w:tabs>
          <w:tab w:val="left" w:pos="8820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24" w:firstLine="629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  <w:t>三、资金管理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一是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加强项目策划和规划，力争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乐至县棉花沟水库除险加固工程等项目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纳入国家和省重点水利项目计划，争取资金补助；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二是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加大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地方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财政统筹使用力度，盘活存量资金，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积极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争取地方政府债券和水利基金；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三是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加快政府和社会资本合作模式在规划纲要实施项目的应用，引导社会资本、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民间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资本投入，积极争取政策性银行贷款；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四是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本实施方案资金由中央财政资金、省级财政资金和社会资本方资金组成。实行专项专款制度，杜绝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因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资金筹措不齐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时间滞后导致项目无法落地等情况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发生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  <w:t>四、绩效考评</w:t>
      </w:r>
    </w:p>
    <w:p>
      <w:pPr>
        <w:keepNext w:val="0"/>
        <w:keepLines w:val="0"/>
        <w:pageBreakBefore w:val="0"/>
        <w:shd w:val="clear" w:color="auto" w:fill="FFFFFF"/>
        <w:tabs>
          <w:tab w:val="left" w:pos="8820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24" w:firstLine="629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乡村水务试点工作推进绩效考评方式、方法参照《四川省财政厅 四川省水利厅关于印发＜四川省省级财政乡村水务发展专项资金管理暂行办法＞的通知》（川财建〔2022〕214号）执行。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pacing w:val="-6"/>
          <w:sz w:val="32"/>
          <w:szCs w:val="32"/>
          <w:lang w:val="en-US" w:eastAsia="zh-CN"/>
        </w:rPr>
        <w:t>此复。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乐至县人民政府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0" w:line="580" w:lineRule="exact"/>
        <w:ind w:firstLine="198" w:firstLineChars="62"/>
        <w:jc w:val="right"/>
        <w:textAlignment w:val="auto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28" w:left="1588" w:header="851" w:footer="150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DejaVu San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方正楷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zql5uc8AAAAFAQAA&#10;DwAAAAAAAAABACAAAAA4AAAAZHJzL2Rvd25yZXYueG1sUEsBAhQAFAAAAAgAh07iQOrbitDTAQAA&#10;hAMAAA4AAAAAAAAAAQAgAAAANA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</w:pPr>
    <w:r>
      <w:rPr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26"/>
    <w:rsid w:val="000E5626"/>
    <w:rsid w:val="00191623"/>
    <w:rsid w:val="003D2C2F"/>
    <w:rsid w:val="00510F27"/>
    <w:rsid w:val="005963BE"/>
    <w:rsid w:val="006119C3"/>
    <w:rsid w:val="00665232"/>
    <w:rsid w:val="007D5128"/>
    <w:rsid w:val="008768C5"/>
    <w:rsid w:val="008911DE"/>
    <w:rsid w:val="00BC6893"/>
    <w:rsid w:val="00C41733"/>
    <w:rsid w:val="00CE339A"/>
    <w:rsid w:val="00E16D57"/>
    <w:rsid w:val="00EA0E2E"/>
    <w:rsid w:val="00F27B1B"/>
    <w:rsid w:val="0E9E68DD"/>
    <w:rsid w:val="11CF3B84"/>
    <w:rsid w:val="12256B2A"/>
    <w:rsid w:val="1EE93F77"/>
    <w:rsid w:val="3986639D"/>
    <w:rsid w:val="3B4B40DF"/>
    <w:rsid w:val="3D840BB6"/>
    <w:rsid w:val="3FFB9B4A"/>
    <w:rsid w:val="53EA2F55"/>
    <w:rsid w:val="5AFB7F28"/>
    <w:rsid w:val="5FFF0115"/>
    <w:rsid w:val="679A1B76"/>
    <w:rsid w:val="68E12C7C"/>
    <w:rsid w:val="6BC7E9E0"/>
    <w:rsid w:val="6E2E2065"/>
    <w:rsid w:val="7683469E"/>
    <w:rsid w:val="7BCAF035"/>
    <w:rsid w:val="7ECDEE60"/>
    <w:rsid w:val="7F43B9C0"/>
    <w:rsid w:val="7FEEB927"/>
    <w:rsid w:val="7FFCE1EA"/>
    <w:rsid w:val="AF3F2850"/>
    <w:rsid w:val="BF3DF4B7"/>
    <w:rsid w:val="BFBD7A73"/>
    <w:rsid w:val="CDEFAB92"/>
    <w:rsid w:val="D9D71D7B"/>
    <w:rsid w:val="DFE92AE9"/>
    <w:rsid w:val="E0761C22"/>
    <w:rsid w:val="EDCE783D"/>
    <w:rsid w:val="EFDD3994"/>
    <w:rsid w:val="F6EBFBF7"/>
    <w:rsid w:val="F9FE7E77"/>
    <w:rsid w:val="FAFED34A"/>
    <w:rsid w:val="FAFFA346"/>
    <w:rsid w:val="FD7AD5AD"/>
    <w:rsid w:val="FF3F304B"/>
    <w:rsid w:val="FFFE89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qFormat="1" w:unhideWhenUsed="0" w:uiPriority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semiHidden/>
    <w:qFormat/>
    <w:uiPriority w:val="0"/>
    <w:pPr>
      <w:ind w:firstLine="420" w:firstLineChars="100"/>
    </w:pPr>
  </w:style>
  <w:style w:type="paragraph" w:styleId="4">
    <w:name w:val="Salutation"/>
    <w:basedOn w:val="1"/>
    <w:next w:val="1"/>
    <w:qFormat/>
    <w:uiPriority w:val="0"/>
  </w:style>
  <w:style w:type="paragraph" w:styleId="5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6">
    <w:name w:val="Body Text Indent 2"/>
    <w:basedOn w:val="1"/>
    <w:link w:val="13"/>
    <w:unhideWhenUsed/>
    <w:qFormat/>
    <w:uiPriority w:val="0"/>
    <w:pPr>
      <w:spacing w:after="120" w:line="480" w:lineRule="auto"/>
      <w:ind w:left="420" w:leftChars="200"/>
    </w:p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5"/>
    <w:next w:val="1"/>
    <w:qFormat/>
    <w:uiPriority w:val="99"/>
    <w:pPr>
      <w:ind w:firstLine="420" w:firstLineChars="200"/>
    </w:p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customStyle="1" w:styleId="13">
    <w:name w:val="正文文本缩进 2 Char"/>
    <w:basedOn w:val="11"/>
    <w:link w:val="6"/>
    <w:qFormat/>
    <w:uiPriority w:val="0"/>
    <w:rPr>
      <w:rFonts w:ascii="Calibri" w:hAnsi="Calibri" w:eastAsia="宋体" w:cs="Times New Roman"/>
      <w:szCs w:val="24"/>
    </w:rPr>
  </w:style>
  <w:style w:type="character" w:customStyle="1" w:styleId="14">
    <w:name w:val="页脚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5">
    <w:name w:val="页眉 Char"/>
    <w:basedOn w:val="11"/>
    <w:link w:val="8"/>
    <w:semiHidden/>
    <w:qFormat/>
    <w:uiPriority w:val="99"/>
    <w:rPr>
      <w:kern w:val="2"/>
      <w:sz w:val="18"/>
      <w:szCs w:val="18"/>
    </w:rPr>
  </w:style>
  <w:style w:type="character" w:customStyle="1" w:styleId="16">
    <w:name w:val="fontstyle01"/>
    <w:basedOn w:val="1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7">
    <w:name w:val="fontstyle21"/>
    <w:basedOn w:val="11"/>
    <w:qFormat/>
    <w:uiPriority w:val="0"/>
    <w:rPr>
      <w:rFonts w:hint="default" w:ascii="TimesNewRomanPSMT" w:hAnsi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362</Words>
  <Characters>2068</Characters>
  <Lines>17</Lines>
  <Paragraphs>4</Paragraphs>
  <TotalTime>23</TotalTime>
  <ScaleCrop>false</ScaleCrop>
  <LinksUpToDate>false</LinksUpToDate>
  <CharactersWithSpaces>2426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2022-03-01T06:45:00Z</dcterms:created>
  <dc:creator>宋红林</dc:creator>
  <cp:lastModifiedBy>W</cp:lastModifiedBy>
  <cp:lastPrinted>2023-03-16T12:05:00Z</cp:lastPrinted>
  <dcterms:modified xsi:type="dcterms:W3CDTF">2023-03-16T16:47:09Z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40437DC313A6450DBC141CEEAAF60CCD</vt:lpwstr>
  </property>
</Properties>
</file>