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黑体"/>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乐府</w:t>
      </w:r>
      <w:r>
        <w:rPr>
          <w:rFonts w:hint="default" w:ascii="Times New Roman" w:hAnsi="Times New Roman" w:eastAsia="仿宋_GB2312" w:cs="Times New Roman"/>
          <w:sz w:val="32"/>
          <w:szCs w:val="32"/>
          <w:lang w:eastAsia="zh-CN"/>
        </w:rPr>
        <w:t>办</w:t>
      </w:r>
      <w:r>
        <w:rPr>
          <w:rFonts w:hint="default" w:ascii="Times New Roman" w:hAnsi="Times New Roman" w:eastAsia="仿宋_GB2312" w:cs="Times New Roman"/>
          <w:sz w:val="32"/>
          <w:szCs w:val="32"/>
        </w:rPr>
        <w:t>发〔202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660" w:lineRule="exact"/>
        <w:ind w:left="0" w:leftChars="0" w:right="0" w:rightChars="0" w:firstLine="0" w:firstLineChars="0"/>
        <w:jc w:val="center"/>
        <w:textAlignment w:val="auto"/>
        <w:outlineLvl w:val="9"/>
        <w:rPr>
          <w:rFonts w:hint="eastAsia" w:ascii="Times New Roman" w:hAnsi="方正小标宋简体" w:eastAsia="方正小标宋简体" w:cs="方正小标宋简体"/>
          <w:b w:val="0"/>
          <w:i w:val="0"/>
          <w:snapToGrid/>
          <w:spacing w:val="0"/>
          <w:w w:val="100"/>
          <w:sz w:val="44"/>
          <w:u w:val="none"/>
          <w:lang w:eastAsia="zh-CN"/>
        </w:rPr>
      </w:pPr>
      <w:r>
        <w:rPr>
          <w:rFonts w:hint="eastAsia" w:ascii="Times New Roman" w:hAnsi="方正小标宋简体" w:eastAsia="方正小标宋简体" w:cs="方正小标宋简体"/>
          <w:b w:val="0"/>
          <w:i w:val="0"/>
          <w:snapToGrid/>
          <w:spacing w:val="0"/>
          <w:w w:val="100"/>
          <w:sz w:val="44"/>
          <w:u w:val="none"/>
          <w:lang w:eastAsia="zh-CN"/>
        </w:rPr>
        <w:t>乐至县人民政府办公室</w:t>
      </w:r>
    </w:p>
    <w:p>
      <w:pPr>
        <w:spacing w:line="580" w:lineRule="exact"/>
        <w:jc w:val="center"/>
        <w:rPr>
          <w:rFonts w:hint="eastAsia" w:ascii="方正小标宋简体" w:hAnsi="Times New Roman" w:eastAsia="方正小标宋简体" w:cs="方正小标宋简体"/>
          <w:sz w:val="44"/>
          <w:szCs w:val="32"/>
        </w:rPr>
      </w:pPr>
      <w:r>
        <w:rPr>
          <w:rFonts w:hint="eastAsia" w:ascii="方正小标宋简体" w:hAnsi="Times New Roman" w:eastAsia="方正小标宋简体" w:cs="方正小标宋简体"/>
          <w:sz w:val="44"/>
          <w:szCs w:val="32"/>
        </w:rPr>
        <w:t>关于印发2023年全县政务公开工作要点</w:t>
      </w:r>
    </w:p>
    <w:p>
      <w:pPr>
        <w:spacing w:line="580" w:lineRule="exact"/>
        <w:jc w:val="center"/>
        <w:rPr>
          <w:rFonts w:hint="eastAsia" w:ascii="方正小标宋简体" w:hAnsi="Times New Roman" w:eastAsia="方正小标宋简体" w:cs="方正小标宋简体"/>
          <w:sz w:val="44"/>
          <w:szCs w:val="32"/>
        </w:rPr>
      </w:pPr>
      <w:r>
        <w:rPr>
          <w:rFonts w:hint="eastAsia" w:ascii="方正小标宋简体" w:hAnsi="Times New Roman" w:eastAsia="方正小标宋简体" w:cs="方正小标宋简体"/>
          <w:sz w:val="44"/>
          <w:szCs w:val="32"/>
        </w:rPr>
        <w:t>任务分解表的通知</w:t>
      </w:r>
    </w:p>
    <w:p>
      <w:pPr>
        <w:spacing w:line="580" w:lineRule="exact"/>
        <w:ind w:firstLine="640" w:firstLineChars="200"/>
        <w:rPr>
          <w:rFonts w:hint="eastAsia" w:ascii="Times New Roman" w:hAnsi="Times New Roman" w:eastAsia="仿宋_GB2312" w:cs="仿宋_GB2312"/>
          <w:sz w:val="32"/>
          <w:szCs w:val="32"/>
        </w:rPr>
      </w:pPr>
    </w:p>
    <w:p>
      <w:pPr>
        <w:spacing w:line="58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各乡镇人民政府、街道办事处，县级</w:t>
      </w:r>
      <w:r>
        <w:rPr>
          <w:rFonts w:hint="eastAsia" w:ascii="Times New Roman" w:hAnsi="Times New Roman" w:eastAsia="仿宋_GB2312" w:cs="仿宋_GB2312"/>
          <w:sz w:val="32"/>
          <w:szCs w:val="32"/>
          <w:lang w:eastAsia="zh-CN"/>
        </w:rPr>
        <w:t>有关</w:t>
      </w:r>
      <w:r>
        <w:rPr>
          <w:rFonts w:hint="eastAsia" w:ascii="Times New Roman" w:hAnsi="Times New Roman" w:eastAsia="仿宋_GB2312" w:cs="仿宋_GB2312"/>
          <w:sz w:val="32"/>
          <w:szCs w:val="32"/>
        </w:rPr>
        <w:t>部门（单位）：</w:t>
      </w:r>
    </w:p>
    <w:p>
      <w:pPr>
        <w:spacing w:line="58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为全面贯彻落实《四川省人民政府办公厅关于印发2023年全省政务公开工作要点的通知》（川办发</w:t>
      </w:r>
      <w:r>
        <w:rPr>
          <w:rFonts w:hint="eastAsia" w:ascii="Times New Roman" w:hAnsi="Times New Roman" w:eastAsia="仿宋_GB2312" w:cs="方正隶书_GBK"/>
          <w:sz w:val="32"/>
          <w:szCs w:val="32"/>
        </w:rPr>
        <w:t>〔</w:t>
      </w:r>
      <w:r>
        <w:rPr>
          <w:rFonts w:hint="eastAsia" w:ascii="Times New Roman" w:hAnsi="Times New Roman" w:eastAsia="仿宋_GB2312" w:cs="方正隶书_GBK"/>
          <w:sz w:val="32"/>
          <w:szCs w:val="32"/>
          <w:lang w:val="en"/>
        </w:rPr>
        <w:t>2023</w:t>
      </w:r>
      <w:r>
        <w:rPr>
          <w:rFonts w:hint="eastAsia" w:ascii="Times New Roman" w:hAnsi="Times New Roman" w:eastAsia="仿宋_GB2312" w:cs="方正隶书_GBK"/>
          <w:sz w:val="32"/>
          <w:szCs w:val="32"/>
        </w:rPr>
        <w:t>〕10</w:t>
      </w:r>
      <w:r>
        <w:rPr>
          <w:rFonts w:hint="eastAsia" w:ascii="Times New Roman" w:hAnsi="Times New Roman" w:eastAsia="仿宋_GB2312" w:cs="方正仿宋简体"/>
          <w:sz w:val="32"/>
          <w:szCs w:val="32"/>
        </w:rPr>
        <w:t>号</w:t>
      </w:r>
      <w:r>
        <w:rPr>
          <w:rFonts w:hint="eastAsia" w:ascii="Times New Roman" w:hAnsi="Times New Roman" w:eastAsia="仿宋_GB2312" w:cs="仿宋_GB2312"/>
          <w:sz w:val="32"/>
          <w:szCs w:val="32"/>
        </w:rPr>
        <w:t>）和《资阳市人民政府办公室关于印发2023年全市政务公开工作要点任务分解表的通知》（资市府办发</w:t>
      </w:r>
      <w:r>
        <w:rPr>
          <w:rFonts w:hint="eastAsia" w:ascii="Times New Roman" w:hAnsi="Times New Roman" w:eastAsia="仿宋_GB2312" w:cs="方正隶书_GBK"/>
          <w:sz w:val="32"/>
          <w:szCs w:val="32"/>
        </w:rPr>
        <w:t>〔</w:t>
      </w:r>
      <w:r>
        <w:rPr>
          <w:rFonts w:hint="eastAsia" w:ascii="Times New Roman" w:hAnsi="Times New Roman" w:eastAsia="仿宋_GB2312" w:cs="方正隶书_GBK"/>
          <w:sz w:val="32"/>
          <w:szCs w:val="32"/>
          <w:lang w:val="en"/>
        </w:rPr>
        <w:t>2023</w:t>
      </w:r>
      <w:r>
        <w:rPr>
          <w:rFonts w:hint="eastAsia" w:ascii="Times New Roman" w:hAnsi="Times New Roman" w:eastAsia="仿宋_GB2312" w:cs="方正隶书_GBK"/>
          <w:sz w:val="32"/>
          <w:szCs w:val="32"/>
        </w:rPr>
        <w:t>〕6</w:t>
      </w:r>
      <w:r>
        <w:rPr>
          <w:rFonts w:hint="eastAsia" w:ascii="Times New Roman" w:hAnsi="Times New Roman" w:eastAsia="仿宋_GB2312" w:cs="方正仿宋简体"/>
          <w:sz w:val="32"/>
          <w:szCs w:val="32"/>
        </w:rPr>
        <w:t>号</w:t>
      </w:r>
      <w:r>
        <w:rPr>
          <w:rFonts w:hint="eastAsia" w:ascii="Times New Roman" w:hAnsi="Times New Roman" w:eastAsia="仿宋_GB2312" w:cs="仿宋_GB2312"/>
          <w:sz w:val="32"/>
          <w:szCs w:val="32"/>
        </w:rPr>
        <w:t>）精神，现将《2023年全县政务公开工作要点任务分解表》印发给你们，请结合以下要求认真抓好贯彻落实。</w:t>
      </w:r>
    </w:p>
    <w:p>
      <w:pPr>
        <w:spacing w:line="580" w:lineRule="exact"/>
        <w:ind w:firstLine="640" w:firstLineChars="200"/>
        <w:rPr>
          <w:rFonts w:hint="eastAsia" w:ascii="Times New Roman" w:hAnsi="Times New Roman" w:eastAsia="黑体" w:cs="方正黑体_GBK"/>
          <w:sz w:val="32"/>
          <w:szCs w:val="32"/>
          <w:lang w:val="en"/>
        </w:rPr>
      </w:pPr>
      <w:r>
        <w:rPr>
          <w:rFonts w:hint="eastAsia" w:ascii="Times New Roman" w:hAnsi="Times New Roman" w:eastAsia="黑体" w:cs="方正黑体_GBK"/>
          <w:sz w:val="32"/>
          <w:szCs w:val="32"/>
          <w:lang w:val="en"/>
        </w:rPr>
        <w:t>一、统一思想认识，提高政治站位</w:t>
      </w:r>
    </w:p>
    <w:p>
      <w:pPr>
        <w:spacing w:line="58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2023年，全县政务公开工作坚持以习近平新时代中国特色社会主义思想为指导，全面贯彻党的二十大精神，认真落实习近平总书记对四川工作系列重要指示精神和省委省政府、市委市政府、县委县政府决策部署，全面推进政务公开，更好发挥政务公开促落实、促规范、促服务、促治理能力提升的功能。</w:t>
      </w:r>
    </w:p>
    <w:p>
      <w:pPr>
        <w:spacing w:line="580" w:lineRule="exact"/>
        <w:ind w:firstLine="640" w:firstLineChars="200"/>
        <w:rPr>
          <w:rFonts w:hint="eastAsia" w:ascii="Times New Roman" w:hAnsi="Times New Roman" w:eastAsia="黑体" w:cs="方正黑体_GBK"/>
          <w:sz w:val="32"/>
          <w:szCs w:val="32"/>
          <w:lang w:val="en"/>
        </w:rPr>
      </w:pPr>
      <w:r>
        <w:rPr>
          <w:rFonts w:hint="eastAsia" w:ascii="Times New Roman" w:hAnsi="Times New Roman" w:eastAsia="黑体" w:cs="方正黑体_GBK"/>
          <w:sz w:val="32"/>
          <w:szCs w:val="32"/>
          <w:lang w:val="en"/>
        </w:rPr>
        <w:t>二、统筹好政务公开与安全保密</w:t>
      </w:r>
    </w:p>
    <w:p>
      <w:pPr>
        <w:spacing w:line="58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全面梳理法律、法规、规章和上级文件对本单位、本领域提出的公开要求，认真对照执行。在公开工作中增强规范意识，完善政府信息公开保密审查制度，严格执行公开前审查程序，健全公开与保密审查工作机制，坚决做好政府网站、政务新媒体等平台载体安全保密工作，防止泄露国家秘密、工作秘密和敏感信息，防范数据汇聚引发泄密风险。保密行政管理部门要把政务公开中的保密审查工作纳入监管，每年至少开展1次专项检查。</w:t>
      </w:r>
    </w:p>
    <w:p>
      <w:pPr>
        <w:spacing w:line="580" w:lineRule="exact"/>
        <w:ind w:firstLine="640" w:firstLineChars="200"/>
        <w:rPr>
          <w:rFonts w:hint="eastAsia" w:ascii="Times New Roman" w:hAnsi="Times New Roman" w:eastAsia="黑体" w:cs="方正黑体_GBK"/>
          <w:sz w:val="32"/>
          <w:szCs w:val="32"/>
          <w:lang w:val="en"/>
        </w:rPr>
      </w:pPr>
      <w:r>
        <w:rPr>
          <w:rFonts w:hint="eastAsia" w:ascii="Times New Roman" w:hAnsi="Times New Roman" w:eastAsia="黑体" w:cs="方正黑体_GBK"/>
          <w:sz w:val="32"/>
          <w:szCs w:val="32"/>
          <w:lang w:val="en"/>
        </w:rPr>
        <w:t>三、强化监督管理，接受监督评议</w:t>
      </w:r>
    </w:p>
    <w:p>
      <w:pPr>
        <w:spacing w:line="58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各单位要对照任务分解表，建立健全社会监督机制，梳理形成工作台账，实时跟进推动，并将落实情况纳入政府信息公开工作年度报告予以公开，接受社会监督。加强公开后信息管理，定期清理已经过时、失效的内容，避免信息散乱无序，防止危害国家安全、公共安全、经济安全、社会稳定或者泄露个人隐私、商业秘密。</w:t>
      </w:r>
    </w:p>
    <w:p>
      <w:pPr>
        <w:spacing w:line="580" w:lineRule="exact"/>
        <w:ind w:firstLine="640" w:firstLineChars="200"/>
        <w:rPr>
          <w:rFonts w:hint="eastAsia" w:ascii="Times New Roman" w:hAnsi="Times New Roman" w:eastAsia="黑体" w:cs="方正黑体_GBK"/>
          <w:sz w:val="32"/>
          <w:szCs w:val="32"/>
          <w:lang w:val="en"/>
        </w:rPr>
      </w:pPr>
      <w:r>
        <w:rPr>
          <w:rFonts w:hint="eastAsia" w:ascii="Times New Roman" w:hAnsi="Times New Roman" w:eastAsia="黑体" w:cs="方正黑体_GBK"/>
          <w:sz w:val="32"/>
          <w:szCs w:val="32"/>
          <w:lang w:val="en"/>
        </w:rPr>
        <w:t>四、开展调查研究，提升公开水平</w:t>
      </w:r>
    </w:p>
    <w:p>
      <w:pPr>
        <w:spacing w:line="58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围绕基层政务公开、政府网站及政务新媒体等各项任务落地情况，常态化开展调查研究，查找差距不足，总结提炼典型经验。县级部门要加强对乡镇（街道）的指导，明确目标任务、职责分工和时间进度，逐项细化实化措施，帮助解决实际困难，推动本行业本领域政务公开水平整体提升。</w:t>
      </w:r>
    </w:p>
    <w:p>
      <w:pPr>
        <w:spacing w:line="580" w:lineRule="exact"/>
        <w:ind w:firstLine="640" w:firstLineChars="200"/>
        <w:rPr>
          <w:rFonts w:hint="eastAsia" w:ascii="Times New Roman" w:hAnsi="Times New Roman" w:eastAsia="黑体" w:cs="方正黑体_GBK"/>
          <w:sz w:val="32"/>
          <w:szCs w:val="32"/>
          <w:lang w:val="en"/>
        </w:rPr>
      </w:pPr>
      <w:r>
        <w:rPr>
          <w:rFonts w:hint="eastAsia" w:ascii="Times New Roman" w:hAnsi="Times New Roman" w:eastAsia="黑体" w:cs="方正黑体_GBK"/>
          <w:sz w:val="32"/>
          <w:szCs w:val="32"/>
          <w:lang w:val="en"/>
        </w:rPr>
        <w:t>五、深入开展自查自纠</w:t>
      </w:r>
    </w:p>
    <w:p>
      <w:pPr>
        <w:spacing w:line="58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各单位要认真对照《四川省人民政府信息公开办公室关于优化调整网站与政府系统政务新媒体检查指标、监管工作年度考核指标的通知》（川府公开办函〔2023〕15号）深入开展自查自纠，该更新的栏目及时更新，该公开的信息及时公开，该删除的链接及时删除，杜绝出现“不更新栏目、空白栏目、错链接死链接”等低级错误。同时，切实做好内容审核、安全管理等工作，尤其是疑似涉密、涉敏等词汇内容，逐条逐篇对其进行处理，无法把握的信息及时删除，落实“上网信息不涉密，涉密信息不上网”、先审后发要求，确保不被省市通报。</w:t>
      </w:r>
    </w:p>
    <w:p>
      <w:pPr>
        <w:spacing w:line="580" w:lineRule="exact"/>
        <w:ind w:firstLine="640" w:firstLineChars="200"/>
        <w:rPr>
          <w:rFonts w:hint="eastAsia" w:ascii="Times New Roman" w:hAnsi="Times New Roman" w:eastAsia="仿宋_GB2312" w:cs="仿宋_GB2312"/>
          <w:sz w:val="32"/>
          <w:szCs w:val="32"/>
        </w:rPr>
      </w:pPr>
    </w:p>
    <w:p>
      <w:pPr>
        <w:spacing w:line="58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附件：2023年全县政务公开工作要点任务分解表</w:t>
      </w:r>
    </w:p>
    <w:p>
      <w:pPr>
        <w:spacing w:line="580" w:lineRule="exact"/>
        <w:ind w:firstLine="640" w:firstLineChars="200"/>
        <w:rPr>
          <w:rFonts w:hint="eastAsia" w:ascii="Times New Roman" w:hAnsi="Times New Roman" w:eastAsia="仿宋_GB2312" w:cs="仿宋_GB2312"/>
          <w:sz w:val="32"/>
          <w:szCs w:val="32"/>
        </w:rPr>
      </w:pPr>
    </w:p>
    <w:p>
      <w:pPr>
        <w:spacing w:line="580" w:lineRule="exact"/>
        <w:ind w:right="1313" w:rightChars="625" w:firstLine="640" w:firstLineChars="200"/>
        <w:jc w:val="right"/>
        <w:rPr>
          <w:rFonts w:hint="eastAsia" w:ascii="Times New Roman" w:hAnsi="Times New Roman"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80" w:lineRule="exact"/>
        <w:ind w:right="0" w:rightChars="0" w:firstLine="640" w:firstLineChars="200"/>
        <w:jc w:val="right"/>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rPr>
        <w:t>乐至县人民政府办公室</w:t>
      </w:r>
      <w:r>
        <w:rPr>
          <w:rFonts w:hint="eastAsia" w:ascii="Times New Roman" w:hAnsi="Times New Roman"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80" w:lineRule="exact"/>
        <w:ind w:right="0" w:rightChars="0" w:firstLine="640" w:firstLineChars="200"/>
        <w:jc w:val="right"/>
        <w:textAlignment w:val="auto"/>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
        </w:rPr>
        <w:t>2023年</w:t>
      </w:r>
      <w:r>
        <w:rPr>
          <w:rFonts w:hint="eastAsia" w:ascii="Times New Roman" w:hAnsi="Times New Roman" w:eastAsia="仿宋_GB2312" w:cs="仿宋_GB2312"/>
          <w:sz w:val="32"/>
          <w:szCs w:val="32"/>
        </w:rPr>
        <w:t>5月</w:t>
      </w:r>
      <w:r>
        <w:rPr>
          <w:rFonts w:hint="eastAsia" w:ascii="Times New Roman" w:hAnsi="Times New Roman" w:eastAsia="仿宋_GB2312" w:cs="仿宋_GB2312"/>
          <w:sz w:val="32"/>
          <w:szCs w:val="32"/>
          <w:lang w:val="en-US" w:eastAsia="zh-CN"/>
        </w:rPr>
        <w:t>30</w:t>
      </w:r>
      <w:r>
        <w:rPr>
          <w:rFonts w:hint="eastAsia" w:ascii="Times New Roman" w:hAnsi="Times New Roman" w:eastAsia="仿宋_GB2312" w:cs="仿宋_GB2312"/>
          <w:sz w:val="32"/>
          <w:szCs w:val="32"/>
        </w:rPr>
        <w:t>日</w:t>
      </w:r>
      <w:r>
        <w:rPr>
          <w:rFonts w:hint="eastAsia" w:ascii="Times New Roman" w:hAnsi="Times New Roman" w:eastAsia="仿宋_GB2312" w:cs="仿宋_GB2312"/>
          <w:sz w:val="32"/>
          <w:szCs w:val="32"/>
          <w:lang w:val="en-US" w:eastAsia="zh-CN"/>
        </w:rPr>
        <w:t xml:space="preserve">        </w:t>
      </w:r>
    </w:p>
    <w:p>
      <w:pPr>
        <w:spacing w:line="580" w:lineRule="exact"/>
        <w:ind w:firstLine="640" w:firstLineChars="200"/>
        <w:rPr>
          <w:rFonts w:hint="eastAsia" w:ascii="Times New Roman" w:hAnsi="Times New Roman" w:eastAsia="方正仿宋_GBK" w:cs="仿宋_GB2312"/>
          <w:sz w:val="32"/>
          <w:szCs w:val="32"/>
        </w:rPr>
      </w:pPr>
    </w:p>
    <w:p>
      <w:pPr>
        <w:spacing w:line="600" w:lineRule="exact"/>
        <w:ind w:firstLine="640" w:firstLineChars="200"/>
        <w:rPr>
          <w:rFonts w:hint="eastAsia" w:ascii="Times New Roman" w:hAnsi="Times New Roman" w:eastAsia="方正仿宋_GBK" w:cs="仿宋_GB2312"/>
          <w:sz w:val="32"/>
          <w:szCs w:val="32"/>
        </w:rPr>
        <w:sectPr>
          <w:headerReference r:id="rId3" w:type="default"/>
          <w:footerReference r:id="rId4" w:type="default"/>
          <w:footerReference r:id="rId5" w:type="even"/>
          <w:pgSz w:w="11906" w:h="16838"/>
          <w:pgMar w:top="2098" w:right="1474" w:bottom="1928" w:left="1588" w:header="851" w:footer="1503"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textAlignment w:val="auto"/>
        <w:rPr>
          <w:rFonts w:hint="eastAsia" w:ascii="Times New Roman" w:hAnsi="Times New Roman" w:eastAsia="黑体" w:cs="方正黑体_GBK"/>
          <w:sz w:val="32"/>
          <w:szCs w:val="32"/>
          <w:lang w:val="en"/>
        </w:rPr>
      </w:pPr>
      <w:r>
        <w:rPr>
          <w:rFonts w:hint="eastAsia" w:ascii="Times New Roman" w:hAnsi="Times New Roman" w:eastAsia="黑体" w:cs="方正黑体_GBK"/>
          <w:sz w:val="32"/>
          <w:szCs w:val="32"/>
          <w:lang w:val="en"/>
        </w:rPr>
        <w:t>附件</w:t>
      </w:r>
    </w:p>
    <w:p>
      <w:pPr>
        <w:spacing w:line="600" w:lineRule="exact"/>
        <w:rPr>
          <w:rFonts w:hint="eastAsia" w:ascii="Times New Roman" w:hAnsi="Times New Roman" w:eastAsia="方正黑体_GBK" w:cs="仿宋_GB2312"/>
          <w:sz w:val="32"/>
          <w:szCs w:val="32"/>
        </w:rPr>
      </w:pPr>
    </w:p>
    <w:p>
      <w:pPr>
        <w:spacing w:line="600" w:lineRule="exact"/>
        <w:jc w:val="center"/>
        <w:rPr>
          <w:rFonts w:hint="eastAsia" w:ascii="Times New Roman" w:hAnsi="Times New Roman" w:eastAsia="方正小标宋_GBK" w:cs="仿宋_GB2312"/>
          <w:sz w:val="40"/>
          <w:szCs w:val="32"/>
        </w:rPr>
      </w:pPr>
      <w:r>
        <w:rPr>
          <w:rFonts w:hint="eastAsia" w:ascii="Times New Roman" w:hAnsi="Times New Roman" w:eastAsia="方正小标宋_GBK" w:cs="方正黑体_GBK"/>
          <w:color w:val="000000"/>
          <w:kern w:val="0"/>
          <w:sz w:val="40"/>
          <w:szCs w:val="32"/>
          <w:lang w:bidi="ar"/>
        </w:rPr>
        <w:t>2023年全县政务公开工作要点任务分解表</w:t>
      </w:r>
    </w:p>
    <w:tbl>
      <w:tblPr>
        <w:tblStyle w:val="4"/>
        <w:tblW w:w="1451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565"/>
        <w:gridCol w:w="1133"/>
        <w:gridCol w:w="1380"/>
        <w:gridCol w:w="5494"/>
        <w:gridCol w:w="5042"/>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blHeader/>
        </w:trPr>
        <w:tc>
          <w:tcPr>
            <w:tcW w:w="565" w:type="dxa"/>
            <w:noWrap/>
            <w:vAlign w:val="center"/>
          </w:tcPr>
          <w:p>
            <w:pPr>
              <w:widowControl/>
              <w:spacing w:line="320" w:lineRule="exact"/>
              <w:jc w:val="center"/>
              <w:textAlignment w:val="center"/>
              <w:rPr>
                <w:rFonts w:hint="eastAsia" w:ascii="Times New Roman" w:hAnsi="Times New Roman" w:eastAsia="仿宋_GB2312" w:cs="方正小标宋_GBK"/>
                <w:b/>
                <w:color w:val="000000"/>
                <w:szCs w:val="21"/>
              </w:rPr>
            </w:pPr>
            <w:r>
              <w:rPr>
                <w:rFonts w:hint="eastAsia" w:ascii="Times New Roman" w:hAnsi="Times New Roman" w:eastAsia="仿宋_GB2312" w:cs="方正小标宋_GBK"/>
                <w:b/>
                <w:color w:val="000000"/>
                <w:kern w:val="0"/>
                <w:szCs w:val="21"/>
                <w:lang w:bidi="ar"/>
              </w:rPr>
              <w:t>序号</w:t>
            </w:r>
          </w:p>
        </w:tc>
        <w:tc>
          <w:tcPr>
            <w:tcW w:w="0" w:type="auto"/>
            <w:gridSpan w:val="2"/>
            <w:noWrap/>
            <w:vAlign w:val="center"/>
          </w:tcPr>
          <w:p>
            <w:pPr>
              <w:widowControl/>
              <w:spacing w:line="320" w:lineRule="exact"/>
              <w:jc w:val="center"/>
              <w:textAlignment w:val="center"/>
              <w:rPr>
                <w:rFonts w:hint="eastAsia" w:ascii="Times New Roman" w:hAnsi="Times New Roman" w:eastAsia="仿宋_GB2312" w:cs="方正小标宋_GBK"/>
                <w:b/>
                <w:color w:val="000000"/>
                <w:szCs w:val="21"/>
              </w:rPr>
            </w:pPr>
            <w:r>
              <w:rPr>
                <w:rFonts w:hint="eastAsia" w:ascii="Times New Roman" w:hAnsi="Times New Roman" w:eastAsia="仿宋_GB2312" w:cs="方正小标宋_GBK"/>
                <w:b/>
                <w:color w:val="000000"/>
                <w:kern w:val="0"/>
                <w:szCs w:val="21"/>
                <w:lang w:bidi="ar"/>
              </w:rPr>
              <w:t>任务名称</w:t>
            </w:r>
          </w:p>
        </w:tc>
        <w:tc>
          <w:tcPr>
            <w:tcW w:w="5494" w:type="dxa"/>
            <w:noWrap w:val="0"/>
            <w:vAlign w:val="center"/>
          </w:tcPr>
          <w:p>
            <w:pPr>
              <w:widowControl/>
              <w:spacing w:line="320" w:lineRule="exact"/>
              <w:jc w:val="center"/>
              <w:textAlignment w:val="center"/>
              <w:rPr>
                <w:rFonts w:hint="eastAsia" w:ascii="Times New Roman" w:hAnsi="Times New Roman" w:eastAsia="仿宋_GB2312" w:cs="方正小标宋_GBK"/>
                <w:b/>
                <w:color w:val="000000"/>
                <w:szCs w:val="21"/>
              </w:rPr>
            </w:pPr>
            <w:r>
              <w:rPr>
                <w:rFonts w:hint="eastAsia" w:ascii="Times New Roman" w:hAnsi="Times New Roman" w:eastAsia="仿宋_GB2312" w:cs="方正小标宋_GBK"/>
                <w:b/>
                <w:color w:val="000000"/>
                <w:kern w:val="0"/>
                <w:szCs w:val="21"/>
                <w:lang w:bidi="ar"/>
              </w:rPr>
              <w:t>具体内容</w:t>
            </w:r>
          </w:p>
        </w:tc>
        <w:tc>
          <w:tcPr>
            <w:tcW w:w="5042" w:type="dxa"/>
            <w:noWrap w:val="0"/>
            <w:vAlign w:val="center"/>
          </w:tcPr>
          <w:p>
            <w:pPr>
              <w:widowControl/>
              <w:spacing w:line="320" w:lineRule="exact"/>
              <w:jc w:val="center"/>
              <w:textAlignment w:val="center"/>
              <w:rPr>
                <w:rFonts w:hint="eastAsia" w:ascii="Times New Roman" w:hAnsi="Times New Roman" w:eastAsia="仿宋_GB2312" w:cs="方正小标宋_GBK"/>
                <w:b/>
                <w:color w:val="000000"/>
                <w:szCs w:val="21"/>
              </w:rPr>
            </w:pPr>
            <w:r>
              <w:rPr>
                <w:rFonts w:hint="eastAsia" w:ascii="Times New Roman" w:hAnsi="Times New Roman" w:eastAsia="仿宋_GB2312" w:cs="方正小标宋_GBK"/>
                <w:b/>
                <w:color w:val="000000"/>
                <w:kern w:val="0"/>
                <w:szCs w:val="21"/>
                <w:lang w:bidi="ar"/>
              </w:rPr>
              <w:t>责任单位</w:t>
            </w:r>
          </w:p>
        </w:tc>
        <w:tc>
          <w:tcPr>
            <w:tcW w:w="900" w:type="dxa"/>
            <w:noWrap/>
            <w:vAlign w:val="center"/>
          </w:tcPr>
          <w:p>
            <w:pPr>
              <w:widowControl/>
              <w:spacing w:line="320" w:lineRule="exact"/>
              <w:jc w:val="center"/>
              <w:textAlignment w:val="center"/>
              <w:rPr>
                <w:rFonts w:hint="eastAsia" w:ascii="Times New Roman" w:hAnsi="Times New Roman" w:eastAsia="仿宋_GB2312" w:cs="方正小标宋_GBK"/>
                <w:b/>
                <w:color w:val="000000"/>
                <w:szCs w:val="21"/>
              </w:rPr>
            </w:pPr>
            <w:r>
              <w:rPr>
                <w:rFonts w:hint="eastAsia" w:ascii="Times New Roman" w:hAnsi="Times New Roman" w:eastAsia="仿宋_GB2312" w:cs="方正小标宋_GBK"/>
                <w:b/>
                <w:color w:val="000000"/>
                <w:kern w:val="0"/>
                <w:szCs w:val="21"/>
                <w:lang w:bidi="ar"/>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65" w:type="dxa"/>
            <w:noWrap/>
            <w:vAlign w:val="center"/>
          </w:tcPr>
          <w:p>
            <w:pPr>
              <w:widowControl/>
              <w:spacing w:line="28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1</w:t>
            </w:r>
          </w:p>
        </w:tc>
        <w:tc>
          <w:tcPr>
            <w:tcW w:w="1133" w:type="dxa"/>
            <w:vMerge w:val="restart"/>
            <w:noWrap w:val="0"/>
            <w:vAlign w:val="center"/>
          </w:tcPr>
          <w:p>
            <w:pPr>
              <w:widowControl/>
              <w:spacing w:line="28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一、深化</w:t>
            </w:r>
            <w:r>
              <w:rPr>
                <w:rFonts w:hint="eastAsia" w:ascii="Times New Roman" w:hAnsi="Times New Roman" w:eastAsia="仿宋_GB2312" w:cs="宋体"/>
                <w:color w:val="000000"/>
                <w:kern w:val="0"/>
                <w:szCs w:val="21"/>
                <w:lang w:bidi="ar"/>
              </w:rPr>
              <w:br w:type="textWrapping"/>
            </w:r>
            <w:r>
              <w:rPr>
                <w:rFonts w:hint="eastAsia" w:ascii="Times New Roman" w:hAnsi="Times New Roman" w:eastAsia="仿宋_GB2312" w:cs="宋体"/>
                <w:color w:val="000000"/>
                <w:kern w:val="0"/>
                <w:szCs w:val="21"/>
                <w:lang w:bidi="ar"/>
              </w:rPr>
              <w:t>主动公开</w:t>
            </w:r>
          </w:p>
        </w:tc>
        <w:tc>
          <w:tcPr>
            <w:tcW w:w="1380" w:type="dxa"/>
            <w:noWrap w:val="0"/>
            <w:vAlign w:val="center"/>
          </w:tcPr>
          <w:p>
            <w:pPr>
              <w:widowControl/>
              <w:spacing w:line="28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着力推进战略引领，县域发展实现新突破信息公开</w:t>
            </w:r>
          </w:p>
        </w:tc>
        <w:tc>
          <w:tcPr>
            <w:tcW w:w="5494" w:type="dxa"/>
            <w:noWrap w:val="0"/>
            <w:vAlign w:val="center"/>
          </w:tcPr>
          <w:p>
            <w:pPr>
              <w:widowControl/>
              <w:spacing w:line="28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（1）围绕以成渝地区双城经济圈建设为总牵引，主动公开重大项目、重大平台、重大改革等信息</w:t>
            </w:r>
          </w:p>
        </w:tc>
        <w:tc>
          <w:tcPr>
            <w:tcW w:w="5042" w:type="dxa"/>
            <w:noWrap w:val="0"/>
            <w:vAlign w:val="center"/>
          </w:tcPr>
          <w:p>
            <w:pPr>
              <w:widowControl/>
              <w:spacing w:line="28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县发展和改革局、县经济科技信息化局、县自然资源和规划局、县住房和城乡建设局、县交通运输局、县商务和经济合作局</w:t>
            </w:r>
            <w:r>
              <w:rPr>
                <w:rFonts w:hint="eastAsia" w:ascii="Times New Roman" w:hAnsi="Times New Roman" w:eastAsia="仿宋_GB2312" w:cs="宋体"/>
                <w:color w:val="000000"/>
                <w:spacing w:val="-6"/>
                <w:kern w:val="0"/>
                <w:szCs w:val="21"/>
                <w:lang w:bidi="ar"/>
              </w:rPr>
              <w:t>、县文化广播电视和旅游局、</w:t>
            </w:r>
            <w:r>
              <w:rPr>
                <w:rFonts w:hint="eastAsia" w:ascii="Times New Roman" w:hAnsi="Times New Roman" w:eastAsia="仿宋_GB2312" w:cs="宋体"/>
                <w:color w:val="000000"/>
                <w:kern w:val="0"/>
                <w:szCs w:val="21"/>
                <w:lang w:bidi="ar"/>
              </w:rPr>
              <w:t>县卫生健康局</w:t>
            </w:r>
            <w:r>
              <w:rPr>
                <w:rFonts w:hint="eastAsia" w:ascii="Times New Roman" w:hAnsi="Times New Roman" w:eastAsia="仿宋_GB2312" w:cs="宋体"/>
                <w:color w:val="000000"/>
                <w:spacing w:val="-6"/>
                <w:kern w:val="0"/>
                <w:szCs w:val="21"/>
                <w:lang w:bidi="ar"/>
              </w:rPr>
              <w:t>、乐至生态环境局</w:t>
            </w:r>
            <w:r>
              <w:rPr>
                <w:rFonts w:hint="eastAsia" w:ascii="Times New Roman" w:hAnsi="Times New Roman" w:eastAsia="仿宋_GB2312" w:cs="宋体"/>
                <w:color w:val="000000"/>
                <w:kern w:val="0"/>
                <w:szCs w:val="21"/>
                <w:lang w:bidi="ar"/>
              </w:rPr>
              <w:t>等县级部门；各乡镇人民政府、街道办事处</w:t>
            </w:r>
          </w:p>
        </w:tc>
        <w:tc>
          <w:tcPr>
            <w:tcW w:w="900" w:type="dxa"/>
            <w:noWrap w:val="0"/>
            <w:vAlign w:val="center"/>
          </w:tcPr>
          <w:p>
            <w:pPr>
              <w:widowControl/>
              <w:spacing w:line="28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65" w:type="dxa"/>
            <w:vMerge w:val="restart"/>
            <w:noWrap/>
            <w:vAlign w:val="center"/>
          </w:tcPr>
          <w:p>
            <w:pPr>
              <w:widowControl/>
              <w:spacing w:line="28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2</w:t>
            </w:r>
          </w:p>
        </w:tc>
        <w:tc>
          <w:tcPr>
            <w:tcW w:w="1133" w:type="dxa"/>
            <w:vMerge w:val="continue"/>
            <w:noWrap w:val="0"/>
            <w:vAlign w:val="center"/>
          </w:tcPr>
          <w:p>
            <w:pPr>
              <w:spacing w:line="280" w:lineRule="exact"/>
              <w:jc w:val="center"/>
              <w:rPr>
                <w:rFonts w:hint="eastAsia" w:ascii="Times New Roman" w:hAnsi="Times New Roman" w:eastAsia="仿宋_GB2312" w:cs="宋体"/>
                <w:color w:val="000000"/>
                <w:szCs w:val="21"/>
              </w:rPr>
            </w:pPr>
          </w:p>
        </w:tc>
        <w:tc>
          <w:tcPr>
            <w:tcW w:w="1380" w:type="dxa"/>
            <w:vMerge w:val="restart"/>
            <w:noWrap w:val="0"/>
            <w:vAlign w:val="center"/>
          </w:tcPr>
          <w:p>
            <w:pPr>
              <w:widowControl/>
              <w:spacing w:line="28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着力推进工业、农业、服务业等产业领域信息公开</w:t>
            </w:r>
          </w:p>
        </w:tc>
        <w:tc>
          <w:tcPr>
            <w:tcW w:w="5494" w:type="dxa"/>
            <w:noWrap w:val="0"/>
            <w:vAlign w:val="center"/>
          </w:tcPr>
          <w:p>
            <w:pPr>
              <w:widowControl/>
              <w:spacing w:line="28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（2）围绕坚持教育优先发展，持续加大教育投入，严格落实“双减”政策，推进高考综合改革，大力发展职业教育等方面，主动公开政策及实施情况</w:t>
            </w:r>
          </w:p>
        </w:tc>
        <w:tc>
          <w:tcPr>
            <w:tcW w:w="5042" w:type="dxa"/>
            <w:noWrap w:val="0"/>
            <w:vAlign w:val="center"/>
          </w:tcPr>
          <w:p>
            <w:pPr>
              <w:widowControl/>
              <w:spacing w:line="28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县教育和体育局</w:t>
            </w:r>
          </w:p>
        </w:tc>
        <w:tc>
          <w:tcPr>
            <w:tcW w:w="900" w:type="dxa"/>
            <w:noWrap w:val="0"/>
            <w:vAlign w:val="center"/>
          </w:tcPr>
          <w:p>
            <w:pPr>
              <w:widowControl/>
              <w:spacing w:line="28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65" w:type="dxa"/>
            <w:vMerge w:val="continue"/>
            <w:noWrap/>
            <w:vAlign w:val="center"/>
          </w:tcPr>
          <w:p>
            <w:pPr>
              <w:spacing w:line="280" w:lineRule="exact"/>
              <w:jc w:val="center"/>
              <w:rPr>
                <w:rFonts w:hint="eastAsia" w:ascii="Times New Roman" w:hAnsi="Times New Roman" w:eastAsia="仿宋_GB2312" w:cs="宋体"/>
                <w:color w:val="000000"/>
                <w:szCs w:val="21"/>
              </w:rPr>
            </w:pPr>
          </w:p>
        </w:tc>
        <w:tc>
          <w:tcPr>
            <w:tcW w:w="1133" w:type="dxa"/>
            <w:vMerge w:val="continue"/>
            <w:noWrap w:val="0"/>
            <w:vAlign w:val="center"/>
          </w:tcPr>
          <w:p>
            <w:pPr>
              <w:spacing w:line="280" w:lineRule="exact"/>
              <w:jc w:val="center"/>
              <w:rPr>
                <w:rFonts w:hint="eastAsia" w:ascii="Times New Roman" w:hAnsi="Times New Roman" w:eastAsia="仿宋_GB2312" w:cs="宋体"/>
                <w:color w:val="000000"/>
                <w:szCs w:val="21"/>
              </w:rPr>
            </w:pPr>
          </w:p>
        </w:tc>
        <w:tc>
          <w:tcPr>
            <w:tcW w:w="1380" w:type="dxa"/>
            <w:vMerge w:val="continue"/>
            <w:noWrap w:val="0"/>
            <w:vAlign w:val="center"/>
          </w:tcPr>
          <w:p>
            <w:pPr>
              <w:spacing w:line="280" w:lineRule="exact"/>
              <w:jc w:val="center"/>
              <w:rPr>
                <w:rFonts w:hint="eastAsia" w:ascii="Times New Roman" w:hAnsi="Times New Roman" w:eastAsia="仿宋_GB2312" w:cs="宋体"/>
                <w:color w:val="000000"/>
                <w:szCs w:val="21"/>
              </w:rPr>
            </w:pPr>
          </w:p>
        </w:tc>
        <w:tc>
          <w:tcPr>
            <w:tcW w:w="5494" w:type="dxa"/>
            <w:noWrap w:val="0"/>
            <w:vAlign w:val="center"/>
          </w:tcPr>
          <w:p>
            <w:pPr>
              <w:widowControl/>
              <w:spacing w:line="28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（3）围绕实施“工业强县”战略，推动产业质效得到新提升，主动公开推进新型工业化、现化服务业、农业现代化等方面的政策及进展情况</w:t>
            </w:r>
          </w:p>
        </w:tc>
        <w:tc>
          <w:tcPr>
            <w:tcW w:w="5042" w:type="dxa"/>
            <w:noWrap w:val="0"/>
            <w:vAlign w:val="center"/>
          </w:tcPr>
          <w:p>
            <w:pPr>
              <w:widowControl/>
              <w:spacing w:line="28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县经济科技信息化局、县农业农村局、县商务和经济合作局、县文化广播电视和旅游局等县级部门；各乡镇人民政府、街道办事处</w:t>
            </w:r>
          </w:p>
        </w:tc>
        <w:tc>
          <w:tcPr>
            <w:tcW w:w="900" w:type="dxa"/>
            <w:noWrap w:val="0"/>
            <w:vAlign w:val="center"/>
          </w:tcPr>
          <w:p>
            <w:pPr>
              <w:widowControl/>
              <w:spacing w:line="28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65" w:type="dxa"/>
            <w:vMerge w:val="continue"/>
            <w:noWrap/>
            <w:vAlign w:val="center"/>
          </w:tcPr>
          <w:p>
            <w:pPr>
              <w:spacing w:line="280" w:lineRule="exact"/>
              <w:jc w:val="center"/>
              <w:rPr>
                <w:rFonts w:hint="eastAsia" w:ascii="Times New Roman" w:hAnsi="Times New Roman" w:eastAsia="仿宋_GB2312" w:cs="宋体"/>
                <w:color w:val="000000"/>
                <w:szCs w:val="21"/>
              </w:rPr>
            </w:pPr>
          </w:p>
        </w:tc>
        <w:tc>
          <w:tcPr>
            <w:tcW w:w="1133" w:type="dxa"/>
            <w:vMerge w:val="continue"/>
            <w:noWrap w:val="0"/>
            <w:vAlign w:val="center"/>
          </w:tcPr>
          <w:p>
            <w:pPr>
              <w:spacing w:line="280" w:lineRule="exact"/>
              <w:jc w:val="center"/>
              <w:rPr>
                <w:rFonts w:hint="eastAsia" w:ascii="Times New Roman" w:hAnsi="Times New Roman" w:eastAsia="仿宋_GB2312" w:cs="宋体"/>
                <w:color w:val="000000"/>
                <w:szCs w:val="21"/>
              </w:rPr>
            </w:pPr>
          </w:p>
        </w:tc>
        <w:tc>
          <w:tcPr>
            <w:tcW w:w="1380" w:type="dxa"/>
            <w:vMerge w:val="continue"/>
            <w:noWrap w:val="0"/>
            <w:vAlign w:val="center"/>
          </w:tcPr>
          <w:p>
            <w:pPr>
              <w:spacing w:line="280" w:lineRule="exact"/>
              <w:jc w:val="center"/>
              <w:rPr>
                <w:rFonts w:hint="eastAsia" w:ascii="Times New Roman" w:hAnsi="Times New Roman" w:eastAsia="仿宋_GB2312" w:cs="宋体"/>
                <w:color w:val="000000"/>
                <w:szCs w:val="21"/>
              </w:rPr>
            </w:pPr>
          </w:p>
        </w:tc>
        <w:tc>
          <w:tcPr>
            <w:tcW w:w="5494" w:type="dxa"/>
            <w:noWrap w:val="0"/>
            <w:vAlign w:val="center"/>
          </w:tcPr>
          <w:p>
            <w:pPr>
              <w:widowControl/>
              <w:spacing w:line="28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（4）围绕实施创新驱动发展战略，推动发展动能释放新活力，主动公开国资国企等重点领域改革、创新驱动发展、开放合作等方面的政策及进展情况</w:t>
            </w:r>
          </w:p>
        </w:tc>
        <w:tc>
          <w:tcPr>
            <w:tcW w:w="5042" w:type="dxa"/>
            <w:noWrap w:val="0"/>
            <w:vAlign w:val="center"/>
          </w:tcPr>
          <w:p>
            <w:pPr>
              <w:widowControl/>
              <w:spacing w:line="28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县发展和改革局、县经济科技信息化局、县民政局</w:t>
            </w:r>
            <w:r>
              <w:rPr>
                <w:rFonts w:hint="eastAsia" w:ascii="Times New Roman" w:hAnsi="Times New Roman" w:eastAsia="仿宋_GB2312" w:cs="宋体"/>
                <w:color w:val="000000"/>
                <w:kern w:val="0"/>
                <w:szCs w:val="21"/>
                <w:lang w:eastAsia="zh-CN" w:bidi="ar"/>
              </w:rPr>
              <w:t>、</w:t>
            </w:r>
            <w:r>
              <w:rPr>
                <w:rFonts w:hint="eastAsia" w:ascii="Times New Roman" w:hAnsi="Times New Roman" w:eastAsia="仿宋_GB2312" w:cs="宋体"/>
                <w:color w:val="000000"/>
                <w:kern w:val="0"/>
                <w:szCs w:val="21"/>
                <w:lang w:bidi="ar"/>
              </w:rPr>
              <w:t>县财政局、县商务和经济合作局、县国有资产监管和金融工作局、县市场监督管理局等县级部门；各乡镇人民政府、街道办事处</w:t>
            </w:r>
          </w:p>
        </w:tc>
        <w:tc>
          <w:tcPr>
            <w:tcW w:w="900" w:type="dxa"/>
            <w:noWrap w:val="0"/>
            <w:vAlign w:val="center"/>
          </w:tcPr>
          <w:p>
            <w:pPr>
              <w:widowControl/>
              <w:spacing w:line="28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65" w:type="dxa"/>
            <w:vMerge w:val="continue"/>
            <w:noWrap/>
            <w:vAlign w:val="center"/>
          </w:tcPr>
          <w:p>
            <w:pPr>
              <w:spacing w:line="280" w:lineRule="exact"/>
              <w:jc w:val="center"/>
              <w:rPr>
                <w:rFonts w:hint="eastAsia" w:ascii="Times New Roman" w:hAnsi="Times New Roman" w:eastAsia="仿宋_GB2312" w:cs="宋体"/>
                <w:color w:val="000000"/>
                <w:szCs w:val="21"/>
              </w:rPr>
            </w:pPr>
          </w:p>
        </w:tc>
        <w:tc>
          <w:tcPr>
            <w:tcW w:w="1133" w:type="dxa"/>
            <w:vMerge w:val="continue"/>
            <w:noWrap w:val="0"/>
            <w:vAlign w:val="center"/>
          </w:tcPr>
          <w:p>
            <w:pPr>
              <w:spacing w:line="280" w:lineRule="exact"/>
              <w:jc w:val="center"/>
              <w:rPr>
                <w:rFonts w:hint="eastAsia" w:ascii="Times New Roman" w:hAnsi="Times New Roman" w:eastAsia="仿宋_GB2312" w:cs="宋体"/>
                <w:color w:val="000000"/>
                <w:szCs w:val="21"/>
              </w:rPr>
            </w:pPr>
          </w:p>
        </w:tc>
        <w:tc>
          <w:tcPr>
            <w:tcW w:w="1380" w:type="dxa"/>
            <w:vMerge w:val="continue"/>
            <w:noWrap w:val="0"/>
            <w:vAlign w:val="center"/>
          </w:tcPr>
          <w:p>
            <w:pPr>
              <w:spacing w:line="280" w:lineRule="exact"/>
              <w:jc w:val="center"/>
              <w:rPr>
                <w:rFonts w:hint="eastAsia" w:ascii="Times New Roman" w:hAnsi="Times New Roman" w:eastAsia="仿宋_GB2312" w:cs="宋体"/>
                <w:color w:val="000000"/>
                <w:szCs w:val="21"/>
              </w:rPr>
            </w:pPr>
          </w:p>
        </w:tc>
        <w:tc>
          <w:tcPr>
            <w:tcW w:w="5494" w:type="dxa"/>
            <w:noWrap w:val="0"/>
            <w:vAlign w:val="center"/>
          </w:tcPr>
          <w:p>
            <w:pPr>
              <w:widowControl/>
              <w:spacing w:line="28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（5）围绕投资拉动，推动重大项目取得新进展，主动公开重大项目建设等方面的信息</w:t>
            </w:r>
          </w:p>
        </w:tc>
        <w:tc>
          <w:tcPr>
            <w:tcW w:w="5042" w:type="dxa"/>
            <w:noWrap w:val="0"/>
            <w:vAlign w:val="center"/>
          </w:tcPr>
          <w:p>
            <w:pPr>
              <w:widowControl/>
              <w:spacing w:line="28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县发展和改革局、县经济科技信息化局、县财政局、县自然资源和规划局、县交通运输局、县国有资产监管和金融工作局等县级部门；各乡镇人民政府、街道办事处</w:t>
            </w:r>
          </w:p>
        </w:tc>
        <w:tc>
          <w:tcPr>
            <w:tcW w:w="900" w:type="dxa"/>
            <w:noWrap w:val="0"/>
            <w:vAlign w:val="center"/>
          </w:tcPr>
          <w:p>
            <w:pPr>
              <w:widowControl/>
              <w:spacing w:line="28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65" w:type="dxa"/>
            <w:vMerge w:val="continue"/>
            <w:noWrap/>
            <w:vAlign w:val="center"/>
          </w:tcPr>
          <w:p>
            <w:pPr>
              <w:spacing w:line="280" w:lineRule="exact"/>
              <w:jc w:val="center"/>
              <w:rPr>
                <w:rFonts w:hint="eastAsia" w:ascii="Times New Roman" w:hAnsi="Times New Roman" w:eastAsia="仿宋_GB2312" w:cs="宋体"/>
                <w:color w:val="000000"/>
                <w:szCs w:val="21"/>
              </w:rPr>
            </w:pPr>
          </w:p>
        </w:tc>
        <w:tc>
          <w:tcPr>
            <w:tcW w:w="1133" w:type="dxa"/>
            <w:vMerge w:val="continue"/>
            <w:noWrap w:val="0"/>
            <w:vAlign w:val="center"/>
          </w:tcPr>
          <w:p>
            <w:pPr>
              <w:spacing w:line="280" w:lineRule="exact"/>
              <w:jc w:val="center"/>
              <w:rPr>
                <w:rFonts w:hint="eastAsia" w:ascii="Times New Roman" w:hAnsi="Times New Roman" w:eastAsia="仿宋_GB2312" w:cs="宋体"/>
                <w:color w:val="000000"/>
                <w:szCs w:val="21"/>
              </w:rPr>
            </w:pPr>
          </w:p>
        </w:tc>
        <w:tc>
          <w:tcPr>
            <w:tcW w:w="1380" w:type="dxa"/>
            <w:vMerge w:val="continue"/>
            <w:noWrap w:val="0"/>
            <w:vAlign w:val="center"/>
          </w:tcPr>
          <w:p>
            <w:pPr>
              <w:spacing w:line="280" w:lineRule="exact"/>
              <w:jc w:val="center"/>
              <w:rPr>
                <w:rFonts w:hint="eastAsia" w:ascii="Times New Roman" w:hAnsi="Times New Roman" w:eastAsia="仿宋_GB2312" w:cs="宋体"/>
                <w:color w:val="000000"/>
                <w:szCs w:val="21"/>
              </w:rPr>
            </w:pPr>
          </w:p>
        </w:tc>
        <w:tc>
          <w:tcPr>
            <w:tcW w:w="5494" w:type="dxa"/>
            <w:noWrap w:val="0"/>
            <w:vAlign w:val="center"/>
          </w:tcPr>
          <w:p>
            <w:pPr>
              <w:widowControl/>
              <w:spacing w:line="28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（6）围绕城乡融合发展，推动城乡建设呈现新面貌，主动公开推进新型城镇化、基础设施建设、乡村振兴、生态环境改善等方面的政策及进展情况</w:t>
            </w:r>
          </w:p>
        </w:tc>
        <w:tc>
          <w:tcPr>
            <w:tcW w:w="5042" w:type="dxa"/>
            <w:noWrap w:val="0"/>
            <w:vAlign w:val="center"/>
          </w:tcPr>
          <w:p>
            <w:pPr>
              <w:widowControl/>
              <w:spacing w:line="28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县发展和改革局、县自然资源和规划局、县住房和城乡建设局、县交通运输局、县农业农村局、乐至生态环境局等县级部门；各乡镇人民政府、街道办事处</w:t>
            </w:r>
          </w:p>
        </w:tc>
        <w:tc>
          <w:tcPr>
            <w:tcW w:w="900" w:type="dxa"/>
            <w:noWrap w:val="0"/>
            <w:vAlign w:val="center"/>
          </w:tcPr>
          <w:p>
            <w:pPr>
              <w:widowControl/>
              <w:spacing w:line="28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65" w:type="dxa"/>
            <w:vMerge w:val="continue"/>
            <w:noWrap/>
            <w:vAlign w:val="center"/>
          </w:tcPr>
          <w:p>
            <w:pPr>
              <w:spacing w:line="280" w:lineRule="exact"/>
              <w:jc w:val="center"/>
              <w:rPr>
                <w:rFonts w:hint="eastAsia" w:ascii="Times New Roman" w:hAnsi="Times New Roman" w:eastAsia="仿宋_GB2312" w:cs="宋体"/>
                <w:color w:val="000000"/>
                <w:szCs w:val="21"/>
              </w:rPr>
            </w:pPr>
          </w:p>
        </w:tc>
        <w:tc>
          <w:tcPr>
            <w:tcW w:w="1133" w:type="dxa"/>
            <w:vMerge w:val="continue"/>
            <w:noWrap w:val="0"/>
            <w:vAlign w:val="center"/>
          </w:tcPr>
          <w:p>
            <w:pPr>
              <w:spacing w:line="280" w:lineRule="exact"/>
              <w:jc w:val="center"/>
              <w:rPr>
                <w:rFonts w:hint="eastAsia" w:ascii="Times New Roman" w:hAnsi="Times New Roman" w:eastAsia="仿宋_GB2312" w:cs="宋体"/>
                <w:color w:val="000000"/>
                <w:szCs w:val="21"/>
              </w:rPr>
            </w:pPr>
          </w:p>
        </w:tc>
        <w:tc>
          <w:tcPr>
            <w:tcW w:w="1380" w:type="dxa"/>
            <w:vMerge w:val="continue"/>
            <w:noWrap w:val="0"/>
            <w:vAlign w:val="center"/>
          </w:tcPr>
          <w:p>
            <w:pPr>
              <w:spacing w:line="280" w:lineRule="exact"/>
              <w:jc w:val="center"/>
              <w:rPr>
                <w:rFonts w:hint="eastAsia" w:ascii="Times New Roman" w:hAnsi="Times New Roman" w:eastAsia="仿宋_GB2312" w:cs="宋体"/>
                <w:color w:val="000000"/>
                <w:szCs w:val="21"/>
              </w:rPr>
            </w:pPr>
          </w:p>
        </w:tc>
        <w:tc>
          <w:tcPr>
            <w:tcW w:w="5494" w:type="dxa"/>
            <w:noWrap w:val="0"/>
            <w:vAlign w:val="center"/>
          </w:tcPr>
          <w:p>
            <w:pPr>
              <w:widowControl/>
              <w:spacing w:line="28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（7）围绕涉及人民群众切身利益的教育监管、教育突发事件应急处理预案、预警信息和处置等方面信息公开</w:t>
            </w:r>
          </w:p>
        </w:tc>
        <w:tc>
          <w:tcPr>
            <w:tcW w:w="5042" w:type="dxa"/>
            <w:noWrap w:val="0"/>
            <w:vAlign w:val="center"/>
          </w:tcPr>
          <w:p>
            <w:pPr>
              <w:widowControl/>
              <w:spacing w:line="28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县教育和体育局</w:t>
            </w:r>
          </w:p>
        </w:tc>
        <w:tc>
          <w:tcPr>
            <w:tcW w:w="900" w:type="dxa"/>
            <w:noWrap w:val="0"/>
            <w:vAlign w:val="center"/>
          </w:tcPr>
          <w:p>
            <w:pPr>
              <w:widowControl/>
              <w:spacing w:line="28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65" w:type="dxa"/>
            <w:vMerge w:val="restart"/>
            <w:noWrap/>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3</w:t>
            </w:r>
          </w:p>
        </w:tc>
        <w:tc>
          <w:tcPr>
            <w:tcW w:w="1133" w:type="dxa"/>
            <w:vMerge w:val="restart"/>
            <w:noWrap w:val="0"/>
            <w:vAlign w:val="center"/>
          </w:tcPr>
          <w:p>
            <w:pPr>
              <w:spacing w:line="320" w:lineRule="exact"/>
              <w:jc w:val="center"/>
              <w:rPr>
                <w:rFonts w:hint="eastAsia" w:ascii="Times New Roman" w:hAnsi="Times New Roman" w:eastAsia="仿宋_GB2312" w:cs="宋体"/>
                <w:color w:val="000000"/>
                <w:szCs w:val="21"/>
              </w:rPr>
            </w:pPr>
          </w:p>
        </w:tc>
        <w:tc>
          <w:tcPr>
            <w:tcW w:w="1380" w:type="dxa"/>
            <w:vMerge w:val="restart"/>
            <w:noWrap w:val="0"/>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着力推进民生保障信息公开</w:t>
            </w:r>
          </w:p>
        </w:tc>
        <w:tc>
          <w:tcPr>
            <w:tcW w:w="5494" w:type="dxa"/>
            <w:noWrap w:val="0"/>
            <w:vAlign w:val="center"/>
          </w:tcPr>
          <w:p>
            <w:pPr>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（8）围绕以人为本，推动民生福祉得到新改善，主动公开社会保障、社会治理、防范化解重大风险、公共服务供给方面的政策措施信息</w:t>
            </w:r>
          </w:p>
        </w:tc>
        <w:tc>
          <w:tcPr>
            <w:tcW w:w="5042" w:type="dxa"/>
            <w:noWrap w:val="0"/>
            <w:vAlign w:val="center"/>
          </w:tcPr>
          <w:p>
            <w:pPr>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县教育和体育局、县民政局、县</w:t>
            </w:r>
            <w:r>
              <w:rPr>
                <w:rFonts w:hint="eastAsia" w:ascii="Times New Roman" w:hAnsi="Times New Roman" w:eastAsia="仿宋_GB2312" w:cs="宋体"/>
                <w:color w:val="000000"/>
                <w:spacing w:val="-6"/>
                <w:kern w:val="0"/>
                <w:szCs w:val="21"/>
                <w:lang w:bidi="ar"/>
              </w:rPr>
              <w:t>人力资源和社会保障局、</w:t>
            </w:r>
            <w:r>
              <w:rPr>
                <w:rFonts w:hint="eastAsia" w:ascii="Times New Roman" w:hAnsi="Times New Roman" w:eastAsia="仿宋_GB2312" w:cs="宋体"/>
                <w:color w:val="000000"/>
                <w:kern w:val="0"/>
                <w:szCs w:val="21"/>
                <w:lang w:bidi="ar"/>
              </w:rPr>
              <w:t>县文化广播电视和旅游局</w:t>
            </w:r>
            <w:r>
              <w:rPr>
                <w:rFonts w:hint="eastAsia" w:ascii="Times New Roman" w:hAnsi="Times New Roman" w:eastAsia="仿宋_GB2312" w:cs="宋体"/>
                <w:color w:val="000000"/>
                <w:kern w:val="0"/>
                <w:szCs w:val="21"/>
                <w:lang w:eastAsia="zh-CN" w:bidi="ar"/>
              </w:rPr>
              <w:t>、</w:t>
            </w:r>
            <w:r>
              <w:rPr>
                <w:rFonts w:hint="eastAsia" w:ascii="Times New Roman" w:hAnsi="Times New Roman" w:eastAsia="仿宋_GB2312" w:cs="宋体"/>
                <w:color w:val="000000"/>
                <w:kern w:val="0"/>
                <w:szCs w:val="21"/>
                <w:lang w:bidi="ar"/>
              </w:rPr>
              <w:t>县卫生健康局、</w:t>
            </w:r>
            <w:r>
              <w:rPr>
                <w:rFonts w:hint="eastAsia" w:ascii="Times New Roman" w:hAnsi="Times New Roman" w:eastAsia="仿宋_GB2312" w:cs="宋体"/>
                <w:color w:val="000000"/>
                <w:spacing w:val="-6"/>
                <w:kern w:val="0"/>
                <w:szCs w:val="21"/>
                <w:lang w:bidi="ar"/>
              </w:rPr>
              <w:t>县国有资产监管和金融工作局、县医疗保障局</w:t>
            </w:r>
            <w:r>
              <w:rPr>
                <w:rFonts w:hint="eastAsia" w:ascii="Times New Roman" w:hAnsi="Times New Roman" w:eastAsia="仿宋_GB2312" w:cs="宋体"/>
                <w:color w:val="000000"/>
                <w:kern w:val="0"/>
                <w:szCs w:val="21"/>
                <w:lang w:bidi="ar"/>
              </w:rPr>
              <w:t>等县级部门；各乡镇人民政府、街道办事处</w:t>
            </w:r>
          </w:p>
        </w:tc>
        <w:tc>
          <w:tcPr>
            <w:tcW w:w="900" w:type="dxa"/>
            <w:noWrap w:val="0"/>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65" w:type="dxa"/>
            <w:vMerge w:val="continue"/>
            <w:noWrap/>
            <w:vAlign w:val="center"/>
          </w:tcPr>
          <w:p>
            <w:pPr>
              <w:spacing w:line="320" w:lineRule="exact"/>
              <w:jc w:val="center"/>
              <w:rPr>
                <w:rFonts w:hint="eastAsia" w:ascii="Times New Roman" w:hAnsi="Times New Roman" w:eastAsia="仿宋_GB2312" w:cs="宋体"/>
                <w:color w:val="000000"/>
                <w:szCs w:val="21"/>
              </w:rPr>
            </w:pPr>
          </w:p>
        </w:tc>
        <w:tc>
          <w:tcPr>
            <w:tcW w:w="1133"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1380"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5494" w:type="dxa"/>
            <w:noWrap w:val="0"/>
            <w:vAlign w:val="center"/>
          </w:tcPr>
          <w:p>
            <w:pPr>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（9）围绕城乡居民就业增收，主动公开推进高校毕业生、农</w:t>
            </w:r>
            <w:r>
              <w:rPr>
                <w:rFonts w:hint="eastAsia" w:ascii="Times New Roman" w:hAnsi="Times New Roman" w:eastAsia="仿宋_GB2312" w:cs="宋体"/>
                <w:color w:val="000000"/>
                <w:spacing w:val="-6"/>
                <w:kern w:val="0"/>
                <w:szCs w:val="21"/>
                <w:lang w:bidi="ar"/>
              </w:rPr>
              <w:t>民工、退役军人、就业困难人员等群体的支持政策方面信息</w:t>
            </w:r>
          </w:p>
        </w:tc>
        <w:tc>
          <w:tcPr>
            <w:tcW w:w="5042" w:type="dxa"/>
            <w:noWrap w:val="0"/>
            <w:vAlign w:val="center"/>
          </w:tcPr>
          <w:p>
            <w:pPr>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县教育和体育局、县人力资源和社会保障局、县退役军人事务局等县级部门；各乡镇人民政府、街道办事处</w:t>
            </w:r>
          </w:p>
        </w:tc>
        <w:tc>
          <w:tcPr>
            <w:tcW w:w="900" w:type="dxa"/>
            <w:noWrap w:val="0"/>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65" w:type="dxa"/>
            <w:vMerge w:val="continue"/>
            <w:noWrap/>
            <w:vAlign w:val="center"/>
          </w:tcPr>
          <w:p>
            <w:pPr>
              <w:spacing w:line="320" w:lineRule="exact"/>
              <w:jc w:val="center"/>
              <w:rPr>
                <w:rFonts w:hint="eastAsia" w:ascii="Times New Roman" w:hAnsi="Times New Roman" w:eastAsia="仿宋_GB2312" w:cs="宋体"/>
                <w:color w:val="000000"/>
                <w:szCs w:val="21"/>
              </w:rPr>
            </w:pPr>
          </w:p>
        </w:tc>
        <w:tc>
          <w:tcPr>
            <w:tcW w:w="1133"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1380"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5494" w:type="dxa"/>
            <w:noWrap w:val="0"/>
            <w:vAlign w:val="center"/>
          </w:tcPr>
          <w:p>
            <w:pPr>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（10）围绕优化医疗资源分布，加强传染病和重大疫情救治体系建设等主动公开信息</w:t>
            </w:r>
          </w:p>
        </w:tc>
        <w:tc>
          <w:tcPr>
            <w:tcW w:w="5042" w:type="dxa"/>
            <w:noWrap w:val="0"/>
            <w:vAlign w:val="center"/>
          </w:tcPr>
          <w:p>
            <w:pPr>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县民政局、县卫生健康局、县医疗保障局等县级部门；各乡镇人民政府、街道办事处</w:t>
            </w:r>
          </w:p>
        </w:tc>
        <w:tc>
          <w:tcPr>
            <w:tcW w:w="900" w:type="dxa"/>
            <w:noWrap w:val="0"/>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65" w:type="dxa"/>
            <w:vMerge w:val="continue"/>
            <w:noWrap/>
            <w:vAlign w:val="center"/>
          </w:tcPr>
          <w:p>
            <w:pPr>
              <w:spacing w:line="320" w:lineRule="exact"/>
              <w:jc w:val="center"/>
              <w:rPr>
                <w:rFonts w:hint="eastAsia" w:ascii="Times New Roman" w:hAnsi="Times New Roman" w:eastAsia="仿宋_GB2312" w:cs="宋体"/>
                <w:color w:val="000000"/>
                <w:szCs w:val="21"/>
              </w:rPr>
            </w:pPr>
          </w:p>
        </w:tc>
        <w:tc>
          <w:tcPr>
            <w:tcW w:w="1133"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1380"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5494" w:type="dxa"/>
            <w:noWrap w:val="0"/>
            <w:vAlign w:val="center"/>
          </w:tcPr>
          <w:p>
            <w:pPr>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（11）规范公开突发共事件预警信息</w:t>
            </w:r>
          </w:p>
        </w:tc>
        <w:tc>
          <w:tcPr>
            <w:tcW w:w="5042" w:type="dxa"/>
            <w:noWrap w:val="0"/>
            <w:vAlign w:val="center"/>
          </w:tcPr>
          <w:p>
            <w:pPr>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县自然资源和规划局、县水务局、县应急管理局、县气象局等县级部门；各乡镇人民政府、街道办事处</w:t>
            </w:r>
          </w:p>
        </w:tc>
        <w:tc>
          <w:tcPr>
            <w:tcW w:w="900" w:type="dxa"/>
            <w:noWrap w:val="0"/>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65" w:type="dxa"/>
            <w:vMerge w:val="continue"/>
            <w:noWrap/>
            <w:vAlign w:val="center"/>
          </w:tcPr>
          <w:p>
            <w:pPr>
              <w:spacing w:line="320" w:lineRule="exact"/>
              <w:jc w:val="center"/>
              <w:rPr>
                <w:rFonts w:hint="eastAsia" w:ascii="Times New Roman" w:hAnsi="Times New Roman" w:eastAsia="仿宋_GB2312" w:cs="宋体"/>
                <w:color w:val="000000"/>
                <w:szCs w:val="21"/>
              </w:rPr>
            </w:pPr>
          </w:p>
        </w:tc>
        <w:tc>
          <w:tcPr>
            <w:tcW w:w="1133"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1380"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5494" w:type="dxa"/>
            <w:noWrap w:val="0"/>
            <w:vAlign w:val="center"/>
          </w:tcPr>
          <w:p>
            <w:pPr>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（12）主动公开空气质量、饮用水源地水质等生态环保信息</w:t>
            </w:r>
          </w:p>
        </w:tc>
        <w:tc>
          <w:tcPr>
            <w:tcW w:w="5042" w:type="dxa"/>
            <w:noWrap w:val="0"/>
            <w:vAlign w:val="center"/>
          </w:tcPr>
          <w:p>
            <w:pPr>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县水务局、乐至生态环境局等县级部门；各乡镇人民政府、街道办事处</w:t>
            </w:r>
          </w:p>
        </w:tc>
        <w:tc>
          <w:tcPr>
            <w:tcW w:w="900" w:type="dxa"/>
            <w:noWrap w:val="0"/>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65" w:type="dxa"/>
            <w:vMerge w:val="continue"/>
            <w:noWrap/>
            <w:vAlign w:val="center"/>
          </w:tcPr>
          <w:p>
            <w:pPr>
              <w:spacing w:line="320" w:lineRule="exact"/>
              <w:jc w:val="center"/>
              <w:rPr>
                <w:rFonts w:hint="eastAsia" w:ascii="Times New Roman" w:hAnsi="Times New Roman" w:eastAsia="仿宋_GB2312" w:cs="宋体"/>
                <w:color w:val="000000"/>
                <w:szCs w:val="21"/>
              </w:rPr>
            </w:pPr>
          </w:p>
        </w:tc>
        <w:tc>
          <w:tcPr>
            <w:tcW w:w="1133"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1380"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5494" w:type="dxa"/>
            <w:noWrap w:val="0"/>
            <w:vAlign w:val="center"/>
          </w:tcPr>
          <w:p>
            <w:pPr>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（13）主动公开“一老一小”服务保障、社会救助、医疗保险等重点民生政策信息</w:t>
            </w:r>
          </w:p>
        </w:tc>
        <w:tc>
          <w:tcPr>
            <w:tcW w:w="5042" w:type="dxa"/>
            <w:noWrap w:val="0"/>
            <w:vAlign w:val="center"/>
          </w:tcPr>
          <w:p>
            <w:pPr>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w:t>
            </w:r>
            <w:r>
              <w:rPr>
                <w:rFonts w:hint="eastAsia" w:ascii="Times New Roman" w:hAnsi="Times New Roman" w:eastAsia="仿宋_GB2312" w:cs="宋体"/>
                <w:color w:val="000000"/>
                <w:spacing w:val="-6"/>
                <w:kern w:val="0"/>
                <w:szCs w:val="21"/>
                <w:lang w:bidi="ar"/>
              </w:rPr>
              <w:t>民政局、县应急管理局、县医疗保障局等县级部门；各乡镇人民政府、街道办事处</w:t>
            </w:r>
          </w:p>
        </w:tc>
        <w:tc>
          <w:tcPr>
            <w:tcW w:w="900" w:type="dxa"/>
            <w:noWrap w:val="0"/>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trPr>
        <w:tc>
          <w:tcPr>
            <w:tcW w:w="565" w:type="dxa"/>
            <w:vMerge w:val="continue"/>
            <w:noWrap/>
            <w:vAlign w:val="center"/>
          </w:tcPr>
          <w:p>
            <w:pPr>
              <w:spacing w:line="320" w:lineRule="exact"/>
              <w:jc w:val="center"/>
              <w:rPr>
                <w:rFonts w:hint="eastAsia" w:ascii="Times New Roman" w:hAnsi="Times New Roman" w:eastAsia="仿宋_GB2312" w:cs="宋体"/>
                <w:color w:val="000000"/>
                <w:szCs w:val="21"/>
              </w:rPr>
            </w:pPr>
          </w:p>
        </w:tc>
        <w:tc>
          <w:tcPr>
            <w:tcW w:w="1133"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1380"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5494" w:type="dxa"/>
            <w:noWrap w:val="0"/>
            <w:vAlign w:val="center"/>
          </w:tcPr>
          <w:p>
            <w:pPr>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（14）主</w:t>
            </w:r>
            <w:r>
              <w:rPr>
                <w:rFonts w:hint="eastAsia" w:ascii="Times New Roman" w:hAnsi="Times New Roman" w:eastAsia="仿宋_GB2312" w:cs="宋体"/>
                <w:color w:val="000000"/>
                <w:spacing w:val="-8"/>
                <w:kern w:val="0"/>
                <w:szCs w:val="21"/>
                <w:lang w:bidi="ar"/>
              </w:rPr>
              <w:t>动公开社会保险、住房、交通、公共事业等服务信息</w:t>
            </w:r>
          </w:p>
        </w:tc>
        <w:tc>
          <w:tcPr>
            <w:tcW w:w="5042" w:type="dxa"/>
            <w:noWrap w:val="0"/>
            <w:vAlign w:val="center"/>
          </w:tcPr>
          <w:p>
            <w:pPr>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县经济科技信息化局</w:t>
            </w:r>
            <w:r>
              <w:rPr>
                <w:rFonts w:hint="eastAsia" w:ascii="Times New Roman" w:hAnsi="Times New Roman" w:eastAsia="仿宋_GB2312" w:cs="宋体"/>
                <w:color w:val="000000"/>
                <w:kern w:val="0"/>
                <w:szCs w:val="21"/>
                <w:lang w:eastAsia="zh-CN" w:bidi="ar"/>
              </w:rPr>
              <w:t>、</w:t>
            </w:r>
            <w:r>
              <w:rPr>
                <w:rFonts w:hint="eastAsia" w:ascii="Times New Roman" w:hAnsi="Times New Roman" w:eastAsia="仿宋_GB2312" w:cs="宋体"/>
                <w:color w:val="000000"/>
                <w:kern w:val="0"/>
                <w:szCs w:val="21"/>
                <w:lang w:bidi="ar"/>
              </w:rPr>
              <w:t>县人力资源和社会保障局、县住房和城乡建设局、县交通运输局、县国有资产监管和金融工作局等县级部门；各乡镇人民政府、街道办事处</w:t>
            </w:r>
          </w:p>
        </w:tc>
        <w:tc>
          <w:tcPr>
            <w:tcW w:w="900" w:type="dxa"/>
            <w:noWrap w:val="0"/>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65" w:type="dxa"/>
            <w:vMerge w:val="restart"/>
            <w:noWrap/>
            <w:vAlign w:val="center"/>
          </w:tcPr>
          <w:p>
            <w:pPr>
              <w:widowControl/>
              <w:spacing w:line="30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4</w:t>
            </w:r>
          </w:p>
        </w:tc>
        <w:tc>
          <w:tcPr>
            <w:tcW w:w="1133" w:type="dxa"/>
            <w:vMerge w:val="continue"/>
            <w:noWrap w:val="0"/>
            <w:vAlign w:val="center"/>
          </w:tcPr>
          <w:p>
            <w:pPr>
              <w:spacing w:line="300" w:lineRule="exact"/>
              <w:jc w:val="center"/>
              <w:rPr>
                <w:rFonts w:hint="eastAsia" w:ascii="Times New Roman" w:hAnsi="Times New Roman" w:eastAsia="仿宋_GB2312" w:cs="宋体"/>
                <w:color w:val="000000"/>
                <w:szCs w:val="21"/>
              </w:rPr>
            </w:pPr>
          </w:p>
        </w:tc>
        <w:tc>
          <w:tcPr>
            <w:tcW w:w="1380" w:type="dxa"/>
            <w:vMerge w:val="restart"/>
            <w:noWrap w:val="0"/>
            <w:vAlign w:val="center"/>
          </w:tcPr>
          <w:p>
            <w:pPr>
              <w:widowControl/>
              <w:spacing w:line="30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着力推进政府自身建设信息公开</w:t>
            </w:r>
          </w:p>
        </w:tc>
        <w:tc>
          <w:tcPr>
            <w:tcW w:w="5494" w:type="dxa"/>
            <w:noWrap w:val="0"/>
            <w:vAlign w:val="center"/>
          </w:tcPr>
          <w:p>
            <w:pPr>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（15）主动公开人大代表建议和政协委员提案办理结果</w:t>
            </w:r>
          </w:p>
        </w:tc>
        <w:tc>
          <w:tcPr>
            <w:tcW w:w="5042" w:type="dxa"/>
            <w:noWrap w:val="0"/>
            <w:vAlign w:val="center"/>
          </w:tcPr>
          <w:p>
            <w:pPr>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县政府</w:t>
            </w:r>
            <w:r>
              <w:rPr>
                <w:rFonts w:hint="eastAsia" w:ascii="Times New Roman" w:hAnsi="Times New Roman" w:eastAsia="仿宋_GB2312" w:cs="宋体"/>
                <w:color w:val="000000"/>
                <w:kern w:val="0"/>
                <w:szCs w:val="21"/>
                <w:lang w:eastAsia="zh-CN" w:bidi="ar"/>
              </w:rPr>
              <w:t>办公室</w:t>
            </w:r>
            <w:r>
              <w:rPr>
                <w:rFonts w:hint="eastAsia" w:ascii="Times New Roman" w:hAnsi="Times New Roman" w:eastAsia="仿宋_GB2312" w:cs="宋体"/>
                <w:color w:val="000000"/>
                <w:kern w:val="0"/>
                <w:szCs w:val="21"/>
                <w:lang w:bidi="ar"/>
              </w:rPr>
              <w:t>等县级部门；各乡镇人民政府、街道办事处</w:t>
            </w:r>
          </w:p>
        </w:tc>
        <w:tc>
          <w:tcPr>
            <w:tcW w:w="900" w:type="dxa"/>
            <w:noWrap w:val="0"/>
            <w:vAlign w:val="center"/>
          </w:tcPr>
          <w:p>
            <w:pPr>
              <w:widowControl/>
              <w:spacing w:line="30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65" w:type="dxa"/>
            <w:vMerge w:val="continue"/>
            <w:noWrap/>
            <w:vAlign w:val="center"/>
          </w:tcPr>
          <w:p>
            <w:pPr>
              <w:spacing w:line="300" w:lineRule="exact"/>
              <w:jc w:val="center"/>
              <w:rPr>
                <w:rFonts w:hint="eastAsia" w:ascii="Times New Roman" w:hAnsi="Times New Roman" w:eastAsia="仿宋_GB2312" w:cs="宋体"/>
                <w:color w:val="000000"/>
                <w:szCs w:val="21"/>
              </w:rPr>
            </w:pPr>
          </w:p>
        </w:tc>
        <w:tc>
          <w:tcPr>
            <w:tcW w:w="1133" w:type="dxa"/>
            <w:vMerge w:val="continue"/>
            <w:noWrap w:val="0"/>
            <w:vAlign w:val="center"/>
          </w:tcPr>
          <w:p>
            <w:pPr>
              <w:spacing w:line="300" w:lineRule="exact"/>
              <w:jc w:val="center"/>
              <w:rPr>
                <w:rFonts w:hint="eastAsia" w:ascii="Times New Roman" w:hAnsi="Times New Roman" w:eastAsia="仿宋_GB2312" w:cs="宋体"/>
                <w:color w:val="000000"/>
                <w:szCs w:val="21"/>
              </w:rPr>
            </w:pPr>
          </w:p>
        </w:tc>
        <w:tc>
          <w:tcPr>
            <w:tcW w:w="1380" w:type="dxa"/>
            <w:vMerge w:val="continue"/>
            <w:noWrap w:val="0"/>
            <w:vAlign w:val="center"/>
          </w:tcPr>
          <w:p>
            <w:pPr>
              <w:spacing w:line="300" w:lineRule="exact"/>
              <w:jc w:val="center"/>
              <w:rPr>
                <w:rFonts w:hint="eastAsia" w:ascii="Times New Roman" w:hAnsi="Times New Roman" w:eastAsia="仿宋_GB2312" w:cs="宋体"/>
                <w:color w:val="000000"/>
                <w:szCs w:val="21"/>
              </w:rPr>
            </w:pPr>
          </w:p>
        </w:tc>
        <w:tc>
          <w:tcPr>
            <w:tcW w:w="5494" w:type="dxa"/>
            <w:noWrap w:val="0"/>
            <w:vAlign w:val="center"/>
          </w:tcPr>
          <w:p>
            <w:pPr>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（16）加强决策预公开和结果信息公开，决策过程中公开征求群众意见结束后，1个月内发布意见采纳情况</w:t>
            </w:r>
          </w:p>
        </w:tc>
        <w:tc>
          <w:tcPr>
            <w:tcW w:w="5042" w:type="dxa"/>
            <w:noWrap w:val="0"/>
            <w:vAlign w:val="center"/>
          </w:tcPr>
          <w:p>
            <w:pPr>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县政府</w:t>
            </w:r>
            <w:r>
              <w:rPr>
                <w:rFonts w:hint="eastAsia" w:ascii="Times New Roman" w:hAnsi="Times New Roman" w:eastAsia="仿宋_GB2312" w:cs="宋体"/>
                <w:color w:val="000000"/>
                <w:kern w:val="0"/>
                <w:szCs w:val="21"/>
                <w:lang w:eastAsia="zh-CN" w:bidi="ar"/>
              </w:rPr>
              <w:t>办公室</w:t>
            </w:r>
            <w:r>
              <w:rPr>
                <w:rFonts w:hint="eastAsia" w:ascii="Times New Roman" w:hAnsi="Times New Roman" w:eastAsia="仿宋_GB2312" w:cs="宋体"/>
                <w:color w:val="000000"/>
                <w:kern w:val="0"/>
                <w:szCs w:val="21"/>
                <w:lang w:bidi="ar"/>
              </w:rPr>
              <w:t>等县级部门；各乡镇人民政府、街道办事处</w:t>
            </w:r>
          </w:p>
        </w:tc>
        <w:tc>
          <w:tcPr>
            <w:tcW w:w="900" w:type="dxa"/>
            <w:noWrap w:val="0"/>
            <w:vAlign w:val="center"/>
          </w:tcPr>
          <w:p>
            <w:pPr>
              <w:widowControl/>
              <w:spacing w:line="30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65" w:type="dxa"/>
            <w:vMerge w:val="continue"/>
            <w:noWrap/>
            <w:vAlign w:val="center"/>
          </w:tcPr>
          <w:p>
            <w:pPr>
              <w:spacing w:line="300" w:lineRule="exact"/>
              <w:jc w:val="center"/>
              <w:rPr>
                <w:rFonts w:hint="eastAsia" w:ascii="Times New Roman" w:hAnsi="Times New Roman" w:eastAsia="仿宋_GB2312" w:cs="宋体"/>
                <w:color w:val="000000"/>
                <w:szCs w:val="21"/>
              </w:rPr>
            </w:pPr>
          </w:p>
        </w:tc>
        <w:tc>
          <w:tcPr>
            <w:tcW w:w="1133" w:type="dxa"/>
            <w:vMerge w:val="continue"/>
            <w:noWrap w:val="0"/>
            <w:vAlign w:val="center"/>
          </w:tcPr>
          <w:p>
            <w:pPr>
              <w:spacing w:line="300" w:lineRule="exact"/>
              <w:jc w:val="center"/>
              <w:rPr>
                <w:rFonts w:hint="eastAsia" w:ascii="Times New Roman" w:hAnsi="Times New Roman" w:eastAsia="仿宋_GB2312" w:cs="宋体"/>
                <w:color w:val="000000"/>
                <w:szCs w:val="21"/>
              </w:rPr>
            </w:pPr>
          </w:p>
        </w:tc>
        <w:tc>
          <w:tcPr>
            <w:tcW w:w="1380" w:type="dxa"/>
            <w:vMerge w:val="continue"/>
            <w:noWrap w:val="0"/>
            <w:vAlign w:val="center"/>
          </w:tcPr>
          <w:p>
            <w:pPr>
              <w:spacing w:line="300" w:lineRule="exact"/>
              <w:jc w:val="center"/>
              <w:rPr>
                <w:rFonts w:hint="eastAsia" w:ascii="Times New Roman" w:hAnsi="Times New Roman" w:eastAsia="仿宋_GB2312" w:cs="宋体"/>
                <w:color w:val="000000"/>
                <w:szCs w:val="21"/>
              </w:rPr>
            </w:pPr>
          </w:p>
        </w:tc>
        <w:tc>
          <w:tcPr>
            <w:tcW w:w="5494" w:type="dxa"/>
            <w:noWrap w:val="0"/>
            <w:vAlign w:val="center"/>
          </w:tcPr>
          <w:p>
            <w:pPr>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（17）加强财政预决算信息公开，规范预决算公开参考样表</w:t>
            </w:r>
          </w:p>
        </w:tc>
        <w:tc>
          <w:tcPr>
            <w:tcW w:w="5042" w:type="dxa"/>
            <w:noWrap w:val="0"/>
            <w:vAlign w:val="center"/>
          </w:tcPr>
          <w:p>
            <w:pPr>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县财政局等县级部门；各乡镇人民政府、街道办事处</w:t>
            </w:r>
          </w:p>
        </w:tc>
        <w:tc>
          <w:tcPr>
            <w:tcW w:w="900" w:type="dxa"/>
            <w:noWrap w:val="0"/>
            <w:vAlign w:val="center"/>
          </w:tcPr>
          <w:p>
            <w:pPr>
              <w:widowControl/>
              <w:spacing w:line="30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65" w:type="dxa"/>
            <w:vMerge w:val="continue"/>
            <w:noWrap/>
            <w:vAlign w:val="center"/>
          </w:tcPr>
          <w:p>
            <w:pPr>
              <w:spacing w:line="300" w:lineRule="exact"/>
              <w:jc w:val="center"/>
              <w:rPr>
                <w:rFonts w:hint="eastAsia" w:ascii="Times New Roman" w:hAnsi="Times New Roman" w:eastAsia="仿宋_GB2312" w:cs="宋体"/>
                <w:color w:val="000000"/>
                <w:szCs w:val="21"/>
              </w:rPr>
            </w:pPr>
          </w:p>
        </w:tc>
        <w:tc>
          <w:tcPr>
            <w:tcW w:w="1133" w:type="dxa"/>
            <w:vMerge w:val="continue"/>
            <w:noWrap w:val="0"/>
            <w:vAlign w:val="center"/>
          </w:tcPr>
          <w:p>
            <w:pPr>
              <w:spacing w:line="300" w:lineRule="exact"/>
              <w:jc w:val="center"/>
              <w:rPr>
                <w:rFonts w:hint="eastAsia" w:ascii="Times New Roman" w:hAnsi="Times New Roman" w:eastAsia="仿宋_GB2312" w:cs="宋体"/>
                <w:color w:val="000000"/>
                <w:szCs w:val="21"/>
              </w:rPr>
            </w:pPr>
          </w:p>
        </w:tc>
        <w:tc>
          <w:tcPr>
            <w:tcW w:w="1380" w:type="dxa"/>
            <w:vMerge w:val="continue"/>
            <w:noWrap w:val="0"/>
            <w:vAlign w:val="center"/>
          </w:tcPr>
          <w:p>
            <w:pPr>
              <w:spacing w:line="300" w:lineRule="exact"/>
              <w:jc w:val="center"/>
              <w:rPr>
                <w:rFonts w:hint="eastAsia" w:ascii="Times New Roman" w:hAnsi="Times New Roman" w:eastAsia="仿宋_GB2312" w:cs="宋体"/>
                <w:color w:val="000000"/>
                <w:szCs w:val="21"/>
              </w:rPr>
            </w:pPr>
          </w:p>
        </w:tc>
        <w:tc>
          <w:tcPr>
            <w:tcW w:w="5494" w:type="dxa"/>
            <w:noWrap w:val="0"/>
            <w:vAlign w:val="center"/>
          </w:tcPr>
          <w:p>
            <w:pPr>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（18）凡审计机关对外公告或披露的问题，相关被审计单位要全面公开整改结果</w:t>
            </w:r>
          </w:p>
        </w:tc>
        <w:tc>
          <w:tcPr>
            <w:tcW w:w="5042" w:type="dxa"/>
            <w:noWrap w:val="0"/>
            <w:vAlign w:val="center"/>
          </w:tcPr>
          <w:p>
            <w:pPr>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县审计局等县级部门；各乡镇人民政府、街道办事处</w:t>
            </w:r>
          </w:p>
        </w:tc>
        <w:tc>
          <w:tcPr>
            <w:tcW w:w="900" w:type="dxa"/>
            <w:noWrap w:val="0"/>
            <w:vAlign w:val="center"/>
          </w:tcPr>
          <w:p>
            <w:pPr>
              <w:widowControl/>
              <w:spacing w:line="30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86" w:hRule="atLeast"/>
        </w:trPr>
        <w:tc>
          <w:tcPr>
            <w:tcW w:w="565" w:type="dxa"/>
            <w:vMerge w:val="continue"/>
            <w:noWrap/>
            <w:vAlign w:val="center"/>
          </w:tcPr>
          <w:p>
            <w:pPr>
              <w:spacing w:line="300" w:lineRule="exact"/>
              <w:jc w:val="center"/>
              <w:rPr>
                <w:rFonts w:hint="eastAsia" w:ascii="Times New Roman" w:hAnsi="Times New Roman" w:eastAsia="仿宋_GB2312" w:cs="宋体"/>
                <w:color w:val="000000"/>
                <w:szCs w:val="21"/>
              </w:rPr>
            </w:pPr>
          </w:p>
        </w:tc>
        <w:tc>
          <w:tcPr>
            <w:tcW w:w="1133" w:type="dxa"/>
            <w:vMerge w:val="continue"/>
            <w:noWrap w:val="0"/>
            <w:vAlign w:val="center"/>
          </w:tcPr>
          <w:p>
            <w:pPr>
              <w:spacing w:line="300" w:lineRule="exact"/>
              <w:jc w:val="center"/>
              <w:rPr>
                <w:rFonts w:hint="eastAsia" w:ascii="Times New Roman" w:hAnsi="Times New Roman" w:eastAsia="仿宋_GB2312" w:cs="宋体"/>
                <w:color w:val="000000"/>
                <w:szCs w:val="21"/>
              </w:rPr>
            </w:pPr>
          </w:p>
        </w:tc>
        <w:tc>
          <w:tcPr>
            <w:tcW w:w="1380" w:type="dxa"/>
            <w:vMerge w:val="continue"/>
            <w:noWrap w:val="0"/>
            <w:vAlign w:val="center"/>
          </w:tcPr>
          <w:p>
            <w:pPr>
              <w:spacing w:line="300" w:lineRule="exact"/>
              <w:jc w:val="center"/>
              <w:rPr>
                <w:rFonts w:hint="eastAsia" w:ascii="Times New Roman" w:hAnsi="Times New Roman" w:eastAsia="仿宋_GB2312" w:cs="宋体"/>
                <w:color w:val="000000"/>
                <w:szCs w:val="21"/>
              </w:rPr>
            </w:pPr>
          </w:p>
        </w:tc>
        <w:tc>
          <w:tcPr>
            <w:tcW w:w="5494" w:type="dxa"/>
            <w:noWrap w:val="0"/>
            <w:vAlign w:val="center"/>
          </w:tcPr>
          <w:p>
            <w:pPr>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（19）主动公开各领域“双随机、一公开”监管抽查事项清单、抽查结果以及行政处罚决定；依法主动公开滥用行政权力排除、限制竞争执法案件</w:t>
            </w:r>
          </w:p>
        </w:tc>
        <w:tc>
          <w:tcPr>
            <w:tcW w:w="5042" w:type="dxa"/>
            <w:noWrap w:val="0"/>
            <w:vAlign w:val="center"/>
          </w:tcPr>
          <w:p>
            <w:pPr>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县市场监督管理局等县级部门；各乡镇人民政府、街道办事处</w:t>
            </w:r>
          </w:p>
        </w:tc>
        <w:tc>
          <w:tcPr>
            <w:tcW w:w="900" w:type="dxa"/>
            <w:noWrap w:val="0"/>
            <w:vAlign w:val="center"/>
          </w:tcPr>
          <w:p>
            <w:pPr>
              <w:widowControl/>
              <w:spacing w:line="30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65" w:type="dxa"/>
            <w:vMerge w:val="restart"/>
            <w:noWrap/>
            <w:vAlign w:val="center"/>
          </w:tcPr>
          <w:p>
            <w:pPr>
              <w:widowControl/>
              <w:spacing w:line="30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5</w:t>
            </w:r>
          </w:p>
        </w:tc>
        <w:tc>
          <w:tcPr>
            <w:tcW w:w="1133" w:type="dxa"/>
            <w:vMerge w:val="restart"/>
            <w:noWrap w:val="0"/>
            <w:vAlign w:val="center"/>
          </w:tcPr>
          <w:p>
            <w:pPr>
              <w:widowControl/>
              <w:spacing w:line="30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二、强化政务公开转型提质</w:t>
            </w:r>
          </w:p>
        </w:tc>
        <w:tc>
          <w:tcPr>
            <w:tcW w:w="1380" w:type="dxa"/>
            <w:vMerge w:val="restart"/>
            <w:noWrap w:val="0"/>
            <w:vAlign w:val="center"/>
          </w:tcPr>
          <w:p>
            <w:pPr>
              <w:widowControl/>
              <w:spacing w:line="30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优化政府信息公开专栏</w:t>
            </w:r>
          </w:p>
        </w:tc>
        <w:tc>
          <w:tcPr>
            <w:tcW w:w="5494" w:type="dxa"/>
            <w:noWrap w:val="0"/>
            <w:vAlign w:val="center"/>
          </w:tcPr>
          <w:p>
            <w:pPr>
              <w:widowControl/>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（20）完善行政规范性文件动态更新机制</w:t>
            </w:r>
          </w:p>
        </w:tc>
        <w:tc>
          <w:tcPr>
            <w:tcW w:w="5042" w:type="dxa"/>
            <w:noWrap w:val="0"/>
            <w:vAlign w:val="center"/>
          </w:tcPr>
          <w:p>
            <w:pPr>
              <w:widowControl/>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县政府</w:t>
            </w:r>
            <w:r>
              <w:rPr>
                <w:rFonts w:hint="eastAsia" w:ascii="Times New Roman" w:hAnsi="Times New Roman" w:eastAsia="仿宋_GB2312" w:cs="宋体"/>
                <w:color w:val="000000"/>
                <w:kern w:val="0"/>
                <w:szCs w:val="21"/>
                <w:lang w:eastAsia="zh-CN" w:bidi="ar"/>
              </w:rPr>
              <w:t>办公室</w:t>
            </w:r>
            <w:r>
              <w:rPr>
                <w:rFonts w:hint="eastAsia" w:ascii="Times New Roman" w:hAnsi="Times New Roman" w:eastAsia="仿宋_GB2312" w:cs="宋体"/>
                <w:color w:val="000000"/>
                <w:kern w:val="0"/>
                <w:szCs w:val="21"/>
                <w:lang w:bidi="ar"/>
              </w:rPr>
              <w:t>等县级部门</w:t>
            </w:r>
          </w:p>
        </w:tc>
        <w:tc>
          <w:tcPr>
            <w:tcW w:w="900" w:type="dxa"/>
            <w:noWrap w:val="0"/>
            <w:vAlign w:val="center"/>
          </w:tcPr>
          <w:p>
            <w:pPr>
              <w:widowControl/>
              <w:spacing w:line="30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99" w:hRule="atLeast"/>
        </w:trPr>
        <w:tc>
          <w:tcPr>
            <w:tcW w:w="565" w:type="dxa"/>
            <w:vMerge w:val="continue"/>
            <w:noWrap/>
            <w:vAlign w:val="center"/>
          </w:tcPr>
          <w:p>
            <w:pPr>
              <w:spacing w:line="300" w:lineRule="exact"/>
              <w:jc w:val="center"/>
              <w:rPr>
                <w:rFonts w:hint="eastAsia" w:ascii="Times New Roman" w:hAnsi="Times New Roman" w:eastAsia="仿宋_GB2312" w:cs="宋体"/>
                <w:color w:val="000000"/>
                <w:szCs w:val="21"/>
              </w:rPr>
            </w:pPr>
          </w:p>
        </w:tc>
        <w:tc>
          <w:tcPr>
            <w:tcW w:w="1133" w:type="dxa"/>
            <w:vMerge w:val="continue"/>
            <w:noWrap w:val="0"/>
            <w:vAlign w:val="center"/>
          </w:tcPr>
          <w:p>
            <w:pPr>
              <w:spacing w:line="300" w:lineRule="exact"/>
              <w:jc w:val="center"/>
              <w:rPr>
                <w:rFonts w:hint="eastAsia" w:ascii="Times New Roman" w:hAnsi="Times New Roman" w:eastAsia="仿宋_GB2312" w:cs="宋体"/>
                <w:color w:val="000000"/>
                <w:szCs w:val="21"/>
              </w:rPr>
            </w:pPr>
          </w:p>
        </w:tc>
        <w:tc>
          <w:tcPr>
            <w:tcW w:w="1380" w:type="dxa"/>
            <w:vMerge w:val="continue"/>
            <w:noWrap w:val="0"/>
            <w:vAlign w:val="center"/>
          </w:tcPr>
          <w:p>
            <w:pPr>
              <w:spacing w:line="300" w:lineRule="exact"/>
              <w:jc w:val="center"/>
              <w:rPr>
                <w:rFonts w:hint="eastAsia" w:ascii="Times New Roman" w:hAnsi="Times New Roman" w:eastAsia="仿宋_GB2312" w:cs="宋体"/>
                <w:color w:val="000000"/>
                <w:szCs w:val="21"/>
              </w:rPr>
            </w:pPr>
          </w:p>
        </w:tc>
        <w:tc>
          <w:tcPr>
            <w:tcW w:w="5494" w:type="dxa"/>
            <w:noWrap w:val="0"/>
            <w:vAlign w:val="center"/>
          </w:tcPr>
          <w:p>
            <w:pPr>
              <w:widowControl/>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（21）及时公布规范性文件清理目录，9月底前实现现行有效行政规范性文件统一查询，未公开的不得作为行政管理依据</w:t>
            </w:r>
          </w:p>
        </w:tc>
        <w:tc>
          <w:tcPr>
            <w:tcW w:w="5042" w:type="dxa"/>
            <w:noWrap w:val="0"/>
            <w:vAlign w:val="center"/>
          </w:tcPr>
          <w:p>
            <w:pPr>
              <w:widowControl/>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县政府</w:t>
            </w:r>
            <w:r>
              <w:rPr>
                <w:rFonts w:hint="eastAsia" w:ascii="Times New Roman" w:hAnsi="Times New Roman" w:eastAsia="仿宋_GB2312" w:cs="宋体"/>
                <w:color w:val="000000"/>
                <w:kern w:val="0"/>
                <w:szCs w:val="21"/>
                <w:lang w:eastAsia="zh-CN" w:bidi="ar"/>
              </w:rPr>
              <w:t>办公室</w:t>
            </w:r>
            <w:r>
              <w:rPr>
                <w:rFonts w:hint="eastAsia" w:ascii="Times New Roman" w:hAnsi="Times New Roman" w:eastAsia="仿宋_GB2312" w:cs="宋体"/>
                <w:color w:val="000000"/>
                <w:kern w:val="0"/>
                <w:szCs w:val="21"/>
                <w:lang w:bidi="ar"/>
              </w:rPr>
              <w:t>、县司法局等县级部门；各乡镇人民政府、街道办事处</w:t>
            </w:r>
          </w:p>
        </w:tc>
        <w:tc>
          <w:tcPr>
            <w:tcW w:w="900" w:type="dxa"/>
            <w:noWrap/>
            <w:vAlign w:val="center"/>
          </w:tcPr>
          <w:p>
            <w:pPr>
              <w:widowControl/>
              <w:spacing w:line="30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9月底前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65" w:type="dxa"/>
            <w:vMerge w:val="continue"/>
            <w:noWrap/>
            <w:vAlign w:val="center"/>
          </w:tcPr>
          <w:p>
            <w:pPr>
              <w:spacing w:line="300" w:lineRule="exact"/>
              <w:jc w:val="center"/>
              <w:rPr>
                <w:rFonts w:hint="eastAsia" w:ascii="Times New Roman" w:hAnsi="Times New Roman" w:eastAsia="仿宋_GB2312" w:cs="宋体"/>
                <w:color w:val="000000"/>
                <w:szCs w:val="21"/>
              </w:rPr>
            </w:pPr>
          </w:p>
        </w:tc>
        <w:tc>
          <w:tcPr>
            <w:tcW w:w="1133" w:type="dxa"/>
            <w:vMerge w:val="continue"/>
            <w:noWrap w:val="0"/>
            <w:vAlign w:val="center"/>
          </w:tcPr>
          <w:p>
            <w:pPr>
              <w:spacing w:line="300" w:lineRule="exact"/>
              <w:jc w:val="center"/>
              <w:rPr>
                <w:rFonts w:hint="eastAsia" w:ascii="Times New Roman" w:hAnsi="Times New Roman" w:eastAsia="仿宋_GB2312" w:cs="宋体"/>
                <w:color w:val="000000"/>
                <w:szCs w:val="21"/>
              </w:rPr>
            </w:pPr>
          </w:p>
        </w:tc>
        <w:tc>
          <w:tcPr>
            <w:tcW w:w="1380" w:type="dxa"/>
            <w:vMerge w:val="continue"/>
            <w:noWrap w:val="0"/>
            <w:vAlign w:val="center"/>
          </w:tcPr>
          <w:p>
            <w:pPr>
              <w:spacing w:line="300" w:lineRule="exact"/>
              <w:jc w:val="center"/>
              <w:rPr>
                <w:rFonts w:hint="eastAsia" w:ascii="Times New Roman" w:hAnsi="Times New Roman" w:eastAsia="仿宋_GB2312" w:cs="宋体"/>
                <w:color w:val="000000"/>
                <w:szCs w:val="21"/>
              </w:rPr>
            </w:pPr>
          </w:p>
        </w:tc>
        <w:tc>
          <w:tcPr>
            <w:tcW w:w="5494" w:type="dxa"/>
            <w:noWrap w:val="0"/>
            <w:vAlign w:val="center"/>
          </w:tcPr>
          <w:p>
            <w:pPr>
              <w:widowControl/>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（22）健全专栏内容保障定期检查机制，重点检查乡村振兴、教育、医疗、社会保险、就业等方面政策及实施的公开情况</w:t>
            </w:r>
          </w:p>
        </w:tc>
        <w:tc>
          <w:tcPr>
            <w:tcW w:w="5042" w:type="dxa"/>
            <w:noWrap w:val="0"/>
            <w:vAlign w:val="center"/>
          </w:tcPr>
          <w:p>
            <w:pPr>
              <w:widowControl/>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县教育和体育局、县人力资源和社会保障局、县农业农村局、县医疗保障局等县级部门；各乡镇人民政府、街道办事处</w:t>
            </w:r>
          </w:p>
        </w:tc>
        <w:tc>
          <w:tcPr>
            <w:tcW w:w="900" w:type="dxa"/>
            <w:noWrap w:val="0"/>
            <w:vAlign w:val="center"/>
          </w:tcPr>
          <w:p>
            <w:pPr>
              <w:widowControl/>
              <w:spacing w:line="30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65" w:type="dxa"/>
            <w:vMerge w:val="continue"/>
            <w:noWrap/>
            <w:vAlign w:val="center"/>
          </w:tcPr>
          <w:p>
            <w:pPr>
              <w:spacing w:line="300" w:lineRule="exact"/>
              <w:jc w:val="center"/>
              <w:rPr>
                <w:rFonts w:hint="eastAsia" w:ascii="Times New Roman" w:hAnsi="Times New Roman" w:eastAsia="仿宋_GB2312" w:cs="宋体"/>
                <w:color w:val="000000"/>
                <w:szCs w:val="21"/>
              </w:rPr>
            </w:pPr>
          </w:p>
        </w:tc>
        <w:tc>
          <w:tcPr>
            <w:tcW w:w="1133" w:type="dxa"/>
            <w:vMerge w:val="continue"/>
            <w:noWrap w:val="0"/>
            <w:vAlign w:val="center"/>
          </w:tcPr>
          <w:p>
            <w:pPr>
              <w:spacing w:line="300" w:lineRule="exact"/>
              <w:jc w:val="center"/>
              <w:rPr>
                <w:rFonts w:hint="eastAsia" w:ascii="Times New Roman" w:hAnsi="Times New Roman" w:eastAsia="仿宋_GB2312" w:cs="宋体"/>
                <w:color w:val="000000"/>
                <w:szCs w:val="21"/>
              </w:rPr>
            </w:pPr>
          </w:p>
        </w:tc>
        <w:tc>
          <w:tcPr>
            <w:tcW w:w="1380" w:type="dxa"/>
            <w:vMerge w:val="continue"/>
            <w:noWrap w:val="0"/>
            <w:vAlign w:val="center"/>
          </w:tcPr>
          <w:p>
            <w:pPr>
              <w:spacing w:line="300" w:lineRule="exact"/>
              <w:jc w:val="center"/>
              <w:rPr>
                <w:rFonts w:hint="eastAsia" w:ascii="Times New Roman" w:hAnsi="Times New Roman" w:eastAsia="仿宋_GB2312" w:cs="宋体"/>
                <w:color w:val="000000"/>
                <w:szCs w:val="21"/>
              </w:rPr>
            </w:pPr>
          </w:p>
        </w:tc>
        <w:tc>
          <w:tcPr>
            <w:tcW w:w="5494" w:type="dxa"/>
            <w:noWrap w:val="0"/>
            <w:vAlign w:val="center"/>
          </w:tcPr>
          <w:p>
            <w:pPr>
              <w:widowControl/>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（23）加强环境保护、公共卫生、安全生产、食品药品、产品质量等领域监督检查情况的公开</w:t>
            </w:r>
          </w:p>
        </w:tc>
        <w:tc>
          <w:tcPr>
            <w:tcW w:w="5042" w:type="dxa"/>
            <w:noWrap w:val="0"/>
            <w:vAlign w:val="center"/>
          </w:tcPr>
          <w:p>
            <w:pPr>
              <w:widowControl/>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县卫生健康局、县应急管理局、县市场监督管理局、乐至生态环境局等县级部门；各乡镇人民政府、街道办事处</w:t>
            </w:r>
          </w:p>
        </w:tc>
        <w:tc>
          <w:tcPr>
            <w:tcW w:w="900" w:type="dxa"/>
            <w:noWrap w:val="0"/>
            <w:vAlign w:val="center"/>
          </w:tcPr>
          <w:p>
            <w:pPr>
              <w:widowControl/>
              <w:spacing w:line="30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04" w:hRule="atLeast"/>
        </w:trPr>
        <w:tc>
          <w:tcPr>
            <w:tcW w:w="565" w:type="dxa"/>
            <w:vMerge w:val="restart"/>
            <w:noWrap/>
            <w:vAlign w:val="center"/>
          </w:tcPr>
          <w:p>
            <w:pPr>
              <w:widowControl/>
              <w:spacing w:line="30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6</w:t>
            </w:r>
          </w:p>
        </w:tc>
        <w:tc>
          <w:tcPr>
            <w:tcW w:w="1133" w:type="dxa"/>
            <w:vMerge w:val="continue"/>
            <w:noWrap w:val="0"/>
            <w:vAlign w:val="center"/>
          </w:tcPr>
          <w:p>
            <w:pPr>
              <w:spacing w:line="300" w:lineRule="exact"/>
              <w:jc w:val="center"/>
              <w:rPr>
                <w:rFonts w:hint="eastAsia" w:ascii="Times New Roman" w:hAnsi="Times New Roman" w:eastAsia="仿宋_GB2312" w:cs="宋体"/>
                <w:color w:val="000000"/>
                <w:szCs w:val="21"/>
              </w:rPr>
            </w:pPr>
          </w:p>
        </w:tc>
        <w:tc>
          <w:tcPr>
            <w:tcW w:w="1380" w:type="dxa"/>
            <w:vMerge w:val="restart"/>
            <w:noWrap w:val="0"/>
            <w:vAlign w:val="center"/>
          </w:tcPr>
          <w:p>
            <w:pPr>
              <w:widowControl/>
              <w:spacing w:line="30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加强涉企政策公开</w:t>
            </w:r>
          </w:p>
        </w:tc>
        <w:tc>
          <w:tcPr>
            <w:tcW w:w="5494" w:type="dxa"/>
            <w:noWrap w:val="0"/>
            <w:vAlign w:val="center"/>
          </w:tcPr>
          <w:p>
            <w:pPr>
              <w:widowControl/>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（24）围绕与市场主体生产经营直接相关的财税政策、金融政策、产业政策、监管政策等，加强信息公开服务</w:t>
            </w:r>
          </w:p>
        </w:tc>
        <w:tc>
          <w:tcPr>
            <w:tcW w:w="5042" w:type="dxa"/>
            <w:noWrap w:val="0"/>
            <w:vAlign w:val="center"/>
          </w:tcPr>
          <w:p>
            <w:pPr>
              <w:widowControl/>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县发展和改革局、县经济科技信息化局、县财政局、县国有资产监管和金融工作局、县市场监督管理局、县税务局等县级部门；各乡镇人民政府、街道办事处</w:t>
            </w:r>
          </w:p>
        </w:tc>
        <w:tc>
          <w:tcPr>
            <w:tcW w:w="900" w:type="dxa"/>
            <w:noWrap w:val="0"/>
            <w:vAlign w:val="center"/>
          </w:tcPr>
          <w:p>
            <w:pPr>
              <w:widowControl/>
              <w:spacing w:line="30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28" w:hRule="atLeast"/>
        </w:trPr>
        <w:tc>
          <w:tcPr>
            <w:tcW w:w="565" w:type="dxa"/>
            <w:vMerge w:val="continue"/>
            <w:noWrap/>
            <w:vAlign w:val="center"/>
          </w:tcPr>
          <w:p>
            <w:pPr>
              <w:spacing w:line="300" w:lineRule="exact"/>
              <w:jc w:val="center"/>
              <w:rPr>
                <w:rFonts w:hint="eastAsia" w:ascii="Times New Roman" w:hAnsi="Times New Roman" w:eastAsia="仿宋_GB2312" w:cs="宋体"/>
                <w:color w:val="000000"/>
                <w:szCs w:val="21"/>
              </w:rPr>
            </w:pPr>
          </w:p>
        </w:tc>
        <w:tc>
          <w:tcPr>
            <w:tcW w:w="1133" w:type="dxa"/>
            <w:vMerge w:val="continue"/>
            <w:noWrap w:val="0"/>
            <w:vAlign w:val="center"/>
          </w:tcPr>
          <w:p>
            <w:pPr>
              <w:spacing w:line="300" w:lineRule="exact"/>
              <w:jc w:val="center"/>
              <w:rPr>
                <w:rFonts w:hint="eastAsia" w:ascii="Times New Roman" w:hAnsi="Times New Roman" w:eastAsia="仿宋_GB2312" w:cs="宋体"/>
                <w:color w:val="000000"/>
                <w:szCs w:val="21"/>
              </w:rPr>
            </w:pPr>
          </w:p>
        </w:tc>
        <w:tc>
          <w:tcPr>
            <w:tcW w:w="1380" w:type="dxa"/>
            <w:vMerge w:val="continue"/>
            <w:noWrap w:val="0"/>
            <w:vAlign w:val="center"/>
          </w:tcPr>
          <w:p>
            <w:pPr>
              <w:spacing w:line="300" w:lineRule="exact"/>
              <w:jc w:val="center"/>
              <w:rPr>
                <w:rFonts w:hint="eastAsia" w:ascii="Times New Roman" w:hAnsi="Times New Roman" w:eastAsia="仿宋_GB2312" w:cs="宋体"/>
                <w:color w:val="000000"/>
                <w:szCs w:val="21"/>
              </w:rPr>
            </w:pPr>
          </w:p>
        </w:tc>
        <w:tc>
          <w:tcPr>
            <w:tcW w:w="5494" w:type="dxa"/>
            <w:noWrap w:val="0"/>
            <w:vAlign w:val="center"/>
          </w:tcPr>
          <w:p>
            <w:pPr>
              <w:widowControl/>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（25）充分调动行业协会商会的优势和桥梁纽带作用，加强政策辅导、咨询解答和培训交流工作，积极提高对市场主体的政策服务水平</w:t>
            </w:r>
          </w:p>
        </w:tc>
        <w:tc>
          <w:tcPr>
            <w:tcW w:w="5042" w:type="dxa"/>
            <w:noWrap w:val="0"/>
            <w:vAlign w:val="center"/>
          </w:tcPr>
          <w:p>
            <w:pPr>
              <w:widowControl/>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县经济科技信息化局、县商务和经济合作局、县国有资产监管和金融工作局、县市场监督管理局等县级部门；各乡镇人民政府、街道办事处</w:t>
            </w:r>
          </w:p>
        </w:tc>
        <w:tc>
          <w:tcPr>
            <w:tcW w:w="900" w:type="dxa"/>
            <w:noWrap w:val="0"/>
            <w:vAlign w:val="center"/>
          </w:tcPr>
          <w:p>
            <w:pPr>
              <w:widowControl/>
              <w:spacing w:line="30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65" w:type="dxa"/>
            <w:vMerge w:val="restart"/>
            <w:noWrap/>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7</w:t>
            </w:r>
          </w:p>
        </w:tc>
        <w:tc>
          <w:tcPr>
            <w:tcW w:w="1133"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1380" w:type="dxa"/>
            <w:vMerge w:val="restart"/>
            <w:noWrap w:val="0"/>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提升政策解读实效</w:t>
            </w:r>
          </w:p>
        </w:tc>
        <w:tc>
          <w:tcPr>
            <w:tcW w:w="5494" w:type="dxa"/>
            <w:noWrap w:val="0"/>
            <w:vAlign w:val="center"/>
          </w:tcPr>
          <w:p>
            <w:pPr>
              <w:widowControl/>
              <w:spacing w:line="32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（26）各级行政机关主要负责人作为“第一解读人”，要履行好政策解读职责；解读材料要与政策性文件同步审签、同步发布</w:t>
            </w:r>
          </w:p>
        </w:tc>
        <w:tc>
          <w:tcPr>
            <w:tcW w:w="5042" w:type="dxa"/>
            <w:noWrap w:val="0"/>
            <w:vAlign w:val="center"/>
          </w:tcPr>
          <w:p>
            <w:pPr>
              <w:widowControl/>
              <w:spacing w:line="32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县司法局等县级部门；各乡镇人民政府、街道办事处</w:t>
            </w:r>
          </w:p>
        </w:tc>
        <w:tc>
          <w:tcPr>
            <w:tcW w:w="900" w:type="dxa"/>
            <w:noWrap w:val="0"/>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77" w:hRule="atLeast"/>
        </w:trPr>
        <w:tc>
          <w:tcPr>
            <w:tcW w:w="565" w:type="dxa"/>
            <w:vMerge w:val="continue"/>
            <w:noWrap/>
            <w:vAlign w:val="center"/>
          </w:tcPr>
          <w:p>
            <w:pPr>
              <w:spacing w:line="320" w:lineRule="exact"/>
              <w:jc w:val="center"/>
              <w:rPr>
                <w:rFonts w:hint="eastAsia" w:ascii="Times New Roman" w:hAnsi="Times New Roman" w:eastAsia="仿宋_GB2312" w:cs="宋体"/>
                <w:color w:val="000000"/>
                <w:szCs w:val="21"/>
              </w:rPr>
            </w:pPr>
          </w:p>
        </w:tc>
        <w:tc>
          <w:tcPr>
            <w:tcW w:w="1133"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1380"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5494" w:type="dxa"/>
            <w:noWrap w:val="0"/>
            <w:vAlign w:val="center"/>
          </w:tcPr>
          <w:p>
            <w:pPr>
              <w:widowControl/>
              <w:spacing w:line="32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（27）以县政府或政府办公室名义印发的政策性文件，多元化解读比例不得低于50%</w:t>
            </w:r>
          </w:p>
        </w:tc>
        <w:tc>
          <w:tcPr>
            <w:tcW w:w="5042" w:type="dxa"/>
            <w:noWrap w:val="0"/>
            <w:vAlign w:val="center"/>
          </w:tcPr>
          <w:p>
            <w:pPr>
              <w:widowControl/>
              <w:spacing w:line="32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县政府</w:t>
            </w:r>
            <w:r>
              <w:rPr>
                <w:rFonts w:hint="eastAsia" w:ascii="Times New Roman" w:hAnsi="Times New Roman" w:eastAsia="仿宋_GB2312" w:cs="宋体"/>
                <w:color w:val="000000"/>
                <w:kern w:val="0"/>
                <w:szCs w:val="21"/>
                <w:lang w:eastAsia="zh-CN" w:bidi="ar"/>
              </w:rPr>
              <w:t>办公室</w:t>
            </w:r>
          </w:p>
        </w:tc>
        <w:tc>
          <w:tcPr>
            <w:tcW w:w="900" w:type="dxa"/>
            <w:noWrap w:val="0"/>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228" w:hRule="atLeast"/>
        </w:trPr>
        <w:tc>
          <w:tcPr>
            <w:tcW w:w="565" w:type="dxa"/>
            <w:vMerge w:val="continue"/>
            <w:noWrap/>
            <w:vAlign w:val="center"/>
          </w:tcPr>
          <w:p>
            <w:pPr>
              <w:spacing w:line="320" w:lineRule="exact"/>
              <w:jc w:val="center"/>
              <w:rPr>
                <w:rFonts w:hint="eastAsia" w:ascii="Times New Roman" w:hAnsi="Times New Roman" w:eastAsia="仿宋_GB2312" w:cs="宋体"/>
                <w:color w:val="000000"/>
                <w:szCs w:val="21"/>
              </w:rPr>
            </w:pPr>
          </w:p>
        </w:tc>
        <w:tc>
          <w:tcPr>
            <w:tcW w:w="1133"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1380"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5494" w:type="dxa"/>
            <w:noWrap w:val="0"/>
            <w:vAlign w:val="center"/>
          </w:tcPr>
          <w:p>
            <w:pPr>
              <w:widowControl/>
              <w:spacing w:line="32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（28）建设政策咨询问答库，特别要针对社会公众关注的热点、重点、疑点，对现行有效政策文件予以分解提炼，在政府门户网站、12345政务服务便民热线知识库等公开</w:t>
            </w:r>
          </w:p>
        </w:tc>
        <w:tc>
          <w:tcPr>
            <w:tcW w:w="5042" w:type="dxa"/>
            <w:noWrap w:val="0"/>
            <w:vAlign w:val="center"/>
          </w:tcPr>
          <w:p>
            <w:pPr>
              <w:widowControl/>
              <w:spacing w:line="32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县政府</w:t>
            </w:r>
            <w:r>
              <w:rPr>
                <w:rFonts w:hint="eastAsia" w:ascii="Times New Roman" w:hAnsi="Times New Roman" w:eastAsia="仿宋_GB2312" w:cs="宋体"/>
                <w:color w:val="000000"/>
                <w:kern w:val="0"/>
                <w:szCs w:val="21"/>
                <w:lang w:eastAsia="zh-CN" w:bidi="ar"/>
              </w:rPr>
              <w:t>办公室</w:t>
            </w:r>
            <w:r>
              <w:rPr>
                <w:rFonts w:hint="eastAsia" w:ascii="Times New Roman" w:hAnsi="Times New Roman" w:eastAsia="仿宋_GB2312" w:cs="宋体"/>
                <w:color w:val="000000"/>
                <w:kern w:val="0"/>
                <w:szCs w:val="21"/>
                <w:lang w:bidi="ar"/>
              </w:rPr>
              <w:t>、县行政审批局</w:t>
            </w:r>
          </w:p>
        </w:tc>
        <w:tc>
          <w:tcPr>
            <w:tcW w:w="900" w:type="dxa"/>
            <w:noWrap w:val="0"/>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65" w:type="dxa"/>
            <w:vMerge w:val="restart"/>
            <w:noWrap/>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8</w:t>
            </w:r>
          </w:p>
        </w:tc>
        <w:tc>
          <w:tcPr>
            <w:tcW w:w="1133"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1380" w:type="dxa"/>
            <w:vMerge w:val="restart"/>
            <w:noWrap w:val="0"/>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依法规范依申请公开工作</w:t>
            </w:r>
          </w:p>
        </w:tc>
        <w:tc>
          <w:tcPr>
            <w:tcW w:w="5494" w:type="dxa"/>
            <w:noWrap w:val="0"/>
            <w:vAlign w:val="center"/>
          </w:tcPr>
          <w:p>
            <w:pPr>
              <w:widowControl/>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（29）转变依申请公开办理观念，最大限度满足申请人对政府信息的合理需求；加大沟通力度，全面准确了解申请人诉求，提高办理答复质量</w:t>
            </w:r>
          </w:p>
        </w:tc>
        <w:tc>
          <w:tcPr>
            <w:tcW w:w="5042" w:type="dxa"/>
            <w:noWrap w:val="0"/>
            <w:vAlign w:val="center"/>
          </w:tcPr>
          <w:p>
            <w:pPr>
              <w:widowControl/>
              <w:spacing w:line="32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县政府</w:t>
            </w:r>
            <w:r>
              <w:rPr>
                <w:rFonts w:hint="eastAsia" w:ascii="Times New Roman" w:hAnsi="Times New Roman" w:eastAsia="仿宋_GB2312" w:cs="宋体"/>
                <w:color w:val="000000"/>
                <w:kern w:val="0"/>
                <w:szCs w:val="21"/>
                <w:lang w:eastAsia="zh-CN" w:bidi="ar"/>
              </w:rPr>
              <w:t>办公室</w:t>
            </w:r>
            <w:r>
              <w:rPr>
                <w:rFonts w:hint="eastAsia" w:ascii="Times New Roman" w:hAnsi="Times New Roman" w:eastAsia="仿宋_GB2312" w:cs="宋体"/>
                <w:color w:val="000000"/>
                <w:kern w:val="0"/>
                <w:szCs w:val="21"/>
                <w:lang w:bidi="ar"/>
              </w:rPr>
              <w:t>等县级部门</w:t>
            </w:r>
          </w:p>
        </w:tc>
        <w:tc>
          <w:tcPr>
            <w:tcW w:w="900" w:type="dxa"/>
            <w:noWrap w:val="0"/>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65" w:type="dxa"/>
            <w:vMerge w:val="continue"/>
            <w:noWrap/>
            <w:vAlign w:val="center"/>
          </w:tcPr>
          <w:p>
            <w:pPr>
              <w:spacing w:line="320" w:lineRule="exact"/>
              <w:jc w:val="center"/>
              <w:rPr>
                <w:rFonts w:hint="eastAsia" w:ascii="Times New Roman" w:hAnsi="Times New Roman" w:eastAsia="仿宋_GB2312" w:cs="宋体"/>
                <w:color w:val="000000"/>
                <w:szCs w:val="21"/>
              </w:rPr>
            </w:pPr>
          </w:p>
        </w:tc>
        <w:tc>
          <w:tcPr>
            <w:tcW w:w="1133"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1380"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5494" w:type="dxa"/>
            <w:noWrap w:val="0"/>
            <w:vAlign w:val="center"/>
          </w:tcPr>
          <w:p>
            <w:pPr>
              <w:widowControl/>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（30）健全《政府信息依申请公开工作规范》，依法规范办理政府信息公开申请</w:t>
            </w:r>
          </w:p>
        </w:tc>
        <w:tc>
          <w:tcPr>
            <w:tcW w:w="5042" w:type="dxa"/>
            <w:noWrap w:val="0"/>
            <w:vAlign w:val="center"/>
          </w:tcPr>
          <w:p>
            <w:pPr>
              <w:widowControl/>
              <w:spacing w:line="32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县政府</w:t>
            </w:r>
            <w:r>
              <w:rPr>
                <w:rFonts w:hint="eastAsia" w:ascii="Times New Roman" w:hAnsi="Times New Roman" w:eastAsia="仿宋_GB2312" w:cs="宋体"/>
                <w:color w:val="000000"/>
                <w:kern w:val="0"/>
                <w:szCs w:val="21"/>
                <w:lang w:eastAsia="zh-CN" w:bidi="ar"/>
              </w:rPr>
              <w:t>办公室</w:t>
            </w:r>
            <w:r>
              <w:rPr>
                <w:rFonts w:hint="eastAsia" w:ascii="Times New Roman" w:hAnsi="Times New Roman" w:eastAsia="仿宋_GB2312" w:cs="宋体"/>
                <w:color w:val="000000"/>
                <w:kern w:val="0"/>
                <w:szCs w:val="21"/>
                <w:lang w:bidi="ar"/>
              </w:rPr>
              <w:t>等县级部门</w:t>
            </w:r>
          </w:p>
        </w:tc>
        <w:tc>
          <w:tcPr>
            <w:tcW w:w="900" w:type="dxa"/>
            <w:noWrap w:val="0"/>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179" w:hRule="atLeast"/>
        </w:trPr>
        <w:tc>
          <w:tcPr>
            <w:tcW w:w="565" w:type="dxa"/>
            <w:vMerge w:val="continue"/>
            <w:noWrap/>
            <w:vAlign w:val="center"/>
          </w:tcPr>
          <w:p>
            <w:pPr>
              <w:spacing w:line="320" w:lineRule="exact"/>
              <w:jc w:val="center"/>
              <w:rPr>
                <w:rFonts w:hint="eastAsia" w:ascii="Times New Roman" w:hAnsi="Times New Roman" w:eastAsia="仿宋_GB2312" w:cs="宋体"/>
                <w:color w:val="000000"/>
                <w:szCs w:val="21"/>
              </w:rPr>
            </w:pPr>
          </w:p>
        </w:tc>
        <w:tc>
          <w:tcPr>
            <w:tcW w:w="1133"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1380"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5494" w:type="dxa"/>
            <w:noWrap w:val="0"/>
            <w:vAlign w:val="center"/>
          </w:tcPr>
          <w:p>
            <w:pPr>
              <w:widowControl/>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（31）完善依申请公开办理中的法制审核流程，积极组建政府法律顾问、公职律师咨询机制，增加依申请公开答复合法性审查环节；妥善处理涉及依申请公开的投诉举报，推动依申请公开行政争议实质性化解</w:t>
            </w:r>
          </w:p>
        </w:tc>
        <w:tc>
          <w:tcPr>
            <w:tcW w:w="5042" w:type="dxa"/>
            <w:noWrap w:val="0"/>
            <w:vAlign w:val="center"/>
          </w:tcPr>
          <w:p>
            <w:pPr>
              <w:widowControl/>
              <w:spacing w:line="32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县司法局等县级部门</w:t>
            </w:r>
          </w:p>
        </w:tc>
        <w:tc>
          <w:tcPr>
            <w:tcW w:w="900" w:type="dxa"/>
            <w:noWrap w:val="0"/>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65" w:type="dxa"/>
            <w:vMerge w:val="continue"/>
            <w:noWrap/>
            <w:vAlign w:val="center"/>
          </w:tcPr>
          <w:p>
            <w:pPr>
              <w:spacing w:line="320" w:lineRule="exact"/>
              <w:jc w:val="center"/>
              <w:rPr>
                <w:rFonts w:hint="eastAsia" w:ascii="Times New Roman" w:hAnsi="Times New Roman" w:eastAsia="仿宋_GB2312" w:cs="宋体"/>
                <w:color w:val="000000"/>
                <w:szCs w:val="21"/>
              </w:rPr>
            </w:pPr>
          </w:p>
        </w:tc>
        <w:tc>
          <w:tcPr>
            <w:tcW w:w="1133"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1380"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5494" w:type="dxa"/>
            <w:noWrap w:val="0"/>
            <w:vAlign w:val="center"/>
          </w:tcPr>
          <w:p>
            <w:pPr>
              <w:widowControl/>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（32）收集整理政府信息公开申请答复中存在的问题，有效降低争议发生率、被纠错败诉率；对申请公开频次高的文件进行评估审查，因情势变化可以调整文件的公开属性，可公开的要予以公开</w:t>
            </w:r>
          </w:p>
        </w:tc>
        <w:tc>
          <w:tcPr>
            <w:tcW w:w="5042" w:type="dxa"/>
            <w:noWrap w:val="0"/>
            <w:vAlign w:val="center"/>
          </w:tcPr>
          <w:p>
            <w:pPr>
              <w:widowControl/>
              <w:spacing w:line="32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县政府</w:t>
            </w:r>
            <w:r>
              <w:rPr>
                <w:rFonts w:hint="eastAsia" w:ascii="Times New Roman" w:hAnsi="Times New Roman" w:eastAsia="仿宋_GB2312" w:cs="宋体"/>
                <w:color w:val="000000"/>
                <w:kern w:val="0"/>
                <w:szCs w:val="21"/>
                <w:lang w:eastAsia="zh-CN" w:bidi="ar"/>
              </w:rPr>
              <w:t>办公室</w:t>
            </w:r>
            <w:r>
              <w:rPr>
                <w:rFonts w:hint="eastAsia" w:ascii="Times New Roman" w:hAnsi="Times New Roman" w:eastAsia="仿宋_GB2312" w:cs="宋体"/>
                <w:color w:val="000000"/>
                <w:kern w:val="0"/>
                <w:szCs w:val="21"/>
                <w:lang w:bidi="ar"/>
              </w:rPr>
              <w:t>、县司法局等县级部门</w:t>
            </w:r>
          </w:p>
        </w:tc>
        <w:tc>
          <w:tcPr>
            <w:tcW w:w="900" w:type="dxa"/>
            <w:noWrap w:val="0"/>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65" w:type="dxa"/>
            <w:vMerge w:val="restart"/>
            <w:noWrap/>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9</w:t>
            </w:r>
          </w:p>
        </w:tc>
        <w:tc>
          <w:tcPr>
            <w:tcW w:w="1133"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1380" w:type="dxa"/>
            <w:vMerge w:val="restart"/>
            <w:noWrap w:val="0"/>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提升群众关切回应实效</w:t>
            </w:r>
          </w:p>
        </w:tc>
        <w:tc>
          <w:tcPr>
            <w:tcW w:w="5494" w:type="dxa"/>
            <w:noWrap w:val="0"/>
            <w:vAlign w:val="center"/>
          </w:tcPr>
          <w:p>
            <w:pPr>
              <w:widowControl/>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（33）规范化标准化回应服务群众关切，完善管理制度和评价机制</w:t>
            </w:r>
          </w:p>
        </w:tc>
        <w:tc>
          <w:tcPr>
            <w:tcW w:w="5042" w:type="dxa"/>
            <w:noWrap w:val="0"/>
            <w:vAlign w:val="center"/>
          </w:tcPr>
          <w:p>
            <w:pPr>
              <w:widowControl/>
              <w:spacing w:line="32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县行政审批局等县级部门；各乡镇人民政府、街道办事处</w:t>
            </w:r>
          </w:p>
        </w:tc>
        <w:tc>
          <w:tcPr>
            <w:tcW w:w="900" w:type="dxa"/>
            <w:noWrap w:val="0"/>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65" w:type="dxa"/>
            <w:vMerge w:val="continue"/>
            <w:noWrap/>
            <w:vAlign w:val="center"/>
          </w:tcPr>
          <w:p>
            <w:pPr>
              <w:spacing w:line="320" w:lineRule="exact"/>
              <w:jc w:val="center"/>
              <w:rPr>
                <w:rFonts w:hint="eastAsia" w:ascii="Times New Roman" w:hAnsi="Times New Roman" w:eastAsia="仿宋_GB2312" w:cs="宋体"/>
                <w:color w:val="000000"/>
                <w:szCs w:val="21"/>
              </w:rPr>
            </w:pPr>
          </w:p>
        </w:tc>
        <w:tc>
          <w:tcPr>
            <w:tcW w:w="1133"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1380"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5494" w:type="dxa"/>
            <w:noWrap w:val="0"/>
            <w:vAlign w:val="center"/>
          </w:tcPr>
          <w:p>
            <w:pPr>
              <w:widowControl/>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（34）推动走好网上群众路线为民服务办实事由“办不办”向“好不好”转变，扎实高效解决群众“急难愁盼”问题</w:t>
            </w:r>
          </w:p>
        </w:tc>
        <w:tc>
          <w:tcPr>
            <w:tcW w:w="5042" w:type="dxa"/>
            <w:noWrap w:val="0"/>
            <w:vAlign w:val="center"/>
          </w:tcPr>
          <w:p>
            <w:pPr>
              <w:widowControl/>
              <w:spacing w:line="32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县行政审批局等县级部门；各乡镇人民政府、街道办事处</w:t>
            </w:r>
          </w:p>
        </w:tc>
        <w:tc>
          <w:tcPr>
            <w:tcW w:w="900" w:type="dxa"/>
            <w:noWrap w:val="0"/>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65" w:type="dxa"/>
            <w:vMerge w:val="continue"/>
            <w:noWrap/>
            <w:vAlign w:val="center"/>
          </w:tcPr>
          <w:p>
            <w:pPr>
              <w:spacing w:line="320" w:lineRule="exact"/>
              <w:jc w:val="center"/>
              <w:rPr>
                <w:rFonts w:hint="eastAsia" w:ascii="Times New Roman" w:hAnsi="Times New Roman" w:eastAsia="仿宋_GB2312" w:cs="宋体"/>
                <w:color w:val="000000"/>
                <w:szCs w:val="21"/>
              </w:rPr>
            </w:pPr>
          </w:p>
        </w:tc>
        <w:tc>
          <w:tcPr>
            <w:tcW w:w="1133"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1380"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5494" w:type="dxa"/>
            <w:noWrap w:val="0"/>
            <w:vAlign w:val="center"/>
          </w:tcPr>
          <w:p>
            <w:pPr>
              <w:widowControl/>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（35）加大群众关切回应服务结果公开力度，对群众关心、社会关注的热点问题，要及时回应、解疑释惑</w:t>
            </w:r>
          </w:p>
        </w:tc>
        <w:tc>
          <w:tcPr>
            <w:tcW w:w="5042" w:type="dxa"/>
            <w:noWrap w:val="0"/>
            <w:vAlign w:val="center"/>
          </w:tcPr>
          <w:p>
            <w:pPr>
              <w:widowControl/>
              <w:spacing w:line="32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县行政审批局等县级部门；各乡镇人民政府、街道办事处</w:t>
            </w:r>
          </w:p>
        </w:tc>
        <w:tc>
          <w:tcPr>
            <w:tcW w:w="900" w:type="dxa"/>
            <w:noWrap w:val="0"/>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65" w:type="dxa"/>
            <w:vMerge w:val="continue"/>
            <w:noWrap/>
            <w:vAlign w:val="center"/>
          </w:tcPr>
          <w:p>
            <w:pPr>
              <w:spacing w:line="320" w:lineRule="exact"/>
              <w:jc w:val="center"/>
              <w:rPr>
                <w:rFonts w:hint="eastAsia" w:ascii="Times New Roman" w:hAnsi="Times New Roman" w:eastAsia="仿宋_GB2312" w:cs="宋体"/>
                <w:color w:val="000000"/>
                <w:szCs w:val="21"/>
              </w:rPr>
            </w:pPr>
          </w:p>
        </w:tc>
        <w:tc>
          <w:tcPr>
            <w:tcW w:w="1133"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1380"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5494" w:type="dxa"/>
            <w:noWrap w:val="0"/>
            <w:vAlign w:val="center"/>
          </w:tcPr>
          <w:p>
            <w:pPr>
              <w:widowControl/>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（36）回应群众关切情况要定期公示，接受群众监督，引导群众理解支持政府工作</w:t>
            </w:r>
          </w:p>
        </w:tc>
        <w:tc>
          <w:tcPr>
            <w:tcW w:w="5042" w:type="dxa"/>
            <w:noWrap w:val="0"/>
            <w:vAlign w:val="center"/>
          </w:tcPr>
          <w:p>
            <w:pPr>
              <w:widowControl/>
              <w:spacing w:line="32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县行政审批局等县级部门；各乡镇人民政府、街道办事处</w:t>
            </w:r>
          </w:p>
        </w:tc>
        <w:tc>
          <w:tcPr>
            <w:tcW w:w="900" w:type="dxa"/>
            <w:noWrap w:val="0"/>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65" w:type="dxa"/>
            <w:vMerge w:val="restart"/>
            <w:noWrap/>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10</w:t>
            </w:r>
          </w:p>
        </w:tc>
        <w:tc>
          <w:tcPr>
            <w:tcW w:w="1133"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1380" w:type="dxa"/>
            <w:vMerge w:val="restart"/>
            <w:noWrap w:val="0"/>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防范重大舆情风险</w:t>
            </w:r>
          </w:p>
        </w:tc>
        <w:tc>
          <w:tcPr>
            <w:tcW w:w="5494" w:type="dxa"/>
            <w:noWrap w:val="0"/>
            <w:vAlign w:val="center"/>
          </w:tcPr>
          <w:p>
            <w:pPr>
              <w:widowControl/>
              <w:spacing w:line="30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（37）加强对政策发布及施行情况的舆情监测，提前做好应对预案；针对涉及本地区本部门的重要政务舆情，加强风险研判，妥善应对处置</w:t>
            </w:r>
          </w:p>
        </w:tc>
        <w:tc>
          <w:tcPr>
            <w:tcW w:w="5042" w:type="dxa"/>
            <w:noWrap w:val="0"/>
            <w:vAlign w:val="center"/>
          </w:tcPr>
          <w:p>
            <w:pPr>
              <w:widowControl/>
              <w:spacing w:line="32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县政府</w:t>
            </w:r>
            <w:r>
              <w:rPr>
                <w:rFonts w:hint="eastAsia" w:ascii="Times New Roman" w:hAnsi="Times New Roman" w:eastAsia="仿宋_GB2312" w:cs="宋体"/>
                <w:color w:val="000000"/>
                <w:kern w:val="0"/>
                <w:szCs w:val="21"/>
                <w:lang w:eastAsia="zh-CN" w:bidi="ar"/>
              </w:rPr>
              <w:t>办公室</w:t>
            </w:r>
            <w:r>
              <w:rPr>
                <w:rFonts w:hint="eastAsia" w:ascii="Times New Roman" w:hAnsi="Times New Roman" w:eastAsia="仿宋_GB2312" w:cs="宋体"/>
                <w:color w:val="000000"/>
                <w:kern w:val="0"/>
                <w:szCs w:val="21"/>
                <w:lang w:bidi="ar"/>
              </w:rPr>
              <w:t>、县行政审批局等县级部门；各乡镇人民政府、街道办事处</w:t>
            </w:r>
          </w:p>
        </w:tc>
        <w:tc>
          <w:tcPr>
            <w:tcW w:w="900" w:type="dxa"/>
            <w:noWrap w:val="0"/>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65" w:type="dxa"/>
            <w:vMerge w:val="continue"/>
            <w:noWrap/>
            <w:vAlign w:val="center"/>
          </w:tcPr>
          <w:p>
            <w:pPr>
              <w:spacing w:line="320" w:lineRule="exact"/>
              <w:jc w:val="center"/>
              <w:rPr>
                <w:rFonts w:hint="eastAsia" w:ascii="Times New Roman" w:hAnsi="Times New Roman" w:eastAsia="仿宋_GB2312" w:cs="宋体"/>
                <w:color w:val="000000"/>
                <w:szCs w:val="21"/>
              </w:rPr>
            </w:pPr>
          </w:p>
        </w:tc>
        <w:tc>
          <w:tcPr>
            <w:tcW w:w="1133"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1380"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5494" w:type="dxa"/>
            <w:noWrap w:val="0"/>
            <w:vAlign w:val="center"/>
          </w:tcPr>
          <w:p>
            <w:pPr>
              <w:widowControl/>
              <w:spacing w:line="32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（38）进一步完善突发事件舆论引导机制，强化舆论阵地意识，正确引导社会舆论。严格落实政务舆情回应主体责任，依规依法及时发布权威信息，有效防范舆情风险</w:t>
            </w:r>
          </w:p>
        </w:tc>
        <w:tc>
          <w:tcPr>
            <w:tcW w:w="5042" w:type="dxa"/>
            <w:noWrap w:val="0"/>
            <w:vAlign w:val="center"/>
          </w:tcPr>
          <w:p>
            <w:pPr>
              <w:widowControl/>
              <w:spacing w:line="32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县政府</w:t>
            </w:r>
            <w:r>
              <w:rPr>
                <w:rFonts w:hint="eastAsia" w:ascii="Times New Roman" w:hAnsi="Times New Roman" w:eastAsia="仿宋_GB2312" w:cs="宋体"/>
                <w:color w:val="000000"/>
                <w:kern w:val="0"/>
                <w:szCs w:val="21"/>
                <w:lang w:eastAsia="zh-CN" w:bidi="ar"/>
              </w:rPr>
              <w:t>办公室</w:t>
            </w:r>
            <w:r>
              <w:rPr>
                <w:rFonts w:hint="eastAsia" w:ascii="Times New Roman" w:hAnsi="Times New Roman" w:eastAsia="仿宋_GB2312" w:cs="宋体"/>
                <w:color w:val="000000"/>
                <w:kern w:val="0"/>
                <w:szCs w:val="21"/>
                <w:lang w:bidi="ar"/>
              </w:rPr>
              <w:t>、县行政审批局等县级部门；各乡镇人民政府、街道办事处</w:t>
            </w:r>
          </w:p>
        </w:tc>
        <w:tc>
          <w:tcPr>
            <w:tcW w:w="900" w:type="dxa"/>
            <w:noWrap w:val="0"/>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65" w:type="dxa"/>
            <w:vMerge w:val="restart"/>
            <w:noWrap/>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11</w:t>
            </w:r>
          </w:p>
        </w:tc>
        <w:tc>
          <w:tcPr>
            <w:tcW w:w="1133" w:type="dxa"/>
            <w:vMerge w:val="restart"/>
            <w:noWrap w:val="0"/>
            <w:vAlign w:val="center"/>
          </w:tcPr>
          <w:p>
            <w:pPr>
              <w:spacing w:line="320" w:lineRule="exact"/>
              <w:jc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三、深化基层政务公开促进基层政府治理能力提升</w:t>
            </w:r>
          </w:p>
        </w:tc>
        <w:tc>
          <w:tcPr>
            <w:tcW w:w="1380" w:type="dxa"/>
            <w:vMerge w:val="restart"/>
            <w:noWrap w:val="0"/>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完成基层政务公开标准化规范化任务</w:t>
            </w:r>
          </w:p>
        </w:tc>
        <w:tc>
          <w:tcPr>
            <w:tcW w:w="5494" w:type="dxa"/>
            <w:noWrap w:val="0"/>
            <w:vAlign w:val="center"/>
          </w:tcPr>
          <w:p>
            <w:pPr>
              <w:widowControl/>
              <w:spacing w:line="32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（39）按照国家有关部委印发的基层政务公开标准指引，于2023年8月底前对照政务公开事项标准目录在县级政府门户网站完善本地区公开内容，建设基层政务公开专栏，杜绝事项目录与公开内容“两张皮”问题</w:t>
            </w:r>
          </w:p>
        </w:tc>
        <w:tc>
          <w:tcPr>
            <w:tcW w:w="5042" w:type="dxa"/>
            <w:noWrap w:val="0"/>
            <w:vAlign w:val="center"/>
          </w:tcPr>
          <w:p>
            <w:pPr>
              <w:widowControl/>
              <w:spacing w:line="32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县政府</w:t>
            </w:r>
            <w:r>
              <w:rPr>
                <w:rFonts w:hint="eastAsia" w:ascii="Times New Roman" w:hAnsi="Times New Roman" w:eastAsia="仿宋_GB2312" w:cs="宋体"/>
                <w:color w:val="000000"/>
                <w:kern w:val="0"/>
                <w:szCs w:val="21"/>
                <w:lang w:eastAsia="zh-CN" w:bidi="ar"/>
              </w:rPr>
              <w:t>办公室</w:t>
            </w:r>
            <w:r>
              <w:rPr>
                <w:rFonts w:hint="eastAsia" w:ascii="Times New Roman" w:hAnsi="Times New Roman" w:eastAsia="仿宋_GB2312" w:cs="宋体"/>
                <w:color w:val="000000"/>
                <w:kern w:val="0"/>
                <w:szCs w:val="21"/>
                <w:lang w:bidi="ar"/>
              </w:rPr>
              <w:t>等县级部门；各乡镇人民政府、街道办事处</w:t>
            </w:r>
          </w:p>
        </w:tc>
        <w:tc>
          <w:tcPr>
            <w:tcW w:w="900" w:type="dxa"/>
            <w:noWrap/>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8月底前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890" w:hRule="atLeast"/>
        </w:trPr>
        <w:tc>
          <w:tcPr>
            <w:tcW w:w="565" w:type="dxa"/>
            <w:vMerge w:val="continue"/>
            <w:noWrap/>
            <w:vAlign w:val="center"/>
          </w:tcPr>
          <w:p>
            <w:pPr>
              <w:spacing w:line="320" w:lineRule="exact"/>
              <w:jc w:val="center"/>
              <w:rPr>
                <w:rFonts w:hint="eastAsia" w:ascii="Times New Roman" w:hAnsi="Times New Roman" w:eastAsia="仿宋_GB2312" w:cs="宋体"/>
                <w:color w:val="000000"/>
                <w:szCs w:val="21"/>
              </w:rPr>
            </w:pPr>
          </w:p>
        </w:tc>
        <w:tc>
          <w:tcPr>
            <w:tcW w:w="1133"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1380"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5494" w:type="dxa"/>
            <w:noWrap w:val="0"/>
            <w:vAlign w:val="center"/>
          </w:tcPr>
          <w:p>
            <w:pPr>
              <w:widowControl/>
              <w:spacing w:line="32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（40）持续做好重大项目、助企纾困、食品药品监管、稳岗就业、养老服务、义务教育、涉农补贴、公共文化服务、社会救助等16个重点领域信息公开</w:t>
            </w:r>
          </w:p>
        </w:tc>
        <w:tc>
          <w:tcPr>
            <w:tcW w:w="5042" w:type="dxa"/>
            <w:noWrap w:val="0"/>
            <w:vAlign w:val="center"/>
          </w:tcPr>
          <w:p>
            <w:pPr>
              <w:widowControl/>
              <w:spacing w:line="32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发展和改革局、县经济科技信息化局、县教育和体育局、县民政局、县财政局、县人力资源和社会保障局、县自然资源和规划局、县住房和城乡建设局、县农业农村局、县文化广播电视和旅游局县国有资产监管和金融工作局、县市场监督管理局、等县级部门，各乡镇人民政府、街道办事处</w:t>
            </w:r>
          </w:p>
        </w:tc>
        <w:tc>
          <w:tcPr>
            <w:tcW w:w="900" w:type="dxa"/>
            <w:noWrap/>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65" w:type="dxa"/>
            <w:vMerge w:val="restart"/>
            <w:noWrap/>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12</w:t>
            </w:r>
          </w:p>
        </w:tc>
        <w:tc>
          <w:tcPr>
            <w:tcW w:w="1133" w:type="dxa"/>
            <w:vMerge w:val="restart"/>
            <w:noWrap w:val="0"/>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四、强化公开平台载体建设管理</w:t>
            </w:r>
          </w:p>
        </w:tc>
        <w:tc>
          <w:tcPr>
            <w:tcW w:w="1380" w:type="dxa"/>
            <w:vMerge w:val="restart"/>
            <w:noWrap w:val="0"/>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加强政府网站信息化</w:t>
            </w:r>
          </w:p>
        </w:tc>
        <w:tc>
          <w:tcPr>
            <w:tcW w:w="5494" w:type="dxa"/>
            <w:noWrap w:val="0"/>
            <w:vAlign w:val="center"/>
          </w:tcPr>
          <w:p>
            <w:pPr>
              <w:widowControl/>
              <w:spacing w:line="32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（41）推进集约化建设，探索数字化政策发布，大力推动政府网站数据资源汇聚融合，建设分类分级、集中统一、共享共用、动态更新的政策文件库</w:t>
            </w:r>
          </w:p>
        </w:tc>
        <w:tc>
          <w:tcPr>
            <w:tcW w:w="5042" w:type="dxa"/>
            <w:noWrap w:val="0"/>
            <w:vAlign w:val="center"/>
          </w:tcPr>
          <w:p>
            <w:pPr>
              <w:widowControl/>
              <w:spacing w:line="32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县政府</w:t>
            </w:r>
            <w:r>
              <w:rPr>
                <w:rFonts w:hint="eastAsia" w:ascii="Times New Roman" w:hAnsi="Times New Roman" w:eastAsia="仿宋_GB2312" w:cs="宋体"/>
                <w:color w:val="000000"/>
                <w:kern w:val="0"/>
                <w:szCs w:val="21"/>
                <w:lang w:eastAsia="zh-CN" w:bidi="ar"/>
              </w:rPr>
              <w:t>办公室</w:t>
            </w:r>
            <w:r>
              <w:rPr>
                <w:rFonts w:hint="eastAsia" w:ascii="Times New Roman" w:hAnsi="Times New Roman" w:eastAsia="仿宋_GB2312" w:cs="宋体"/>
                <w:color w:val="000000"/>
                <w:kern w:val="0"/>
                <w:szCs w:val="21"/>
                <w:lang w:bidi="ar"/>
              </w:rPr>
              <w:t>、县行政审批局等县级部门，各乡镇人民政府、街道办事处</w:t>
            </w:r>
          </w:p>
        </w:tc>
        <w:tc>
          <w:tcPr>
            <w:tcW w:w="900" w:type="dxa"/>
            <w:noWrap/>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65" w:type="dxa"/>
            <w:vMerge w:val="continue"/>
            <w:noWrap/>
            <w:vAlign w:val="center"/>
          </w:tcPr>
          <w:p>
            <w:pPr>
              <w:spacing w:line="320" w:lineRule="exact"/>
              <w:jc w:val="center"/>
              <w:rPr>
                <w:rFonts w:hint="eastAsia" w:ascii="Times New Roman" w:hAnsi="Times New Roman" w:eastAsia="仿宋_GB2312" w:cs="宋体"/>
                <w:color w:val="000000"/>
                <w:szCs w:val="21"/>
              </w:rPr>
            </w:pPr>
          </w:p>
        </w:tc>
        <w:tc>
          <w:tcPr>
            <w:tcW w:w="1133"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1380"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5494" w:type="dxa"/>
            <w:noWrap w:val="0"/>
            <w:vAlign w:val="center"/>
          </w:tcPr>
          <w:p>
            <w:pPr>
              <w:widowControl/>
              <w:spacing w:line="32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（42）加快适老化与无障碍改造，2023年底前实现一级标准率达到100%。</w:t>
            </w:r>
          </w:p>
        </w:tc>
        <w:tc>
          <w:tcPr>
            <w:tcW w:w="5042" w:type="dxa"/>
            <w:noWrap w:val="0"/>
            <w:vAlign w:val="center"/>
          </w:tcPr>
          <w:p>
            <w:pPr>
              <w:widowControl/>
              <w:spacing w:line="32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县政府</w:t>
            </w:r>
            <w:r>
              <w:rPr>
                <w:rFonts w:hint="eastAsia" w:ascii="Times New Roman" w:hAnsi="Times New Roman" w:eastAsia="仿宋_GB2312" w:cs="宋体"/>
                <w:color w:val="000000"/>
                <w:kern w:val="0"/>
                <w:szCs w:val="21"/>
                <w:lang w:eastAsia="zh-CN" w:bidi="ar"/>
              </w:rPr>
              <w:t>办公室</w:t>
            </w:r>
            <w:r>
              <w:rPr>
                <w:rFonts w:hint="eastAsia" w:ascii="Times New Roman" w:hAnsi="Times New Roman" w:eastAsia="仿宋_GB2312" w:cs="宋体"/>
                <w:color w:val="000000"/>
                <w:kern w:val="0"/>
                <w:szCs w:val="21"/>
                <w:lang w:bidi="ar"/>
              </w:rPr>
              <w:t>、县行政审批局</w:t>
            </w:r>
          </w:p>
        </w:tc>
        <w:tc>
          <w:tcPr>
            <w:tcW w:w="900" w:type="dxa"/>
            <w:noWrap/>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65" w:type="dxa"/>
            <w:vMerge w:val="restart"/>
            <w:noWrap/>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13</w:t>
            </w:r>
          </w:p>
        </w:tc>
        <w:tc>
          <w:tcPr>
            <w:tcW w:w="1133"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1380" w:type="dxa"/>
            <w:vMerge w:val="restart"/>
            <w:noWrap w:val="0"/>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健全新媒体运维机制</w:t>
            </w:r>
          </w:p>
        </w:tc>
        <w:tc>
          <w:tcPr>
            <w:tcW w:w="5494" w:type="dxa"/>
            <w:noWrap w:val="0"/>
            <w:vAlign w:val="center"/>
          </w:tcPr>
          <w:p>
            <w:pPr>
              <w:widowControl/>
              <w:spacing w:line="32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43）全面落实《四川省人民政府办公厅关于创新完善机制加强全省政府系统政务新媒体管理的通知》（川办函〔2022〕89号）要求，严格落实管办责任，加强内容建设和保障，畅通互动服务渠道，建立完善政务新媒体矩阵</w:t>
            </w:r>
          </w:p>
        </w:tc>
        <w:tc>
          <w:tcPr>
            <w:tcW w:w="5042" w:type="dxa"/>
            <w:noWrap w:val="0"/>
            <w:vAlign w:val="center"/>
          </w:tcPr>
          <w:p>
            <w:pPr>
              <w:widowControl/>
              <w:spacing w:line="32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县级政务新媒体主办单位</w:t>
            </w:r>
          </w:p>
        </w:tc>
        <w:tc>
          <w:tcPr>
            <w:tcW w:w="900" w:type="dxa"/>
            <w:noWrap/>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565" w:type="dxa"/>
            <w:vMerge w:val="continue"/>
            <w:noWrap/>
            <w:vAlign w:val="center"/>
          </w:tcPr>
          <w:p>
            <w:pPr>
              <w:spacing w:line="320" w:lineRule="exact"/>
              <w:jc w:val="center"/>
              <w:rPr>
                <w:rFonts w:hint="eastAsia" w:ascii="Times New Roman" w:hAnsi="Times New Roman" w:eastAsia="仿宋_GB2312" w:cs="宋体"/>
                <w:color w:val="000000"/>
                <w:szCs w:val="21"/>
              </w:rPr>
            </w:pPr>
          </w:p>
        </w:tc>
        <w:tc>
          <w:tcPr>
            <w:tcW w:w="1133"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1380" w:type="dxa"/>
            <w:vMerge w:val="continue"/>
            <w:noWrap w:val="0"/>
            <w:vAlign w:val="center"/>
          </w:tcPr>
          <w:p>
            <w:pPr>
              <w:spacing w:line="320" w:lineRule="exact"/>
              <w:jc w:val="center"/>
              <w:rPr>
                <w:rFonts w:hint="eastAsia" w:ascii="Times New Roman" w:hAnsi="Times New Roman" w:eastAsia="仿宋_GB2312" w:cs="宋体"/>
                <w:color w:val="000000"/>
                <w:szCs w:val="21"/>
              </w:rPr>
            </w:pPr>
          </w:p>
        </w:tc>
        <w:tc>
          <w:tcPr>
            <w:tcW w:w="5494" w:type="dxa"/>
            <w:noWrap w:val="0"/>
            <w:vAlign w:val="center"/>
          </w:tcPr>
          <w:p>
            <w:pPr>
              <w:widowControl/>
              <w:spacing w:line="32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（44）结合智慧城市、智慧乡村、智慧社区建设，提高政务新媒体数字化智能化水平</w:t>
            </w:r>
          </w:p>
        </w:tc>
        <w:tc>
          <w:tcPr>
            <w:tcW w:w="5042" w:type="dxa"/>
            <w:noWrap w:val="0"/>
            <w:vAlign w:val="center"/>
          </w:tcPr>
          <w:p>
            <w:pPr>
              <w:widowControl/>
              <w:spacing w:line="320" w:lineRule="exact"/>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县级政务新媒体主办单位</w:t>
            </w:r>
          </w:p>
        </w:tc>
        <w:tc>
          <w:tcPr>
            <w:tcW w:w="900" w:type="dxa"/>
            <w:noWrap/>
            <w:vAlign w:val="center"/>
          </w:tcPr>
          <w:p>
            <w:pPr>
              <w:widowControl/>
              <w:spacing w:line="320" w:lineRule="exact"/>
              <w:jc w:val="center"/>
              <w:textAlignment w:val="center"/>
              <w:rPr>
                <w:rFonts w:hint="eastAsia" w:ascii="Times New Roman" w:hAnsi="Times New Roman" w:eastAsia="仿宋_GB2312" w:cs="宋体"/>
                <w:color w:val="000000"/>
                <w:szCs w:val="21"/>
              </w:rPr>
            </w:pPr>
            <w:r>
              <w:rPr>
                <w:rFonts w:hint="eastAsia" w:ascii="Times New Roman" w:hAnsi="Times New Roman" w:eastAsia="仿宋_GB2312" w:cs="宋体"/>
                <w:color w:val="000000"/>
                <w:kern w:val="0"/>
                <w:szCs w:val="21"/>
                <w:lang w:bidi="ar"/>
              </w:rPr>
              <w:t>全年</w:t>
            </w:r>
          </w:p>
        </w:tc>
      </w:tr>
    </w:tbl>
    <w:p>
      <w:pPr>
        <w:jc w:val="left"/>
        <w:rPr>
          <w:rFonts w:ascii="Times New Roman" w:hAnsi="Times New Roman" w:eastAsia="仿宋_GB2312" w:cs="仿宋_GB2312"/>
          <w:sz w:val="32"/>
          <w:szCs w:val="32"/>
        </w:rPr>
        <w:sectPr>
          <w:footerReference r:id="rId6" w:type="default"/>
          <w:pgSz w:w="16838" w:h="11906" w:orient="landscape"/>
          <w:pgMar w:top="1418" w:right="1134" w:bottom="1418" w:left="1134" w:header="851" w:footer="1418" w:gutter="0"/>
          <w:pgNumType w:fmt="decimal"/>
          <w:cols w:space="720" w:num="1"/>
          <w:docGrid w:type="lines" w:linePitch="319" w:charSpace="0"/>
        </w:sectPr>
      </w:pPr>
    </w:p>
    <w:p>
      <w:pPr>
        <w:jc w:val="left"/>
        <w:rPr>
          <w:rFonts w:hint="eastAsia" w:ascii="Times New Roman" w:hAnsi="Times New Roman" w:cs="仿宋_GB2312"/>
          <w:sz w:val="32"/>
          <w:szCs w:val="32"/>
        </w:rPr>
      </w:pPr>
      <w:r>
        <w:rPr>
          <w:rFonts w:ascii="Times New Roman" w:hAnsi="Times New Roman" w:eastAsia="仿宋_GB2312" w:cs="仿宋_GB2312"/>
          <w:sz w:val="32"/>
          <w:szCs w:val="32"/>
        </w:rPr>
        <w:br w:type="page"/>
      </w:r>
      <w:bookmarkStart w:id="0" w:name="_GoBack"/>
      <w:bookmarkEnd w:id="0"/>
    </w:p>
    <w:p>
      <w:pPr>
        <w:jc w:val="left"/>
        <w:rPr>
          <w:rFonts w:hint="eastAsia" w:ascii="Times New Roman" w:hAnsi="Times New Roman" w:cs="仿宋_GB2312"/>
          <w:sz w:val="32"/>
          <w:szCs w:val="32"/>
        </w:rPr>
      </w:pPr>
    </w:p>
    <w:p>
      <w:pPr>
        <w:jc w:val="left"/>
        <w:rPr>
          <w:rFonts w:hint="eastAsia" w:ascii="Times New Roman" w:hAnsi="Times New Roman" w:cs="仿宋_GB2312"/>
          <w:sz w:val="32"/>
          <w:szCs w:val="32"/>
        </w:rPr>
      </w:pPr>
    </w:p>
    <w:p>
      <w:pPr>
        <w:jc w:val="left"/>
        <w:rPr>
          <w:rFonts w:hint="eastAsia" w:ascii="Times New Roman" w:hAnsi="Times New Roman" w:cs="仿宋_GB2312"/>
          <w:sz w:val="32"/>
          <w:szCs w:val="32"/>
        </w:rPr>
      </w:pPr>
    </w:p>
    <w:p>
      <w:pPr>
        <w:jc w:val="left"/>
        <w:rPr>
          <w:rFonts w:hint="eastAsia" w:ascii="Times New Roman" w:hAnsi="Times New Roman" w:cs="仿宋_GB2312"/>
          <w:sz w:val="32"/>
          <w:szCs w:val="32"/>
        </w:rPr>
      </w:pPr>
    </w:p>
    <w:p>
      <w:pPr>
        <w:jc w:val="left"/>
        <w:rPr>
          <w:rFonts w:hint="eastAsia" w:ascii="Times New Roman" w:hAnsi="Times New Roman" w:cs="仿宋_GB2312"/>
          <w:sz w:val="32"/>
          <w:szCs w:val="32"/>
        </w:rPr>
      </w:pPr>
    </w:p>
    <w:p>
      <w:pPr>
        <w:jc w:val="left"/>
        <w:rPr>
          <w:rFonts w:hint="eastAsia" w:ascii="Times New Roman" w:hAnsi="Times New Roman" w:cs="仿宋_GB2312"/>
          <w:sz w:val="32"/>
          <w:szCs w:val="32"/>
        </w:rPr>
      </w:pPr>
    </w:p>
    <w:p>
      <w:pPr>
        <w:jc w:val="left"/>
        <w:rPr>
          <w:rFonts w:hint="eastAsia" w:ascii="Times New Roman" w:hAnsi="Times New Roman" w:cs="仿宋_GB2312"/>
          <w:sz w:val="32"/>
          <w:szCs w:val="32"/>
        </w:rPr>
      </w:pPr>
    </w:p>
    <w:p>
      <w:pPr>
        <w:jc w:val="left"/>
        <w:rPr>
          <w:rFonts w:hint="eastAsia" w:ascii="Times New Roman" w:hAnsi="Times New Roman" w:cs="仿宋_GB2312"/>
          <w:sz w:val="32"/>
          <w:szCs w:val="32"/>
        </w:rPr>
      </w:pPr>
    </w:p>
    <w:p>
      <w:pPr>
        <w:jc w:val="left"/>
        <w:rPr>
          <w:rFonts w:hint="eastAsia" w:ascii="Times New Roman" w:hAnsi="Times New Roman" w:cs="仿宋_GB2312"/>
          <w:sz w:val="32"/>
          <w:szCs w:val="32"/>
        </w:rPr>
      </w:pPr>
    </w:p>
    <w:p>
      <w:pPr>
        <w:jc w:val="left"/>
        <w:rPr>
          <w:rFonts w:hint="eastAsia" w:ascii="Times New Roman" w:hAnsi="Times New Roman" w:cs="仿宋_GB2312"/>
          <w:sz w:val="32"/>
          <w:szCs w:val="32"/>
        </w:rPr>
      </w:pPr>
    </w:p>
    <w:p>
      <w:pPr>
        <w:jc w:val="left"/>
        <w:rPr>
          <w:rFonts w:hint="eastAsia" w:ascii="Times New Roman" w:hAnsi="Times New Roman" w:cs="仿宋_GB2312"/>
          <w:sz w:val="32"/>
          <w:szCs w:val="32"/>
        </w:rPr>
      </w:pPr>
    </w:p>
    <w:p>
      <w:pPr>
        <w:jc w:val="left"/>
        <w:rPr>
          <w:rFonts w:hint="eastAsia" w:ascii="Times New Roman" w:hAnsi="Times New Roman" w:cs="仿宋_GB2312"/>
          <w:sz w:val="32"/>
          <w:szCs w:val="32"/>
        </w:rPr>
      </w:pPr>
    </w:p>
    <w:p>
      <w:pPr>
        <w:pStyle w:val="2"/>
        <w:rPr>
          <w:rFonts w:hint="eastAsia" w:ascii="Times New Roman" w:hAnsi="Times New Roman" w:cs="仿宋_GB2312"/>
          <w:sz w:val="32"/>
          <w:szCs w:val="32"/>
        </w:rPr>
      </w:pPr>
    </w:p>
    <w:p>
      <w:pPr>
        <w:keepNext w:val="0"/>
        <w:keepLines w:val="0"/>
        <w:pageBreakBefore w:val="0"/>
        <w:widowControl w:val="0"/>
        <w:kinsoku/>
        <w:wordWrap/>
        <w:overflowPunct/>
        <w:topLinePunct w:val="0"/>
        <w:autoSpaceDE/>
        <w:autoSpaceDN/>
        <w:bidi w:val="0"/>
        <w:adjustRightInd/>
        <w:snapToGrid/>
        <w:ind w:left="315" w:leftChars="150" w:right="315" w:rightChars="150" w:firstLine="0" w:firstLineChars="0"/>
        <w:textAlignment w:val="auto"/>
      </w:pPr>
    </w:p>
    <w:sectPr>
      <w:footerReference r:id="rId7" w:type="default"/>
      <w:pgSz w:w="11906" w:h="16838"/>
      <w:pgMar w:top="2098" w:right="1474" w:bottom="1985" w:left="1588" w:header="851" w:footer="147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隶书_GBK">
    <w:panose1 w:val="02000000000000000000"/>
    <w:charset w:val="86"/>
    <w:family w:val="script"/>
    <w:pitch w:val="default"/>
    <w:sig w:usb0="00000001" w:usb1="08000000" w:usb2="00000000" w:usb3="00000000" w:csb0="00040000" w:csb1="00000000"/>
  </w:font>
  <w:font w:name="方正仿宋简体">
    <w:altName w:val="方正仿宋_GBK"/>
    <w:panose1 w:val="02010601030101010101"/>
    <w:charset w:val="86"/>
    <w:family w:val="auto"/>
    <w:pitch w:val="default"/>
    <w:sig w:usb0="00000000" w:usb1="00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ascii="Times New Roman" w:hAnsi="Times New Roman"/>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2"/>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n2n0LdIBAACE&#10;AwAADgAAAAAAAAABACAAAAA0AQAAZHJzL2Uyb0RvYy54bWxQSwUGAAAAAAYABgBZAQAAeAUAAAAA&#10;">
              <v:fill on="f" focussize="0,0"/>
              <v:stroke on="f"/>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ascii="Times New Roman" w:hAnsi="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2"/>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YdynlNIBAACE&#10;AwAADgAAAAAAAAABACAAAAA0AQAAZHJzL2Uyb0RvYy54bWxQSwUGAAAAAAYABgBZAQAAeAUAAAAA&#10;">
              <v:fill on="f" focussize="0,0"/>
              <v:stroke on="f"/>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ascii="Times New Roman" w:hAnsi="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2"/>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zql5uc8AAAAFAQAA&#10;DwAAAAAAAAABACAAAAA4AAAAZHJzL2Rvd25yZXYueG1sUEsBAhQAFAAAAAgAh07iQPSyuUrTAQAA&#10;hAMAAA4AAAAAAAAAAQAgAAAANAEAAGRycy9lMm9Eb2MueG1sUEsFBgAAAAAGAAYAWQEAAHkFAAAA&#10;AA==&#10;">
              <v:fill on="f" focussize="0,0"/>
              <v:stroke on="f"/>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6BD4F20"/>
    <w:rsid w:val="007D7A2C"/>
    <w:rsid w:val="1FDBDA0A"/>
    <w:rsid w:val="22EF9252"/>
    <w:rsid w:val="26FBCD06"/>
    <w:rsid w:val="296F7D69"/>
    <w:rsid w:val="376F96FB"/>
    <w:rsid w:val="3CFFAA47"/>
    <w:rsid w:val="3EBF3D6B"/>
    <w:rsid w:val="3F777902"/>
    <w:rsid w:val="3FF755F4"/>
    <w:rsid w:val="4C7F7475"/>
    <w:rsid w:val="577BF868"/>
    <w:rsid w:val="5EFF7FEC"/>
    <w:rsid w:val="65B7FF0F"/>
    <w:rsid w:val="66FF5CBE"/>
    <w:rsid w:val="67DF9954"/>
    <w:rsid w:val="68BF3608"/>
    <w:rsid w:val="6F970C04"/>
    <w:rsid w:val="6FE384C7"/>
    <w:rsid w:val="6FF6974A"/>
    <w:rsid w:val="6FFE551C"/>
    <w:rsid w:val="73B76990"/>
    <w:rsid w:val="76BEAB70"/>
    <w:rsid w:val="79FF8490"/>
    <w:rsid w:val="7AE520C1"/>
    <w:rsid w:val="7B42725A"/>
    <w:rsid w:val="7B6E6AC7"/>
    <w:rsid w:val="7BBF79F2"/>
    <w:rsid w:val="7CE72D01"/>
    <w:rsid w:val="7EDF6949"/>
    <w:rsid w:val="7EFF6996"/>
    <w:rsid w:val="7F6F5FCC"/>
    <w:rsid w:val="7FBB5040"/>
    <w:rsid w:val="7FF3209B"/>
    <w:rsid w:val="8FB5651F"/>
    <w:rsid w:val="973BB0B2"/>
    <w:rsid w:val="9F3F59AB"/>
    <w:rsid w:val="9FDF2C68"/>
    <w:rsid w:val="BAEA5099"/>
    <w:rsid w:val="BE7869E4"/>
    <w:rsid w:val="BFDFB591"/>
    <w:rsid w:val="C9BF7321"/>
    <w:rsid w:val="CB9F01ED"/>
    <w:rsid w:val="D6BD4F20"/>
    <w:rsid w:val="DEC7100E"/>
    <w:rsid w:val="DF8E6046"/>
    <w:rsid w:val="DFF5A2DE"/>
    <w:rsid w:val="DFFF2A1D"/>
    <w:rsid w:val="E3E9798A"/>
    <w:rsid w:val="E5DB770E"/>
    <w:rsid w:val="E7FD4EE8"/>
    <w:rsid w:val="ED8E56CB"/>
    <w:rsid w:val="EE4B75BD"/>
    <w:rsid w:val="EED4DA39"/>
    <w:rsid w:val="EEFF90F1"/>
    <w:rsid w:val="EF8F2A31"/>
    <w:rsid w:val="EFBB2A32"/>
    <w:rsid w:val="F3F58EF3"/>
    <w:rsid w:val="F5DFD39E"/>
    <w:rsid w:val="F6CF7182"/>
    <w:rsid w:val="F7EF5C88"/>
    <w:rsid w:val="FA7F3ED2"/>
    <w:rsid w:val="FB4E13FA"/>
    <w:rsid w:val="FBE7884E"/>
    <w:rsid w:val="FBF741F8"/>
    <w:rsid w:val="FC7F5E8F"/>
    <w:rsid w:val="FDDA0B26"/>
    <w:rsid w:val="FDDF7F93"/>
    <w:rsid w:val="FDE64EBB"/>
    <w:rsid w:val="FDF019F5"/>
    <w:rsid w:val="FF6A4A51"/>
    <w:rsid w:val="FF7F9AFA"/>
    <w:rsid w:val="FFBE68EF"/>
    <w:rsid w:val="FFBF7436"/>
    <w:rsid w:val="FFDB6008"/>
    <w:rsid w:val="FFF35EA9"/>
    <w:rsid w:val="FFF5DFDC"/>
    <w:rsid w:val="FFFF50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10</Pages>
  <Words>5438</Words>
  <Characters>5541</Characters>
  <Lines>41</Lines>
  <Paragraphs>11</Paragraphs>
  <TotalTime>1</TotalTime>
  <ScaleCrop>false</ScaleCrop>
  <LinksUpToDate>false</LinksUpToDate>
  <CharactersWithSpaces>5577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2023-05-31T06:45:00Z</dcterms:created>
  <dc:creator>W</dc:creator>
  <cp:lastModifiedBy>W</cp:lastModifiedBy>
  <cp:lastPrinted>2023-05-31T18:37:00Z</cp:lastPrinted>
  <dcterms:modified xsi:type="dcterms:W3CDTF">2023-06-07T16:09:11Z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