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7" w:rsidRDefault="007A3057">
      <w:pPr>
        <w:spacing w:line="600" w:lineRule="exact"/>
        <w:rPr>
          <w:rFonts w:ascii="Times New Roman" w:eastAsia="方正小标宋简体" w:hAnsi="Times New Roman"/>
          <w:color w:val="FF0000"/>
          <w:w w:val="32"/>
          <w:sz w:val="32"/>
          <w:szCs w:val="32"/>
        </w:rPr>
      </w:pPr>
    </w:p>
    <w:p w:rsidR="007A3057" w:rsidRDefault="007A3057">
      <w:pPr>
        <w:spacing w:line="600" w:lineRule="exact"/>
        <w:rPr>
          <w:rFonts w:ascii="Times New Roman" w:eastAsia="方正小标宋简体" w:hAnsi="Times New Roman"/>
          <w:color w:val="FF0000"/>
          <w:w w:val="32"/>
          <w:sz w:val="32"/>
          <w:szCs w:val="32"/>
        </w:rPr>
      </w:pPr>
    </w:p>
    <w:p w:rsidR="007A3057" w:rsidRDefault="007A3057">
      <w:pPr>
        <w:spacing w:line="600" w:lineRule="exact"/>
        <w:rPr>
          <w:rFonts w:ascii="Times New Roman" w:eastAsia="方正小标宋简体" w:hAnsi="Times New Roman"/>
          <w:color w:val="FF0000"/>
          <w:w w:val="32"/>
          <w:sz w:val="32"/>
          <w:szCs w:val="32"/>
        </w:rPr>
      </w:pPr>
    </w:p>
    <w:p w:rsidR="007A3057" w:rsidRDefault="007A3057">
      <w:pPr>
        <w:jc w:val="center"/>
        <w:rPr>
          <w:rFonts w:ascii="Times New Roman" w:eastAsia="方正小标宋简体" w:hAnsi="Times New Roman"/>
          <w:color w:val="FF0000"/>
          <w:w w:val="45"/>
          <w:sz w:val="132"/>
          <w:szCs w:val="132"/>
        </w:rPr>
      </w:pPr>
    </w:p>
    <w:p w:rsidR="007A3057" w:rsidRDefault="007A3057">
      <w:pPr>
        <w:spacing w:line="520" w:lineRule="exact"/>
        <w:rPr>
          <w:rFonts w:ascii="Times New Roman" w:eastAsia="方正小标宋简体" w:hAnsi="Times New Roman"/>
          <w:color w:val="FF0000"/>
          <w:w w:val="38"/>
          <w:sz w:val="32"/>
          <w:szCs w:val="32"/>
        </w:rPr>
      </w:pPr>
      <w:bookmarkStart w:id="0" w:name="OLE_LINK1"/>
      <w:bookmarkStart w:id="1" w:name="_GoBack"/>
    </w:p>
    <w:p w:rsidR="007A3057" w:rsidRDefault="007A3057">
      <w:pPr>
        <w:spacing w:line="520" w:lineRule="exact"/>
        <w:rPr>
          <w:rFonts w:ascii="Times New Roman" w:eastAsia="方正小标宋简体" w:hAnsi="Times New Roman"/>
          <w:color w:val="FF0000"/>
          <w:w w:val="38"/>
          <w:sz w:val="32"/>
          <w:szCs w:val="32"/>
        </w:rPr>
      </w:pPr>
    </w:p>
    <w:p w:rsidR="007A3057" w:rsidRDefault="007E6FF5">
      <w:pPr>
        <w:spacing w:line="52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资雁府办发〔</w:t>
      </w: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23 </w:t>
      </w:r>
      <w:r>
        <w:rPr>
          <w:rFonts w:ascii="Times New Roman" w:eastAsia="方正仿宋简体" w:hAnsi="Times New Roman" w:hint="eastAsia"/>
          <w:sz w:val="32"/>
          <w:szCs w:val="32"/>
        </w:rPr>
        <w:t>号</w:t>
      </w:r>
    </w:p>
    <w:p w:rsidR="007A3057" w:rsidRDefault="007A3057">
      <w:pPr>
        <w:spacing w:line="640" w:lineRule="exact"/>
        <w:rPr>
          <w:rFonts w:ascii="Times New Roman" w:eastAsia="方正小标宋简体" w:hAnsi="Times New Roman"/>
          <w:color w:val="FF0000"/>
          <w:w w:val="38"/>
          <w:sz w:val="32"/>
          <w:szCs w:val="32"/>
        </w:rPr>
      </w:pPr>
    </w:p>
    <w:p w:rsidR="007A3057" w:rsidRDefault="007A305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资阳市雁江区人民政府办公室</w:t>
      </w: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1"/>
          <w:sz w:val="44"/>
          <w:szCs w:val="44"/>
        </w:rPr>
        <w:t>关于印发</w:t>
      </w:r>
      <w:r>
        <w:rPr>
          <w:rFonts w:ascii="Times New Roman" w:eastAsia="方正小标宋简体" w:hAnsi="Times New Roman" w:cs="宋体"/>
          <w:spacing w:val="-11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spacing w:val="-11"/>
          <w:sz w:val="44"/>
          <w:szCs w:val="44"/>
        </w:rPr>
        <w:t>年一季度经济社会发展“开门红”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“</w:t>
      </w:r>
      <w:r>
        <w:rPr>
          <w:rFonts w:ascii="Times New Roman" w:eastAsia="方正小标宋简体" w:hAnsi="Times New Roman" w:cs="方正小标宋简体"/>
          <w:sz w:val="44"/>
          <w:szCs w:val="44"/>
        </w:rPr>
        <w:t>1+4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”工作方案</w:t>
      </w:r>
      <w:r>
        <w:rPr>
          <w:rFonts w:ascii="Times New Roman" w:eastAsia="方正小标宋简体" w:hAnsi="Times New Roman" w:hint="eastAsia"/>
          <w:sz w:val="44"/>
          <w:szCs w:val="44"/>
        </w:rPr>
        <w:t>的通知</w:t>
      </w:r>
    </w:p>
    <w:p w:rsidR="007A3057" w:rsidRDefault="007A3057">
      <w:pPr>
        <w:adjustRightInd w:val="0"/>
        <w:snapToGrid w:val="0"/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adjustRightInd w:val="0"/>
        <w:snapToGrid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各镇人民政府、街道办事处，城东新区管委会、区级各部门：</w:t>
      </w:r>
    </w:p>
    <w:p w:rsidR="007A3057" w:rsidRDefault="007E6FF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经区政府同意，现将《</w:t>
      </w:r>
      <w:r>
        <w:rPr>
          <w:rFonts w:ascii="Times New Roman" w:eastAsia="方正仿宋简体" w:hAnsi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sz w:val="32"/>
          <w:szCs w:val="32"/>
        </w:rPr>
        <w:t>年一季度经济社会发展“开门红”“</w:t>
      </w:r>
      <w:r>
        <w:rPr>
          <w:rFonts w:ascii="Times New Roman" w:eastAsia="方正仿宋简体" w:hAnsi="Times New Roman" w:hint="eastAsia"/>
          <w:sz w:val="32"/>
          <w:szCs w:val="32"/>
        </w:rPr>
        <w:t>1+4</w:t>
      </w:r>
      <w:r>
        <w:rPr>
          <w:rFonts w:ascii="Times New Roman" w:eastAsia="方正仿宋简体" w:hAnsi="Times New Roman" w:hint="eastAsia"/>
          <w:sz w:val="32"/>
          <w:szCs w:val="32"/>
        </w:rPr>
        <w:t>”工作方案》印发给你们，请认真组织实施。</w:t>
      </w:r>
    </w:p>
    <w:p w:rsidR="007A3057" w:rsidRDefault="007A3057">
      <w:pPr>
        <w:pStyle w:val="a0"/>
        <w:spacing w:line="560" w:lineRule="exact"/>
        <w:ind w:firstLineChars="0" w:firstLine="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资阳市雁江区人民政府办公室</w:t>
      </w: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>22</w:t>
      </w:r>
      <w:r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7A3057" w:rsidRDefault="007A3057">
      <w:pPr>
        <w:spacing w:line="640" w:lineRule="exact"/>
        <w:jc w:val="center"/>
        <w:rPr>
          <w:rFonts w:ascii="Times New Roman" w:eastAsia="方正小标宋简体" w:hAnsi="Times New Roman" w:cs="宋体"/>
          <w:sz w:val="44"/>
          <w:szCs w:val="44"/>
        </w:rPr>
      </w:pPr>
    </w:p>
    <w:bookmarkEnd w:id="0"/>
    <w:bookmarkEnd w:id="1"/>
    <w:p w:rsidR="007A3057" w:rsidRDefault="007E6FF5">
      <w:pPr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宋体"/>
          <w:sz w:val="44"/>
          <w:szCs w:val="44"/>
        </w:rPr>
        <w:lastRenderedPageBreak/>
        <w:t>2022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年一季度经济社会发展“开门红”</w:t>
      </w:r>
    </w:p>
    <w:p w:rsidR="007A3057" w:rsidRDefault="007E6FF5">
      <w:pPr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“</w:t>
      </w:r>
      <w:r>
        <w:rPr>
          <w:rFonts w:ascii="Times New Roman" w:eastAsia="方正小标宋简体" w:hAnsi="Times New Roman" w:cs="方正小标宋简体"/>
          <w:sz w:val="44"/>
          <w:szCs w:val="44"/>
        </w:rPr>
        <w:t>1+4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”工作方案</w:t>
      </w:r>
    </w:p>
    <w:p w:rsidR="007A3057" w:rsidRDefault="007A3057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为确保实现</w:t>
      </w:r>
      <w:r>
        <w:rPr>
          <w:rFonts w:ascii="Times New Roman" w:eastAsia="方正仿宋简体" w:hAnsi="Times New Roman" w:cs="宋体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年一季度经济社会发展“开门红”，特制定本方案。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一、总体要求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全面贯彻落实党的十九届六中全会、中省经济工作会议、市第五次党代会、区第六次党代会精神，坚持稳中求进工作总基调，服务全市千亿目标，鲜明问题目标导向，勇担使命、追赶跨越，扎实推进</w:t>
      </w:r>
      <w:r>
        <w:rPr>
          <w:rFonts w:ascii="Times New Roman" w:eastAsia="方正仿宋简体" w:hAnsi="Times New Roman" w:cs="宋体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年“开门红”各项工作，奋力实现全区经济社会发展稳中有进。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二、主要目标及工作措施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（一）地区生产总值（</w:t>
      </w:r>
      <w:r>
        <w:rPr>
          <w:rFonts w:ascii="Times New Roman" w:eastAsia="方正楷体简体" w:hAnsi="Times New Roman"/>
          <w:b/>
          <w:bCs/>
          <w:sz w:val="32"/>
          <w:szCs w:val="32"/>
        </w:rPr>
        <w:t>GDP</w:t>
      </w: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）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工作目标：</w:t>
      </w:r>
      <w:r>
        <w:rPr>
          <w:rFonts w:ascii="Times New Roman" w:eastAsia="方正仿宋简体" w:hAnsi="Times New Roman" w:hint="eastAsia"/>
          <w:sz w:val="32"/>
          <w:szCs w:val="32"/>
        </w:rPr>
        <w:t>增长</w:t>
      </w:r>
      <w:r>
        <w:rPr>
          <w:rFonts w:ascii="Times New Roman" w:eastAsia="方正仿宋简体" w:hAnsi="Times New Roman"/>
          <w:sz w:val="32"/>
          <w:szCs w:val="32"/>
        </w:rPr>
        <w:t>9.5%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牵头领导：</w:t>
      </w:r>
      <w:r>
        <w:rPr>
          <w:rFonts w:ascii="Times New Roman" w:eastAsia="方正仿宋简体" w:hAnsi="Times New Roman" w:hint="eastAsia"/>
          <w:sz w:val="32"/>
          <w:szCs w:val="32"/>
        </w:rPr>
        <w:t>龚小平唐瑜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牵头单位：</w:t>
      </w:r>
      <w:r>
        <w:rPr>
          <w:rFonts w:ascii="Times New Roman" w:eastAsia="方正仿宋简体" w:hAnsi="Times New Roman" w:hint="eastAsia"/>
          <w:sz w:val="32"/>
          <w:szCs w:val="32"/>
        </w:rPr>
        <w:t>区发展改革局、区经济科技信息化局、区住房城乡建设局、区农业农村局、区商务局</w:t>
      </w:r>
    </w:p>
    <w:p w:rsidR="007A3057" w:rsidRDefault="007E6FF5">
      <w:pPr>
        <w:pStyle w:val="a0"/>
        <w:spacing w:line="600" w:lineRule="exact"/>
        <w:ind w:firstLine="643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工作措施：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一是落实好稳增长各项政策。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贯彻落实中省市系列稳增长政策措施，统筹疫情防控和经济社会发展，继续做好“六稳”、“六保”工作，进一步推动全区经济社会高质量发展。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二是推动产业稳步发展。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优化“一轴两带”“三区三线”农业产业布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局，推动现代农业产业融合，保障粮食安全，确保一产业增加值增长</w:t>
      </w:r>
      <w:r>
        <w:rPr>
          <w:rFonts w:ascii="Times New Roman" w:eastAsia="方正仿宋简体" w:hAnsi="Times New Roman" w:cs="Times New Roman"/>
          <w:sz w:val="32"/>
          <w:szCs w:val="32"/>
        </w:rPr>
        <w:t>5.6%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；重塑工业优势发展格局，促进特色产业集群发展，加快新投产企业释放产能，推动二产业增加值增长</w:t>
      </w:r>
      <w:r>
        <w:rPr>
          <w:rFonts w:ascii="Times New Roman" w:eastAsia="方正仿宋简体" w:hAnsi="Times New Roman" w:cs="Times New Roman"/>
          <w:sz w:val="32"/>
          <w:szCs w:val="32"/>
        </w:rPr>
        <w:t>11%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；依托临空优势，积极发展数字经济、夜间经济，推动服务业转型提质，力争三产业增加值增长</w:t>
      </w:r>
      <w:r>
        <w:rPr>
          <w:rFonts w:ascii="Times New Roman" w:eastAsia="方正仿宋简体" w:hAnsi="Times New Roman" w:cs="Times New Roman"/>
          <w:sz w:val="32"/>
          <w:szCs w:val="32"/>
        </w:rPr>
        <w:t>10%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三是加强经济运行调度。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落实好月调度机制，及时掌握</w:t>
      </w:r>
      <w:r>
        <w:rPr>
          <w:rFonts w:ascii="Times New Roman" w:eastAsia="方正仿宋简体" w:hAnsi="Times New Roman" w:cs="Times New Roman"/>
          <w:sz w:val="32"/>
          <w:szCs w:val="32"/>
        </w:rPr>
        <w:t>GDP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基础数据，重点做好支撑性指标、波</w:t>
      </w:r>
      <w:r>
        <w:rPr>
          <w:rFonts w:ascii="Times New Roman" w:eastAsia="方正仿宋简体" w:hAnsi="Times New Roman" w:cs="Times New Roman" w:hint="eastAsia"/>
          <w:spacing w:val="-6"/>
          <w:sz w:val="32"/>
          <w:szCs w:val="32"/>
        </w:rPr>
        <w:t>动性指标、弱项指标监测，加强对经济整体运行、三产业、固投、住建等指标分析，强化重点行业和重点企业生产经营情况的调度，及时研究解决矛盾和问题，努力实现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pacing w:val="-6"/>
          <w:sz w:val="32"/>
          <w:szCs w:val="32"/>
        </w:rPr>
        <w:t>年全区经济高开高走。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（二）规模以上工业增加值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工作目标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增长</w:t>
      </w:r>
      <w:r>
        <w:rPr>
          <w:rFonts w:ascii="Times New Roman" w:eastAsia="方正仿宋简体" w:hAnsi="Times New Roman"/>
          <w:bCs/>
          <w:sz w:val="32"/>
          <w:szCs w:val="32"/>
        </w:rPr>
        <w:t>12%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牵头领导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唐瑜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牵头单位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区经济科技信息化局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工作措施：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一是抓好重点企业复工增产。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全力做好企业疫情防控，指导企业做好春节放假安排。鼓励安井食品、加多宝、旺鹭等质量效益高的企业节后尽快复产，狠抓产销衔接，促进企业产能释放。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二是培育新增长点。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落实“一企一人”定点帮扶机制，持续开展服务行动，建立企业问题清单，做好企业生产要素保障。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认真开展企业入库升规工作，对小微企业进行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拉网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梳理，推动小微企业实现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小升规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，形成工业增量。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三是推进工业项目建设。</w:t>
      </w:r>
      <w:r>
        <w:rPr>
          <w:rFonts w:ascii="Times New Roman" w:eastAsia="方正仿宋简体" w:hAnsi="Times New Roman" w:hint="eastAsia"/>
          <w:sz w:val="32"/>
          <w:szCs w:val="32"/>
        </w:rPr>
        <w:t>确保一诺钢构、华冶路桥等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个项目一季度启动主体施工；积极引导企业对生产线进行改造提升，推动旺鹭食品技改、中和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醋生产线改造等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个技改项目加快建设，金辉药业二期、宝莲二期等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个技改项目加快前期工作准备。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（三）全社会固定资产投资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工作目标：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完成</w:t>
      </w:r>
      <w:r>
        <w:rPr>
          <w:rFonts w:ascii="Times New Roman" w:eastAsia="方正仿宋简体" w:hAnsi="Times New Roman" w:cs="Times New Roman"/>
          <w:sz w:val="32"/>
          <w:szCs w:val="32"/>
        </w:rPr>
        <w:t>30.7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方正仿宋简体" w:hAnsi="Times New Roman" w:cs="Times New Roman"/>
          <w:sz w:val="32"/>
          <w:szCs w:val="32"/>
        </w:rPr>
        <w:t>17%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牵头领导：</w:t>
      </w:r>
      <w:r>
        <w:rPr>
          <w:rFonts w:ascii="Times New Roman" w:eastAsia="方正仿宋简体" w:hAnsi="Times New Roman" w:hint="eastAsia"/>
          <w:sz w:val="32"/>
          <w:szCs w:val="32"/>
        </w:rPr>
        <w:t>龚小平唐瑜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牵头单位：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区发展改革局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仿宋简体" w:hAnsi="Times New Roman" w:cs="Mongolian Baiti" w:hint="eastAsia"/>
          <w:b/>
          <w:sz w:val="32"/>
          <w:szCs w:val="32"/>
        </w:rPr>
        <w:t>工作措施：</w:t>
      </w:r>
      <w:r>
        <w:rPr>
          <w:rFonts w:ascii="Times New Roman" w:eastAsia="方正仿宋简体" w:hAnsi="Times New Roman" w:cs="Mongolian Baiti" w:hint="eastAsia"/>
          <w:b/>
          <w:bCs/>
          <w:sz w:val="32"/>
          <w:szCs w:val="32"/>
        </w:rPr>
        <w:t>一是全力加快项目建设。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鼓励能不停工的尽量不停工，确需停工的制定详细的复工计划，全力加快蜀都大道东延线资简段等</w:t>
      </w:r>
      <w:r>
        <w:rPr>
          <w:rFonts w:ascii="Times New Roman" w:eastAsia="方正仿宋简体" w:hAnsi="Times New Roman" w:cs="Mongolian Baiti"/>
          <w:sz w:val="32"/>
          <w:szCs w:val="32"/>
        </w:rPr>
        <w:t>33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个续建项目建设，争取形成更多实物量支撑投资；抓紧一季度计划开工重点项目前期工作，力争资阳现代食品产业园项目等</w:t>
      </w:r>
      <w:r>
        <w:rPr>
          <w:rFonts w:ascii="Times New Roman" w:eastAsia="方正仿宋简体" w:hAnsi="Times New Roman" w:cs="Mongolian Baiti"/>
          <w:sz w:val="32"/>
          <w:szCs w:val="32"/>
        </w:rPr>
        <w:t>30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个新项目如期开工。</w:t>
      </w:r>
      <w:r>
        <w:rPr>
          <w:rFonts w:ascii="Times New Roman" w:eastAsia="方正仿宋简体" w:hAnsi="Times New Roman" w:cs="Mongolian Baiti" w:hint="eastAsia"/>
          <w:b/>
          <w:bCs/>
          <w:sz w:val="32"/>
          <w:szCs w:val="32"/>
        </w:rPr>
        <w:t>二是全方位保障项目要素需求。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建立要素保障和审批服务联动机制，提前介入、全流程参与项目推进，明确关键环节办结时限，打好要素保障审批服务提前量。</w:t>
      </w:r>
      <w:r>
        <w:rPr>
          <w:rFonts w:ascii="Times New Roman" w:eastAsia="方正仿宋简体" w:hAnsi="Times New Roman" w:cs="Mongolian Baiti" w:hint="eastAsia"/>
          <w:b/>
          <w:bCs/>
          <w:sz w:val="32"/>
          <w:szCs w:val="32"/>
        </w:rPr>
        <w:t>三是做实投资统计基础。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项目主管部门创造条件完善项目入库要件，确保一季度入库</w:t>
      </w:r>
      <w:r>
        <w:rPr>
          <w:rFonts w:ascii="Times New Roman" w:eastAsia="方正仿宋简体" w:hAnsi="Times New Roman" w:cs="Mongolian Baiti"/>
          <w:sz w:val="32"/>
          <w:szCs w:val="32"/>
        </w:rPr>
        <w:t>40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亿元以上、全区库存</w:t>
      </w:r>
      <w:r>
        <w:rPr>
          <w:rFonts w:ascii="Times New Roman" w:eastAsia="方正仿宋简体" w:hAnsi="Times New Roman" w:cs="Mongolian Baiti"/>
          <w:sz w:val="32"/>
          <w:szCs w:val="32"/>
        </w:rPr>
        <w:t>200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亿元以上。督促项目业主落实专人报送投资，每月按时足额报送数据，确保全社会固定资产投资增长</w:t>
      </w:r>
      <w:r>
        <w:rPr>
          <w:rFonts w:ascii="Times New Roman" w:eastAsia="方正仿宋简体" w:hAnsi="Times New Roman" w:cs="Mongolian Baiti"/>
          <w:sz w:val="32"/>
          <w:szCs w:val="32"/>
        </w:rPr>
        <w:t>17%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以上。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（四）社会消费品零售总额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工作目标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完成</w:t>
      </w:r>
      <w:r>
        <w:rPr>
          <w:rFonts w:ascii="Times New Roman" w:eastAsia="方正仿宋简体" w:hAnsi="Times New Roman"/>
          <w:bCs/>
          <w:sz w:val="32"/>
          <w:szCs w:val="32"/>
        </w:rPr>
        <w:t>35.5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亿元，增长</w:t>
      </w:r>
      <w:r>
        <w:rPr>
          <w:rFonts w:ascii="Times New Roman" w:eastAsia="方正仿宋简体" w:hAnsi="Times New Roman"/>
          <w:bCs/>
          <w:sz w:val="32"/>
          <w:szCs w:val="32"/>
        </w:rPr>
        <w:t>11%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牵头领导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李丽平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牵头单位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区商务局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工作措施：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一是利用节气拉动消费。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持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续落实疫情后消费市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lastRenderedPageBreak/>
        <w:t>场激励政策措施，鼓励商贸流通企业因地制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宜开展形式多样的惠民促销活动，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开足马力抓消费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、拓市场，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实现社消零增速稳定增长，带动批发、零售、住宿、餐饮</w:t>
      </w:r>
      <w:r>
        <w:rPr>
          <w:rFonts w:ascii="Times New Roman" w:eastAsia="方正仿宋简体" w:hAnsi="Times New Roman"/>
          <w:bCs/>
          <w:sz w:val="32"/>
          <w:szCs w:val="32"/>
        </w:rPr>
        <w:t>4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个服务业指标增速提升。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二是加强企业培育和指导。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进一步开展“万人入企进社区”活动和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统计业务指导培训工作。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对新入统单位进行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“一对一”帮扶指导，确保增量优势转化。同时对中石油、大昌车业等影响增幅较大的企业</w:t>
      </w:r>
      <w:r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t>实行重点帮扶，制定一户一策，解决企业在生产经营过程中遇到的困难和问题。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三是完善企业名录库。</w:t>
      </w:r>
      <w:r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t>开展小微企业培育，鼓励符合条件的个体转型升级为企业，开展殡葬管理、婚姻服务等居民服务业企业培育，建立完善“个转企”、商贸流通限上和服务业规上入围重点培育等</w:t>
      </w:r>
      <w:r>
        <w:rPr>
          <w:rFonts w:ascii="Times New Roman" w:eastAsia="方正仿宋简体" w:hAnsi="Times New Roman" w:cs="宋体"/>
          <w:color w:val="000000"/>
          <w:sz w:val="32"/>
          <w:szCs w:val="32"/>
        </w:rPr>
        <w:t>3</w:t>
      </w:r>
      <w:r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t>个名录库。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（五）地方一般公共预算收入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pacing w:val="-17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工作目标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pacing w:val="-17"/>
          <w:sz w:val="32"/>
          <w:szCs w:val="32"/>
        </w:rPr>
        <w:t>地方一般公共预算</w:t>
      </w:r>
      <w:r>
        <w:rPr>
          <w:rFonts w:ascii="Times New Roman" w:eastAsia="方正仿宋简体" w:hAnsi="Times New Roman"/>
          <w:bCs/>
          <w:spacing w:val="-17"/>
          <w:sz w:val="32"/>
          <w:szCs w:val="32"/>
        </w:rPr>
        <w:t>4.33</w:t>
      </w:r>
      <w:r>
        <w:rPr>
          <w:rFonts w:ascii="Times New Roman" w:eastAsia="方正仿宋简体" w:hAnsi="Times New Roman" w:hint="eastAsia"/>
          <w:bCs/>
          <w:spacing w:val="-17"/>
          <w:sz w:val="32"/>
          <w:szCs w:val="32"/>
        </w:rPr>
        <w:t>亿元、其中税收收入</w:t>
      </w:r>
      <w:r>
        <w:rPr>
          <w:rFonts w:ascii="Times New Roman" w:eastAsia="方正仿宋简体" w:hAnsi="Times New Roman"/>
          <w:bCs/>
          <w:spacing w:val="-17"/>
          <w:sz w:val="32"/>
          <w:szCs w:val="32"/>
        </w:rPr>
        <w:t>2.5</w:t>
      </w:r>
      <w:r>
        <w:rPr>
          <w:rFonts w:ascii="Times New Roman" w:eastAsia="方正仿宋简体" w:hAnsi="Times New Roman" w:hint="eastAsia"/>
          <w:bCs/>
          <w:spacing w:val="-17"/>
          <w:sz w:val="32"/>
          <w:szCs w:val="32"/>
        </w:rPr>
        <w:t>亿元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牵头领导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龚小平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牵头单位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区财政局、区税务局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工作措施：</w:t>
      </w:r>
      <w:r>
        <w:rPr>
          <w:rFonts w:ascii="Times New Roman" w:eastAsia="方正仿宋简体" w:hAnsi="Times New Roman" w:cs="楷体" w:hint="eastAsia"/>
          <w:b/>
          <w:bCs/>
          <w:sz w:val="32"/>
          <w:szCs w:val="32"/>
        </w:rPr>
        <w:t>一是加快国有资产处置。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进一步挖掘非经营性国有资产，加快对产权明晰、符合条件的国有资产进行处置。同时对已处置的国有资产，要加快组织并督促购买方进行非经营性国有资产收入缴纳，确保财政收入入库。</w:t>
      </w:r>
      <w:r>
        <w:rPr>
          <w:rFonts w:ascii="Times New Roman" w:eastAsia="方正仿宋简体" w:hAnsi="Times New Roman" w:cs="楷体" w:hint="eastAsia"/>
          <w:b/>
          <w:bCs/>
          <w:sz w:val="32"/>
          <w:szCs w:val="32"/>
        </w:rPr>
        <w:t>二是加强非税清缴入库。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加强行政事业性收费、罚没财物等收入征缴力度，清理非税收入征缴死角。重点督促法院、检察院、纪委监察、消防、市场监督管理局、生态环境局等各执法部门，提升案件办结率，对应没收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或处罚的涉案非法所得资金及时缴入国库。</w:t>
      </w:r>
      <w:r>
        <w:rPr>
          <w:rFonts w:ascii="Times New Roman" w:eastAsia="方正仿宋简体" w:hAnsi="Times New Roman" w:cs="楷体" w:hint="eastAsia"/>
          <w:b/>
          <w:bCs/>
          <w:sz w:val="32"/>
          <w:szCs w:val="32"/>
        </w:rPr>
        <w:t>三是加大税源培植力度。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全力支持实体经济发展，增强企业的税收贡献能力。持续跟进非税收入重点执收单位，确保资金及时缴库。统筹谋划土地供应，实现土地出让收入，进一步优化地方一般预算收入结构，增强经济增长和财政收入增长的协调性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（六）城镇居民人均可支配收入，城镇新增就业人数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工作目标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城镇居民人均可支配收入增长</w:t>
      </w:r>
      <w:r>
        <w:rPr>
          <w:rFonts w:ascii="Times New Roman" w:eastAsia="方正仿宋简体" w:hAnsi="Times New Roman"/>
          <w:bCs/>
          <w:sz w:val="32"/>
          <w:szCs w:val="32"/>
        </w:rPr>
        <w:t>9%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；城镇新增就业</w:t>
      </w:r>
      <w:r>
        <w:rPr>
          <w:rFonts w:ascii="Times New Roman" w:eastAsia="方正仿宋简体" w:hAnsi="Times New Roman"/>
          <w:bCs/>
          <w:sz w:val="32"/>
          <w:szCs w:val="32"/>
        </w:rPr>
        <w:t>1800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人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牵头领导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龚小平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牵头单位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区人力资源和社会保障局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工作措施：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一是全面落实稳就业各项政策措施。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继续</w:t>
      </w:r>
      <w:r>
        <w:rPr>
          <w:rFonts w:ascii="Times New Roman" w:eastAsia="方正仿宋简体" w:hAnsi="Times New Roman" w:hint="eastAsia"/>
          <w:sz w:val="32"/>
          <w:szCs w:val="32"/>
        </w:rPr>
        <w:t>落实援企稳岗、社保补贴、贷款贴息、税费减免等政策措施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sz w:val="32"/>
          <w:szCs w:val="32"/>
        </w:rPr>
        <w:t>支持企业降本增效、稳定拓展就业岗位，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结合春节后就业市场回暖持续开展“春风行动”“就业援助月”活动，</w:t>
      </w:r>
      <w:r>
        <w:rPr>
          <w:rFonts w:ascii="Times New Roman" w:eastAsia="方正仿宋简体" w:hAnsi="Times New Roman" w:hint="eastAsia"/>
          <w:sz w:val="32"/>
          <w:szCs w:val="32"/>
        </w:rPr>
        <w:t>推进职业技能培训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二是完善创业帮扶体系。</w:t>
      </w:r>
      <w:r>
        <w:rPr>
          <w:rFonts w:ascii="Times New Roman" w:eastAsia="方正仿宋简体" w:hAnsi="Times New Roman" w:hint="eastAsia"/>
          <w:sz w:val="32"/>
          <w:szCs w:val="32"/>
        </w:rPr>
        <w:t>深化大众创业、万众创新计划，落实创业担保贷款、创业培训补贴、创业吸纳就业奖励等扶持政策，实现创业带动。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三是加强劳动监察。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加强企业监督指导，确保职工工资正常合理增长；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加强“两网化”管理，认真开展清理整顿人力资源市场秩序、农民工工资支付等专项检查，规范企业用工行为。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楷体简体" w:hAnsi="Times New Roman"/>
          <w:b/>
          <w:bCs/>
          <w:sz w:val="32"/>
          <w:szCs w:val="32"/>
        </w:rPr>
      </w:pPr>
      <w:r>
        <w:rPr>
          <w:rFonts w:ascii="Times New Roman" w:eastAsia="方正楷体简体" w:hAnsi="Times New Roman" w:hint="eastAsia"/>
          <w:b/>
          <w:bCs/>
          <w:sz w:val="32"/>
          <w:szCs w:val="32"/>
        </w:rPr>
        <w:t>（七）农村居民人均可支配收入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工作目标：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增长</w:t>
      </w:r>
      <w:r>
        <w:rPr>
          <w:rFonts w:ascii="Times New Roman" w:eastAsia="方正仿宋简体" w:hAnsi="Times New Roman"/>
          <w:bCs/>
          <w:sz w:val="32"/>
          <w:szCs w:val="32"/>
        </w:rPr>
        <w:t>10%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牵头领导：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杨平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lastRenderedPageBreak/>
        <w:t>牵头单位：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区农业农村局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工作措施</w:t>
      </w:r>
      <w:r>
        <w:rPr>
          <w:rFonts w:ascii="Times New Roman" w:eastAsia="方正仿宋简体" w:hAnsi="Times New Roman" w:cs="方正仿宋简体" w:hint="eastAsia"/>
          <w:b/>
          <w:color w:val="000000"/>
          <w:kern w:val="0"/>
          <w:sz w:val="32"/>
          <w:szCs w:val="32"/>
        </w:rPr>
        <w:t>：一是稳定发展农业生产。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以市场为导向，提高农业生产的规模化、区域化、集约化水平。优化提升以柑橘为主的主导产业，积极发展稻渔特色产业，稳定发展粮油、蔬菜、生猪三大优势产业。严保小春粮油、蔬菜播种面积、生猪存出栏量。</w:t>
      </w:r>
      <w:r>
        <w:rPr>
          <w:rFonts w:ascii="Times New Roman" w:eastAsia="方正仿宋简体" w:hAnsi="Times New Roman" w:cs="方正仿宋简体" w:hint="eastAsia"/>
          <w:b/>
          <w:color w:val="000000"/>
          <w:kern w:val="0"/>
          <w:sz w:val="32"/>
          <w:szCs w:val="32"/>
        </w:rPr>
        <w:t>二是培养新型经营主体。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加大政策、资金扶持力度，积极支持返乡农民工创新创业。大力实施农业企业提升、农民合作社（家庭农场）创建、新型职业农民培育等工作，拓宽农民增收渠道。</w:t>
      </w:r>
      <w:r>
        <w:rPr>
          <w:rFonts w:ascii="Times New Roman" w:eastAsia="方正仿宋简体" w:hAnsi="Times New Roman" w:cs="方正仿宋简体" w:hint="eastAsia"/>
          <w:b/>
          <w:color w:val="000000"/>
          <w:kern w:val="0"/>
          <w:sz w:val="32"/>
          <w:szCs w:val="32"/>
        </w:rPr>
        <w:t>三是切实增加农民收入。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加强法律援助和工作协调，切实保障农民工工资及时足额支付。落实耕地地力补贴、农机购置补贴等农业补贴政策。积极开展新春购物月等活动，提高生态大米、绿色蔬菜、特色晚熟杂柑、土特家禽销量。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三、工作要求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（一）统一思想，强化组织领导。</w:t>
      </w:r>
      <w:r>
        <w:rPr>
          <w:rFonts w:ascii="Times New Roman" w:eastAsia="方正仿宋简体" w:hAnsi="Times New Roman" w:hint="eastAsia"/>
          <w:sz w:val="32"/>
          <w:szCs w:val="32"/>
        </w:rPr>
        <w:t>各区级分管领导要组织分管部门围绕主要经济指标任务，制定一对一工作方案，坚持每月过细研究，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加强与市级对口部门的沟通衔接，</w:t>
      </w:r>
      <w:r>
        <w:rPr>
          <w:rFonts w:ascii="Times New Roman" w:eastAsia="方正仿宋简体" w:hAnsi="Times New Roman" w:hint="eastAsia"/>
          <w:sz w:val="32"/>
          <w:szCs w:val="32"/>
        </w:rPr>
        <w:t>抓好统筹协调工作，确保每月经济指标顺利实现目标。各经济主管部门和要素保障部门要密切配合，“一把手”要亲自研究、亲自推动，全面完成各项目标任务。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（二）主动履职，加强沟通协作。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发改、统计发挥协调作用，加强全区经济运行监测，及时掌握各项指标优势短板，及时提出整改建议；各责任部门研究制定具体工作方案，细化目标任务，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层层明确责任，确保各项目标任务有序有力推进；各要素保障部门做好重大项目保障服务；各相关部门加强与统计部门配合，做好各领域项目入库和统计工作，做到不重、不漏，提高统计数据质量。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（三）强化督查，推动责任落实。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政府督查室要督促各有关部门扎实开展各项工作，定期、不定期通报“开门红”工作推进情况，对于推进不力的单位要加大问责问效力度，督促各项工作落实到实处；要把一季度“开门红”目标完成情况纳入各乡镇（街道）、区级各部门全年目标考核范围，确保目标顺利完成。</w:t>
      </w: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pStyle w:val="HTML"/>
        <w:spacing w:line="60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附件：</w:t>
      </w:r>
      <w:r>
        <w:rPr>
          <w:rFonts w:ascii="Times New Roman" w:eastAsia="方正仿宋简体" w:hAnsi="Times New Roman" w:cs="方正仿宋简体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．一季度“开门红”全区主要经济指标任务表</w:t>
      </w:r>
    </w:p>
    <w:p w:rsidR="007A3057" w:rsidRDefault="007E6FF5">
      <w:pPr>
        <w:pStyle w:val="HTML"/>
        <w:spacing w:line="600" w:lineRule="exact"/>
        <w:ind w:firstLineChars="500" w:firstLine="160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．农业经济一季度“开门红”工作方案</w:t>
      </w:r>
    </w:p>
    <w:p w:rsidR="007A3057" w:rsidRDefault="007E6FF5">
      <w:pPr>
        <w:pStyle w:val="HTML"/>
        <w:spacing w:line="600" w:lineRule="exact"/>
        <w:ind w:firstLineChars="500" w:firstLine="160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．工业经济一季度“开门红”工作方案</w:t>
      </w:r>
    </w:p>
    <w:p w:rsidR="007A3057" w:rsidRDefault="007E6FF5">
      <w:pPr>
        <w:pStyle w:val="HTML"/>
        <w:spacing w:line="600" w:lineRule="exact"/>
        <w:ind w:firstLineChars="500" w:firstLine="160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/>
          <w:sz w:val="32"/>
          <w:szCs w:val="32"/>
        </w:rPr>
        <w:t>4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．服务业一季度“开门红”工作方案</w:t>
      </w:r>
    </w:p>
    <w:p w:rsidR="007A3057" w:rsidRDefault="007E6FF5">
      <w:pPr>
        <w:pStyle w:val="HTML"/>
        <w:spacing w:line="600" w:lineRule="exact"/>
        <w:ind w:firstLineChars="500" w:firstLine="160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cs="方正仿宋简体"/>
          <w:sz w:val="32"/>
          <w:szCs w:val="32"/>
        </w:rPr>
        <w:t>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．项目投资一季度“开门红”工作方案</w:t>
      </w:r>
    </w:p>
    <w:p w:rsidR="007A3057" w:rsidRDefault="007A3057">
      <w:pPr>
        <w:rPr>
          <w:rFonts w:ascii="Times New Roman" w:hAnsi="Times New Roman"/>
        </w:rPr>
        <w:sectPr w:rsidR="007A30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84" w:right="1474" w:bottom="1587" w:left="1587" w:header="851" w:footer="1247" w:gutter="0"/>
          <w:cols w:space="0"/>
          <w:docGrid w:type="lines" w:linePitch="312"/>
        </w:sectPr>
      </w:pPr>
    </w:p>
    <w:p w:rsidR="007A3057" w:rsidRDefault="007E6FF5">
      <w:pPr>
        <w:spacing w:line="600" w:lineRule="exact"/>
        <w:jc w:val="left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方正黑体简体"/>
          <w:sz w:val="32"/>
          <w:szCs w:val="32"/>
        </w:rPr>
        <w:t>1</w:t>
      </w:r>
    </w:p>
    <w:p w:rsidR="007A3057" w:rsidRDefault="007E6FF5" w:rsidP="000F567A">
      <w:pPr>
        <w:spacing w:beforeLines="60" w:afterLines="60"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一季度“开门红”全区主要经济指标任务表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2"/>
        <w:gridCol w:w="827"/>
        <w:gridCol w:w="1124"/>
        <w:gridCol w:w="1124"/>
        <w:gridCol w:w="1214"/>
        <w:gridCol w:w="1690"/>
      </w:tblGrid>
      <w:tr w:rsidR="007A3057">
        <w:trPr>
          <w:trHeight w:hRule="exact" w:val="340"/>
          <w:jc w:val="center"/>
        </w:trPr>
        <w:tc>
          <w:tcPr>
            <w:tcW w:w="2872" w:type="dxa"/>
            <w:vMerge w:val="restart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827" w:type="dxa"/>
            <w:vMerge w:val="restart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248" w:type="dxa"/>
            <w:gridSpan w:val="2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1214" w:type="dxa"/>
            <w:vMerge w:val="restart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责任领导</w:t>
            </w:r>
          </w:p>
        </w:tc>
        <w:tc>
          <w:tcPr>
            <w:tcW w:w="1690" w:type="dxa"/>
            <w:vMerge w:val="restart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责任部门</w:t>
            </w:r>
          </w:p>
        </w:tc>
      </w:tr>
      <w:tr w:rsidR="007A3057">
        <w:trPr>
          <w:trHeight w:hRule="exact" w:val="394"/>
          <w:jc w:val="center"/>
        </w:trPr>
        <w:tc>
          <w:tcPr>
            <w:tcW w:w="2872" w:type="dxa"/>
            <w:vMerge/>
            <w:vAlign w:val="center"/>
          </w:tcPr>
          <w:p w:rsidR="007A3057" w:rsidRDefault="007A3057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7A3057" w:rsidRDefault="007A3057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z w:val="24"/>
                <w:szCs w:val="24"/>
              </w:rPr>
              <w:t>总量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pacing w:val="-8"/>
                <w:w w:val="98"/>
                <w:sz w:val="24"/>
                <w:szCs w:val="24"/>
              </w:rPr>
            </w:pPr>
            <w:r>
              <w:rPr>
                <w:rFonts w:ascii="Times New Roman" w:eastAsia="方正楷体简体" w:hAnsi="Times New Roman" w:cs="方正楷体简体" w:hint="eastAsia"/>
                <w:b/>
                <w:bCs/>
                <w:spacing w:val="-8"/>
                <w:w w:val="98"/>
                <w:sz w:val="24"/>
                <w:szCs w:val="24"/>
              </w:rPr>
              <w:t>增速（</w:t>
            </w:r>
            <w:r>
              <w:rPr>
                <w:rFonts w:ascii="Times New Roman" w:eastAsia="方正楷体简体" w:hAnsi="Times New Roman" w:cs="方正楷体简体"/>
                <w:b/>
                <w:bCs/>
                <w:spacing w:val="-8"/>
                <w:w w:val="98"/>
                <w:sz w:val="24"/>
                <w:szCs w:val="24"/>
              </w:rPr>
              <w:t>%</w:t>
            </w:r>
            <w:r>
              <w:rPr>
                <w:rFonts w:ascii="Times New Roman" w:eastAsia="方正楷体简体" w:hAnsi="Times New Roman" w:cs="方正楷体简体" w:hint="eastAsia"/>
                <w:b/>
                <w:bCs/>
                <w:spacing w:val="-8"/>
                <w:w w:val="98"/>
                <w:sz w:val="24"/>
                <w:szCs w:val="24"/>
              </w:rPr>
              <w:t>）</w:t>
            </w:r>
          </w:p>
        </w:tc>
        <w:tc>
          <w:tcPr>
            <w:tcW w:w="1214" w:type="dxa"/>
            <w:vMerge/>
            <w:vAlign w:val="center"/>
          </w:tcPr>
          <w:p w:rsidR="007A3057" w:rsidRDefault="007A3057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7A3057" w:rsidRDefault="007A3057">
            <w:pPr>
              <w:spacing w:line="300" w:lineRule="exact"/>
              <w:jc w:val="center"/>
              <w:rPr>
                <w:rFonts w:ascii="Times New Roman" w:eastAsia="方正楷体简体" w:hAnsi="Times New Roman" w:cs="方正楷体简体"/>
                <w:b/>
                <w:bCs/>
                <w:sz w:val="24"/>
                <w:szCs w:val="24"/>
              </w:rPr>
            </w:pP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一、地区生产总值（</w:t>
            </w:r>
            <w:r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  <w:t>GDP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70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9.5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区发展改革局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其中：第一产业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8.2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5.6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杨平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区农业农村局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ind w:firstLineChars="500" w:firstLine="1205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第二产业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15.5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11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ind w:firstLineChars="500" w:firstLine="1205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  <w:t xml:space="preserve">  #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工业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12.4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11.5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区经济科技信息化局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ind w:firstLineChars="500" w:firstLine="1205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建筑业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3.1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8.5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陈宏宇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区住房城乡建设局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ind w:firstLineChars="500" w:firstLine="1205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第三产业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46.3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李丽平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区商务局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二、规模以上工业增加值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12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区经济科技信息化局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三、全社会固定资产投资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17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区发展改革局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四、社会消费品零售总额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35.5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11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李丽平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区商务局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五、地方一般公共预算收入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4.33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龚小平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区财政局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其中：税收收入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亿元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2.5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龚小平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区税务局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六、城镇居民人均可支配收入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pStyle w:val="HTML"/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9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龚小平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区人力资源和社会保障局</w:t>
            </w: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障局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七、农村居民人均可支配收入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元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杨平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区农业农村局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八、城镇新增就业人数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人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1800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龚小平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区人力资源和社会保障局</w:t>
            </w: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A3057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障局</w:t>
            </w:r>
          </w:p>
        </w:tc>
      </w:tr>
      <w:tr w:rsidR="007A3057">
        <w:trPr>
          <w:trHeight w:hRule="exact" w:val="646"/>
          <w:jc w:val="center"/>
        </w:trPr>
        <w:tc>
          <w:tcPr>
            <w:tcW w:w="2872" w:type="dxa"/>
            <w:vAlign w:val="center"/>
          </w:tcPr>
          <w:p w:rsidR="007A3057" w:rsidRDefault="007E6FF5">
            <w:pPr>
              <w:spacing w:line="300" w:lineRule="exact"/>
              <w:jc w:val="left"/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九、居民消费价格指数（上年</w:t>
            </w:r>
            <w:r>
              <w:rPr>
                <w:rFonts w:ascii="Times New Roman" w:eastAsia="方正仿宋简体" w:hAnsi="Times New Roman" w:cs="方正仿宋简体"/>
                <w:b/>
                <w:bCs/>
                <w:sz w:val="24"/>
                <w:szCs w:val="24"/>
              </w:rPr>
              <w:t>=100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%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—</w:t>
            </w:r>
          </w:p>
        </w:tc>
        <w:tc>
          <w:tcPr>
            <w:tcW w:w="112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唐瑜</w:t>
            </w:r>
          </w:p>
        </w:tc>
        <w:tc>
          <w:tcPr>
            <w:tcW w:w="1690" w:type="dxa"/>
            <w:vAlign w:val="center"/>
          </w:tcPr>
          <w:p w:rsidR="007A3057" w:rsidRDefault="007E6FF5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区发展改革局</w:t>
            </w:r>
          </w:p>
        </w:tc>
      </w:tr>
    </w:tbl>
    <w:p w:rsidR="007A3057" w:rsidRDefault="007A3057">
      <w:pPr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E6FF5">
      <w:pPr>
        <w:spacing w:line="600" w:lineRule="exact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方正黑体简体"/>
          <w:sz w:val="32"/>
          <w:szCs w:val="32"/>
        </w:rPr>
        <w:t>2</w:t>
      </w:r>
    </w:p>
    <w:p w:rsidR="007A3057" w:rsidRDefault="007A305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农业经济一季度“开门红”工作方案</w:t>
      </w:r>
    </w:p>
    <w:p w:rsidR="007A3057" w:rsidRDefault="007A305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一、目标任务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简体" w:hAnsi="Times New Roman" w:cs="Times New Roman" w:hint="eastAsia"/>
          <w:spacing w:val="2"/>
          <w:sz w:val="32"/>
          <w:szCs w:val="32"/>
        </w:rPr>
        <w:t>季度，全区一产业增加值完成增长</w:t>
      </w:r>
      <w:r>
        <w:rPr>
          <w:rFonts w:ascii="Times New Roman" w:eastAsia="方正仿宋简体" w:hAnsi="Times New Roman" w:cs="Times New Roman"/>
          <w:spacing w:val="2"/>
          <w:sz w:val="32"/>
          <w:szCs w:val="32"/>
        </w:rPr>
        <w:t>5.6%</w:t>
      </w:r>
      <w:r>
        <w:rPr>
          <w:rFonts w:ascii="Times New Roman" w:eastAsia="方正仿宋简体" w:hAnsi="Times New Roman" w:cs="Times New Roman" w:hint="eastAsia"/>
          <w:spacing w:val="2"/>
          <w:sz w:val="32"/>
          <w:szCs w:val="32"/>
        </w:rPr>
        <w:t>，农村居民人均可支配收入增长</w:t>
      </w:r>
      <w:r>
        <w:rPr>
          <w:rFonts w:ascii="Times New Roman" w:eastAsia="方正仿宋简体" w:hAnsi="Times New Roman" w:cs="Times New Roman"/>
          <w:spacing w:val="2"/>
          <w:sz w:val="32"/>
          <w:szCs w:val="32"/>
        </w:rPr>
        <w:t>10%</w:t>
      </w:r>
      <w:r>
        <w:rPr>
          <w:rFonts w:ascii="Times New Roman" w:eastAsia="方正仿宋简体" w:hAnsi="Times New Roman" w:cs="Times New Roman" w:hint="eastAsia"/>
          <w:spacing w:val="2"/>
          <w:sz w:val="32"/>
          <w:szCs w:val="32"/>
        </w:rPr>
        <w:t>，确保农业主要经济指标在全市继续保持前列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二、工作重点</w:t>
      </w:r>
    </w:p>
    <w:p w:rsidR="007A3057" w:rsidRDefault="007E6FF5">
      <w:pPr>
        <w:snapToGrid w:val="0"/>
        <w:spacing w:line="600" w:lineRule="exact"/>
        <w:ind w:firstLineChars="200" w:firstLine="643"/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（一）全面落实乡村振兴战略。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深入贯彻落实中央农村工作会议、中央一号文件和省委、市委关于实施乡村振兴战略的安排部署，明确我区实施乡村振兴战略的指导思想、目标任务，细化落实工作重点和保障措施等。把全面实施乡村振兴战略作为新时期“三农”工作总抓手，坚持农业农村优先发展。进一步优化丰裕佛山橘海、晏家坝乡村公园，加快推进丹山稻渔现代农业园区、宝台薯类现代农业园区、东峰大田角柑橘现代农业园区建设，大力发展“</w:t>
      </w:r>
      <w:r>
        <w:rPr>
          <w:rFonts w:ascii="Times New Roman" w:eastAsia="方正仿宋简体" w:hAnsi="Times New Roman" w:cs="Times New Roman"/>
          <w:sz w:val="32"/>
          <w:szCs w:val="32"/>
        </w:rPr>
        <w:t>113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＋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”现代农业产业，努力让农业更强、让农村更美、让农民更富。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pacing w:val="-17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牵头单位</w:t>
      </w:r>
      <w:r>
        <w:rPr>
          <w:rFonts w:ascii="Times New Roman" w:eastAsia="方正仿宋简体" w:hAnsi="Times New Roman" w:cs="Times New Roman" w:hint="eastAsia"/>
          <w:b/>
          <w:bCs/>
          <w:spacing w:val="-17"/>
          <w:sz w:val="32"/>
          <w:szCs w:val="32"/>
        </w:rPr>
        <w:t>：</w:t>
      </w:r>
      <w:r>
        <w:rPr>
          <w:rFonts w:ascii="Times New Roman" w:eastAsia="方正仿宋简体" w:hAnsi="Times New Roman" w:cs="Times New Roman" w:hint="eastAsia"/>
          <w:spacing w:val="-17"/>
          <w:sz w:val="32"/>
          <w:szCs w:val="32"/>
        </w:rPr>
        <w:t>区委农办；责任单位：各镇人民政府，区级相关部门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（二）稳定发展小春生产和农业产业。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扎实抓好小春田间管理，确保小春播种面积保持稳定，提高单位面积产量，确保小春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粮油总产保持稳定增长。稳定小春粮食生产，稳定小春粮食生产，力争粮食播种面积</w:t>
      </w:r>
      <w:r>
        <w:rPr>
          <w:rFonts w:ascii="Times New Roman" w:eastAsia="方正仿宋简体" w:hAnsi="Times New Roman" w:cs="Times New Roman"/>
          <w:sz w:val="32"/>
          <w:szCs w:val="32"/>
        </w:rPr>
        <w:t>22.7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万亩。积极发展小春经济作物，力争油菜播种面积</w:t>
      </w:r>
      <w:r>
        <w:rPr>
          <w:rFonts w:ascii="Times New Roman" w:eastAsia="方正仿宋简体" w:hAnsi="Times New Roman" w:cs="Times New Roman"/>
          <w:sz w:val="32"/>
          <w:szCs w:val="32"/>
        </w:rPr>
        <w:t>40.7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亩。积极发展生猪、蔬菜、水果等特色优势产业，加强“元旦、春节”前后蔬菜水果防寒保温抗冻工作，做好二季度茄果类蔬菜育苗管理工作，适时采收秋延后蔬菜，做好田间管理和及时上市等工作，力争一季度蔬菜产量较去年增加</w:t>
      </w:r>
      <w:r>
        <w:rPr>
          <w:rFonts w:ascii="Times New Roman" w:eastAsia="方正仿宋简体" w:hAnsi="Times New Roman" w:cs="Times New Roman"/>
          <w:sz w:val="32"/>
          <w:szCs w:val="32"/>
        </w:rPr>
        <w:t>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，力争一季度水果产量达</w:t>
      </w:r>
      <w:r>
        <w:rPr>
          <w:rFonts w:ascii="Times New Roman" w:eastAsia="方正仿宋简体" w:hAnsi="Times New Roman" w:cs="Times New Roman"/>
          <w:sz w:val="32"/>
          <w:szCs w:val="32"/>
        </w:rPr>
        <w:t>0.1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万吨以上。稳定畜牧生产，继续推进种养循环项目建设，提高优质生猪生产比例，稳定出栏数量，力争出栏数达</w:t>
      </w:r>
      <w:r>
        <w:rPr>
          <w:rFonts w:ascii="Times New Roman" w:eastAsia="方正仿宋简体" w:hAnsi="Times New Roman" w:cs="Times New Roman"/>
          <w:sz w:val="32"/>
          <w:szCs w:val="32"/>
        </w:rPr>
        <w:t>22.25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万头，增速</w:t>
      </w:r>
      <w:r>
        <w:rPr>
          <w:rFonts w:ascii="Times New Roman" w:eastAsia="方正仿宋简体" w:hAnsi="Times New Roman" w:cs="Times New Roman"/>
          <w:sz w:val="32"/>
          <w:szCs w:val="32"/>
        </w:rPr>
        <w:t>8%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；积极发展小家禽、牛、羊等特色养殖，力争出栏数分别达</w:t>
      </w:r>
      <w:r>
        <w:rPr>
          <w:rFonts w:ascii="Times New Roman" w:eastAsia="方正仿宋简体" w:hAnsi="Times New Roman" w:cs="Times New Roman"/>
          <w:sz w:val="32"/>
          <w:szCs w:val="32"/>
        </w:rPr>
        <w:t>190.3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万只、</w:t>
      </w:r>
      <w:r>
        <w:rPr>
          <w:rFonts w:ascii="Times New Roman" w:eastAsia="方正仿宋简体" w:hAnsi="Times New Roman" w:cs="Times New Roman"/>
          <w:sz w:val="32"/>
          <w:szCs w:val="32"/>
        </w:rPr>
        <w:t>1035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头、</w:t>
      </w:r>
      <w:r>
        <w:rPr>
          <w:rFonts w:ascii="Times New Roman" w:eastAsia="方正仿宋简体" w:hAnsi="Times New Roman" w:cs="Times New Roman"/>
          <w:sz w:val="32"/>
          <w:szCs w:val="32"/>
        </w:rPr>
        <w:t>8.9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万头，增速分别达</w:t>
      </w:r>
      <w:r>
        <w:rPr>
          <w:rFonts w:ascii="Times New Roman" w:eastAsia="方正仿宋简体" w:hAnsi="Times New Roman" w:cs="Times New Roman"/>
          <w:sz w:val="32"/>
          <w:szCs w:val="32"/>
        </w:rPr>
        <w:t>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4%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牵头单位：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区农业农村局；责任单位：各乡镇人民政府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（三）融合发展新产业新业态。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利用春节消费旺季，围绕市场需求发展农产品加工，推动雁江柑橘、稻渔大米等特色产品、深加工产品扩大市场销售。着力打造雁江区柑橘现代农业园区、丹山稻渔现代农业园区等农业园区，着力打造集标准化生产、产品加工、物流仓储、农旅融合于一体的现代农业产业园。积极发展农村电子商务，继续推进省级电子商务进农村示范区建设，推动蜜柑等特色农产品借助电商走进千家万户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牵头单位：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区农业农村局；责任单位：各相关镇人民政府，区农管委、区经信局、区文广旅局、区商务局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lastRenderedPageBreak/>
        <w:t>（四）大力推动农民增收。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加大政策、资金扶持力度，积极支持农业科技人才、农村实用人才、返乡农民工创新创业，带动农民群众发展新产业新业态，实现增收致富。积极搭建就业平台，举办新年招聘专题会，为返乡农民工搭建就业平台。实施返乡农民工创新创业引导计划，利用春节民工返乡有利时机，加大政策宣传力度，引导外出务工人员带资金、技术、项目回乡创业，发展适度规模的现代种养业。开展农民工工资拖欠专项治理，加大法律帮扶力度，确保农民工工资按时兑现。继续深入推进农村各项改革，重点推进农村宅基地制度改革试点，继续巩固农村集体产权制度改革成果，探索研究“三变”改革工作和经营权入股发展农业产业化经营的模式，扩大农民群众财产性收入。继续抓好新型经营主体的培育工作，密切与农民的利益链接机制，发挥促进农民增收的带动作用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牵头单位：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区农业农村局；责任单位：各镇人民政府，区人社局、区农经局、区财政局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/>
          <w:sz w:val="32"/>
          <w:szCs w:val="32"/>
        </w:rPr>
        <w:t>（五）抓好项目投资。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重点项目推进方面。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共编制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年重点项目</w:t>
      </w:r>
      <w:r>
        <w:rPr>
          <w:rFonts w:ascii="Times New Roman" w:eastAsia="方正仿宋简体" w:hAnsi="Times New Roman" w:cs="Times New Roman"/>
          <w:sz w:val="32"/>
          <w:szCs w:val="32"/>
        </w:rPr>
        <w:t>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个，项目总投资</w:t>
      </w:r>
      <w:r>
        <w:rPr>
          <w:rFonts w:ascii="Times New Roman" w:eastAsia="方正仿宋简体" w:hAnsi="Times New Roman" w:cs="Times New Roman"/>
          <w:sz w:val="32"/>
          <w:szCs w:val="32"/>
        </w:rPr>
        <w:t>23.76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亿元，计划当年完成投资</w:t>
      </w:r>
      <w:r>
        <w:rPr>
          <w:rFonts w:ascii="Times New Roman" w:eastAsia="方正仿宋简体" w:hAnsi="Times New Roman" w:cs="Times New Roman"/>
          <w:sz w:val="32"/>
          <w:szCs w:val="32"/>
        </w:rPr>
        <w:t>16.1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亿元（其中市级重点项目</w:t>
      </w:r>
      <w:r>
        <w:rPr>
          <w:rFonts w:ascii="Times New Roman" w:eastAsia="方正仿宋简体" w:hAnsi="Times New Roman" w:cs="Times New Roman"/>
          <w:sz w:val="32"/>
          <w:szCs w:val="32"/>
        </w:rPr>
        <w:t>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个，计划当年投资</w:t>
      </w:r>
      <w:r>
        <w:rPr>
          <w:rFonts w:ascii="Times New Roman" w:eastAsia="方正仿宋简体" w:hAnsi="Times New Roman" w:cs="Times New Roman"/>
          <w:sz w:val="32"/>
          <w:szCs w:val="32"/>
        </w:rPr>
        <w:t>13.97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亿元）。一季度，生猪全产业链项目、丰裕冷链物流体系建设等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个续建项目稳步推进。计划新开工绿色种养循环、高标农田建设等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个项目（其中市级重点项目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个）。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固定资产投资方面。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一季度将完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成如高标准农田建设项目、绿色种养循环示范建设项目、乡村振兴及园区品质提升项目等</w:t>
      </w:r>
      <w:r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个项目的入库工作。预计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年一季度可实现</w:t>
      </w:r>
      <w:r>
        <w:rPr>
          <w:rFonts w:ascii="Times New Roman" w:eastAsia="方正仿宋简体" w:hAnsi="Times New Roman" w:cs="Times New Roman"/>
          <w:sz w:val="32"/>
          <w:szCs w:val="32"/>
        </w:rPr>
        <w:t>2.12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亿元固定资产投资，较</w:t>
      </w:r>
      <w:r>
        <w:rPr>
          <w:rFonts w:ascii="Times New Roman" w:eastAsia="方正仿宋简体" w:hAnsi="Times New Roman" w:cs="Times New Roman"/>
          <w:sz w:val="32"/>
          <w:szCs w:val="32"/>
        </w:rPr>
        <w:t>2021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年一季度</w:t>
      </w:r>
      <w:r>
        <w:rPr>
          <w:rFonts w:ascii="Times New Roman" w:eastAsia="方正仿宋简体" w:hAnsi="Times New Roman" w:cs="Times New Roman"/>
          <w:sz w:val="32"/>
          <w:szCs w:val="32"/>
        </w:rPr>
        <w:t>1.95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亿元增长</w:t>
      </w:r>
      <w:r>
        <w:rPr>
          <w:rFonts w:ascii="Times New Roman" w:eastAsia="方正仿宋简体" w:hAnsi="Times New Roman" w:cs="Times New Roman"/>
          <w:sz w:val="32"/>
          <w:szCs w:val="32"/>
        </w:rPr>
        <w:t>8.7%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牵头单位：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区农业农村局；责任单位：各镇人民政府，区财政局、区投促局</w:t>
      </w:r>
    </w:p>
    <w:p w:rsidR="007A3057" w:rsidRDefault="007A3057">
      <w:pPr>
        <w:pStyle w:val="2"/>
        <w:spacing w:after="0" w:line="600" w:lineRule="exact"/>
        <w:ind w:leftChars="0" w:left="0" w:firstLine="640"/>
        <w:rPr>
          <w:rFonts w:eastAsia="方正仿宋简体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2"/>
        <w:spacing w:after="0" w:line="600" w:lineRule="exact"/>
        <w:ind w:leftChars="0" w:left="0" w:firstLine="640"/>
        <w:rPr>
          <w:rFonts w:eastAsia="方正仿宋简体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ind w:firstLine="480"/>
      </w:pP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spacing w:line="600" w:lineRule="exact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方正黑体简体"/>
          <w:sz w:val="32"/>
          <w:szCs w:val="32"/>
        </w:rPr>
        <w:t>3</w:t>
      </w:r>
    </w:p>
    <w:p w:rsidR="007A3057" w:rsidRDefault="007A3057">
      <w:pPr>
        <w:spacing w:line="300" w:lineRule="exact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工业经济一季度“开门红”工作方案</w:t>
      </w: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是勇担使命开新局、追赶跨越谱新篇的开局之年。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为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贯彻落实成渝地区双城经济圈建设“首位战略”和“产业发展走在前列”，完整、准确、全面贯彻新发展理念，全面提升我区工业经济整体实力，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确保工业经济主要经济指标实现“开门红”，特制定如下工作方案。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一、目标任务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一季度，力争全区规模工业增加值增长</w:t>
      </w:r>
      <w:r>
        <w:rPr>
          <w:rFonts w:ascii="Times New Roman" w:eastAsia="方正仿宋简体" w:hAnsi="Times New Roman" w:cs="方正仿宋简体"/>
          <w:sz w:val="32"/>
          <w:szCs w:val="32"/>
        </w:rPr>
        <w:t>12%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以上；完成工业投资</w:t>
      </w:r>
      <w:r>
        <w:rPr>
          <w:rFonts w:ascii="Times New Roman" w:eastAsia="方正仿宋简体" w:hAnsi="Times New Roman" w:cs="方正仿宋简体"/>
          <w:sz w:val="32"/>
          <w:szCs w:val="32"/>
        </w:rPr>
        <w:t>2.5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亿元，其中技改投资</w:t>
      </w:r>
      <w:r>
        <w:rPr>
          <w:rFonts w:ascii="Times New Roman" w:eastAsia="方正仿宋简体" w:hAnsi="Times New Roman" w:cs="方正仿宋简体"/>
          <w:sz w:val="32"/>
          <w:szCs w:val="32"/>
        </w:rPr>
        <w:t>0.2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亿元。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二、工作重点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（一）抓好疫情防控降风险。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常态化抓好疫情防控，督促指导工业企业严格落实高风险岗位人员闭环管理、“人”“物”同防、健康监测零报告等防控措施。加强统筹调度，确保职工平安健康过节以及节后顺利复产复工。督促工业企业加强职工管理，避免到疫情中高风险地区出差，提前安排“两节”期间疫情防控工作，结合工作需和职工意愿统筹安排休假，引导错峰返乡和返岗等工作。建立健全常态化监督检查机制，采取“四不两直”等方式加强对有从事进口冷链、生鲜加工等重点企业疫情防控工作的监督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检查，认真查找防控风险点和薄弱环节，及时补齐短板漏洞。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责任单位：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区经科信局，工管委、各街道办事处、镇人民政府、区级各部门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（二）鼓励春节加班促产销。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推</w:t>
      </w:r>
      <w:r>
        <w:rPr>
          <w:rFonts w:ascii="Times New Roman" w:eastAsia="方正仿宋简体" w:hAnsi="Times New Roman" w:cs="方正仿宋简体" w:hint="eastAsia"/>
          <w:spacing w:val="2"/>
          <w:sz w:val="32"/>
          <w:szCs w:val="32"/>
        </w:rPr>
        <w:t>动今冬明春有市场、有效益企业“稳产促产”，春节期间不停工不停产。重点鼓励安井食品、加多宝饮料、宝莲酒业等食品饮料企业抢抓春节消费旺季多接订单、多生产，支持金辉药业、字库山制药等医药企业加大药品生产储备，促进海天水务、水务燃气等电力热力燃气及水生产和供应企业保持生产稳定性，积极指导企业申报市级相关项目补贴资金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7A3057" w:rsidRDefault="007E6FF5">
      <w:pPr>
        <w:pStyle w:val="2"/>
        <w:spacing w:after="0" w:line="600" w:lineRule="exact"/>
        <w:ind w:leftChars="0" w:left="0" w:firstLine="643"/>
        <w:rPr>
          <w:rFonts w:eastAsia="方正仿宋简体" w:cs="方正仿宋简体"/>
          <w:szCs w:val="32"/>
        </w:rPr>
      </w:pPr>
      <w:r>
        <w:rPr>
          <w:rFonts w:eastAsia="方正仿宋简体" w:cs="方正仿宋简体" w:hint="eastAsia"/>
          <w:b/>
          <w:szCs w:val="32"/>
        </w:rPr>
        <w:t>责任单位：</w:t>
      </w:r>
      <w:r>
        <w:rPr>
          <w:rFonts w:eastAsia="方正仿宋简体" w:cs="方正仿宋简体" w:hint="eastAsia"/>
          <w:szCs w:val="32"/>
        </w:rPr>
        <w:t>区经科信局，工管委、区财政局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（三）推进节后复产稳增长。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科学引导企业合理安排春节放假时间，利用节日组织开展设备检修维护、原材料采购等工作，为节后尽快恢复生产创造条件。加大对春节上班后企业开工情况的调度，强化服务保障，利用春节劳务人员大量返乡契机，做好企业用工对接活动。对已复工的企业采取措施促进产能释放；对尚未复工的企业，落实“一对一”帮扶措施，及时协调解决复工面临的困难问题，帮助企业尽快开工复产达效。力争全区规上工业企业</w:t>
      </w:r>
      <w:r>
        <w:rPr>
          <w:rFonts w:ascii="Times New Roman" w:eastAsia="方正仿宋简体" w:hAnsi="Times New Roman" w:cs="方正仿宋简体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方正仿宋简体"/>
          <w:sz w:val="32"/>
          <w:szCs w:val="32"/>
        </w:rPr>
        <w:t>7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日（正月初七）复工复产率达</w:t>
      </w:r>
      <w:r>
        <w:rPr>
          <w:rFonts w:ascii="Times New Roman" w:eastAsia="方正仿宋简体" w:hAnsi="Times New Roman" w:cs="方正仿宋简体"/>
          <w:sz w:val="32"/>
          <w:szCs w:val="32"/>
        </w:rPr>
        <w:t>80%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以上，</w:t>
      </w:r>
      <w:r>
        <w:rPr>
          <w:rFonts w:ascii="Times New Roman" w:eastAsia="方正仿宋简体" w:hAnsi="Times New Roman" w:cs="方正仿宋简体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方正仿宋简体"/>
          <w:sz w:val="32"/>
          <w:szCs w:val="32"/>
        </w:rPr>
        <w:t>15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日（元宵节）前复工复产率达</w:t>
      </w:r>
      <w:r>
        <w:rPr>
          <w:rFonts w:ascii="Times New Roman" w:eastAsia="方正仿宋简体" w:hAnsi="Times New Roman" w:cs="方正仿宋简体"/>
          <w:sz w:val="32"/>
          <w:szCs w:val="32"/>
        </w:rPr>
        <w:t>95%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以上。</w:t>
      </w:r>
    </w:p>
    <w:p w:rsidR="007A3057" w:rsidRDefault="007E6FF5">
      <w:pPr>
        <w:pStyle w:val="2"/>
        <w:spacing w:after="0" w:line="600" w:lineRule="exact"/>
        <w:ind w:leftChars="0" w:left="0" w:firstLine="643"/>
        <w:rPr>
          <w:rFonts w:eastAsia="方正仿宋简体" w:cs="方正仿宋简体"/>
          <w:szCs w:val="32"/>
        </w:rPr>
      </w:pPr>
      <w:r>
        <w:rPr>
          <w:rFonts w:eastAsia="方正仿宋简体" w:cs="方正仿宋简体" w:hint="eastAsia"/>
          <w:b/>
          <w:bCs/>
          <w:szCs w:val="32"/>
        </w:rPr>
        <w:t>责任单位：</w:t>
      </w:r>
      <w:r>
        <w:rPr>
          <w:rFonts w:eastAsia="方正仿宋简体" w:cs="方正仿宋简体" w:hint="eastAsia"/>
          <w:szCs w:val="32"/>
        </w:rPr>
        <w:t>区经科信局，工管委、区人社局、各街道办事处、</w:t>
      </w:r>
      <w:r>
        <w:rPr>
          <w:rFonts w:eastAsia="方正仿宋简体" w:cs="方正仿宋简体" w:hint="eastAsia"/>
          <w:szCs w:val="32"/>
        </w:rPr>
        <w:lastRenderedPageBreak/>
        <w:t>镇人民政府、区级各部门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（四）强化监测调度保目标。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优化运行监测机制，动态掌握重点行业、重点产业、重点企业生产经营状况，深入分析工业经济走势、存在问题和主客观原因，帮助企业找出应对措施。细化工作措施，将目标分解到月，落实到责任人，做到目标到位、责任到位、措施到位，引导企业多产多销、多做贡献，力争一季度规模工业增加值增长</w:t>
      </w:r>
      <w:r>
        <w:rPr>
          <w:rFonts w:ascii="Times New Roman" w:eastAsia="方正仿宋简体" w:hAnsi="Times New Roman" w:cs="方正仿宋简体"/>
          <w:sz w:val="32"/>
          <w:szCs w:val="32"/>
        </w:rPr>
        <w:t>12%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以上。同时组织好样本企业做好成本费用调查工作，指导我区</w:t>
      </w:r>
      <w:r>
        <w:rPr>
          <w:rFonts w:ascii="Times New Roman" w:eastAsia="方正仿宋简体" w:hAnsi="Times New Roman" w:cs="方正仿宋简体"/>
          <w:sz w:val="32"/>
          <w:szCs w:val="32"/>
        </w:rPr>
        <w:t>7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户成本费用调查企业高质、高效进行填报，力争收入法增加值率</w:t>
      </w:r>
      <w:r>
        <w:rPr>
          <w:rFonts w:ascii="Times New Roman" w:eastAsia="方正仿宋简体" w:hAnsi="Times New Roman" w:cs="方正仿宋简体"/>
          <w:sz w:val="32"/>
          <w:szCs w:val="32"/>
        </w:rPr>
        <w:t>28%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以上。</w:t>
      </w:r>
    </w:p>
    <w:p w:rsidR="007A3057" w:rsidRDefault="007E6FF5">
      <w:pPr>
        <w:pStyle w:val="2"/>
        <w:spacing w:after="0" w:line="600" w:lineRule="exact"/>
        <w:ind w:leftChars="0" w:left="0" w:firstLine="643"/>
        <w:rPr>
          <w:rFonts w:eastAsia="方正仿宋简体" w:cs="方正仿宋简体"/>
          <w:szCs w:val="32"/>
        </w:rPr>
      </w:pPr>
      <w:r>
        <w:rPr>
          <w:rFonts w:eastAsia="方正仿宋简体" w:cs="方正仿宋简体" w:hint="eastAsia"/>
          <w:b/>
          <w:bCs/>
          <w:szCs w:val="32"/>
        </w:rPr>
        <w:t>责任单位：</w:t>
      </w:r>
      <w:r>
        <w:rPr>
          <w:rFonts w:eastAsia="方正仿宋简体" w:cs="方正仿宋简体" w:hint="eastAsia"/>
          <w:szCs w:val="32"/>
        </w:rPr>
        <w:t>区经科信局，工管委、各街道办事处、镇人民政府、区级各部门</w:t>
      </w:r>
    </w:p>
    <w:p w:rsidR="007A3057" w:rsidRDefault="007E6FF5">
      <w:pPr>
        <w:pStyle w:val="a0"/>
        <w:spacing w:line="600" w:lineRule="exact"/>
        <w:ind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（五）紧盯项目推进增后劲。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强化要素保障，加大服务力度，及时协调解决建设过程中出现的各类矛盾问题，推进天富科技、瑞欣建材等</w:t>
      </w:r>
      <w:r>
        <w:rPr>
          <w:rFonts w:ascii="Times New Roman" w:eastAsia="方正仿宋简体" w:hAnsi="Times New Roman" w:cs="方正仿宋简体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项目加快主体工程建设，尽快竣工投产、达规入库；创新工作思路，督促并协助项目业主尽快完成施工前期准备，确保一诺钢构、巴蜀辣韵等项目一季度启动主体施工；积极引导企业对生产线进行改造提升，推动旺鹭食品技改、中和醋生产线改造等</w:t>
      </w:r>
      <w:r>
        <w:rPr>
          <w:rFonts w:ascii="Times New Roman" w:eastAsia="方正仿宋简体" w:hAnsi="Times New Roman" w:cs="方正仿宋简体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个技改项目加快建设，金辉药业二期、加多宝二期等</w:t>
      </w:r>
      <w:r>
        <w:rPr>
          <w:rFonts w:ascii="Times New Roman" w:eastAsia="方正仿宋简体" w:hAnsi="Times New Roman" w:cs="方正仿宋简体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个技改项目加快前期工作准备。</w:t>
      </w:r>
    </w:p>
    <w:p w:rsidR="007A3057" w:rsidRDefault="007E6FF5">
      <w:pPr>
        <w:pStyle w:val="2"/>
        <w:spacing w:after="0" w:line="600" w:lineRule="exact"/>
        <w:ind w:leftChars="0" w:left="0" w:firstLine="643"/>
        <w:rPr>
          <w:rFonts w:eastAsia="方正仿宋简体" w:cs="方正仿宋简体"/>
          <w:szCs w:val="32"/>
        </w:rPr>
      </w:pPr>
      <w:r>
        <w:rPr>
          <w:rFonts w:eastAsia="方正仿宋简体" w:cs="方正仿宋简体" w:hint="eastAsia"/>
          <w:b/>
          <w:szCs w:val="32"/>
        </w:rPr>
        <w:t>责任单位：</w:t>
      </w:r>
      <w:r>
        <w:rPr>
          <w:rFonts w:eastAsia="方正仿宋简体" w:cs="方正仿宋简体" w:hint="eastAsia"/>
          <w:szCs w:val="32"/>
        </w:rPr>
        <w:t>区经科信局，工管委、各街道办事处、镇人民政府、区级各部门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lastRenderedPageBreak/>
        <w:t>（六）提升服务质量强保障。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落实好重点产业水电气要素保障方案，提升保供能力。组织开展多层次、多渠道的银企对接活动，积极为企业争取国、省、市要素保障和融资补贴政策，降低企业运营成本。推动企业开展大专院校合作，招引更多高层次人才，推动企业高质量发展。深化“放管服”改革，实施负面清单管理，全面推行招商签约项目全程代办服务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责任单位：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区经科信局，工管委、区发改局、区财政局、区金融工作局、区人社局、区级相关部门</w:t>
      </w: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pStyle w:val="a0"/>
        <w:spacing w:line="600" w:lineRule="exact"/>
        <w:ind w:firstLineChars="0" w:firstLine="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方正黑体简体"/>
          <w:sz w:val="32"/>
          <w:szCs w:val="32"/>
        </w:rPr>
        <w:t>4</w:t>
      </w:r>
    </w:p>
    <w:p w:rsidR="007A3057" w:rsidRDefault="007A305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服务业一季度“开门红”工作方案</w:t>
      </w:r>
    </w:p>
    <w:p w:rsidR="007A3057" w:rsidRDefault="007A3057">
      <w:pPr>
        <w:spacing w:line="600" w:lineRule="exact"/>
        <w:ind w:firstLineChars="200" w:firstLine="640"/>
        <w:rPr>
          <w:rFonts w:ascii="Times New Roman" w:eastAsia="方正仿宋简体" w:hAnsi="Times New Roman" w:cs="方正黑体简体"/>
          <w:sz w:val="32"/>
          <w:szCs w:val="32"/>
        </w:rPr>
      </w:pPr>
    </w:p>
    <w:p w:rsidR="007A3057" w:rsidRDefault="007E6FF5">
      <w:pPr>
        <w:spacing w:line="578" w:lineRule="exact"/>
        <w:ind w:firstLineChars="200" w:firstLine="640"/>
        <w:rPr>
          <w:rFonts w:ascii="Times New Roman" w:eastAsia="方正仿宋简体" w:hAnsi="Times New Roman" w:cs="方正黑体简体"/>
          <w:sz w:val="32"/>
          <w:szCs w:val="32"/>
        </w:rPr>
      </w:pPr>
      <w:r>
        <w:rPr>
          <w:rFonts w:ascii="Times New Roman" w:eastAsia="方正仿宋简体" w:hAnsi="Times New Roman" w:cs="宋体"/>
          <w:sz w:val="32"/>
          <w:szCs w:val="32"/>
        </w:rPr>
        <w:t>2022</w:t>
      </w:r>
      <w:r>
        <w:rPr>
          <w:rFonts w:ascii="Times New Roman" w:eastAsia="方正仿宋简体" w:hAnsi="Times New Roman" w:cs="宋体" w:hint="eastAsia"/>
          <w:sz w:val="32"/>
          <w:szCs w:val="32"/>
        </w:rPr>
        <w:t>年是全面落实市第五次党代会、区委第六次党代会决策部署，勇担使命开新局、追赶跨越谱新篇的起步之年。围绕全市</w:t>
      </w:r>
      <w:r>
        <w:rPr>
          <w:rFonts w:ascii="Times New Roman" w:eastAsia="方正仿宋简体" w:hAnsi="Times New Roman" w:cs="宋体"/>
          <w:sz w:val="32"/>
          <w:szCs w:val="32"/>
        </w:rPr>
        <w:t>2022</w:t>
      </w:r>
      <w:r>
        <w:rPr>
          <w:rFonts w:ascii="Times New Roman" w:eastAsia="方正仿宋简体" w:hAnsi="Times New Roman" w:cs="宋体" w:hint="eastAsia"/>
          <w:sz w:val="32"/>
          <w:szCs w:val="32"/>
        </w:rPr>
        <w:t>年“</w:t>
      </w:r>
      <w:r>
        <w:rPr>
          <w:rFonts w:ascii="Times New Roman" w:eastAsia="方正仿宋简体" w:hAnsi="Times New Roman" w:cs="宋体"/>
          <w:sz w:val="32"/>
          <w:szCs w:val="32"/>
        </w:rPr>
        <w:t>GDP</w:t>
      </w:r>
      <w:r>
        <w:rPr>
          <w:rFonts w:ascii="Times New Roman" w:eastAsia="方正仿宋简体" w:hAnsi="Times New Roman" w:cs="宋体" w:hint="eastAsia"/>
          <w:sz w:val="32"/>
          <w:szCs w:val="32"/>
        </w:rPr>
        <w:t>总量迈上千亿台阶”目标要求，为推动实现一季度全区商务和服务业良好开局，聚焦</w:t>
      </w:r>
      <w:r>
        <w:rPr>
          <w:rFonts w:ascii="Times New Roman" w:eastAsia="方正仿宋简体" w:hAnsi="Times New Roman" w:cs="宋体"/>
          <w:sz w:val="32"/>
          <w:szCs w:val="32"/>
        </w:rPr>
        <w:t>2022</w:t>
      </w:r>
      <w:r>
        <w:rPr>
          <w:rFonts w:ascii="Times New Roman" w:eastAsia="方正仿宋简体" w:hAnsi="Times New Roman" w:cs="宋体" w:hint="eastAsia"/>
          <w:sz w:val="32"/>
          <w:szCs w:val="32"/>
        </w:rPr>
        <w:t>年一季度商务和服务业“开门红”目标，特制定本方案。</w:t>
      </w:r>
    </w:p>
    <w:p w:rsidR="007A3057" w:rsidRDefault="007E6FF5">
      <w:pPr>
        <w:spacing w:line="578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一、主要指标目标任务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宋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（一）服务业增加值。</w:t>
      </w:r>
      <w:r>
        <w:rPr>
          <w:rFonts w:ascii="Times New Roman" w:eastAsia="方正仿宋简体" w:hAnsi="Times New Roman" w:cs="宋体" w:hint="eastAsia"/>
          <w:sz w:val="32"/>
          <w:szCs w:val="32"/>
        </w:rPr>
        <w:t>推进服务业提质增效，确保一季度全区服务业增加值实现</w:t>
      </w:r>
      <w:r>
        <w:rPr>
          <w:rFonts w:ascii="Times New Roman" w:eastAsia="方正仿宋简体" w:hAnsi="Times New Roman" w:cs="宋体"/>
          <w:sz w:val="32"/>
          <w:szCs w:val="32"/>
        </w:rPr>
        <w:t>46.3</w:t>
      </w:r>
      <w:r>
        <w:rPr>
          <w:rFonts w:ascii="Times New Roman" w:eastAsia="方正仿宋简体" w:hAnsi="Times New Roman" w:cs="宋体" w:hint="eastAsia"/>
          <w:sz w:val="32"/>
          <w:szCs w:val="32"/>
        </w:rPr>
        <w:t>亿元，增长</w:t>
      </w:r>
      <w:r>
        <w:rPr>
          <w:rFonts w:ascii="Times New Roman" w:eastAsia="方正仿宋简体" w:hAnsi="Times New Roman" w:cs="宋体"/>
          <w:sz w:val="32"/>
          <w:szCs w:val="32"/>
        </w:rPr>
        <w:t>10%</w:t>
      </w:r>
      <w:r>
        <w:rPr>
          <w:rFonts w:ascii="Times New Roman" w:eastAsia="方正仿宋简体" w:hAnsi="Times New Roman" w:cs="宋体" w:hint="eastAsia"/>
          <w:sz w:val="32"/>
          <w:szCs w:val="32"/>
        </w:rPr>
        <w:t>。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（二）社会消费品零售总额。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加快消费升级，促进消费复苏，确保一季度全区社会消费品零售总额实现</w:t>
      </w:r>
      <w:r>
        <w:rPr>
          <w:rFonts w:ascii="Times New Roman" w:eastAsia="方正仿宋简体" w:hAnsi="Times New Roman" w:cs="方正仿宋简体"/>
          <w:sz w:val="32"/>
          <w:szCs w:val="32"/>
        </w:rPr>
        <w:t>35.5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亿元，增长</w:t>
      </w:r>
      <w:r>
        <w:rPr>
          <w:rFonts w:ascii="Times New Roman" w:eastAsia="方正仿宋简体" w:hAnsi="Times New Roman" w:cs="方正仿宋简体"/>
          <w:sz w:val="32"/>
          <w:szCs w:val="32"/>
        </w:rPr>
        <w:t>11%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（三）外贸进出口总额。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深入贯彻全省“外贸进口年”工作部署，做实外贸进口实绩，</w:t>
      </w:r>
      <w:r>
        <w:rPr>
          <w:rFonts w:ascii="Times New Roman" w:eastAsia="方正仿宋简体" w:hAnsi="Times New Roman" w:cs="宋体" w:hint="eastAsia"/>
          <w:sz w:val="32"/>
          <w:szCs w:val="32"/>
        </w:rPr>
        <w:t>力争一季度全区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外贸进出口总额实现</w:t>
      </w:r>
      <w:r>
        <w:rPr>
          <w:rFonts w:ascii="Times New Roman" w:eastAsia="方正仿宋简体" w:hAnsi="Times New Roman" w:cs="方正仿宋简体"/>
          <w:sz w:val="32"/>
          <w:szCs w:val="32"/>
        </w:rPr>
        <w:t>2800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万人民币，增长</w:t>
      </w:r>
      <w:r>
        <w:rPr>
          <w:rFonts w:ascii="Times New Roman" w:eastAsia="方正仿宋简体" w:hAnsi="Times New Roman" w:cs="方正仿宋简体"/>
          <w:sz w:val="32"/>
          <w:szCs w:val="32"/>
        </w:rPr>
        <w:t>1086.4%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7A3057" w:rsidRDefault="007E6FF5">
      <w:pPr>
        <w:spacing w:line="578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二、工作重点</w:t>
      </w:r>
    </w:p>
    <w:p w:rsidR="007A3057" w:rsidRDefault="007E6FF5">
      <w:pPr>
        <w:pStyle w:val="a0"/>
        <w:spacing w:line="578" w:lineRule="exact"/>
        <w:ind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（一）做好重点企业（行业）帮扶指导。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一是加强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重点企业帮扶指导。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建立重点企业联系制度，确定区级领导和部门联系重点企业，深入企业开展“保姆式”服务行动，强化全区</w:t>
      </w:r>
      <w:r>
        <w:rPr>
          <w:rFonts w:ascii="Times New Roman" w:eastAsia="方正仿宋简体" w:hAnsi="Times New Roman" w:cs="方正仿宋简体"/>
          <w:sz w:val="32"/>
          <w:szCs w:val="32"/>
        </w:rPr>
        <w:t>61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户服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务业规上（限上）企业运行监测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，特别是对一季度影响增幅较大的代表科学研究和技术服务业的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兴宇建设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（区住建局负责）、代表居民服务、修理和其他服务业的</w:t>
      </w:r>
      <w:r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大昌汽修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（区交运局负责）等重点企业，</w:t>
      </w:r>
      <w:r>
        <w:rPr>
          <w:rFonts w:ascii="Times New Roman" w:eastAsia="方正仿宋简体" w:hAnsi="Times New Roman" w:cs="宋体" w:hint="eastAsia"/>
          <w:sz w:val="32"/>
          <w:szCs w:val="32"/>
        </w:rPr>
        <w:t>实行每月调度机制，及时掌握并帮助解决企业在生产经营过程中遇到的困难和问题。</w:t>
      </w:r>
      <w:r>
        <w:rPr>
          <w:rFonts w:ascii="Times New Roman" w:eastAsia="方正仿宋简体" w:hAnsi="Times New Roman" w:cs="宋体" w:hint="eastAsia"/>
          <w:b/>
          <w:bCs/>
          <w:sz w:val="32"/>
          <w:szCs w:val="32"/>
        </w:rPr>
        <w:t>二是加强重点行业及指标报送指导</w:t>
      </w:r>
      <w:r>
        <w:rPr>
          <w:rFonts w:ascii="Times New Roman" w:eastAsia="方正仿宋简体" w:hAnsi="Times New Roman" w:cs="宋体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 w:cs="宋体" w:hint="eastAsia"/>
          <w:sz w:val="32"/>
          <w:szCs w:val="32"/>
        </w:rPr>
        <w:t>各行业主管部门要进一步加强对涉及行业和支撑指标的报送指导，特别要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批零住餐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金融业存贷款余额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商品房销售面积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租赁和商务服务业企业营业收入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非营利性服务业劳动工资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公共管理类、教育类、卫生类、水利环境和公共设施管理类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）等几个对服务业增加值增速影响较大的支撑指标进行重点关注</w:t>
      </w:r>
      <w:r>
        <w:rPr>
          <w:rFonts w:ascii="Times New Roman" w:eastAsia="方正仿宋简体" w:hAnsi="Times New Roman" w:hint="eastAsia"/>
          <w:sz w:val="32"/>
          <w:szCs w:val="32"/>
        </w:rPr>
        <w:t>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各镇（街道）、区级各部门）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sz w:val="32"/>
          <w:szCs w:val="32"/>
        </w:rPr>
        <w:t>（二）</w:t>
      </w: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开展一季度重点项目建设冲刺行动。</w:t>
      </w:r>
      <w:r>
        <w:rPr>
          <w:rFonts w:ascii="Times New Roman" w:eastAsia="方正仿宋简体" w:hAnsi="Times New Roman" w:cs="方正仿宋简体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年，全区共编制市级服务业重点项目</w:t>
      </w:r>
      <w:r>
        <w:rPr>
          <w:rFonts w:ascii="Times New Roman" w:eastAsia="方正仿宋简体" w:hAnsi="Times New Roman" w:cs="方正仿宋简体"/>
          <w:sz w:val="32"/>
          <w:szCs w:val="32"/>
        </w:rPr>
        <w:t>47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个，其中一季度计划开工项目</w:t>
      </w:r>
      <w:r>
        <w:rPr>
          <w:rFonts w:ascii="Times New Roman" w:eastAsia="方正仿宋简体" w:hAnsi="Times New Roman" w:cs="方正仿宋简体"/>
          <w:sz w:val="32"/>
          <w:szCs w:val="32"/>
        </w:rPr>
        <w:t>12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。全区各项目主管单位要切实担当主责，坚持“一把手”亲自研究、亲自推动，及时解决项目前期工作中存在的问题，按照《三个倒排、三个量化》要求，在既定时间内完成相关前期工作，确保资阳市鸿鹄高级中学、荣慧总部大楼、城市之夜美食城等一季度应开工项目按月实现开工建设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区商务局、区重点项目中心，区教体局、区文广旅局、区农业农村局、区交运局、区住建局、城东管委会）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（三）繁荣消费市场，释放消费活力。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续落实疫情后消费市场激励政策措施，做好“悦生活、最资阳”政府迎春消费券发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放工作，鼓励商贸流通企业因地制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宜开展形式多样的主题推介、消费券派发、满减优惠、限时折扣等惠民促销活动，</w:t>
      </w:r>
      <w:r>
        <w:rPr>
          <w:rFonts w:ascii="Times New Roman" w:eastAsia="方正仿宋简体" w:hAnsi="Times New Roman" w:hint="eastAsia"/>
          <w:sz w:val="32"/>
          <w:szCs w:val="32"/>
        </w:rPr>
        <w:t>开足马力抓消费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、拓市场。组织雁江名优特产参加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川货大拜年重庆站、成都站等专题活动，进一步扩大“雁江造”产品的知名度和市场占有率。（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各镇（街道）、区商务局、区统计局，区市场监管局、区投促局、区综合行政执法局、区经科信局、区农业农村局、区文广旅局、区供销社）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color w:val="000000"/>
          <w:sz w:val="32"/>
          <w:szCs w:val="32"/>
        </w:rPr>
        <w:t>（四）推动对外贸易加快发展。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加强指导服务，建立重点企业专人联系制度，实行重点跟踪服务，进一步加强对外贸易政策宣传，摸排订单情况，切实为企业解决发展中的“短板”和瓶颈制约问题，确保进出口稳定增长。着力培育一批成长性好、带动性强的潜力企业，以企业培育带动对外贸易加快发展。及时兑现</w:t>
      </w:r>
      <w:r>
        <w:rPr>
          <w:rFonts w:ascii="Times New Roman" w:eastAsia="方正仿宋简体" w:hAnsi="Times New Roman" w:cs="方正仿宋简体"/>
          <w:color w:val="000000"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外经贸发展专项资金，最大限度支持企业，帮助企业降本减负。通过“万企出国门”、“资阳企业丝路行”等平台，积极组织外贸企业努力拓展国际市场。支持企业使用资阳跨境贸易综合服务平台，为企业提供精准化数字服务，提高跨境贸易便利化水平，有效防范贸易风险，为企业拓展国际市场保驾护航。围绕我区主导产业精心策划招商推介活动，提升招引外资成效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区商务局、区投促局、区财政局）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（五）提升产业发展水平。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充分发挥希望城、圣高国际柠檬美食城、曼购中心城市商业综合体的商业集聚效应，推动城东大地综合贸易市场等新兴商圈建成运营，努力培育现代服务业集聚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区。强化“蜀人原乡，长寿之乡”品牌效应，依托巴蜀文化旅游走廊建设，以成渝职教城、成资毗邻地区农旅融合发展示范区等建设为核心，重点发展文化主题游、休闲度假游、乡村观光游、户外运动游、民宿美食游；加入大灌区文旅发展联盟，将“天府花溪”“晏家坝乡村公园社区”“高洞橘乐田园”打造成为都市近郊型农旅融合示范区，共建区域文化旅游产业一体化发展品牌，推动文旅农旅康旅融合发展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区商务局、区经科信局、区农业农村局，东管委、区市场监管局、区文广旅局、区同城化工作局、区农管委、区服管委）</w:t>
      </w:r>
    </w:p>
    <w:p w:rsidR="007A3057" w:rsidRDefault="007E6FF5">
      <w:pPr>
        <w:spacing w:line="578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（六）做好市场主体培育。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培育扶持金迪飞龙、长城物资等一批主业突出、核心竞争力强、诚信规范、销售增速快，社会效益、经济效益好的大中型商贸流通企业，促进企业做大做强。开展小微企业培育，不断壮大企业规模，鼓励符合条件的个体转型升级为企业，开展文体娱乐、婚姻服务等居民服务业企业培育，建立并完善“个转企”、商贸流通限上和服务业规上入围重点培育等</w:t>
      </w:r>
      <w:r>
        <w:rPr>
          <w:rFonts w:ascii="Times New Roman" w:eastAsia="方正仿宋简体" w:hAnsi="Times New Roman" w:cs="方正仿宋简体"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个名录库。重点围绕信息传输业、文化、体育和娱乐业等产业做好企业培育，推动“升规入统”月度入库工作。（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责任部门：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各镇（街道）、区级各部门）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三、重点保障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（一）加强组织领导。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各镇（街道）和行业主管部门要精心组织商务和服务业“开门红”行动，按照“清单制</w:t>
      </w:r>
      <w:r>
        <w:rPr>
          <w:rFonts w:ascii="Times New Roman" w:eastAsia="方正仿宋简体" w:hAnsi="Times New Roman" w:cs="方正仿宋简体"/>
          <w:sz w:val="32"/>
          <w:szCs w:val="32"/>
        </w:rPr>
        <w:t>+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责任制”方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lastRenderedPageBreak/>
        <w:t>式，精准抓指标、抓行业、抓项目、抓企业，确保完成目标任务。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（二）加强业务培训统计支撑。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开展企业和抽样单位专题培育培训，一季度完成其他非营利性服务业、新入规（限）抽样单位轮训。加强统计指导，加强对比分析，确保应统尽统。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（三）加强分析调度。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严格服务业运行监测，细化预警预判、“清单”提示，强化督促指导、适时通报约谈。各行业主管部门要深入企业、项目实地，扭住重点、突出难点，落实“个性化”措施，确保执行有力、调度有效。</w:t>
      </w:r>
    </w:p>
    <w:p w:rsidR="007A3057" w:rsidRDefault="007E6FF5">
      <w:pPr>
        <w:spacing w:line="600" w:lineRule="exact"/>
        <w:ind w:firstLineChars="200" w:firstLine="643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b/>
          <w:bCs/>
          <w:sz w:val="32"/>
          <w:szCs w:val="32"/>
        </w:rPr>
        <w:t>（四）加强结果运用。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完善服务业考核管理办法，将年度“一次性”考核细化到季度，贯穿于目标任务完成、规上企业培育、重点项目建设等方面。对完成商务和服务业“开门红”目标的部门，给予商务和服务业目标考核专项加分。</w:t>
      </w:r>
    </w:p>
    <w:p w:rsidR="007A3057" w:rsidRDefault="007A3057">
      <w:pPr>
        <w:pStyle w:val="a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pStyle w:val="a0"/>
        <w:spacing w:line="600" w:lineRule="exact"/>
        <w:ind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附件</w:t>
      </w:r>
      <w:r>
        <w:rPr>
          <w:rFonts w:ascii="Times New Roman" w:eastAsia="方正仿宋简体" w:hAnsi="Times New Roman" w:cs="方正仿宋简体"/>
          <w:sz w:val="32"/>
          <w:szCs w:val="32"/>
        </w:rPr>
        <w:t>4-1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：</w:t>
      </w:r>
      <w:r>
        <w:rPr>
          <w:rFonts w:ascii="Times New Roman" w:eastAsia="方正仿宋简体" w:hAnsi="Times New Roman" w:cs="方正仿宋简体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年全区服务业支撑指标一季度目标任务表</w:t>
      </w:r>
    </w:p>
    <w:p w:rsidR="007A3057" w:rsidRDefault="007A3057">
      <w:pPr>
        <w:pStyle w:val="a5"/>
        <w:spacing w:line="600" w:lineRule="exact"/>
        <w:ind w:firstLine="0"/>
        <w:jc w:val="both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spacing w:line="600" w:lineRule="exact"/>
        <w:ind w:firstLine="0"/>
        <w:jc w:val="both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rPr>
          <w:rFonts w:ascii="Times New Roman" w:eastAsia="方正小标宋_GBK" w:hAnsi="Times New Roman" w:cs="Times New Roman"/>
          <w:color w:val="000000"/>
          <w:kern w:val="0"/>
          <w:sz w:val="40"/>
          <w:szCs w:val="36"/>
        </w:rPr>
      </w:pPr>
    </w:p>
    <w:p w:rsidR="007A3057" w:rsidRDefault="007A3057">
      <w:pPr>
        <w:pStyle w:val="a5"/>
        <w:ind w:firstLine="0"/>
        <w:jc w:val="both"/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ind w:firstLine="0"/>
        <w:jc w:val="both"/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ind w:firstLine="0"/>
        <w:jc w:val="both"/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ind w:firstLine="0"/>
        <w:jc w:val="both"/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</w:pPr>
    </w:p>
    <w:p w:rsidR="007A3057" w:rsidRDefault="007A3057">
      <w:pPr>
        <w:pStyle w:val="a5"/>
        <w:ind w:firstLine="0"/>
        <w:jc w:val="both"/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</w:pPr>
    </w:p>
    <w:p w:rsidR="007A3057" w:rsidRDefault="007E6FF5">
      <w:pPr>
        <w:pStyle w:val="a5"/>
        <w:spacing w:line="600" w:lineRule="exact"/>
        <w:ind w:firstLine="0"/>
        <w:jc w:val="both"/>
        <w:rPr>
          <w:rFonts w:ascii="Times New Roman" w:eastAsia="方正黑体简体" w:hAnsi="Times New Roman" w:cs="Times New Roman"/>
          <w:color w:val="000000"/>
          <w:kern w:val="0"/>
          <w:sz w:val="40"/>
          <w:szCs w:val="36"/>
        </w:rPr>
      </w:pPr>
      <w:r>
        <w:rPr>
          <w:rFonts w:ascii="Times New Roman" w:eastAsia="方正黑体简体" w:hAnsi="Times New Roman" w:cs="Mongolian Baiti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Mongolian Baiti"/>
          <w:color w:val="000000"/>
          <w:kern w:val="0"/>
          <w:sz w:val="32"/>
          <w:szCs w:val="32"/>
        </w:rPr>
        <w:t>4-1</w:t>
      </w:r>
    </w:p>
    <w:p w:rsidR="007A3057" w:rsidRDefault="007E6FF5" w:rsidP="000F567A">
      <w:pPr>
        <w:pStyle w:val="a5"/>
        <w:spacing w:beforeLines="80" w:afterLines="80" w:line="600" w:lineRule="exact"/>
        <w:ind w:firstLine="0"/>
        <w:rPr>
          <w:rFonts w:ascii="Times New Roman" w:eastAsia="方正小标宋简体" w:hAnsi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pacing w:val="-1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color w:val="000000"/>
          <w:spacing w:val="-10"/>
          <w:kern w:val="0"/>
          <w:sz w:val="44"/>
          <w:szCs w:val="44"/>
        </w:rPr>
        <w:t>年全区服务业支撑指标一季度目标任务表</w:t>
      </w:r>
    </w:p>
    <w:tbl>
      <w:tblPr>
        <w:tblW w:w="91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1967"/>
        <w:gridCol w:w="3598"/>
        <w:gridCol w:w="1224"/>
        <w:gridCol w:w="1768"/>
      </w:tblGrid>
      <w:tr w:rsidR="007A3057">
        <w:trPr>
          <w:trHeight w:val="567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楷体简体" w:hAnsi="Times New Roman" w:cs="方正黑体简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方正楷体简体" w:hAnsi="Times New Roman" w:cs="方正黑体简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楷体简体" w:hAnsi="Times New Roman" w:cs="方正黑体简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方正楷体简体" w:hAnsi="Times New Roman" w:cs="方正黑体简体" w:hint="eastAsia"/>
                <w:b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楷体简体" w:hAnsi="Times New Roman" w:cs="方正黑体简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方正楷体简体" w:hAnsi="Times New Roman" w:cs="方正黑体简体" w:hint="eastAsia"/>
                <w:b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楷体简体" w:hAnsi="Times New Roman" w:cs="方正黑体简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方正楷体简体" w:hAnsi="Times New Roman" w:cs="方正黑体简体" w:hint="eastAsia"/>
                <w:b/>
                <w:color w:val="000000"/>
                <w:kern w:val="0"/>
                <w:sz w:val="22"/>
                <w:szCs w:val="22"/>
              </w:rPr>
              <w:t>一季度任务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楷体简体" w:hAnsi="Times New Roman" w:cs="方正黑体简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方正楷体简体" w:hAnsi="Times New Roman" w:cs="方正黑体简体" w:hint="eastAsia"/>
                <w:b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批发和零售业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批发业商品销售额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区商务局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零售业商品销售额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交通运输业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公路运输总周转量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区交运局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水上运输总周转量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79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装卸搬运和仓储业规上企业营业收入（错月）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区发改局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邮政业务总量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区交运局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住宿和餐饮业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住宿业营业额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区商务局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餐饮业营业额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金融业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金融机构存贷款余额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区金融工作局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保费收入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贷款余额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房地产业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商品房屋销售面积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信息传输业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电信业务总量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区经科信局</w:t>
            </w:r>
          </w:p>
        </w:tc>
      </w:tr>
      <w:tr w:rsidR="007A3057">
        <w:trPr>
          <w:trHeight w:val="14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互联网和相关服务、软件和信息技术服务业规上企业营业收入（错月）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租赁和商务服务业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规上企业营业收入（错月）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区财政局、区人社局、区公安分局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抽样单位劳动工资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939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科学研究和技术服务业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规上企业营业收入（错月）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区住建局、区财政局、区农业农村局、区经科信局、区市场监管局、区国土分局等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居民服务、修理和其他服务业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规上企业营业收入（错月）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区交运局、区住建局等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抽样单位劳动工资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文化、体育和娱乐业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规上企业营业收入（错月）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区委宣传部、区文广旅局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20" w:lineRule="exact"/>
              <w:jc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水利、环境和公共设施管理业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区水务局、区综合行政执法局、区住建局、区财政局等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教育业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区教育和体育局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卫生和社会工作业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区卫健局、区民政局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公共管理、社会保障和社会组织业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区财政局</w:t>
            </w:r>
          </w:p>
        </w:tc>
      </w:tr>
      <w:tr w:rsidR="007A3057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农林牧渔业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农、林、牧、渔服务业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华文仿宋" w:hAnsi="Times New Roman" w:cs="华文仿宋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4"/>
                <w:szCs w:val="24"/>
              </w:rPr>
              <w:t>区农业农村局</w:t>
            </w:r>
          </w:p>
        </w:tc>
      </w:tr>
    </w:tbl>
    <w:p w:rsidR="007A3057" w:rsidRDefault="007A3057">
      <w:pPr>
        <w:pStyle w:val="a0"/>
        <w:ind w:firstLine="480"/>
        <w:rPr>
          <w:rFonts w:ascii="Times New Roman" w:eastAsia="方正仿宋简体" w:hAnsi="Times New Roman" w:cs="方正仿宋简体"/>
        </w:rPr>
      </w:pPr>
    </w:p>
    <w:p w:rsidR="007A3057" w:rsidRDefault="007A3057">
      <w:pPr>
        <w:pStyle w:val="a0"/>
        <w:ind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7A3057" w:rsidRDefault="007A3057">
      <w:pPr>
        <w:pStyle w:val="a0"/>
        <w:ind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7A3057" w:rsidRDefault="007A3057">
      <w:pPr>
        <w:pStyle w:val="a0"/>
        <w:ind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7A3057" w:rsidRDefault="007E6FF5">
      <w:pPr>
        <w:spacing w:line="600" w:lineRule="exact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方正黑体简体"/>
          <w:sz w:val="32"/>
          <w:szCs w:val="32"/>
        </w:rPr>
        <w:t>5</w:t>
      </w:r>
    </w:p>
    <w:p w:rsidR="007A3057" w:rsidRDefault="007A3057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7A3057" w:rsidRDefault="007E6FF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项目投资一季度“开门红”工作方案</w:t>
      </w:r>
    </w:p>
    <w:p w:rsidR="007A3057" w:rsidRDefault="007A3057">
      <w:pPr>
        <w:spacing w:line="600" w:lineRule="exact"/>
        <w:rPr>
          <w:rFonts w:ascii="Times New Roman" w:eastAsia="方正仿宋简体" w:hAnsi="Times New Roman" w:cs="Mongolian Baiti"/>
          <w:sz w:val="32"/>
          <w:szCs w:val="32"/>
        </w:rPr>
      </w:pP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简体" w:hAnsi="Times New Roman" w:cs="Mongolian Baiti"/>
          <w:sz w:val="32"/>
          <w:szCs w:val="32"/>
        </w:rPr>
      </w:pPr>
      <w:r>
        <w:rPr>
          <w:rFonts w:ascii="Times New Roman" w:eastAsia="方正黑体简体" w:hAnsi="Times New Roman" w:cs="Mongolian Baiti" w:hint="eastAsia"/>
          <w:sz w:val="32"/>
          <w:szCs w:val="32"/>
        </w:rPr>
        <w:t>一、工作目标</w:t>
      </w:r>
    </w:p>
    <w:p w:rsidR="007A3057" w:rsidRDefault="007E6FF5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一季度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，持续推进</w:t>
      </w:r>
      <w:r>
        <w:rPr>
          <w:rFonts w:ascii="Times New Roman" w:eastAsia="方正仿宋简体" w:hAnsi="Times New Roman" w:cs="Times New Roman"/>
          <w:sz w:val="32"/>
          <w:szCs w:val="32"/>
        </w:rPr>
        <w:t>33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个续建项目加快建设，顺利推动</w:t>
      </w:r>
      <w:r>
        <w:rPr>
          <w:rFonts w:ascii="Times New Roman" w:eastAsia="方正仿宋简体" w:hAnsi="Times New Roman" w:cs="Times New Roman"/>
          <w:sz w:val="32"/>
          <w:szCs w:val="32"/>
        </w:rPr>
        <w:t>30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个新开工项目落地建设</w:t>
      </w:r>
      <w:r>
        <w:rPr>
          <w:rFonts w:ascii="Times New Roman" w:eastAsia="方正仿宋简体" w:hAnsi="Times New Roman" w:hint="eastAsia"/>
          <w:sz w:val="32"/>
          <w:szCs w:val="32"/>
        </w:rPr>
        <w:t>，确保全区全社会固定资产投资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累计完成</w:t>
      </w:r>
      <w:r>
        <w:rPr>
          <w:rFonts w:ascii="Times New Roman" w:eastAsia="方正仿宋简体" w:hAnsi="Times New Roman" w:cs="Times New Roman"/>
          <w:sz w:val="32"/>
          <w:szCs w:val="32"/>
        </w:rPr>
        <w:t>30.7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亿元，</w:t>
      </w:r>
      <w:r>
        <w:rPr>
          <w:rFonts w:ascii="Times New Roman" w:eastAsia="方正仿宋简体" w:hAnsi="Times New Roman" w:hint="eastAsia"/>
          <w:sz w:val="32"/>
          <w:szCs w:val="32"/>
        </w:rPr>
        <w:t>增长</w:t>
      </w:r>
      <w:r>
        <w:rPr>
          <w:rFonts w:ascii="Times New Roman" w:eastAsia="方正仿宋简体" w:hAnsi="Times New Roman"/>
          <w:sz w:val="32"/>
          <w:szCs w:val="32"/>
        </w:rPr>
        <w:t>17%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简体" w:hAnsi="Times New Roman" w:cs="Mongolian Baiti"/>
          <w:sz w:val="32"/>
          <w:szCs w:val="32"/>
        </w:rPr>
      </w:pPr>
      <w:r>
        <w:rPr>
          <w:rFonts w:ascii="Times New Roman" w:eastAsia="方正黑体简体" w:hAnsi="Times New Roman" w:cs="Mongolian Baiti" w:hint="eastAsia"/>
          <w:sz w:val="32"/>
          <w:szCs w:val="32"/>
        </w:rPr>
        <w:t>二、工作重点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bCs/>
          <w:sz w:val="32"/>
          <w:szCs w:val="32"/>
        </w:rPr>
        <w:t>（一）加快推进在建项目。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坚持一手抓疫情防控、一手抓经济社会发展，重点抓好重点项目、重点企业复工复产工作，鼓励在建项目能不停工的尽量不停工。对确需要停工的项目，各项目主管单位要提前介入，加强沟通协调，制定详实的复工计划和施工方案，推动蜀都大道东延线资简段、城东教育园区建设项目等</w:t>
      </w:r>
      <w:r>
        <w:rPr>
          <w:rFonts w:ascii="Times New Roman" w:eastAsia="方正仿宋简体" w:hAnsi="Times New Roman" w:cs="Mongolian Baiti"/>
          <w:sz w:val="32"/>
          <w:szCs w:val="32"/>
        </w:rPr>
        <w:t>33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个续建项目加快建设，争取形成更多实物量支撑一季度投资。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bCs/>
          <w:sz w:val="32"/>
          <w:szCs w:val="32"/>
        </w:rPr>
        <w:t>（二）推进新项目如期开工。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按照《资阳市雁江区</w:t>
      </w:r>
      <w:r>
        <w:rPr>
          <w:rFonts w:ascii="Times New Roman" w:eastAsia="方正仿宋简体" w:hAnsi="Times New Roman" w:cs="Mongolian Baiti"/>
          <w:sz w:val="32"/>
          <w:szCs w:val="32"/>
        </w:rPr>
        <w:t>2022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年一季度重点项目实施计划》安排，各项目主管部门会同项目业主，加快推进新项目的前期工作，各项目要素保障部门要大力支持，尽量缩短审批时间，为项目如期开工开“绿色通道”，积极参与全省一季度重大项目集中开工、全市一季度重大项目竞进拉练活动，推动资阳现代食品产业园项目、雁江区城乡建设用地增减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lastRenderedPageBreak/>
        <w:t>钩项目等</w:t>
      </w:r>
      <w:r>
        <w:rPr>
          <w:rFonts w:ascii="Times New Roman" w:eastAsia="方正仿宋简体" w:hAnsi="Times New Roman" w:cs="Mongolian Baiti"/>
          <w:sz w:val="32"/>
          <w:szCs w:val="32"/>
        </w:rPr>
        <w:t>30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个新项目一季度落地建设。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bCs/>
          <w:sz w:val="32"/>
          <w:szCs w:val="32"/>
        </w:rPr>
        <w:t>（三）切实做好项目入库工作</w:t>
      </w:r>
      <w:r>
        <w:rPr>
          <w:rFonts w:ascii="Times New Roman" w:eastAsia="方正楷体简体" w:hAnsi="Times New Roman" w:cs="Mongolian Baiti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各项目主管部门要认真履行主体责任，提前做好项目入库基础资料，及时提交入库，凡是落地建设的项目原则上要入库。区发改局、区统计局、区重点项目服务中心要做好指导服务工作，确保项目库存在</w:t>
      </w:r>
      <w:r>
        <w:rPr>
          <w:rFonts w:ascii="Times New Roman" w:eastAsia="方正仿宋简体" w:hAnsi="Times New Roman" w:cs="Mongolian Baiti"/>
          <w:sz w:val="32"/>
          <w:szCs w:val="32"/>
        </w:rPr>
        <w:t>200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亿元以上。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bCs/>
          <w:sz w:val="32"/>
          <w:szCs w:val="32"/>
        </w:rPr>
        <w:t>（四）常态化开展储备争取。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在推进既定项目的同时，各项目主管部门要根据上级要求加强项目储备，不遗余力</w:t>
      </w:r>
      <w:r>
        <w:rPr>
          <w:rFonts w:ascii="Times New Roman" w:eastAsia="方正仿宋简体" w:hAnsi="Times New Roman" w:hint="eastAsia"/>
          <w:sz w:val="32"/>
          <w:szCs w:val="32"/>
        </w:rPr>
        <w:t>向上争取资金，加大“跑步进厅”力度，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力争更多项目纳入中省资金支持盘子。</w:t>
      </w:r>
      <w:r>
        <w:rPr>
          <w:rFonts w:ascii="Times New Roman" w:eastAsia="方正仿宋简体" w:hAnsi="Times New Roman" w:hint="eastAsia"/>
          <w:sz w:val="32"/>
          <w:szCs w:val="32"/>
        </w:rPr>
        <w:t>继续把招商引资作为一号工程，突出节会招商、上门招商、成链招商、服务“一条龙”招商，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优化招商引资项目储备，不断丰富完善全年重点项目实施计划，做大项目投资总量。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简体" w:hAnsi="Times New Roman" w:cs="Mongolian Baiti"/>
          <w:sz w:val="32"/>
          <w:szCs w:val="32"/>
        </w:rPr>
      </w:pPr>
      <w:r>
        <w:rPr>
          <w:rFonts w:ascii="Times New Roman" w:eastAsia="方正黑体简体" w:hAnsi="Times New Roman" w:cs="Mongolian Baiti" w:hint="eastAsia"/>
          <w:sz w:val="32"/>
          <w:szCs w:val="32"/>
        </w:rPr>
        <w:t>三、工作保障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kern w:val="0"/>
          <w:sz w:val="32"/>
          <w:szCs w:val="32"/>
        </w:rPr>
        <w:t>（一）落实制度保障。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一是全面优化项目推进工作，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落实“</w:t>
      </w:r>
      <w:r>
        <w:rPr>
          <w:rFonts w:ascii="Times New Roman" w:eastAsia="方正仿宋简体" w:hAnsi="Times New Roman" w:cs="Times New Roman"/>
          <w:sz w:val="32"/>
          <w:szCs w:val="32"/>
        </w:rPr>
        <w:t>1+5+N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”项目推进体系，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坚持实行领导联系部门帮扶全覆盖、重大项目全流程调度、重大项目季度竞进拉练等推进机制，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严格实施“周调度、旬通报、月研判”项目调度机制，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提高项目推进质量和效率。二是全面逗硬考核督查工作，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严格落实市重点“金鹰”“树懒”项目通报、项目投资“红黑榜”、季度目标绩效考核、问题项目“点球”督办、区人大对重大支撑项目跟踪督查等督查机制，</w:t>
      </w:r>
      <w:r>
        <w:rPr>
          <w:rFonts w:ascii="Times New Roman" w:eastAsia="方正仿宋简体" w:hAnsi="Times New Roman" w:cs="Mongolian Baiti" w:hint="eastAsia"/>
          <w:kern w:val="0"/>
          <w:sz w:val="32"/>
          <w:szCs w:val="32"/>
        </w:rPr>
        <w:t>对问题项目建立预警提醒台账，并实行销号管理。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bCs/>
          <w:sz w:val="32"/>
          <w:szCs w:val="32"/>
        </w:rPr>
        <w:t>（二）提升要素保障。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t>要提升要素保障服务、优化审批服务</w:t>
      </w:r>
      <w:r>
        <w:rPr>
          <w:rFonts w:ascii="Times New Roman" w:eastAsia="方正仿宋简体" w:hAnsi="Times New Roman" w:cs="Mongolian Baiti" w:hint="eastAsia"/>
          <w:sz w:val="32"/>
          <w:szCs w:val="32"/>
        </w:rPr>
        <w:lastRenderedPageBreak/>
        <w:t>联动机制，逐个项目建立保障方案，明确关键环节办结时限，打好要素审批服务提前量。要抓勤把准吃透扣细本行业领域国家、省市产业政策和项目投资的重点及方向，实现资金争取新突破。要创新融资方式机制，充分挖掘和利用政策、金融、民间、招商四大资源，破解项目资金瓶颈问题。在积极向上争取用地指标的同时，大力实施农村土地整理、增减挂钩等用地指标保障项目，盘活闲置低效用地，提高土地利用效率，保障项目建设用地需求。</w:t>
      </w:r>
    </w:p>
    <w:p w:rsidR="007A3057" w:rsidRDefault="007E6FF5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楷体简体" w:hAnsi="Times New Roman" w:cs="Mongolian Baiti" w:hint="eastAsia"/>
          <w:b/>
          <w:kern w:val="0"/>
          <w:sz w:val="32"/>
          <w:szCs w:val="32"/>
        </w:rPr>
        <w:t>（三）优化营商环境。</w:t>
      </w:r>
      <w:r>
        <w:rPr>
          <w:rFonts w:ascii="Times New Roman" w:eastAsia="方正仿宋简体" w:hAnsi="Times New Roman" w:hint="eastAsia"/>
          <w:sz w:val="32"/>
          <w:szCs w:val="32"/>
        </w:rPr>
        <w:t>继续开展“创建一流营商环境”十大行动，持续深化“放管服”改革，加快推进“最多跑一次”改革，坚决做到“五减少”，不断提升政务服务“一网通办”能力，让数据信息多跑路、企业群众少跑腿，持续提升政务服务效率。落实惠企帮扶举措，扎实开展“三联三促”、金融顾问团、“订单式”法律服务等机制，围绕企业重点关注的用地、用工、融资、用能、惠企政策等方面诉求，加快盘活存量建设用地，帮助企业招聘人员，深入推进普惠金融，全力保障水电气供应，努力兑现政府承诺。夯实产权保护、市场准入负面清单、公平竞争制度三大市场体系基础制度，依法加强对各种所有制经济产权保护，促进各类企业在要素获取、准入许可、经营运行、政府采购和招投标等领域得到平等对待。</w:t>
      </w:r>
    </w:p>
    <w:p w:rsidR="007A3057" w:rsidRDefault="007A305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 w:cs="Mongolian Baiti"/>
          <w:kern w:val="0"/>
          <w:sz w:val="32"/>
          <w:szCs w:val="32"/>
        </w:rPr>
      </w:pPr>
    </w:p>
    <w:p w:rsidR="007A3057" w:rsidRDefault="007E6FF5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 w:cs="Mongolian Baiti"/>
          <w:color w:val="000000"/>
          <w:sz w:val="32"/>
          <w:szCs w:val="32"/>
        </w:rPr>
        <w:sectPr w:rsidR="007A3057">
          <w:headerReference w:type="default" r:id="rId12"/>
          <w:footerReference w:type="default" r:id="rId13"/>
          <w:pgSz w:w="11906" w:h="16838"/>
          <w:pgMar w:top="2098" w:right="1474" w:bottom="1985" w:left="1588" w:header="851" w:footer="1474" w:gutter="0"/>
          <w:cols w:space="0"/>
          <w:docGrid w:type="lines" w:linePitch="312"/>
        </w:sectPr>
      </w:pPr>
      <w:r>
        <w:rPr>
          <w:rFonts w:ascii="Times New Roman" w:eastAsia="方正仿宋简体" w:hAnsi="Times New Roman" w:cs="Mongolian Baiti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cs="Mongolian Baiti"/>
          <w:color w:val="000000"/>
          <w:kern w:val="0"/>
          <w:sz w:val="32"/>
          <w:szCs w:val="32"/>
        </w:rPr>
        <w:t>5-1</w:t>
      </w:r>
      <w:r>
        <w:rPr>
          <w:rFonts w:ascii="Times New Roman" w:eastAsia="方正仿宋简体" w:hAnsi="Times New Roman" w:cs="Mongolian Baiti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方正仿宋简体" w:hAnsi="Times New Roman" w:cs="Mongolian Baiti" w:hint="eastAsia"/>
          <w:color w:val="000000"/>
          <w:sz w:val="32"/>
          <w:szCs w:val="32"/>
        </w:rPr>
        <w:t>资阳市雁江区</w:t>
      </w:r>
      <w:r>
        <w:rPr>
          <w:rFonts w:ascii="Times New Roman" w:eastAsia="方正仿宋简体" w:hAnsi="Times New Roman" w:cs="Mongolian Baiti"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cs="Mongolian Baiti" w:hint="eastAsia"/>
          <w:color w:val="000000"/>
          <w:sz w:val="32"/>
          <w:szCs w:val="32"/>
        </w:rPr>
        <w:t>年一季度重点项目实施计划</w:t>
      </w:r>
    </w:p>
    <w:p w:rsidR="007A3057" w:rsidRDefault="007E6FF5">
      <w:pPr>
        <w:pStyle w:val="a0"/>
        <w:ind w:firstLineChars="0" w:firstLine="0"/>
        <w:rPr>
          <w:rFonts w:ascii="Times New Roman" w:eastAsia="方正黑体简体" w:hAnsi="Times New Roman" w:cs="方正黑体简体"/>
          <w:sz w:val="40"/>
          <w:szCs w:val="40"/>
        </w:rPr>
      </w:pPr>
      <w:r>
        <w:rPr>
          <w:rFonts w:ascii="Times New Roman" w:eastAsia="方正黑体简体" w:hAnsi="Times New Roman" w:cs="方正黑体简体" w:hint="eastAsia"/>
          <w:sz w:val="40"/>
          <w:szCs w:val="40"/>
        </w:rPr>
        <w:lastRenderedPageBreak/>
        <w:t>附件</w:t>
      </w:r>
      <w:r>
        <w:rPr>
          <w:rFonts w:ascii="Times New Roman" w:eastAsia="方正黑体简体" w:hAnsi="Times New Roman" w:cs="方正黑体简体"/>
          <w:sz w:val="40"/>
          <w:szCs w:val="40"/>
        </w:rPr>
        <w:t>5-1</w:t>
      </w:r>
    </w:p>
    <w:p w:rsidR="007A3057" w:rsidRDefault="007E6FF5">
      <w:pPr>
        <w:pStyle w:val="a0"/>
        <w:ind w:firstLineChars="0" w:firstLine="0"/>
        <w:jc w:val="center"/>
        <w:rPr>
          <w:rFonts w:ascii="Times New Roman" w:eastAsia="方正小标宋简体" w:hAnsi="Times New Roman" w:cs="方正小标宋简体"/>
          <w:sz w:val="58"/>
          <w:szCs w:val="44"/>
        </w:rPr>
      </w:pPr>
      <w:r>
        <w:rPr>
          <w:rFonts w:ascii="Times New Roman" w:eastAsia="方正小标宋简体" w:hAnsi="Times New Roman" w:cs="方正小标宋简体" w:hint="eastAsia"/>
          <w:sz w:val="58"/>
          <w:szCs w:val="44"/>
        </w:rPr>
        <w:t>资阳市雁江区</w:t>
      </w:r>
      <w:r>
        <w:rPr>
          <w:rFonts w:ascii="Times New Roman" w:eastAsia="方正小标宋简体" w:hAnsi="Times New Roman" w:cs="方正小标宋简体"/>
          <w:sz w:val="58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sz w:val="58"/>
          <w:szCs w:val="44"/>
        </w:rPr>
        <w:t>年一季度重点项目实施计划</w:t>
      </w:r>
    </w:p>
    <w:p w:rsidR="007A3057" w:rsidRDefault="007E6FF5">
      <w:pPr>
        <w:pStyle w:val="a0"/>
        <w:ind w:firstLine="640"/>
        <w:jc w:val="right"/>
        <w:rPr>
          <w:rFonts w:ascii="Times New Roman" w:eastAsia="方正仿宋简体" w:hAnsi="Times New Roman" w:cs="Mongolian Baiti"/>
          <w:sz w:val="32"/>
          <w:szCs w:val="32"/>
        </w:rPr>
      </w:pPr>
      <w:r>
        <w:rPr>
          <w:rFonts w:ascii="Times New Roman" w:eastAsia="方正仿宋简体" w:hAnsi="Times New Roman" w:cs="Mongolian Baiti" w:hint="eastAsia"/>
          <w:sz w:val="32"/>
          <w:szCs w:val="32"/>
        </w:rPr>
        <w:t>单位：万元、项</w:t>
      </w:r>
    </w:p>
    <w:tbl>
      <w:tblPr>
        <w:tblW w:w="21714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15"/>
        <w:gridCol w:w="2078"/>
        <w:gridCol w:w="1140"/>
        <w:gridCol w:w="977"/>
        <w:gridCol w:w="4677"/>
        <w:gridCol w:w="868"/>
        <w:gridCol w:w="1033"/>
        <w:gridCol w:w="1133"/>
        <w:gridCol w:w="1100"/>
        <w:gridCol w:w="1250"/>
        <w:gridCol w:w="850"/>
        <w:gridCol w:w="1546"/>
        <w:gridCol w:w="934"/>
        <w:gridCol w:w="1330"/>
        <w:gridCol w:w="850"/>
        <w:gridCol w:w="833"/>
        <w:gridCol w:w="500"/>
      </w:tblGrid>
      <w:tr w:rsidR="007A3057">
        <w:trPr>
          <w:trHeight w:val="400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建设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地址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建设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批次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主要建设内容及规模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sz w:val="22"/>
                <w:szCs w:val="20"/>
              </w:rPr>
              <w:t>建设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sz w:val="22"/>
                <w:szCs w:val="20"/>
              </w:rPr>
              <w:t>年限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总投资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年计划完成投资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截至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2021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年底累计完成投资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年底要达到的主要形象进度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计划开工时间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业主单位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责任部门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区级责任领导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备注</w:t>
            </w:r>
          </w:p>
        </w:tc>
      </w:tr>
      <w:tr w:rsidR="007A3057">
        <w:trPr>
          <w:trHeight w:val="668"/>
          <w:tblHeader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责任人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责任人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合计：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63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5567669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1247523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956595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373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一、城东管委会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7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402500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63500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162120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68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资阳环境职业学院建设项目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亩，一期占地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亩，建设工程约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万平方米，主要建设内容有教学楼，行政办公楼，图书馆，标准运动场，学术报告厅，体育馆，后勤附属用房；二期占地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585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亩，建设工程约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万平方米，主要建教学楼、学生宿舍、食堂、实训楼、国际交流中心、学术交流中心、会堂、创业中心、后勤附属用房等。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2018-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117120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实训楼等主体施工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四川三秦投资集团有限责任公司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张光伟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22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雁江区棚户区改造及配套设施一期项目（宝莲新村片区）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41.83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195742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平方米及其配套等附属设施。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54000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资阳市凯利建设投资有限责任公司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魏丽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25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资阳市雁江区城东新区黄泥河农贸市场建设项目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 8.7 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 10364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，建设内容包括土建工程、安装工程、装饰装修、绿化工程、围墙及附属工程等。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5900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主体建设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资阳市凯利建设投资有限责任公司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魏丽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55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沱三桥维修维护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对沱三桥进行维修加固。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90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城东新区道路路灯安装工程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城东新区已交付使用未安装路灯的道路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完成总投资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城东新区管委会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1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城东新区道路黑化工程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拟对城东新区城市部分已毁道路进行黑化，全长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部分完工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资阳市凯利建设投资有限责任公司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魏丽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6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资阳市鸿鹄高级中学建设项目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拟选址于城东新区遂资眉连接线北侧，占地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280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万平方米，一期建筑面积约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万平方米，二期建筑面积约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万平方米，办学规模约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人。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一期投用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鸿鹄科智（北京）教育科技集团公司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许俊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城东管委会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肖胜利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lastRenderedPageBreak/>
              <w:t>二、区工管委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6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778000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143500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14500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18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安井食品三期项目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资阳医药食品产业功能区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主要建设万吨级信息化智能仓储，建设面积约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3700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四川安井食品有限公司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张少华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25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南京广维装备制造（雁江）生产基地项目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计划用地约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亩。主要生产混凝土、沥青混凝土搅拌设备；建设生产车间、库房、办公楼及附属设施等约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南京广维机电设备制造有限公司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林源红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38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新疆醇义－新型建材（雁江）生产基地项目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亩，正式投产后，年生产销售约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万平方米建筑模板，年产值约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亿元，年税收约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万元，可提供就业人数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人以上。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资阳天富环保科技有限公司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王义文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98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丰源钢结构加工（雁江）基地建设项目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亩。总建筑面积为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万平方米。主要建设内容包括：轻钢加工车间、重钢加工车间，维护车间、涂装车间、材料物资仓库、办公楼、员工寝室、研发大楼以及厂区绿化等基础配套设施等。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厂房主体建设。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惠州市丰源钢结构有限公司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罗旭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533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资阳现代食品产业园项目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平方公里，分三期建设，一期占地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亩，为食品产业园项目首期启动区，总投资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亿元，建设年限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年，主要推动日本桃屋榨菜、巴蜀辣韵、天香食品等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余个签约项目快速建成投产，建成生产厂房面积约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万平方米，完善园区内桐子路延长线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1.4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公里及其他管网配套建设；二期占地约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亩，为食品产业园核心区，总投资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亿元，建设年限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—2025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年，主要建设生产厂房约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233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万平方米，配套建设商务会展中心、食品研发大楼、人才公寓、资味美食街道以及主要骨干道路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公里，引进功能性休闲绿色食品企业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家，三期占地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亩，为食品产业园拓展区，总投资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亿元，建设时限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—2030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厂房主体建设。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资阳市雁兴建设开发投资有限公司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林刚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93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汪氏罐装蜂蜜提升项目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平方米的车间及办公楼，新建果酒生产线三条。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四川汪氏蜂蜜有限公司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朱世勇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区工管委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曾科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lastRenderedPageBreak/>
              <w:t>三、区交运局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4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430400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89400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56000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35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雁江区农村公路品质提升项目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建设特色镇村、特色产业园区、旅游景区、市域周边道路全长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395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公里，路面宽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4.5-7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米，沥青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水泥混凝土路面，四级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二级公路。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市城投公司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待定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区交运局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2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雁江区撤并建制村通村公路建设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建设全区撤并建制村公路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公里，路基宽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米，路面宽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米，水泥混凝土路面，公路等级四级。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各镇人民政府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各镇人民政府镇长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区交运局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35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雁江区涉改乡镇公路建设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实施涉改镇乡交通设施改善提升项目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34.36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公里。其中：提升中心场镇道路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0.76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公里；提升主要骨干道路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18.8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公里；新建部分乡村道路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14.8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资阳市禹兴建设工程有限责任公司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顾军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区交运局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24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蜀都大道东延线资简段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起于简阳马家桥，止于资阳市城东新区蜀乡大道，道路全长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20.18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公里，路基宽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33.5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米，按照双向六车道一级公路标准设计。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270000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完成桥梁墩台基础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雁江区腾雁交通建设集团有限公司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宋斌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区交运局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四、区住建局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826021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296000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345000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24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阳光·十里江湾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城东新区蜀乡大道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新建商业商住项目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GT02-01-02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规划用地约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92 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万平方米包括商业开发及附属设施建设。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24000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资阳云耀置业有限公司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王玲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78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东江壹品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蜀乡大道交纬一路旁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亩，建总建筑面积约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万平方米商业综合体开发及房地产开发。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主体工程完工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资阳天戌置业有限责任公司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张亮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04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道轩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望江府商业商住开发项目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碧霞路东侧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116851.61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，其中住宅面积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84268.12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，其他配套建筑面积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3734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主体完工，配套陆续施工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资阳道轩房地产开发有限公司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邱俊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滨江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公园壹号商业商住开发项目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蜀乡大道以西、纬一路以南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76.34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亩，总建筑面积约为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13.23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万平方米的商业综合体开发及房地产开发。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主体工程完工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四川秋志养生保健服务有限公司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朗基·江樾和鸣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亩，总建筑面积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万平方米商业综合体开发及房地产开发。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资阳市沁峰房地产开发有限公司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胡鹏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0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阳光·云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璟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台建设项目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项目占地面积约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85.95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亩，规划用地面积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57342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，建总建筑面积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220000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平方米的商业商住。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资阳嘉阳置业有限公司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待定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9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资阳市雁江区老旧小区改造及配套黑化道路项目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涉及中心城区老旧小区改造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47766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户，约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450.3267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万平方米，对建筑主体、楼栋公用设施、消防设施、安防设施、小区管线、小区排水设施、道路设施、环卫设施、康体休闲设施，增加电梯小区停车场、风貌综合整治等。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166021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46000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年改造任务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资阳市禹兴建设工程有限责任公司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顾军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56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鸿雁·南庭项目（雁江区农业局片区旧城改造建设项目）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规划总建筑面积为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190073.77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平方米（其中地下建筑面积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57354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平方米、地上建筑面积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132719.77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2019-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资阳市雁江建设投资（集团）有限责任公司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刘敬民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219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雁江区天然气管道改扩建暨安全提升项目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雁江区天然气管网改扩建，建设内容包括扩建新管网、改造老化管网。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老化管网改造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，新管网扩建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资阳港华燃气有限公司、资阳市蜀能天然气有限公司、资阳中鑫天然气有限公司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汤尚武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彭正富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钟秀泉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07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荣慧总部大楼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亩，新建约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万平方米办公大楼。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12000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荣慧建筑有限公司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城东新区污水处理厂“一厂一策”系统化整治工程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拟对城东污水处理厂截流系统及排口整治、水质检测等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主体建设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资阳市雁江建投水务有限公司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31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废旧建筑垃圾回收利用项目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需土地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亩，年产约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吨左右。主要生产线为：砂石、干粉砂浆、水泥稳定层原材料、新型水泥制品（装配式建筑原材料）等。建设内容为：建筑废弃物分拣车间和处理车间厂房、干粉砂浆生产车间厂房、机制砂生产线厂房、水泥稳定层生产线厂房、新型水泥制品生产线厂房、粉料堆棚、骨料堆棚、原料筒仓、成品筒仓、成品堆棚、配电房、办公用房、职工倒班宿舍、职工餐厅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主体工程完工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资阳和众新型建材有限公司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唐晓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区住建局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都锦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五、区经科信局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22000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0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雁江区加油加气站建设项目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新建中和加油加气站和城东加油加气站，占地约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亩，规模约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万吨。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资阳市雁江建设投资（集团）有限责任公司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刘敬民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区经科信局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黄伟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3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31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四川加多宝饮料生产线扩能建设项目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新增一条生产线；该项目建成后，预计新增产能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万标箱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四川加多宝饮料有限公司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孙志林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区经科信局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黄伟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唐瑜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六、区农业农村局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170865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109190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34620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37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乡村振兴及园区品质提升项目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丰裕镇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人乐、人民、丹桂、新华沿线院落打造含厕所改造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户；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示范村落打造，打造农耕文化二十四节气、长寿文化小村共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个。进行林盘整治、院落打造、人居环境提升、节点打造等；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建设垃圾分类收运亭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个，生态湿地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处，大型微动力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处；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4.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丰慈路扩宽加黑化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资阳市蜀乡农业投资有限公司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杨华平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322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资阳市雁江区生猪代养场建设项目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拟新建生猪代养场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处：每处场内给水系统（蓄水池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、水井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）、硬化道路（场区道路、场外道路、赶猪通道）、污水系统（一级干湿分离池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225m3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、二级沼气池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、三级沼液储存池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、污水管道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）、场区高低压配电系统（发电机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个、变压器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个）、猪舍（土建钢构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栋、设备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栋）、生产附属工程（围墙、发电机房、宿舍、上猪台等）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资阳蜀乡建筑工程有限公司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杨华平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329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雁江区丰裕柑桔苗木繁育基地建设项目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丰裕镇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新建引种园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亩；母本园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亩；原种培育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亩；采穗圃（含砧木）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亩；无病毒容器苗繁育圃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亩；机耕道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；田间生产路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；排灌渠系（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60X60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）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；排灌渠系（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40X60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）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2500m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；蓄水池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口；喷灌系统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亩；智能玻璃育苗温室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亩；连跨大棚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亩；网室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190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亩；电动遮荫棚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亩；配套用房及场地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平方米；购置相关仪器设备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台套。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2120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资阳市蜀乡农业投资有限公司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杨华平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77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雁江区丰裕冷链物流体系建设项目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丰裕镇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计划修建分拣中心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40000m2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，冷藏库总体积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，容量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吨；气调仓库总体积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 m3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，容量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吨。冷藏运输车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辆，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吨有效运输量。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9055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资阳市蜀乡农业投资有限公司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杨华平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94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雁江区正大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万头生猪产业链项目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新建种猪场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个、代养场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个，圈舍共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万平方米；建设异位发酵工程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万平方米，各场配套生物防控体系、养殖废弃物资源化利用、养殖环境控制、自动化饲喂等设施设备。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四川正大畜牧有限公司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李享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213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四川正大畜牧有限公司凤凰种猪场建设项目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亩左右，修建存栏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头能繁母猪场，项目包含配怀舍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栋，分娩舍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栋，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GDU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栋，公猪舍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栋，隔离舍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栋，配套生活区，粪污区，道路等，项目投产后每年能提供断奶小猪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万头以上。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四川正大畜牧有限公司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白宇飞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71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上海壹佰米（雁江）“叮咚买菜”基围虾西南基地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建设“叮咚买菜”基围虾西南基地。项目分两期建设。其中，一期项目计划流转土地约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亩，建设基围虾养殖基地。二期项目计划用地约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亩，建设基围虾深加工厂。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完成主体建设的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65%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上海壹佰米网络科技有限公司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郭维舞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57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年乡村振兴与脱贫攻坚有效衔接项目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为实施乡村振兴产业发展及巩固脱贫攻坚成果，拟在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164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个村开展村庄建设行动，包括村域内道路、人居环境、产业发展、综合性公共服务中心等项目。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2022.01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27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雁江区绿色种养循环示范建设项目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突出绿色循环理念，按照“整县推进，种养结合，综合配套，模式创新”的思路，以沼液等畜禽粪肥综合利用为目的，实现全区畜禽粪污资源化利用。主要在种养循环示范区建设山间储液池、铺设沼液运输管网、实施消纳土地改造整理等，建立沼液输送和田间水肥一体化系统。同时在丹山镇建立大棚蔬菜种植基地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2022.01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11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宝台镇红薯产业园建设项目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宝台镇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在宝台镇实施红薯基地建设。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21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年农产品仓储冷链物流设施建设项目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支持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个新型经营主体建设冷藏库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个，容量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吨。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3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43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年高标准农田及灾毁农田修复项目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建设高标准农田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2.88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万亩，修复灾毁农田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3.35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万亩。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18690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18690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区农业农村局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老君镇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秦兵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耿博淮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515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七、区商务局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11500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7500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78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苌弘美食博览园项目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雁江区宝莲街道办事处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项目拟在希望城商业综合体，打造雁江区一个具有亮点的餐饮娱乐特色美食打卡地，重点营造“网红打卡地”氛围，吸引过境人口的到访，形成融吃、购、看、玩于一体的都市美食街区。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2022.03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资阳市金迪实业有限责任公司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刘官银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区商务局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纪静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47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资阳城市之夜美食城项目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雁江区莲花街道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项目计划投资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亿元，占地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万平方米，计划建成集美食、餐饮、大型商超等为一体的大型都市餐饮集聚地。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完成施工并正式运营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2022.02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资阳市沱江新城开发建设有限公司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廖一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区商务局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纪静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543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八、区服管委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1000000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100000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627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成渝职教城基础设施项目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项目位于保和镇，职教城规划面积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平方公里，其中核心区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平方公里。按照规划布局，拟新建功能区市政道路约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公里，建设等级为一级公路兼顾市政功能。新建堤防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14.8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公里，其中沱江左岸河堤长约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2.5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公里，拟修建全生态式堤防及配套路堤景观带、小品房等。拟建设生活污水处理厂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座，生产污水处理厂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座，处理总规模达到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3000m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³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/d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。拟建设功能区安置房约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万平方米，配套相关附属设施及农贸市场等功能区域。扩建中和镇自来水厂及新建管网、加压站等配套设施，新建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千伏线路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公里，新增配变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台，新建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千伏变电站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座，新建燃气调压站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座。核心区域规划建设高速光纤，建立功能区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5G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通讯、云计算、物联网等数字化供应链管理基础。新建公共停车场（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个停车位）、旅游厕所（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个）、公交站（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个）、加油站（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个）、多功能公共服务中心（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个）等设施。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1000000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启动建设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2022.03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四川雁投开发建设有限公司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周林霞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区服管委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熊浩杰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543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九、区卫健局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5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48800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20350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21950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89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47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雁江区宝莲社区卫生服务中心（宝莲社区医院）阵地建设项目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宝莲街道城南大街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250-262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装饰装修公共卫生及医疗业务用房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5091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平方米，地下停车位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个，设置公共卫生服务区及医疗卫生服务区，内含综合病床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个，中医病床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个，其中理疗床位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四川雁投文旅投资有限公司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刘玖华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张智勇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</w:tr>
      <w:tr w:rsidR="007A3057">
        <w:trPr>
          <w:trHeight w:val="157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资阳市雁江区人民医院综合业务用房建设项目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城东新区蜀乡大道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建设综合业务用房约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1.65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万平方米，设置职工及病员食堂、职能科室办公室、档案室、多功能会议室、学术厅等。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4650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3850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资阳市禹兴建设工程有限责任公司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顾军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张智勇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21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资阳市雁江区中医医院医疗综合楼建设项目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建设包含产科、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ICU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、心血管科、重症医学、儿科、骨科、肾内、肛肠、神内、肿瘤、脾胃、口腔科等科室的住院病区及出入院、药房、静配中心、</w:t>
            </w:r>
            <w:r w:rsidR="000F567A" w:rsidRPr="000F567A"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高压氧舱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、停车场、教学用房、科研用房等附属功能的大楼约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3.4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资阳市雁江区中医医院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侯锡斌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张智勇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220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中国西部生育健康服务中心建设项目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项目新建生育健康服务中心大楼（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层）和地下车库等，建筑面积约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3.7483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万平方米。包含生殖不孕不育中心、产前诊断中心、产后康复中心、儿童康复中心、月子中心等。设置床位约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张，地下车位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380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完成主体施工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资阳市禹兴建设工程有限责任公司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顾军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张智勇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89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资阳市雁江区人民医院突发公共卫生事件应急救治能力改建项目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城东新区蜀乡大道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装饰装修重症监护病房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平方米，设置病床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36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张及相应配套设施设备。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竣工投用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资阳市雁江区人民医院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罗颂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张智勇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584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十、雁江生态环境局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26778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20000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07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资阳市雁江区农村生态环境保护建设与资源节约综合利用项目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生活污水处理设施及配套管网工程，其中：生活污水处理设施及配套管网主要修建在农村聚居点、日处理污水规模约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26695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立方米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资阳市雁飞环保科技有限公司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米剑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雁江生态环境局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朱戟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钟洵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324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lastRenderedPageBreak/>
              <w:t>53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阳化河水系治理与生态修复项目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拟整治农村聚集点数量共计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个，建设一体化污水处理设施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12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套，三格式化粪池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座，配套主管网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5.411km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，支管网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7.9km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。建设尾水湿地，文龙大桥选点，打造原生库，建设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GCPP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水生态环境智慧管控系统。生态缓冲带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71.15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亩、沉水植物栽种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亩、临水植物栽种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、人工浮岛建设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0"/>
              </w:rPr>
              <w:t>㎡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，人工湿地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38.1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亩及生态修复带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，生态沟渠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8778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完成主体工程建设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资阳市雁江建投水务有限公司、沿线乡镇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刘斌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雁江生态环境局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朱戟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钟洵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十一、区教体局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95461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16500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6000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38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城东教育园区建设项目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规划占地约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244.73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亩，新建校舍及附属设施、设备购置等。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91189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字库山九义校主体完工，文明幼儿园主体施工，资阳市第一中学加快前期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资阳雁投教育管理有限公司、雁江区文明幼儿园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区教体局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苏贤光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2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雁江区乡镇学校改扩建项目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对中和中学、石岭镇初中、伍隍镇初中、伍隍中学等学校实施改扩建。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4272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部分主体完工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各项目学校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各项目学校法人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区教体局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苏贤光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李丽平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十二、区民政局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7854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4000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2300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35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资阳市雁江区中心养护院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沱东新区展望大街南侧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项目占地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31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亩，建设养老床位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张及相关配套设施。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7854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主体完工，室内装饰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区民政局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兰玉川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王文玉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钟洵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十三、区水务局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29421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13925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1494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25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雁江区小型病险水库除险加固项目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对大坝、溢洪道、放水道及相应设施进行整治改造。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15730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2325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1493.71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完成总工程量的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左右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雁江区水利工程管理总站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陈亮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区水务局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何永根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160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沱江流域防洪治理工程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主要建设龙安堤防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3.412km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，防洪标准为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年一遇；南津镇段防洪治理工程新建堤防长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2.327km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；王二溪堤防建设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1.577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13690.6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完成总工程量的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85%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左右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雁江区河湖管理中心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汪鹏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区水务局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何永根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杨平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lastRenderedPageBreak/>
              <w:t>十四、区国土分局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166800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40000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62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雁江区城乡建设用地增减挂钩项目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新开工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该项目涉及丹山镇、老君镇、宝台镇、南津镇、伍隍镇、石岭镇、小院镇、堪家镇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个城乡建设用地增减挂钩项目，主要通过整理农村宅基地，改善农村村民居住条件，腾退集体建设用地，实现建设用地节余周转指标，助力乡村振兴和城乡建设发展。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166800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完成投资总额的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25%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资阳宇弘土地整理有限公司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张川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区国土分局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李成文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十五、区自然资源规划局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1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50000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30000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1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雁江区“美丽场镇”建设项目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道路黑化、农贸市场改造、建筑外立面美化、街道绿化、亮化等。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50000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雁江区“美丽场镇”建设项目全区改造范围达到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60%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资阳美丽场镇建设有限公司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何礼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区自然资源规划局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朱万里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陈宏宇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市级</w:t>
            </w:r>
          </w:p>
        </w:tc>
      </w:tr>
      <w:tr w:rsidR="007A3057">
        <w:trPr>
          <w:trHeight w:val="400"/>
          <w:jc w:val="center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十六、区重点项目服务中心</w:t>
            </w: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>3</w:t>
            </w:r>
            <w:r>
              <w:rPr>
                <w:rFonts w:ascii="Times New Roman" w:eastAsia="方正书宋简体" w:hAnsi="Times New Roman" w:cs="方正书宋简体" w:hint="eastAsia"/>
                <w:b/>
                <w:bCs/>
                <w:kern w:val="0"/>
                <w:sz w:val="22"/>
                <w:szCs w:val="20"/>
              </w:rPr>
              <w:t>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left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1401269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251658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b/>
                <w:bCs/>
                <w:kern w:val="0"/>
                <w:sz w:val="22"/>
                <w:szCs w:val="20"/>
              </w:rPr>
              <w:t xml:space="preserve">282611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b/>
                <w:bCs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45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新建成都至自贡高速铁路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建设成都东站经资阳临空经济区、雁江区、内江至自贡东站高速铁路，设计时速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 350 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千米。资阳境内全长约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 27.9 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千米，新建资阳西站。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2019-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1117000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150000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路基施工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川南城际铁路有限责任公司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陈大智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区重点项目服务中心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龚小平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213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成渝线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K137+055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龙马河大桥重建工程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丰裕镇天明村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在既有成渝线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K137+055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龙马河大桥右侧新建一座铁路桥并局部改线。改线起点为成渝线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K136+460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，改线终点为成渝线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 K137+630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，及由此引起的线路、轨道、路基、桥梁、信号、通信、接触网等工程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2021-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4269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1658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竣工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成都局集团公司工程管理所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马骏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区重点项目服务中心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龚小平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  <w:tr w:rsidR="007A3057">
        <w:trPr>
          <w:trHeight w:val="189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63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轨道交通资阳线（雁江段）建设项目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雁江区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续建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轨道交通资阳线起于轨道交通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号线福田站，止于成渝客专资阳北站，线路全长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38.7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公里，其中雁江段</w:t>
            </w: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18.73</w:t>
            </w: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公里，新建临空经济区站、娇子大道站、苌弘广场站、宝台大道站、资阳北站。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2020-</w:t>
            </w:r>
          </w:p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 xml:space="preserve">280000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100000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/>
                <w:kern w:val="0"/>
                <w:sz w:val="22"/>
                <w:szCs w:val="20"/>
              </w:rPr>
              <w:t>80000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基础施工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jc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成都轨道交通集团有限公司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单青红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区重点项目服务中心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李莉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E6FF5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书宋简体" w:hAnsi="Times New Roman" w:cs="方正书宋简体"/>
                <w:sz w:val="22"/>
                <w:szCs w:val="20"/>
              </w:rPr>
            </w:pPr>
            <w:r>
              <w:rPr>
                <w:rFonts w:ascii="Times New Roman" w:eastAsia="方正书宋简体" w:hAnsi="Times New Roman" w:cs="方正书宋简体" w:hint="eastAsia"/>
                <w:kern w:val="0"/>
                <w:sz w:val="22"/>
                <w:szCs w:val="20"/>
              </w:rPr>
              <w:t>龚小平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57" w:rsidRDefault="007A3057">
            <w:pPr>
              <w:spacing w:line="340" w:lineRule="exact"/>
              <w:rPr>
                <w:rFonts w:ascii="Times New Roman" w:hAnsi="Times New Roman" w:cs="宋体"/>
                <w:sz w:val="22"/>
                <w:szCs w:val="22"/>
              </w:rPr>
            </w:pPr>
          </w:p>
        </w:tc>
      </w:tr>
    </w:tbl>
    <w:p w:rsidR="007A3057" w:rsidRDefault="007A3057">
      <w:pPr>
        <w:spacing w:line="20" w:lineRule="exact"/>
        <w:rPr>
          <w:rFonts w:ascii="Times New Roman" w:hAnsi="Times New Roman"/>
        </w:rPr>
        <w:sectPr w:rsidR="007A3057">
          <w:headerReference w:type="default" r:id="rId14"/>
          <w:footerReference w:type="default" r:id="rId15"/>
          <w:pgSz w:w="23811" w:h="16838" w:orient="landscape"/>
          <w:pgMar w:top="1474" w:right="1474" w:bottom="1474" w:left="1474" w:header="851" w:footer="1361" w:gutter="0"/>
          <w:cols w:space="0"/>
          <w:docGrid w:type="lines" w:linePitch="312"/>
        </w:sectPr>
      </w:pPr>
    </w:p>
    <w:p w:rsidR="007A3057" w:rsidRDefault="007A3057">
      <w:pPr>
        <w:spacing w:line="20" w:lineRule="exact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pStyle w:val="a0"/>
        <w:ind w:firstLine="480"/>
        <w:rPr>
          <w:rFonts w:ascii="Times New Roman" w:hAnsi="Times New Roman"/>
        </w:rPr>
      </w:pPr>
    </w:p>
    <w:p w:rsidR="007A3057" w:rsidRDefault="007A3057">
      <w:pPr>
        <w:adjustRightInd w:val="0"/>
        <w:snapToGrid w:val="0"/>
        <w:spacing w:line="600" w:lineRule="exact"/>
        <w:rPr>
          <w:rFonts w:ascii="Times New Roman" w:eastAsia="方正仿宋简体" w:hAnsi="Times New Roman"/>
          <w:sz w:val="28"/>
          <w:szCs w:val="28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7A3057">
      <w:pPr>
        <w:spacing w:line="20" w:lineRule="exact"/>
        <w:jc w:val="left"/>
        <w:rPr>
          <w:rFonts w:ascii="Times New Roman" w:hAnsi="Times New Roman"/>
          <w:sz w:val="32"/>
          <w:szCs w:val="32"/>
        </w:rPr>
      </w:pPr>
    </w:p>
    <w:p w:rsidR="007A3057" w:rsidRDefault="004B5D22">
      <w:pPr>
        <w:widowControl/>
        <w:tabs>
          <w:tab w:val="left" w:pos="5940"/>
        </w:tabs>
        <w:spacing w:line="600" w:lineRule="exact"/>
        <w:rPr>
          <w:rFonts w:ascii="Times New Roman" w:eastAsia="方正黑体简体" w:hAnsi="Times New Roman" w:cs="宋体"/>
          <w:color w:val="000000"/>
          <w:sz w:val="28"/>
          <w:szCs w:val="28"/>
        </w:rPr>
      </w:pPr>
      <w:r w:rsidRPr="004B5D22">
        <w:rPr>
          <w:rFonts w:ascii="Times New Roman" w:hAnsi="Times New Roman"/>
        </w:rPr>
        <w:pict>
          <v:line id="_x0000_s1032" style="position:absolute;left:0;text-align:left;z-index:251657728" from="0,2.5pt" to="441pt,2.5pt" o:gfxdata="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0wJHbRAAAABAEAAA8AAAAAAAAAAQAgAAAA&#10;IgAAAGRycy9kb3ducmV2LnhtbFBLAQIUABQAAAAIAIdO4kA0yhGP2QEAAJcDAAAOAAAAAAAAAAEA&#10;IAAAACABAABkcnMvZTJvRG9jLnhtbFBLBQYAAAAABgAGAFkBAABrBQAAAAA=&#10;" strokeweight="1.5pt"/>
        </w:pict>
      </w:r>
      <w:r w:rsidR="007E6FF5">
        <w:rPr>
          <w:rFonts w:ascii="Times New Roman" w:eastAsia="方正黑体简体" w:hAnsi="Times New Roman" w:cs="宋体" w:hint="eastAsia"/>
          <w:color w:val="000000"/>
          <w:sz w:val="28"/>
          <w:szCs w:val="28"/>
        </w:rPr>
        <w:t>信息公开选项：</w:t>
      </w:r>
      <w:r w:rsidR="007E6FF5">
        <w:rPr>
          <w:rFonts w:ascii="Times New Roman" w:eastAsia="方正小标宋简体" w:hAnsi="Times New Roman" w:cs="宋体" w:hint="eastAsia"/>
          <w:color w:val="000000"/>
          <w:sz w:val="28"/>
          <w:szCs w:val="28"/>
        </w:rPr>
        <w:t>主动公开</w:t>
      </w:r>
    </w:p>
    <w:p w:rsidR="007A3057" w:rsidRDefault="004B5D22">
      <w:pPr>
        <w:spacing w:line="520" w:lineRule="exact"/>
        <w:ind w:rightChars="-327" w:right="-687"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3" style="position:absolute;left:0;text-align:left;z-index:251658752" from="0,-.6pt" to="441pt,-.6pt" o:gfxdata="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5Vbn/UAAAABgEAAA8AAAAAAAAAAQAg&#10;AAAAIgAAAGRycy9kb3ducmV2LnhtbFBLAQIUABQAAAAIAIdO4kATln0B2QEAAJcDAAAOAAAAAAAA&#10;AAEAIAAAACMBAABkcnMvZTJvRG9jLnhtbFBLBQYAAAAABgAGAFkBAABuBQAAAAA=&#10;" strokeweight="1pt"/>
        </w:pict>
      </w:r>
      <w:r>
        <w:rPr>
          <w:rFonts w:ascii="Times New Roman" w:hAnsi="Times New Roman"/>
        </w:rPr>
        <w:pict>
          <v:line id="_x0000_s1034" style="position:absolute;left:0;text-align:left;z-index:251656704" from="0,31.35pt" to="441pt,31.35pt" o:gfxdata="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ggFeNIAAAAGAQAADwAAAAAAAAABACAA&#10;AAAiAAAAZHJzL2Rvd25yZXYueG1sUEsBAhQAFAAAAAgAh07iQK2OzOXaAQAAlwMAAA4AAAAAAAAA&#10;AQAgAAAAIQEAAGRycy9lMm9Eb2MueG1sUEsFBgAAAAAGAAYAWQEAAG0FAAAAAA==&#10;" strokeweight="1.5pt"/>
        </w:pict>
      </w:r>
      <w:r w:rsidR="007E6FF5">
        <w:rPr>
          <w:rFonts w:ascii="Times New Roman" w:eastAsia="方正仿宋简体" w:hAnsi="Times New Roman" w:hint="eastAsia"/>
          <w:sz w:val="28"/>
          <w:szCs w:val="28"/>
        </w:rPr>
        <w:t>资阳市雁江区人民政府办公室</w:t>
      </w:r>
      <w:r w:rsidR="007E6FF5">
        <w:rPr>
          <w:rFonts w:ascii="Times New Roman" w:eastAsia="方正仿宋简体" w:hAnsi="Times New Roman"/>
          <w:sz w:val="28"/>
          <w:szCs w:val="28"/>
        </w:rPr>
        <w:t xml:space="preserve">   202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2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年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2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月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22</w:t>
      </w:r>
      <w:r w:rsidR="007E6FF5">
        <w:rPr>
          <w:rFonts w:ascii="Times New Roman" w:eastAsia="方正仿宋简体" w:hAnsi="Times New Roman" w:hint="eastAsia"/>
          <w:sz w:val="28"/>
          <w:szCs w:val="28"/>
        </w:rPr>
        <w:t>日印发</w:t>
      </w:r>
    </w:p>
    <w:sectPr w:rsidR="007A3057" w:rsidSect="004B5D22">
      <w:footerReference w:type="default" r:id="rId16"/>
      <w:pgSz w:w="11906" w:h="16838"/>
      <w:pgMar w:top="2098" w:right="1474" w:bottom="1985" w:left="1588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20" w:rsidRDefault="001B3620">
      <w:r>
        <w:separator/>
      </w:r>
    </w:p>
  </w:endnote>
  <w:endnote w:type="continuationSeparator" w:id="1">
    <w:p w:rsidR="001B3620" w:rsidRDefault="001B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4B5D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6F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057" w:rsidRDefault="007A30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E6FF5">
    <w:pPr>
      <w:pStyle w:val="a7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4B5D22">
      <w:rPr>
        <w:rStyle w:val="a9"/>
        <w:rFonts w:ascii="Times New Roman" w:hAnsi="Times New Roman"/>
        <w:sz w:val="28"/>
        <w:szCs w:val="28"/>
      </w:rPr>
      <w:fldChar w:fldCharType="begin"/>
    </w:r>
    <w:r>
      <w:rPr>
        <w:rStyle w:val="a9"/>
        <w:rFonts w:ascii="Times New Roman" w:hAnsi="Times New Roman"/>
        <w:sz w:val="28"/>
        <w:szCs w:val="28"/>
      </w:rPr>
      <w:instrText xml:space="preserve">PAGE  </w:instrText>
    </w:r>
    <w:r w:rsidR="004B5D22">
      <w:rPr>
        <w:rStyle w:val="a9"/>
        <w:rFonts w:ascii="Times New Roman" w:hAnsi="Times New Roman"/>
        <w:sz w:val="28"/>
        <w:szCs w:val="28"/>
      </w:rPr>
      <w:fldChar w:fldCharType="separate"/>
    </w:r>
    <w:r w:rsidR="000F567A">
      <w:rPr>
        <w:rStyle w:val="a9"/>
        <w:rFonts w:ascii="Times New Roman" w:hAnsi="Times New Roman"/>
        <w:noProof/>
        <w:sz w:val="28"/>
        <w:szCs w:val="28"/>
      </w:rPr>
      <w:t>2</w:t>
    </w:r>
    <w:r w:rsidR="004B5D22">
      <w:rPr>
        <w:rStyle w:val="a9"/>
        <w:rFonts w:ascii="Times New Roman" w:hAnsi="Times New Roman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  <w:p w:rsidR="007A3057" w:rsidRDefault="007A3057">
    <w:pPr>
      <w:pStyle w:val="a7"/>
      <w:ind w:right="360"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E6FF5">
    <w:pPr>
      <w:pStyle w:val="a7"/>
      <w:framePr w:wrap="around" w:vAnchor="text" w:hAnchor="margin" w:xAlign="outside" w:y="1"/>
      <w:rPr>
        <w:rStyle w:val="a9"/>
        <w:rFonts w:ascii="宋体" w:cs="Calibri"/>
        <w:sz w:val="28"/>
      </w:rPr>
    </w:pPr>
    <w:r>
      <w:rPr>
        <w:rStyle w:val="a9"/>
        <w:rFonts w:ascii="宋体" w:hAnsi="宋体" w:cs="Calibri"/>
        <w:sz w:val="28"/>
      </w:rPr>
      <w:t xml:space="preserve">— </w:t>
    </w:r>
    <w:r w:rsidR="004B5D22">
      <w:rPr>
        <w:rStyle w:val="a9"/>
        <w:rFonts w:ascii="Times New Roman" w:hAnsi="Times New Roman" w:cs="Calibri"/>
        <w:sz w:val="28"/>
      </w:rPr>
      <w:fldChar w:fldCharType="begin"/>
    </w:r>
    <w:r>
      <w:rPr>
        <w:rStyle w:val="a9"/>
        <w:rFonts w:ascii="Times New Roman" w:hAnsi="Times New Roman" w:cs="Calibri"/>
        <w:sz w:val="28"/>
      </w:rPr>
      <w:instrText xml:space="preserve">PAGE  </w:instrText>
    </w:r>
    <w:r w:rsidR="004B5D22">
      <w:rPr>
        <w:rStyle w:val="a9"/>
        <w:rFonts w:ascii="Times New Roman" w:hAnsi="Times New Roman" w:cs="Calibri"/>
        <w:sz w:val="28"/>
      </w:rPr>
      <w:fldChar w:fldCharType="separate"/>
    </w:r>
    <w:r w:rsidR="000F567A">
      <w:rPr>
        <w:rStyle w:val="a9"/>
        <w:rFonts w:ascii="Times New Roman" w:hAnsi="Times New Roman" w:cs="Calibri"/>
        <w:noProof/>
        <w:sz w:val="28"/>
      </w:rPr>
      <w:t>27</w:t>
    </w:r>
    <w:r w:rsidR="004B5D22">
      <w:rPr>
        <w:rStyle w:val="a9"/>
        <w:rFonts w:ascii="Times New Roman" w:hAnsi="Times New Roman" w:cs="Calibri"/>
        <w:sz w:val="28"/>
      </w:rPr>
      <w:fldChar w:fldCharType="end"/>
    </w:r>
    <w:r>
      <w:rPr>
        <w:rStyle w:val="a9"/>
        <w:rFonts w:ascii="宋体" w:hAnsi="宋体" w:cs="Calibri"/>
        <w:sz w:val="28"/>
      </w:rPr>
      <w:t xml:space="preserve"> —</w:t>
    </w:r>
  </w:p>
  <w:p w:rsidR="007A3057" w:rsidRDefault="007A3057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E6FF5">
    <w:pPr>
      <w:pStyle w:val="a7"/>
      <w:framePr w:wrap="around" w:vAnchor="text" w:hAnchor="margin" w:xAlign="center" w:y="1"/>
      <w:rPr>
        <w:rStyle w:val="a9"/>
        <w:rFonts w:ascii="宋体" w:cs="Calibri"/>
        <w:sz w:val="36"/>
        <w:szCs w:val="36"/>
      </w:rPr>
    </w:pPr>
    <w:r>
      <w:rPr>
        <w:rStyle w:val="a9"/>
        <w:rFonts w:ascii="宋体" w:hAnsi="宋体" w:cs="Calibri"/>
        <w:sz w:val="36"/>
        <w:szCs w:val="36"/>
      </w:rPr>
      <w:t xml:space="preserve">— </w:t>
    </w:r>
    <w:r w:rsidR="004B5D22">
      <w:rPr>
        <w:rStyle w:val="a9"/>
        <w:rFonts w:ascii="Times New Roman" w:hAnsi="Times New Roman" w:cs="Calibri"/>
        <w:sz w:val="36"/>
        <w:szCs w:val="36"/>
      </w:rPr>
      <w:fldChar w:fldCharType="begin"/>
    </w:r>
    <w:r>
      <w:rPr>
        <w:rStyle w:val="a9"/>
        <w:rFonts w:ascii="Times New Roman" w:hAnsi="Times New Roman" w:cs="Calibri"/>
        <w:sz w:val="36"/>
        <w:szCs w:val="36"/>
      </w:rPr>
      <w:instrText xml:space="preserve">PAGE  </w:instrText>
    </w:r>
    <w:r w:rsidR="004B5D22">
      <w:rPr>
        <w:rStyle w:val="a9"/>
        <w:rFonts w:ascii="Times New Roman" w:hAnsi="Times New Roman" w:cs="Calibri"/>
        <w:sz w:val="36"/>
        <w:szCs w:val="36"/>
      </w:rPr>
      <w:fldChar w:fldCharType="separate"/>
    </w:r>
    <w:r w:rsidR="000F567A">
      <w:rPr>
        <w:rStyle w:val="a9"/>
        <w:rFonts w:ascii="Times New Roman" w:hAnsi="Times New Roman" w:cs="Calibri"/>
        <w:noProof/>
        <w:sz w:val="36"/>
        <w:szCs w:val="36"/>
      </w:rPr>
      <w:t>35</w:t>
    </w:r>
    <w:r w:rsidR="004B5D22">
      <w:rPr>
        <w:rStyle w:val="a9"/>
        <w:rFonts w:ascii="Times New Roman" w:hAnsi="Times New Roman" w:cs="Calibri"/>
        <w:sz w:val="36"/>
        <w:szCs w:val="36"/>
      </w:rPr>
      <w:fldChar w:fldCharType="end"/>
    </w:r>
    <w:r>
      <w:rPr>
        <w:rStyle w:val="a9"/>
        <w:rFonts w:ascii="宋体" w:hAnsi="宋体" w:cs="Calibri"/>
        <w:sz w:val="36"/>
        <w:szCs w:val="36"/>
      </w:rPr>
      <w:t xml:space="preserve"> —</w:t>
    </w:r>
  </w:p>
  <w:p w:rsidR="007A3057" w:rsidRDefault="007A3057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20" w:rsidRDefault="001B3620">
      <w:r>
        <w:separator/>
      </w:r>
    </w:p>
  </w:footnote>
  <w:footnote w:type="continuationSeparator" w:id="1">
    <w:p w:rsidR="001B3620" w:rsidRDefault="001B3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7" w:rsidRDefault="007A305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C94CB8"/>
    <w:rsid w:val="00030E95"/>
    <w:rsid w:val="000C124A"/>
    <w:rsid w:val="000F567A"/>
    <w:rsid w:val="001B3620"/>
    <w:rsid w:val="0026171B"/>
    <w:rsid w:val="002D30A1"/>
    <w:rsid w:val="002E6A2D"/>
    <w:rsid w:val="00322F6F"/>
    <w:rsid w:val="003C754E"/>
    <w:rsid w:val="003E002F"/>
    <w:rsid w:val="00480425"/>
    <w:rsid w:val="004B5D22"/>
    <w:rsid w:val="004F5C8F"/>
    <w:rsid w:val="00621012"/>
    <w:rsid w:val="0069755C"/>
    <w:rsid w:val="006E4226"/>
    <w:rsid w:val="007A3057"/>
    <w:rsid w:val="007E6FF5"/>
    <w:rsid w:val="00800B4D"/>
    <w:rsid w:val="008D5F24"/>
    <w:rsid w:val="009121E2"/>
    <w:rsid w:val="00A830CD"/>
    <w:rsid w:val="00AF16E3"/>
    <w:rsid w:val="00B03FFA"/>
    <w:rsid w:val="00C2303E"/>
    <w:rsid w:val="00C70823"/>
    <w:rsid w:val="00C81378"/>
    <w:rsid w:val="00E216C2"/>
    <w:rsid w:val="00F84865"/>
    <w:rsid w:val="078337D5"/>
    <w:rsid w:val="07A1335B"/>
    <w:rsid w:val="0A1C7297"/>
    <w:rsid w:val="0B6B5A76"/>
    <w:rsid w:val="11D20651"/>
    <w:rsid w:val="139A77CD"/>
    <w:rsid w:val="13A17294"/>
    <w:rsid w:val="184617E8"/>
    <w:rsid w:val="1E2C3B3A"/>
    <w:rsid w:val="222A4EF1"/>
    <w:rsid w:val="2D161C0E"/>
    <w:rsid w:val="36394C8F"/>
    <w:rsid w:val="37397122"/>
    <w:rsid w:val="3BE60B5B"/>
    <w:rsid w:val="3C793F97"/>
    <w:rsid w:val="40882741"/>
    <w:rsid w:val="494202BA"/>
    <w:rsid w:val="4B9614F4"/>
    <w:rsid w:val="4EA73D3C"/>
    <w:rsid w:val="57670128"/>
    <w:rsid w:val="59E15EE5"/>
    <w:rsid w:val="5C700E6B"/>
    <w:rsid w:val="5F276A4B"/>
    <w:rsid w:val="60C94CB8"/>
    <w:rsid w:val="703E387E"/>
    <w:rsid w:val="722A1289"/>
    <w:rsid w:val="73781F7F"/>
    <w:rsid w:val="79105C94"/>
    <w:rsid w:val="7AF67F85"/>
    <w:rsid w:val="7BA52FBA"/>
    <w:rsid w:val="7C4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semiHidden="0" w:qFormat="1"/>
    <w:lsdException w:name="footnote text" w:unhideWhenUsed="1"/>
    <w:lsdException w:name="annotation text" w:unhideWhenUsed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qFormat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semiHidden="0" w:qFormat="1"/>
    <w:lsdException w:name="Body Text First Indent 2" w:semiHidden="0" w:qFormat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0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a0"/>
    <w:qFormat/>
    <w:rsid w:val="004B5D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4B5D22"/>
    <w:pPr>
      <w:ind w:firstLineChars="200" w:firstLine="420"/>
    </w:pPr>
    <w:rPr>
      <w:rFonts w:ascii="仿宋" w:eastAsia="仿宋" w:hAnsi="仿宋" w:cs="仿宋"/>
      <w:sz w:val="24"/>
      <w:szCs w:val="24"/>
    </w:rPr>
  </w:style>
  <w:style w:type="paragraph" w:styleId="a4">
    <w:name w:val="Body Text"/>
    <w:basedOn w:val="a"/>
    <w:next w:val="a5"/>
    <w:link w:val="Char"/>
    <w:uiPriority w:val="99"/>
    <w:qFormat/>
    <w:rsid w:val="004B5D22"/>
    <w:pPr>
      <w:jc w:val="center"/>
    </w:pPr>
    <w:rPr>
      <w:rFonts w:ascii="宋体" w:hAnsi="宋体" w:cs="宋体"/>
    </w:rPr>
  </w:style>
  <w:style w:type="paragraph" w:styleId="a5">
    <w:name w:val="Body Text First Indent"/>
    <w:basedOn w:val="a4"/>
    <w:link w:val="Char0"/>
    <w:uiPriority w:val="99"/>
    <w:qFormat/>
    <w:rsid w:val="004B5D22"/>
    <w:pPr>
      <w:spacing w:line="500" w:lineRule="exact"/>
      <w:ind w:firstLine="420"/>
    </w:pPr>
    <w:rPr>
      <w:sz w:val="28"/>
    </w:rPr>
  </w:style>
  <w:style w:type="paragraph" w:styleId="a6">
    <w:name w:val="Body Text Indent"/>
    <w:basedOn w:val="a"/>
    <w:link w:val="Char1"/>
    <w:uiPriority w:val="99"/>
    <w:qFormat/>
    <w:rsid w:val="004B5D22"/>
    <w:pPr>
      <w:spacing w:after="120"/>
      <w:ind w:leftChars="200" w:left="420"/>
    </w:pPr>
  </w:style>
  <w:style w:type="paragraph" w:styleId="a7">
    <w:name w:val="footer"/>
    <w:basedOn w:val="a"/>
    <w:link w:val="Char2"/>
    <w:uiPriority w:val="99"/>
    <w:qFormat/>
    <w:rsid w:val="004B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4B5D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rsid w:val="004B5D22"/>
    <w:rPr>
      <w:rFonts w:ascii="Courier New" w:hAnsi="Courier New" w:cs="Courier New"/>
      <w:sz w:val="20"/>
      <w:szCs w:val="20"/>
    </w:rPr>
  </w:style>
  <w:style w:type="paragraph" w:styleId="2">
    <w:name w:val="Body Text First Indent 2"/>
    <w:basedOn w:val="a6"/>
    <w:next w:val="a"/>
    <w:link w:val="2Char"/>
    <w:uiPriority w:val="99"/>
    <w:qFormat/>
    <w:rsid w:val="004B5D22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styleId="a9">
    <w:name w:val="page number"/>
    <w:uiPriority w:val="99"/>
    <w:qFormat/>
    <w:rsid w:val="004B5D22"/>
    <w:rPr>
      <w:rFonts w:cs="Times New Roman"/>
    </w:rPr>
  </w:style>
  <w:style w:type="character" w:customStyle="1" w:styleId="Char">
    <w:name w:val="正文文本 Char"/>
    <w:link w:val="a4"/>
    <w:uiPriority w:val="99"/>
    <w:semiHidden/>
    <w:qFormat/>
    <w:locked/>
    <w:rsid w:val="004B5D22"/>
    <w:rPr>
      <w:rFonts w:cs="Calibri"/>
      <w:sz w:val="21"/>
      <w:szCs w:val="21"/>
    </w:rPr>
  </w:style>
  <w:style w:type="character" w:customStyle="1" w:styleId="Char0">
    <w:name w:val="正文首行缩进 Char"/>
    <w:basedOn w:val="Char"/>
    <w:link w:val="a5"/>
    <w:uiPriority w:val="99"/>
    <w:semiHidden/>
    <w:qFormat/>
    <w:locked/>
    <w:rsid w:val="004B5D22"/>
    <w:rPr>
      <w:rFonts w:cs="Calibri"/>
      <w:sz w:val="21"/>
      <w:szCs w:val="21"/>
    </w:rPr>
  </w:style>
  <w:style w:type="character" w:customStyle="1" w:styleId="Char1">
    <w:name w:val="正文文本缩进 Char"/>
    <w:link w:val="a6"/>
    <w:uiPriority w:val="99"/>
    <w:semiHidden/>
    <w:qFormat/>
    <w:locked/>
    <w:rsid w:val="004B5D22"/>
    <w:rPr>
      <w:rFonts w:cs="Calibri"/>
      <w:sz w:val="21"/>
      <w:szCs w:val="21"/>
    </w:rPr>
  </w:style>
  <w:style w:type="character" w:customStyle="1" w:styleId="Char2">
    <w:name w:val="页脚 Char"/>
    <w:link w:val="a7"/>
    <w:uiPriority w:val="99"/>
    <w:semiHidden/>
    <w:qFormat/>
    <w:locked/>
    <w:rsid w:val="004B5D22"/>
    <w:rPr>
      <w:rFonts w:cs="Calibri"/>
      <w:sz w:val="18"/>
      <w:szCs w:val="18"/>
    </w:rPr>
  </w:style>
  <w:style w:type="character" w:customStyle="1" w:styleId="Char3">
    <w:name w:val="页眉 Char"/>
    <w:link w:val="a8"/>
    <w:uiPriority w:val="99"/>
    <w:semiHidden/>
    <w:qFormat/>
    <w:locked/>
    <w:rsid w:val="004B5D22"/>
    <w:rPr>
      <w:rFonts w:cs="Calibri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qFormat/>
    <w:locked/>
    <w:rsid w:val="004B5D22"/>
    <w:rPr>
      <w:rFonts w:ascii="Courier New" w:hAnsi="Courier New" w:cs="Courier New"/>
      <w:sz w:val="20"/>
      <w:szCs w:val="20"/>
    </w:rPr>
  </w:style>
  <w:style w:type="character" w:customStyle="1" w:styleId="2Char">
    <w:name w:val="正文首行缩进 2 Char"/>
    <w:basedOn w:val="Char1"/>
    <w:link w:val="2"/>
    <w:uiPriority w:val="99"/>
    <w:semiHidden/>
    <w:qFormat/>
    <w:locked/>
    <w:rsid w:val="004B5D22"/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3605</Words>
  <Characters>20553</Characters>
  <Application>Microsoft Office Word</Application>
  <DocSecurity>0</DocSecurity>
  <Lines>171</Lines>
  <Paragraphs>48</Paragraphs>
  <ScaleCrop>false</ScaleCrop>
  <Company/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Tol灬erence</dc:creator>
  <cp:lastModifiedBy>ASUS</cp:lastModifiedBy>
  <cp:revision>14</cp:revision>
  <cp:lastPrinted>2024-02-28T07:47:00Z</cp:lastPrinted>
  <dcterms:created xsi:type="dcterms:W3CDTF">2022-01-28T02:17:00Z</dcterms:created>
  <dcterms:modified xsi:type="dcterms:W3CDTF">2024-02-28T07:47:00Z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E7756DECAA1D400D8E5E6072F7C1783C</vt:lpwstr>
  </property>
</Properties>
</file>