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50340">
      <w:pPr>
        <w:spacing w:line="600" w:lineRule="exact"/>
        <w:ind w:left="420" w:firstLine="640"/>
        <w:jc w:val="center"/>
      </w:pPr>
      <w:bookmarkStart w:id="0" w:name="_Toc175056347"/>
      <w:bookmarkStart w:id="1" w:name="_Toc170414282"/>
      <w:bookmarkStart w:id="2" w:name="_Toc14459"/>
      <w:bookmarkStart w:id="3" w:name="_Toc27999"/>
      <w:bookmarkStart w:id="4" w:name="_Toc26122"/>
      <w:bookmarkStart w:id="5" w:name="_Toc28572"/>
      <w:bookmarkStart w:id="6" w:name="_Toc26742"/>
    </w:p>
    <w:p w14:paraId="5E174C34">
      <w:pPr>
        <w:spacing w:line="600" w:lineRule="exact"/>
        <w:ind w:left="420" w:firstLine="640"/>
        <w:jc w:val="center"/>
      </w:pPr>
    </w:p>
    <w:p w14:paraId="0B8647DD">
      <w:pPr>
        <w:spacing w:line="600" w:lineRule="exact"/>
        <w:ind w:left="420" w:firstLine="640"/>
        <w:jc w:val="center"/>
      </w:pPr>
    </w:p>
    <w:p w14:paraId="3AB1685E">
      <w:pPr>
        <w:spacing w:line="600" w:lineRule="exact"/>
        <w:ind w:left="420" w:firstLine="640"/>
        <w:jc w:val="center"/>
      </w:pPr>
    </w:p>
    <w:p w14:paraId="28A74687">
      <w:pPr>
        <w:spacing w:line="600" w:lineRule="exact"/>
        <w:ind w:left="420" w:firstLine="640"/>
        <w:jc w:val="center"/>
      </w:pPr>
    </w:p>
    <w:p w14:paraId="1AE84B1E">
      <w:pPr>
        <w:spacing w:line="300" w:lineRule="exact"/>
        <w:ind w:firstLine="640"/>
      </w:pPr>
    </w:p>
    <w:p w14:paraId="48CE8844">
      <w:pPr>
        <w:spacing w:line="540" w:lineRule="exact"/>
        <w:ind w:left="420" w:firstLine="640"/>
        <w:jc w:val="center"/>
      </w:pPr>
    </w:p>
    <w:p w14:paraId="29AE9D15">
      <w:pPr>
        <w:pStyle w:val="13"/>
        <w:ind w:left="640"/>
      </w:pPr>
    </w:p>
    <w:p w14:paraId="09625A59">
      <w:pPr>
        <w:spacing w:line="600" w:lineRule="exact"/>
        <w:ind w:firstLine="0" w:firstLineChars="0"/>
        <w:jc w:val="center"/>
        <w:rPr>
          <w:szCs w:val="32"/>
          <w:lang w:eastAsia="zh-CN"/>
        </w:rPr>
      </w:pPr>
      <w:r>
        <w:rPr>
          <w:rFonts w:hint="eastAsia"/>
          <w:szCs w:val="32"/>
          <w:lang w:eastAsia="zh-CN"/>
        </w:rPr>
        <w:t>安府办发〔</w:t>
      </w:r>
      <w:r>
        <w:rPr>
          <w:szCs w:val="32"/>
          <w:lang w:eastAsia="zh-CN"/>
        </w:rPr>
        <w:t>2024</w:t>
      </w:r>
      <w:r>
        <w:rPr>
          <w:rFonts w:hint="eastAsia"/>
          <w:szCs w:val="32"/>
          <w:lang w:eastAsia="zh-CN"/>
        </w:rPr>
        <w:t>〕</w:t>
      </w:r>
      <w:r>
        <w:rPr>
          <w:szCs w:val="32"/>
          <w:lang w:eastAsia="zh-CN"/>
        </w:rPr>
        <w:t>8</w:t>
      </w:r>
      <w:r>
        <w:rPr>
          <w:rFonts w:hint="eastAsia"/>
          <w:szCs w:val="32"/>
          <w:lang w:eastAsia="zh-CN"/>
        </w:rPr>
        <w:t>号</w:t>
      </w:r>
    </w:p>
    <w:p w14:paraId="387810B0">
      <w:pPr>
        <w:spacing w:line="700" w:lineRule="exact"/>
        <w:ind w:left="420" w:firstLine="640"/>
        <w:jc w:val="center"/>
        <w:rPr>
          <w:lang w:eastAsia="zh-CN"/>
        </w:rPr>
      </w:pPr>
    </w:p>
    <w:p w14:paraId="6A9A7F74">
      <w:pPr>
        <w:widowControl/>
        <w:spacing w:line="660" w:lineRule="exact"/>
        <w:ind w:firstLine="0" w:firstLineChars="0"/>
        <w:jc w:val="center"/>
        <w:rPr>
          <w:rFonts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安岳县人民政府办公室</w:t>
      </w:r>
    </w:p>
    <w:p w14:paraId="038A7691">
      <w:pPr>
        <w:widowControl/>
        <w:spacing w:line="660" w:lineRule="exact"/>
        <w:ind w:firstLine="0" w:firstLineChars="0"/>
        <w:jc w:val="center"/>
        <w:rPr>
          <w:rFonts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关于印发《安岳县建筑垃圾污染环境防治专项规划（</w:t>
      </w:r>
      <w:r>
        <w:rPr>
          <w:rFonts w:ascii="方正小标宋_GBK" w:hAnsi="方正小标宋_GBK" w:eastAsia="方正小标宋_GBK" w:cs="方正小标宋_GBK"/>
          <w:sz w:val="44"/>
          <w:szCs w:val="44"/>
          <w:lang w:eastAsia="zh-CN"/>
        </w:rPr>
        <w:t>2024-2035</w:t>
      </w:r>
      <w:r>
        <w:rPr>
          <w:rFonts w:hint="eastAsia" w:ascii="方正小标宋_GBK" w:hAnsi="方正小标宋_GBK" w:eastAsia="方正小标宋_GBK" w:cs="方正小标宋_GBK"/>
          <w:sz w:val="44"/>
          <w:szCs w:val="44"/>
          <w:lang w:eastAsia="zh-CN"/>
        </w:rPr>
        <w:t>年）》的通知</w:t>
      </w:r>
    </w:p>
    <w:p w14:paraId="20392043">
      <w:pPr>
        <w:widowControl/>
        <w:spacing w:line="400" w:lineRule="exact"/>
        <w:ind w:firstLine="640"/>
        <w:jc w:val="left"/>
        <w:rPr>
          <w:rFonts w:cs="Times New Roman"/>
          <w:szCs w:val="32"/>
          <w:lang w:eastAsia="zh-CN"/>
        </w:rPr>
      </w:pPr>
    </w:p>
    <w:p w14:paraId="3AD49646">
      <w:pPr>
        <w:widowControl/>
        <w:ind w:firstLine="0" w:firstLineChars="0"/>
        <w:jc w:val="left"/>
        <w:rPr>
          <w:rFonts w:cs="Times New Roman"/>
          <w:szCs w:val="32"/>
          <w:lang w:eastAsia="zh-CN"/>
        </w:rPr>
      </w:pPr>
      <w:r>
        <w:rPr>
          <w:rFonts w:hint="eastAsia" w:cs="Times New Roman"/>
          <w:szCs w:val="32"/>
          <w:lang w:eastAsia="zh-CN"/>
        </w:rPr>
        <w:t>各乡镇（街道）人民政府（办事处），安岳经开区管委会，县级各部门（单位）：</w:t>
      </w:r>
    </w:p>
    <w:p w14:paraId="5F5F4A1C">
      <w:pPr>
        <w:widowControl/>
        <w:ind w:firstLine="640"/>
        <w:jc w:val="left"/>
        <w:rPr>
          <w:rFonts w:cs="Times New Roman"/>
          <w:szCs w:val="32"/>
          <w:lang w:eastAsia="zh-CN"/>
        </w:rPr>
      </w:pPr>
      <w:r>
        <w:rPr>
          <w:rFonts w:hint="eastAsia" w:cs="Times New Roman"/>
          <w:szCs w:val="32"/>
          <w:lang w:eastAsia="zh-CN"/>
        </w:rPr>
        <w:t>经县政府同意，现将《安岳县建筑垃圾污染环境防治专项规划（</w:t>
      </w:r>
      <w:r>
        <w:rPr>
          <w:rFonts w:cs="Times New Roman"/>
          <w:szCs w:val="32"/>
          <w:lang w:eastAsia="zh-CN"/>
        </w:rPr>
        <w:t>2024-2035</w:t>
      </w:r>
      <w:r>
        <w:rPr>
          <w:rFonts w:hint="eastAsia" w:cs="Times New Roman"/>
          <w:szCs w:val="32"/>
          <w:lang w:eastAsia="zh-CN"/>
        </w:rPr>
        <w:t>年）》印发给你们，请认真贯彻执行。</w:t>
      </w:r>
    </w:p>
    <w:p w14:paraId="3C55F0C8">
      <w:pPr>
        <w:widowControl/>
        <w:spacing w:line="400" w:lineRule="exact"/>
        <w:ind w:firstLine="640"/>
        <w:jc w:val="left"/>
        <w:rPr>
          <w:rFonts w:cs="Times New Roman"/>
          <w:szCs w:val="32"/>
          <w:lang w:eastAsia="zh-CN"/>
        </w:rPr>
      </w:pPr>
    </w:p>
    <w:p w14:paraId="2F9194D5">
      <w:pPr>
        <w:widowControl/>
        <w:spacing w:line="400" w:lineRule="exact"/>
        <w:ind w:firstLine="640"/>
        <w:jc w:val="left"/>
        <w:rPr>
          <w:rFonts w:cs="Times New Roman"/>
          <w:szCs w:val="32"/>
          <w:lang w:eastAsia="zh-CN"/>
        </w:rPr>
      </w:pPr>
    </w:p>
    <w:p w14:paraId="6FD2CC1E">
      <w:pPr>
        <w:widowControl/>
        <w:ind w:firstLine="0" w:firstLineChars="0"/>
        <w:jc w:val="center"/>
        <w:rPr>
          <w:rFonts w:cs="Times New Roman"/>
          <w:szCs w:val="32"/>
          <w:lang w:eastAsia="zh-CN"/>
        </w:rPr>
      </w:pPr>
      <w:r>
        <w:rPr>
          <w:rFonts w:cs="Times New Roman"/>
          <w:szCs w:val="32"/>
          <w:lang w:eastAsia="zh-CN"/>
        </w:rPr>
        <w:t xml:space="preserve">                                                 </w:t>
      </w:r>
      <w:r>
        <w:rPr>
          <w:rFonts w:hint="eastAsia" w:cs="Times New Roman"/>
          <w:szCs w:val="32"/>
          <w:lang w:eastAsia="zh-CN"/>
        </w:rPr>
        <w:t>安岳县人民政府办公室</w:t>
      </w:r>
    </w:p>
    <w:p w14:paraId="63F9E282">
      <w:pPr>
        <w:widowControl/>
        <w:ind w:firstLine="0" w:firstLineChars="0"/>
        <w:jc w:val="center"/>
        <w:rPr>
          <w:rFonts w:cs="Times New Roman"/>
          <w:szCs w:val="32"/>
          <w:lang w:eastAsia="zh-CN"/>
        </w:rPr>
      </w:pPr>
      <w:r>
        <w:rPr>
          <w:rFonts w:cs="Times New Roman"/>
          <w:szCs w:val="32"/>
          <w:lang w:eastAsia="zh-CN"/>
        </w:rPr>
        <w:t xml:space="preserve">                                             2024</w:t>
      </w:r>
      <w:r>
        <w:rPr>
          <w:rFonts w:hint="eastAsia" w:cs="Times New Roman"/>
          <w:szCs w:val="32"/>
          <w:lang w:eastAsia="zh-CN"/>
        </w:rPr>
        <w:t>年</w:t>
      </w:r>
      <w:r>
        <w:rPr>
          <w:rFonts w:cs="Times New Roman"/>
          <w:szCs w:val="32"/>
          <w:lang w:eastAsia="zh-CN"/>
        </w:rPr>
        <w:t>9</w:t>
      </w:r>
      <w:r>
        <w:rPr>
          <w:rFonts w:hint="eastAsia" w:cs="Times New Roman"/>
          <w:szCs w:val="32"/>
          <w:lang w:eastAsia="zh-CN"/>
        </w:rPr>
        <w:t>月</w:t>
      </w:r>
      <w:r>
        <w:rPr>
          <w:rFonts w:cs="Times New Roman"/>
          <w:szCs w:val="32"/>
          <w:lang w:eastAsia="zh-CN"/>
        </w:rPr>
        <w:t>30</w:t>
      </w:r>
      <w:r>
        <w:rPr>
          <w:rFonts w:hint="eastAsia" w:cs="Times New Roman"/>
          <w:szCs w:val="32"/>
          <w:lang w:eastAsia="zh-CN"/>
        </w:rPr>
        <w:t>日</w:t>
      </w:r>
    </w:p>
    <w:p w14:paraId="6CE2F621">
      <w:pPr>
        <w:ind w:firstLine="0" w:firstLineChars="0"/>
        <w:jc w:val="center"/>
        <w:outlineLvl w:val="0"/>
        <w:rPr>
          <w:rFonts w:ascii="方正小标宋_GBK" w:hAnsi="黑体" w:eastAsia="方正小标宋_GBK" w:cs="黑体"/>
          <w:color w:val="auto"/>
          <w:sz w:val="44"/>
          <w:szCs w:val="44"/>
          <w:lang w:eastAsia="zh-CN"/>
        </w:rPr>
      </w:pPr>
    </w:p>
    <w:p w14:paraId="17410624">
      <w:pPr>
        <w:ind w:firstLine="0" w:firstLineChars="0"/>
        <w:jc w:val="center"/>
        <w:outlineLvl w:val="0"/>
        <w:rPr>
          <w:rFonts w:ascii="方正小标宋_GBK" w:hAnsi="黑体" w:eastAsia="方正小标宋_GBK" w:cs="黑体"/>
          <w:color w:val="auto"/>
          <w:sz w:val="44"/>
          <w:szCs w:val="44"/>
          <w:lang w:eastAsia="zh-CN"/>
        </w:rPr>
      </w:pPr>
    </w:p>
    <w:p w14:paraId="250008EA">
      <w:pPr>
        <w:ind w:firstLine="0" w:firstLineChars="0"/>
        <w:jc w:val="center"/>
        <w:outlineLvl w:val="0"/>
        <w:rPr>
          <w:rFonts w:ascii="方正小标宋_GBK" w:hAnsi="黑体" w:eastAsia="方正小标宋_GBK" w:cs="黑体"/>
          <w:color w:val="auto"/>
          <w:sz w:val="44"/>
          <w:szCs w:val="44"/>
          <w:lang w:eastAsia="zh-CN"/>
        </w:rPr>
      </w:pPr>
    </w:p>
    <w:p w14:paraId="53F37246">
      <w:pPr>
        <w:ind w:firstLine="0" w:firstLineChars="0"/>
        <w:jc w:val="center"/>
        <w:outlineLvl w:val="0"/>
        <w:rPr>
          <w:rFonts w:ascii="方正小标宋_GBK" w:hAnsi="黑体" w:eastAsia="方正小标宋_GBK" w:cs="黑体"/>
          <w:color w:val="auto"/>
          <w:sz w:val="44"/>
          <w:szCs w:val="44"/>
          <w:lang w:eastAsia="zh-CN"/>
        </w:rPr>
      </w:pPr>
    </w:p>
    <w:p w14:paraId="3FA93874">
      <w:pPr>
        <w:ind w:firstLine="0" w:firstLineChars="0"/>
        <w:jc w:val="center"/>
        <w:outlineLvl w:val="0"/>
        <w:rPr>
          <w:rFonts w:ascii="方正小标宋_GBK" w:hAnsi="黑体" w:eastAsia="方正小标宋_GBK" w:cs="黑体"/>
          <w:color w:val="auto"/>
          <w:sz w:val="44"/>
          <w:szCs w:val="44"/>
          <w:lang w:eastAsia="zh-CN"/>
        </w:rPr>
      </w:pPr>
    </w:p>
    <w:p w14:paraId="04751714">
      <w:pPr>
        <w:ind w:firstLine="0" w:firstLineChars="0"/>
        <w:jc w:val="center"/>
        <w:outlineLvl w:val="0"/>
        <w:rPr>
          <w:rFonts w:ascii="方正小标宋_GBK" w:hAnsi="黑体" w:eastAsia="方正小标宋_GBK" w:cs="黑体"/>
          <w:color w:val="auto"/>
          <w:sz w:val="44"/>
          <w:szCs w:val="44"/>
          <w:lang w:eastAsia="zh-CN"/>
        </w:rPr>
      </w:pPr>
    </w:p>
    <w:p w14:paraId="64CFB6D4">
      <w:pPr>
        <w:ind w:firstLine="0" w:firstLineChars="0"/>
        <w:jc w:val="center"/>
        <w:outlineLvl w:val="0"/>
        <w:rPr>
          <w:rFonts w:ascii="方正小标宋_GBK" w:hAnsi="黑体" w:eastAsia="方正小标宋_GBK" w:cs="黑体"/>
          <w:color w:val="auto"/>
          <w:sz w:val="44"/>
          <w:szCs w:val="44"/>
          <w:lang w:eastAsia="zh-CN"/>
        </w:rPr>
      </w:pPr>
    </w:p>
    <w:p w14:paraId="64BBA6E4">
      <w:pPr>
        <w:ind w:firstLine="0" w:firstLineChars="0"/>
        <w:jc w:val="center"/>
        <w:outlineLvl w:val="0"/>
        <w:rPr>
          <w:rFonts w:ascii="方正小标宋_GBK" w:hAnsi="黑体" w:eastAsia="方正小标宋_GBK" w:cs="黑体"/>
          <w:color w:val="auto"/>
          <w:sz w:val="44"/>
          <w:szCs w:val="44"/>
          <w:lang w:eastAsia="zh-CN"/>
        </w:rPr>
      </w:pPr>
    </w:p>
    <w:p w14:paraId="32039066">
      <w:pPr>
        <w:ind w:firstLine="0" w:firstLineChars="0"/>
        <w:jc w:val="center"/>
        <w:outlineLvl w:val="0"/>
        <w:rPr>
          <w:rFonts w:ascii="方正小标宋_GBK" w:hAnsi="黑体" w:eastAsia="方正小标宋_GBK" w:cs="黑体"/>
          <w:color w:val="auto"/>
          <w:sz w:val="44"/>
          <w:szCs w:val="44"/>
          <w:lang w:eastAsia="zh-CN"/>
        </w:rPr>
      </w:pPr>
    </w:p>
    <w:p w14:paraId="53D89753">
      <w:pPr>
        <w:ind w:firstLine="0" w:firstLineChars="0"/>
        <w:jc w:val="center"/>
        <w:outlineLvl w:val="0"/>
        <w:rPr>
          <w:rFonts w:ascii="方正小标宋_GBK" w:hAnsi="黑体" w:eastAsia="方正小标宋_GBK" w:cs="黑体"/>
          <w:color w:val="auto"/>
          <w:sz w:val="44"/>
          <w:szCs w:val="44"/>
          <w:lang w:eastAsia="zh-CN"/>
        </w:rPr>
      </w:pPr>
    </w:p>
    <w:p w14:paraId="149090F3">
      <w:pPr>
        <w:ind w:firstLine="0" w:firstLineChars="0"/>
        <w:jc w:val="center"/>
        <w:outlineLvl w:val="0"/>
        <w:rPr>
          <w:rFonts w:ascii="方正小标宋_GBK" w:hAnsi="黑体" w:eastAsia="方正小标宋_GBK" w:cs="黑体"/>
          <w:color w:val="auto"/>
          <w:sz w:val="44"/>
          <w:szCs w:val="44"/>
          <w:lang w:eastAsia="zh-CN"/>
        </w:rPr>
      </w:pPr>
    </w:p>
    <w:p w14:paraId="21188BE9">
      <w:pPr>
        <w:ind w:firstLine="0" w:firstLineChars="0"/>
        <w:jc w:val="center"/>
        <w:outlineLvl w:val="0"/>
        <w:rPr>
          <w:rFonts w:ascii="方正小标宋_GBK" w:hAnsi="黑体" w:eastAsia="方正小标宋_GBK" w:cs="黑体"/>
          <w:color w:val="auto"/>
          <w:sz w:val="44"/>
          <w:szCs w:val="44"/>
          <w:lang w:eastAsia="zh-CN"/>
        </w:rPr>
      </w:pPr>
    </w:p>
    <w:p w14:paraId="6E358222">
      <w:pPr>
        <w:ind w:firstLine="0" w:firstLineChars="0"/>
        <w:jc w:val="center"/>
        <w:outlineLvl w:val="0"/>
        <w:rPr>
          <w:rFonts w:ascii="方正小标宋_GBK" w:hAnsi="黑体" w:eastAsia="方正小标宋_GBK" w:cs="黑体"/>
          <w:color w:val="auto"/>
          <w:sz w:val="44"/>
          <w:szCs w:val="44"/>
          <w:lang w:eastAsia="zh-CN"/>
        </w:rPr>
      </w:pPr>
    </w:p>
    <w:p w14:paraId="1DA04DCF">
      <w:pPr>
        <w:ind w:firstLine="0" w:firstLineChars="0"/>
        <w:jc w:val="center"/>
        <w:outlineLvl w:val="0"/>
        <w:rPr>
          <w:rFonts w:ascii="方正小标宋_GBK" w:hAnsi="黑体" w:eastAsia="方正小标宋_GBK" w:cs="黑体"/>
          <w:color w:val="auto"/>
          <w:sz w:val="44"/>
          <w:szCs w:val="44"/>
          <w:lang w:eastAsia="zh-CN"/>
        </w:rPr>
      </w:pPr>
    </w:p>
    <w:p w14:paraId="1A8774D8">
      <w:pPr>
        <w:ind w:firstLine="0" w:firstLineChars="0"/>
        <w:jc w:val="center"/>
        <w:outlineLvl w:val="0"/>
        <w:rPr>
          <w:rFonts w:ascii="方正小标宋_GBK" w:hAnsi="黑体" w:eastAsia="方正小标宋_GBK" w:cs="黑体"/>
          <w:color w:val="auto"/>
          <w:sz w:val="44"/>
          <w:szCs w:val="44"/>
          <w:lang w:eastAsia="zh-CN"/>
        </w:rPr>
      </w:pPr>
    </w:p>
    <w:p w14:paraId="02DA57EE">
      <w:pPr>
        <w:ind w:firstLine="0" w:firstLineChars="0"/>
        <w:jc w:val="center"/>
        <w:outlineLvl w:val="0"/>
        <w:rPr>
          <w:rFonts w:ascii="方正小标宋_GBK" w:hAnsi="黑体" w:eastAsia="方正小标宋_GBK" w:cs="黑体"/>
          <w:color w:val="auto"/>
          <w:sz w:val="44"/>
          <w:szCs w:val="44"/>
          <w:lang w:eastAsia="zh-CN"/>
        </w:rPr>
      </w:pPr>
    </w:p>
    <w:p w14:paraId="3D7E4EC9">
      <w:pPr>
        <w:ind w:firstLine="0" w:firstLineChars="0"/>
        <w:jc w:val="center"/>
        <w:outlineLvl w:val="0"/>
        <w:rPr>
          <w:rFonts w:ascii="方正小标宋_GBK" w:hAnsi="黑体" w:eastAsia="方正小标宋_GBK" w:cs="黑体"/>
          <w:color w:val="auto"/>
          <w:sz w:val="44"/>
          <w:szCs w:val="44"/>
          <w:lang w:eastAsia="zh-CN"/>
        </w:rPr>
      </w:pPr>
      <w:bookmarkStart w:id="96" w:name="_GoBack"/>
      <w:bookmarkEnd w:id="96"/>
    </w:p>
    <w:p w14:paraId="4CA7C58F">
      <w:pPr>
        <w:ind w:firstLine="0" w:firstLineChars="0"/>
        <w:jc w:val="center"/>
        <w:outlineLvl w:val="0"/>
        <w:rPr>
          <w:rFonts w:ascii="方正小标宋_GBK" w:hAnsi="黑体" w:eastAsia="方正小标宋_GBK" w:cs="黑体"/>
          <w:color w:val="auto"/>
          <w:sz w:val="44"/>
          <w:szCs w:val="44"/>
          <w:lang w:eastAsia="zh-CN"/>
        </w:rPr>
      </w:pPr>
    </w:p>
    <w:p w14:paraId="4EEF1562">
      <w:pPr>
        <w:ind w:firstLine="0" w:firstLineChars="0"/>
        <w:jc w:val="center"/>
        <w:outlineLvl w:val="0"/>
        <w:rPr>
          <w:rFonts w:ascii="方正小标宋_GBK" w:hAnsi="黑体" w:eastAsia="方正小标宋_GBK" w:cs="黑体"/>
          <w:color w:val="auto"/>
          <w:sz w:val="44"/>
          <w:szCs w:val="44"/>
          <w:lang w:eastAsia="zh-CN"/>
        </w:rPr>
      </w:pPr>
    </w:p>
    <w:p w14:paraId="48DB47BC">
      <w:pPr>
        <w:spacing w:line="240" w:lineRule="exact"/>
        <w:ind w:firstLine="0" w:firstLineChars="0"/>
        <w:jc w:val="center"/>
        <w:outlineLvl w:val="0"/>
        <w:rPr>
          <w:rFonts w:ascii="方正小标宋_GBK" w:hAnsi="黑体" w:eastAsia="方正小标宋_GBK" w:cs="黑体"/>
          <w:color w:val="auto"/>
          <w:sz w:val="44"/>
          <w:szCs w:val="44"/>
          <w:lang w:eastAsia="zh-CN"/>
        </w:rPr>
      </w:pPr>
    </w:p>
    <w:p w14:paraId="287AC40B">
      <w:pPr>
        <w:ind w:firstLine="160" w:firstLineChars="50"/>
        <w:rPr>
          <w:rFonts w:eastAsia="方正小标宋_GBK"/>
          <w:sz w:val="28"/>
          <w:szCs w:val="28"/>
          <w:lang w:eastAsia="zh-CN"/>
        </w:rPr>
      </w:pPr>
      <w:r>
        <w:rPr>
          <w:lang w:eastAsia="zh-CN"/>
        </w:rPr>
        <w:pict>
          <v:line id="_x0000_s1026" o:spid="_x0000_s1026" o:spt="20" style="position:absolute;left:0pt;margin-left:0pt;margin-top:4.8pt;height:0pt;width:441pt;z-index:251666432;mso-width-relative:page;mso-height-relative:page;" coordsize="21600,21600" o:gfxdata="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Zx9/NMAAAAEAQAADwAAAAAAAAABACAAAAAiAAAAZHJzL2Rvd25yZXYueG1sUEsBAhQAFAAA&#10;AAgAh07iQIqnOKn0AQAA6QMAAA4AAAAAAAAAAQAgAAAAIgEAAGRycy9lMm9Eb2MueG1sUEsFBgAA&#10;AAAGAAYAWQEAAIgFAAAAAA==&#10;">
            <v:path arrowok="t"/>
            <v:fill focussize="0,0"/>
            <v:stroke weight="1pt"/>
            <v:imagedata o:title=""/>
            <o:lock v:ext="edit"/>
          </v:line>
        </w:pict>
      </w:r>
      <w:r>
        <w:rPr>
          <w:rFonts w:hint="eastAsia" w:eastAsia="方正黑体_GBK"/>
          <w:sz w:val="28"/>
          <w:szCs w:val="28"/>
          <w:lang w:eastAsia="zh-CN"/>
        </w:rPr>
        <w:t>信息公开选项：</w:t>
      </w:r>
      <w:r>
        <w:rPr>
          <w:rFonts w:hint="eastAsia" w:eastAsia="方正小标宋_GBK"/>
          <w:sz w:val="28"/>
          <w:szCs w:val="28"/>
          <w:lang w:eastAsia="zh-CN"/>
        </w:rPr>
        <w:t>主动公开</w:t>
      </w:r>
    </w:p>
    <w:p w14:paraId="0A4CD2FB">
      <w:pPr>
        <w:spacing w:line="640" w:lineRule="exact"/>
        <w:ind w:firstLine="160" w:firstLineChars="50"/>
        <w:rPr>
          <w:lang w:eastAsia="zh-CN"/>
        </w:rPr>
      </w:pPr>
      <w:r>
        <w:rPr>
          <w:lang w:eastAsia="zh-CN"/>
        </w:rPr>
        <w:pict>
          <v:line id="_x0000_s1027" o:spid="_x0000_s1027" o:spt="20" style="position:absolute;left:0pt;margin-left:-0.25pt;margin-top:31.45pt;height:0pt;width:441pt;z-index:251667456;mso-width-relative:page;mso-height-relative:page;" coordsize="21600,21600" o:gfxdata="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JG7V1AAAAAcBAAAPAAAAAAAAAAEAIAAAACIAAABkcnMvZG93bnJldi54bWxQSwECFAAU&#10;AAAACACHTuJAgHw63PUBAADpAwAADgAAAAAAAAABACAAAAAjAQAAZHJzL2Uyb0RvYy54bWxQSwUG&#10;AAAAAAYABgBZAQAAigUAAAAA&#10;">
            <v:path arrowok="t"/>
            <v:fill focussize="0,0"/>
            <v:stroke weight="1pt"/>
            <v:imagedata o:title=""/>
            <o:lock v:ext="edit"/>
          </v:line>
        </w:pict>
      </w:r>
      <w:r>
        <w:rPr>
          <w:lang w:eastAsia="zh-CN"/>
        </w:rPr>
        <w:pict>
          <v:line id="_x0000_s1028" o:spid="_x0000_s1028" o:spt="20" style="position:absolute;left:0pt;margin-left:0pt;margin-top:1.65pt;height:0pt;width:441pt;z-index:251668480;mso-width-relative:page;mso-height-relative:page;" coordsize="21600,21600" o:gfxdata="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uvWU9MAAAAEAQAADwAAAAAAAAABACAAAAAiAAAAZHJzL2Rvd25yZXYueG1sUEsBAhQAFAAA&#10;AAgAh07iQPZ0oFL0AQAA6QMAAA4AAAAAAAAAAQAgAAAAIgEAAGRycy9lMm9Eb2MueG1sUEsFBgAA&#10;AAAGAAYAWQEAAIgFAAAAAA==&#10;">
            <v:path arrowok="t"/>
            <v:fill focussize="0,0"/>
            <v:stroke weight="1pt"/>
            <v:imagedata o:title=""/>
            <o:lock v:ext="edit"/>
          </v:line>
        </w:pict>
      </w:r>
      <w:r>
        <w:rPr>
          <w:rFonts w:hint="eastAsia"/>
          <w:sz w:val="28"/>
          <w:szCs w:val="28"/>
          <w:lang w:eastAsia="zh-CN"/>
        </w:rPr>
        <w:t>安岳县人民政府办公室</w:t>
      </w:r>
      <w:r>
        <w:rPr>
          <w:sz w:val="28"/>
          <w:szCs w:val="28"/>
          <w:lang w:eastAsia="zh-CN"/>
        </w:rPr>
        <w:t xml:space="preserve">                                           2024</w:t>
      </w:r>
      <w:r>
        <w:rPr>
          <w:rFonts w:hint="eastAsia"/>
          <w:sz w:val="28"/>
          <w:szCs w:val="28"/>
          <w:lang w:eastAsia="zh-CN"/>
        </w:rPr>
        <w:t>年</w:t>
      </w:r>
      <w:r>
        <w:rPr>
          <w:sz w:val="28"/>
          <w:szCs w:val="28"/>
          <w:lang w:eastAsia="zh-CN"/>
        </w:rPr>
        <w:t>9</w:t>
      </w:r>
      <w:r>
        <w:rPr>
          <w:rFonts w:hint="eastAsia"/>
          <w:sz w:val="28"/>
          <w:szCs w:val="28"/>
          <w:lang w:eastAsia="zh-CN"/>
        </w:rPr>
        <w:t>月</w:t>
      </w:r>
      <w:r>
        <w:rPr>
          <w:sz w:val="28"/>
          <w:szCs w:val="28"/>
          <w:lang w:eastAsia="zh-CN"/>
        </w:rPr>
        <w:t>30</w:t>
      </w:r>
      <w:r>
        <w:rPr>
          <w:rFonts w:hint="eastAsia"/>
          <w:sz w:val="28"/>
          <w:szCs w:val="28"/>
          <w:lang w:eastAsia="zh-CN"/>
        </w:rPr>
        <w:t>日印发</w:t>
      </w:r>
    </w:p>
    <w:p w14:paraId="2C59E79F">
      <w:pPr>
        <w:ind w:firstLine="0" w:firstLineChars="0"/>
        <w:jc w:val="center"/>
        <w:outlineLvl w:val="0"/>
        <w:rPr>
          <w:rFonts w:ascii="方正小标宋_GBK" w:hAnsi="黑体" w:eastAsia="方正小标宋_GBK" w:cs="黑体"/>
          <w:color w:val="auto"/>
          <w:sz w:val="44"/>
          <w:szCs w:val="44"/>
          <w:lang w:eastAsia="zh-CN"/>
        </w:rPr>
        <w:sectPr>
          <w:headerReference r:id="rId7" w:type="first"/>
          <w:footerReference r:id="rId10" w:type="first"/>
          <w:headerReference r:id="rId5" w:type="default"/>
          <w:footerReference r:id="rId8" w:type="default"/>
          <w:headerReference r:id="rId6" w:type="even"/>
          <w:footerReference r:id="rId9" w:type="even"/>
          <w:pgSz w:w="11907" w:h="16840"/>
          <w:pgMar w:top="2155" w:right="1531" w:bottom="1814" w:left="1531" w:header="851" w:footer="1588" w:gutter="0"/>
          <w:pgNumType w:fmt="numberInDash"/>
          <w:cols w:space="0" w:num="1"/>
          <w:docGrid w:linePitch="408" w:charSpace="0"/>
        </w:sectPr>
      </w:pPr>
    </w:p>
    <w:p w14:paraId="456C41F6">
      <w:pPr>
        <w:ind w:firstLine="0" w:firstLineChars="0"/>
        <w:jc w:val="center"/>
        <w:outlineLvl w:val="0"/>
        <w:rPr>
          <w:rFonts w:ascii="方正小标宋_GBK" w:hAnsi="黑体" w:eastAsia="方正小标宋_GBK" w:cs="黑体"/>
          <w:color w:val="auto"/>
          <w:sz w:val="44"/>
          <w:szCs w:val="44"/>
          <w:lang w:eastAsia="zh-CN"/>
        </w:rPr>
      </w:pPr>
      <w:r>
        <w:rPr>
          <w:rFonts w:hint="eastAsia" w:ascii="方正小标宋_GBK" w:hAnsi="黑体" w:eastAsia="方正小标宋_GBK" w:cs="黑体"/>
          <w:color w:val="auto"/>
          <w:sz w:val="44"/>
          <w:szCs w:val="44"/>
          <w:lang w:eastAsia="zh-CN"/>
        </w:rPr>
        <w:t>安岳县建筑垃圾</w:t>
      </w:r>
      <w:bookmarkEnd w:id="0"/>
      <w:bookmarkEnd w:id="1"/>
      <w:bookmarkEnd w:id="2"/>
      <w:bookmarkEnd w:id="3"/>
      <w:bookmarkEnd w:id="4"/>
      <w:bookmarkEnd w:id="5"/>
      <w:bookmarkEnd w:id="6"/>
      <w:bookmarkStart w:id="7" w:name="_Toc8373"/>
      <w:bookmarkStart w:id="8" w:name="_Toc8921"/>
      <w:bookmarkStart w:id="9" w:name="_Toc32054"/>
      <w:bookmarkStart w:id="10" w:name="_Toc170414283"/>
      <w:bookmarkStart w:id="11" w:name="_Toc175056348"/>
      <w:bookmarkStart w:id="12" w:name="_Toc25047"/>
      <w:bookmarkStart w:id="13" w:name="_Toc19594"/>
      <w:r>
        <w:rPr>
          <w:rFonts w:hint="eastAsia" w:ascii="方正小标宋_GBK" w:hAnsi="黑体" w:eastAsia="方正小标宋_GBK" w:cs="黑体"/>
          <w:color w:val="auto"/>
          <w:sz w:val="44"/>
          <w:szCs w:val="44"/>
          <w:lang w:eastAsia="zh-CN"/>
        </w:rPr>
        <w:t>污染环境防治专项规划</w:t>
      </w:r>
    </w:p>
    <w:p w14:paraId="588740E3">
      <w:pPr>
        <w:ind w:firstLine="0" w:firstLineChars="0"/>
        <w:jc w:val="center"/>
        <w:outlineLvl w:val="0"/>
        <w:rPr>
          <w:rFonts w:ascii="方正小标宋_GBK" w:hAnsi="黑体" w:eastAsia="方正小标宋_GBK" w:cs="黑体"/>
          <w:color w:val="auto"/>
          <w:sz w:val="44"/>
          <w:szCs w:val="44"/>
          <w:lang w:eastAsia="zh-CN"/>
        </w:rPr>
      </w:pPr>
      <w:r>
        <w:rPr>
          <w:rFonts w:hint="eastAsia" w:ascii="方正小标宋_GBK" w:hAnsi="黑体" w:eastAsia="方正小标宋_GBK" w:cs="黑体"/>
          <w:color w:val="auto"/>
          <w:sz w:val="44"/>
          <w:szCs w:val="44"/>
          <w:lang w:eastAsia="zh-CN"/>
        </w:rPr>
        <w:t>（</w:t>
      </w:r>
      <w:r>
        <w:rPr>
          <w:rFonts w:ascii="方正小标宋_GBK" w:hAnsi="黑体" w:eastAsia="方正小标宋_GBK" w:cs="黑体"/>
          <w:color w:val="auto"/>
          <w:sz w:val="44"/>
          <w:szCs w:val="44"/>
          <w:lang w:eastAsia="zh-CN"/>
        </w:rPr>
        <w:t>2024</w:t>
      </w:r>
      <w:r>
        <w:rPr>
          <w:rFonts w:hint="eastAsia" w:ascii="方正小标宋_GBK" w:hAnsi="黑体" w:eastAsia="方正小标宋_GBK" w:cs="黑体"/>
          <w:color w:val="auto"/>
          <w:sz w:val="44"/>
          <w:szCs w:val="44"/>
          <w:lang w:eastAsia="zh-CN"/>
        </w:rPr>
        <w:t>﹣</w:t>
      </w:r>
      <w:r>
        <w:rPr>
          <w:rFonts w:ascii="方正小标宋_GBK" w:hAnsi="黑体" w:eastAsia="方正小标宋_GBK" w:cs="黑体"/>
          <w:color w:val="auto"/>
          <w:sz w:val="44"/>
          <w:szCs w:val="44"/>
          <w:lang w:eastAsia="zh-CN"/>
        </w:rPr>
        <w:t>2035</w:t>
      </w:r>
      <w:r>
        <w:rPr>
          <w:rFonts w:hint="eastAsia" w:ascii="方正小标宋_GBK" w:hAnsi="黑体" w:eastAsia="方正小标宋_GBK" w:cs="黑体"/>
          <w:color w:val="auto"/>
          <w:sz w:val="44"/>
          <w:szCs w:val="44"/>
          <w:lang w:eastAsia="zh-CN"/>
        </w:rPr>
        <w:t>年）</w:t>
      </w:r>
      <w:bookmarkEnd w:id="7"/>
      <w:bookmarkEnd w:id="8"/>
      <w:bookmarkEnd w:id="9"/>
      <w:bookmarkEnd w:id="10"/>
      <w:bookmarkEnd w:id="11"/>
      <w:bookmarkEnd w:id="12"/>
      <w:bookmarkEnd w:id="13"/>
    </w:p>
    <w:p w14:paraId="05BD5D19">
      <w:pPr>
        <w:ind w:firstLine="0" w:firstLineChars="0"/>
        <w:jc w:val="center"/>
        <w:outlineLvl w:val="0"/>
        <w:rPr>
          <w:rFonts w:ascii="方正小标宋_GBK" w:hAnsi="黑体" w:eastAsia="方正小标宋_GBK" w:cs="黑体"/>
          <w:color w:val="auto"/>
          <w:sz w:val="44"/>
          <w:szCs w:val="44"/>
          <w:lang w:eastAsia="zh-CN"/>
        </w:rPr>
      </w:pPr>
    </w:p>
    <w:p w14:paraId="37194C92">
      <w:pPr>
        <w:ind w:firstLine="640"/>
        <w:rPr>
          <w:color w:val="auto"/>
          <w:lang w:eastAsia="zh-CN"/>
        </w:rPr>
      </w:pPr>
    </w:p>
    <w:p w14:paraId="3AEDD373">
      <w:pPr>
        <w:ind w:firstLine="640"/>
        <w:rPr>
          <w:color w:val="auto"/>
          <w:lang w:eastAsia="zh-CN"/>
        </w:rPr>
      </w:pPr>
    </w:p>
    <w:p w14:paraId="7AB87B11">
      <w:pPr>
        <w:pStyle w:val="29"/>
        <w:ind w:left="640" w:firstLine="420"/>
      </w:pPr>
    </w:p>
    <w:p w14:paraId="6AFDED9A">
      <w:pPr>
        <w:ind w:firstLine="640"/>
        <w:rPr>
          <w:color w:val="auto"/>
          <w:lang w:eastAsia="zh-CN"/>
        </w:rPr>
      </w:pPr>
    </w:p>
    <w:p w14:paraId="272FAED2">
      <w:pPr>
        <w:ind w:firstLine="640"/>
        <w:rPr>
          <w:color w:val="auto"/>
          <w:lang w:eastAsia="zh-CN"/>
        </w:rPr>
      </w:pPr>
    </w:p>
    <w:p w14:paraId="067903FB">
      <w:pPr>
        <w:ind w:firstLine="640"/>
        <w:rPr>
          <w:color w:val="auto"/>
          <w:lang w:eastAsia="zh-CN"/>
        </w:rPr>
      </w:pPr>
    </w:p>
    <w:p w14:paraId="4B3F23EE">
      <w:pPr>
        <w:ind w:firstLine="640"/>
        <w:rPr>
          <w:color w:val="auto"/>
          <w:lang w:eastAsia="zh-CN"/>
        </w:rPr>
      </w:pPr>
    </w:p>
    <w:p w14:paraId="47569F28">
      <w:pPr>
        <w:ind w:firstLine="640"/>
        <w:rPr>
          <w:color w:val="auto"/>
          <w:lang w:eastAsia="zh-CN"/>
        </w:rPr>
      </w:pPr>
    </w:p>
    <w:p w14:paraId="3451456F">
      <w:pPr>
        <w:ind w:firstLine="640"/>
        <w:rPr>
          <w:color w:val="auto"/>
          <w:lang w:eastAsia="zh-CN"/>
        </w:rPr>
      </w:pPr>
    </w:p>
    <w:p w14:paraId="59A619CB">
      <w:pPr>
        <w:ind w:firstLine="640"/>
        <w:rPr>
          <w:color w:val="auto"/>
          <w:lang w:eastAsia="zh-CN"/>
        </w:rPr>
      </w:pPr>
    </w:p>
    <w:p w14:paraId="4838903A">
      <w:pPr>
        <w:ind w:firstLine="640"/>
        <w:rPr>
          <w:color w:val="auto"/>
          <w:lang w:eastAsia="zh-CN"/>
        </w:rPr>
      </w:pPr>
    </w:p>
    <w:p w14:paraId="361CA8C0">
      <w:pPr>
        <w:ind w:firstLine="640"/>
        <w:rPr>
          <w:color w:val="auto"/>
          <w:lang w:eastAsia="zh-CN"/>
        </w:rPr>
      </w:pPr>
    </w:p>
    <w:p w14:paraId="4D0AAD9B">
      <w:pPr>
        <w:ind w:firstLine="640"/>
        <w:rPr>
          <w:color w:val="auto"/>
          <w:lang w:eastAsia="zh-CN"/>
        </w:rPr>
      </w:pPr>
    </w:p>
    <w:p w14:paraId="12A18CF3">
      <w:pPr>
        <w:ind w:firstLine="640"/>
        <w:rPr>
          <w:color w:val="auto"/>
          <w:lang w:eastAsia="zh-CN"/>
        </w:rPr>
      </w:pPr>
    </w:p>
    <w:p w14:paraId="2956F9F1">
      <w:pPr>
        <w:ind w:firstLine="0" w:firstLineChars="0"/>
        <w:jc w:val="center"/>
        <w:outlineLvl w:val="0"/>
        <w:rPr>
          <w:rFonts w:ascii="方正小标宋_GBK" w:hAnsi="黑体" w:eastAsia="方正小标宋_GBK" w:cs="黑体"/>
          <w:color w:val="auto"/>
          <w:sz w:val="44"/>
          <w:szCs w:val="44"/>
          <w:lang w:eastAsia="zh-CN"/>
        </w:rPr>
      </w:pPr>
      <w:bookmarkStart w:id="14" w:name="_Toc25891"/>
      <w:bookmarkStart w:id="15" w:name="_Toc25784"/>
      <w:bookmarkStart w:id="16" w:name="_Toc175056350"/>
      <w:bookmarkStart w:id="17" w:name="_Toc170414286"/>
      <w:r>
        <w:rPr>
          <w:rFonts w:hint="eastAsia" w:ascii="方正小标宋_GBK" w:hAnsi="黑体" w:eastAsia="方正小标宋_GBK" w:cs="黑体"/>
          <w:color w:val="auto"/>
          <w:sz w:val="44"/>
          <w:szCs w:val="44"/>
          <w:lang w:eastAsia="zh-CN"/>
        </w:rPr>
        <w:t>安岳县人民政府</w:t>
      </w:r>
      <w:bookmarkEnd w:id="14"/>
      <w:bookmarkEnd w:id="15"/>
      <w:bookmarkEnd w:id="16"/>
      <w:bookmarkEnd w:id="17"/>
    </w:p>
    <w:p w14:paraId="6B015870">
      <w:pPr>
        <w:ind w:firstLine="0" w:firstLineChars="0"/>
        <w:jc w:val="center"/>
        <w:outlineLvl w:val="0"/>
        <w:rPr>
          <w:rFonts w:ascii="方正小标宋_GBK" w:hAnsi="黑体" w:eastAsia="方正小标宋_GBK" w:cs="黑体"/>
          <w:color w:val="auto"/>
          <w:sz w:val="44"/>
          <w:szCs w:val="44"/>
          <w:lang w:eastAsia="zh-CN"/>
        </w:rPr>
      </w:pPr>
      <w:bookmarkStart w:id="18" w:name="_Toc175056351"/>
      <w:bookmarkStart w:id="19" w:name="_Toc14199"/>
      <w:bookmarkStart w:id="20" w:name="_Toc2796"/>
      <w:bookmarkStart w:id="21" w:name="_Toc170414287"/>
      <w:r>
        <w:rPr>
          <w:rFonts w:hint="eastAsia" w:ascii="方正小标宋_GBK" w:hAnsi="黑体" w:eastAsia="方正小标宋_GBK" w:cs="黑体"/>
          <w:color w:val="auto"/>
          <w:sz w:val="44"/>
          <w:szCs w:val="44"/>
          <w:lang w:eastAsia="zh-CN"/>
        </w:rPr>
        <w:t>二〇二四年九月</w:t>
      </w:r>
      <w:bookmarkEnd w:id="18"/>
      <w:bookmarkEnd w:id="19"/>
      <w:bookmarkEnd w:id="20"/>
      <w:bookmarkEnd w:id="21"/>
    </w:p>
    <w:p w14:paraId="75FC9E6B">
      <w:pPr>
        <w:ind w:firstLine="0" w:firstLineChars="0"/>
        <w:jc w:val="center"/>
        <w:outlineLvl w:val="0"/>
        <w:rPr>
          <w:rFonts w:ascii="方正小标宋_GBK" w:hAnsi="黑体" w:eastAsia="方正小标宋_GBK" w:cs="黑体"/>
          <w:b/>
          <w:bCs/>
          <w:color w:val="auto"/>
          <w:sz w:val="44"/>
          <w:szCs w:val="44"/>
          <w:lang w:eastAsia="zh-CN"/>
        </w:rPr>
      </w:pPr>
      <w:bookmarkStart w:id="22" w:name="_Toc9556"/>
      <w:bookmarkStart w:id="23" w:name="_Toc175056352"/>
      <w:bookmarkStart w:id="24" w:name="_Toc5295"/>
    </w:p>
    <w:bookmarkEnd w:id="22"/>
    <w:bookmarkEnd w:id="23"/>
    <w:bookmarkEnd w:id="24"/>
    <w:p w14:paraId="4D211AD6">
      <w:pPr>
        <w:spacing w:line="660" w:lineRule="exact"/>
        <w:ind w:firstLine="0" w:firstLineChars="0"/>
        <w:rPr>
          <w:rFonts w:cs="Times New Roman"/>
          <w:color w:val="auto"/>
          <w:sz w:val="36"/>
          <w:szCs w:val="36"/>
          <w:lang w:eastAsia="zh-CN"/>
        </w:rPr>
        <w:sectPr>
          <w:footerReference r:id="rId11" w:type="default"/>
          <w:pgSz w:w="11907" w:h="16840"/>
          <w:pgMar w:top="2155" w:right="1531" w:bottom="1814" w:left="1531" w:header="851" w:footer="1588" w:gutter="0"/>
          <w:cols w:space="0" w:num="1"/>
          <w:docGrid w:linePitch="408" w:charSpace="0"/>
        </w:sectPr>
      </w:pPr>
    </w:p>
    <w:p w14:paraId="1C6C60DB">
      <w:pPr>
        <w:pStyle w:val="2"/>
        <w:rPr>
          <w:b w:val="0"/>
          <w:bCs w:val="0"/>
          <w:lang w:eastAsia="zh-CN"/>
        </w:rPr>
      </w:pPr>
      <w:r>
        <w:rPr>
          <w:rFonts w:hint="eastAsia"/>
          <w:b w:val="0"/>
          <w:bCs w:val="0"/>
          <w:lang w:val="zh-CN" w:eastAsia="zh-CN"/>
        </w:rPr>
        <w:t>目</w:t>
      </w:r>
      <w:r>
        <w:rPr>
          <w:b w:val="0"/>
          <w:bCs w:val="0"/>
          <w:lang w:eastAsia="zh-CN"/>
        </w:rPr>
        <w:t xml:space="preserve">  </w:t>
      </w:r>
      <w:r>
        <w:rPr>
          <w:rFonts w:hint="eastAsia"/>
          <w:b w:val="0"/>
          <w:bCs w:val="0"/>
          <w:lang w:val="zh-CN" w:eastAsia="zh-CN"/>
        </w:rPr>
        <w:t>录</w:t>
      </w:r>
    </w:p>
    <w:p w14:paraId="40FA652B">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TOC \o "1-3" \h \z \u </w:instrText>
      </w:r>
      <w:r>
        <w:fldChar w:fldCharType="separate"/>
      </w:r>
      <w:r>
        <w:fldChar w:fldCharType="begin"/>
      </w:r>
      <w:r>
        <w:instrText xml:space="preserve"> HYPERLINK \l "_Toc175056355" </w:instrText>
      </w:r>
      <w:r>
        <w:fldChar w:fldCharType="separate"/>
      </w:r>
      <w:r>
        <w:rPr>
          <w:rStyle w:val="19"/>
          <w:rFonts w:hint="eastAsia" w:ascii="黑体" w:hAnsi="黑体" w:cs="黑体"/>
          <w:lang w:eastAsia="zh-CN"/>
        </w:rPr>
        <w:t>第一章</w:t>
      </w:r>
      <w:r>
        <w:rPr>
          <w:rStyle w:val="19"/>
          <w:rFonts w:ascii="黑体" w:hAnsi="黑体" w:cs="黑体"/>
          <w:lang w:eastAsia="zh-CN"/>
        </w:rPr>
        <w:t xml:space="preserve"> </w:t>
      </w:r>
      <w:r>
        <w:rPr>
          <w:rStyle w:val="19"/>
          <w:rFonts w:hint="eastAsia" w:ascii="黑体" w:hAnsi="黑体" w:cs="黑体"/>
          <w:lang w:eastAsia="zh-CN"/>
        </w:rPr>
        <w:t>规划背景</w:t>
      </w:r>
      <w:r>
        <w:tab/>
      </w:r>
      <w:r>
        <w:fldChar w:fldCharType="begin"/>
      </w:r>
      <w:r>
        <w:instrText xml:space="preserve"> PAGEREF _Toc175056355 \h </w:instrText>
      </w:r>
      <w:r>
        <w:fldChar w:fldCharType="separate"/>
      </w:r>
      <w:r>
        <w:t>- 1 -</w:t>
      </w:r>
      <w:r>
        <w:fldChar w:fldCharType="end"/>
      </w:r>
      <w:r>
        <w:fldChar w:fldCharType="end"/>
      </w:r>
    </w:p>
    <w:p w14:paraId="79C424C1">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"_Toc175056356" </w:instrText>
      </w:r>
      <w:r>
        <w:fldChar w:fldCharType="separate"/>
      </w:r>
      <w:r>
        <w:rPr>
          <w:rStyle w:val="19"/>
          <w:rFonts w:hint="eastAsia" w:cs="Arial"/>
          <w:lang w:eastAsia="zh-CN"/>
        </w:rPr>
        <w:t>第一节</w:t>
      </w:r>
      <w:r>
        <w:rPr>
          <w:rStyle w:val="19"/>
          <w:rFonts w:cs="Arial"/>
          <w:lang w:eastAsia="zh-CN"/>
        </w:rPr>
        <w:t xml:space="preserve"> </w:t>
      </w:r>
      <w:r>
        <w:rPr>
          <w:rStyle w:val="19"/>
          <w:rFonts w:hint="eastAsia" w:cs="Arial"/>
          <w:lang w:eastAsia="zh-CN"/>
        </w:rPr>
        <w:t>政策背景</w:t>
      </w:r>
      <w:r>
        <w:tab/>
      </w:r>
      <w:r>
        <w:fldChar w:fldCharType="begin"/>
      </w:r>
      <w:r>
        <w:instrText xml:space="preserve"> PAGEREF _Toc175056356 \h </w:instrText>
      </w:r>
      <w:r>
        <w:fldChar w:fldCharType="separate"/>
      </w:r>
      <w:r>
        <w:t>- 1 -</w:t>
      </w:r>
      <w:r>
        <w:fldChar w:fldCharType="end"/>
      </w:r>
      <w:r>
        <w:fldChar w:fldCharType="end"/>
      </w:r>
    </w:p>
    <w:p w14:paraId="01BAEF1B">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"_Toc175056357"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安岳县概况</w:t>
      </w:r>
      <w:r>
        <w:tab/>
      </w:r>
      <w:r>
        <w:fldChar w:fldCharType="begin"/>
      </w:r>
      <w:r>
        <w:instrText xml:space="preserve"> PAGEREF _Toc175056357 \h </w:instrText>
      </w:r>
      <w:r>
        <w:fldChar w:fldCharType="separate"/>
      </w:r>
      <w:r>
        <w:t>- 2 -</w:t>
      </w:r>
      <w:r>
        <w:fldChar w:fldCharType="end"/>
      </w:r>
      <w:r>
        <w:fldChar w:fldCharType="end"/>
      </w:r>
    </w:p>
    <w:p w14:paraId="4686A4E7">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"_Toc175056358" </w:instrText>
      </w:r>
      <w:r>
        <w:fldChar w:fldCharType="separate"/>
      </w:r>
      <w:r>
        <w:rPr>
          <w:rStyle w:val="19"/>
          <w:rFonts w:hint="eastAsia" w:cs="Arial"/>
          <w:lang w:eastAsia="zh-CN"/>
        </w:rPr>
        <w:t>第三节</w:t>
      </w:r>
      <w:r>
        <w:rPr>
          <w:rStyle w:val="19"/>
          <w:rFonts w:cs="Arial"/>
          <w:lang w:eastAsia="zh-CN"/>
        </w:rPr>
        <w:t xml:space="preserve"> </w:t>
      </w:r>
      <w:r>
        <w:rPr>
          <w:rStyle w:val="19"/>
          <w:rFonts w:hint="eastAsia" w:cs="Arial"/>
          <w:lang w:eastAsia="zh-CN"/>
        </w:rPr>
        <w:t>上位及相关规划</w:t>
      </w:r>
      <w:r>
        <w:tab/>
      </w:r>
      <w:r>
        <w:fldChar w:fldCharType="begin"/>
      </w:r>
      <w:r>
        <w:instrText xml:space="preserve"> PAGEREF _Toc175056358 \h </w:instrText>
      </w:r>
      <w:r>
        <w:fldChar w:fldCharType="separate"/>
      </w:r>
      <w:r>
        <w:t>- 3 -</w:t>
      </w:r>
      <w:r>
        <w:fldChar w:fldCharType="end"/>
      </w:r>
      <w:r>
        <w:fldChar w:fldCharType="end"/>
      </w:r>
    </w:p>
    <w:p w14:paraId="5A752182">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"_Toc175056359" </w:instrText>
      </w:r>
      <w:r>
        <w:fldChar w:fldCharType="separate"/>
      </w:r>
      <w:r>
        <w:rPr>
          <w:rStyle w:val="19"/>
          <w:rFonts w:hint="eastAsia" w:cs="Arial"/>
          <w:lang w:eastAsia="zh-CN"/>
        </w:rPr>
        <w:t>第四节</w:t>
      </w:r>
      <w:r>
        <w:rPr>
          <w:rStyle w:val="19"/>
          <w:rFonts w:cs="Arial"/>
          <w:lang w:eastAsia="zh-CN"/>
        </w:rPr>
        <w:t xml:space="preserve"> </w:t>
      </w:r>
      <w:r>
        <w:rPr>
          <w:rStyle w:val="19"/>
          <w:rFonts w:hint="eastAsia" w:cs="Arial"/>
          <w:lang w:eastAsia="zh-CN"/>
        </w:rPr>
        <w:t>建筑垃圾现状</w:t>
      </w:r>
      <w:r>
        <w:tab/>
      </w:r>
      <w:r>
        <w:fldChar w:fldCharType="begin"/>
      </w:r>
      <w:r>
        <w:instrText xml:space="preserve"> PAGEREF _Toc175056359 \h </w:instrText>
      </w:r>
      <w:r>
        <w:fldChar w:fldCharType="separate"/>
      </w:r>
      <w:r>
        <w:t>- 3 -</w:t>
      </w:r>
      <w:r>
        <w:fldChar w:fldCharType="end"/>
      </w:r>
      <w:r>
        <w:fldChar w:fldCharType="end"/>
      </w:r>
    </w:p>
    <w:p w14:paraId="1FEB65C1">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"_Toc175056360" </w:instrText>
      </w:r>
      <w:r>
        <w:fldChar w:fldCharType="separate"/>
      </w:r>
      <w:r>
        <w:rPr>
          <w:rStyle w:val="19"/>
          <w:rFonts w:hint="eastAsia" w:cs="Arial"/>
          <w:lang w:eastAsia="zh-CN"/>
        </w:rPr>
        <w:t>第五节</w:t>
      </w:r>
      <w:r>
        <w:rPr>
          <w:rStyle w:val="19"/>
          <w:rFonts w:cs="Arial"/>
          <w:lang w:eastAsia="zh-CN"/>
        </w:rPr>
        <w:t xml:space="preserve"> </w:t>
      </w:r>
      <w:r>
        <w:rPr>
          <w:rStyle w:val="19"/>
          <w:rFonts w:hint="eastAsia" w:cs="Arial"/>
          <w:lang w:eastAsia="zh-CN"/>
        </w:rPr>
        <w:t>产业发展现状</w:t>
      </w:r>
      <w:r>
        <w:tab/>
      </w:r>
      <w:r>
        <w:fldChar w:fldCharType="begin"/>
      </w:r>
      <w:r>
        <w:instrText xml:space="preserve"> PAGEREF _Toc175056360 \h </w:instrText>
      </w:r>
      <w:r>
        <w:fldChar w:fldCharType="separate"/>
      </w:r>
      <w:r>
        <w:t>- 5 -</w:t>
      </w:r>
      <w:r>
        <w:fldChar w:fldCharType="end"/>
      </w:r>
      <w:r>
        <w:fldChar w:fldCharType="end"/>
      </w:r>
    </w:p>
    <w:p w14:paraId="2B7A7233">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"_Toc175056361" </w:instrText>
      </w:r>
      <w:r>
        <w:fldChar w:fldCharType="separate"/>
      </w:r>
      <w:r>
        <w:rPr>
          <w:rStyle w:val="19"/>
          <w:rFonts w:hint="eastAsia" w:cs="Arial"/>
          <w:lang w:eastAsia="zh-CN"/>
        </w:rPr>
        <w:t>第六节</w:t>
      </w:r>
      <w:r>
        <w:rPr>
          <w:rStyle w:val="19"/>
          <w:rFonts w:cs="Arial"/>
          <w:lang w:eastAsia="zh-CN"/>
        </w:rPr>
        <w:t xml:space="preserve"> </w:t>
      </w:r>
      <w:r>
        <w:rPr>
          <w:rStyle w:val="19"/>
          <w:rFonts w:hint="eastAsia" w:cs="Arial"/>
          <w:lang w:eastAsia="zh-CN"/>
        </w:rPr>
        <w:t>现状主要问题</w:t>
      </w:r>
      <w:r>
        <w:tab/>
      </w:r>
      <w:r>
        <w:fldChar w:fldCharType="begin"/>
      </w:r>
      <w:r>
        <w:instrText xml:space="preserve"> PAGEREF _Toc175056361 \h </w:instrText>
      </w:r>
      <w:r>
        <w:fldChar w:fldCharType="separate"/>
      </w:r>
      <w:r>
        <w:t>- 5 -</w:t>
      </w:r>
      <w:r>
        <w:fldChar w:fldCharType="end"/>
      </w:r>
      <w:r>
        <w:fldChar w:fldCharType="end"/>
      </w:r>
    </w:p>
    <w:p w14:paraId="3E3A64E9">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"_Toc175056362" </w:instrText>
      </w:r>
      <w:r>
        <w:fldChar w:fldCharType="separate"/>
      </w:r>
      <w:r>
        <w:rPr>
          <w:rStyle w:val="19"/>
          <w:rFonts w:hint="eastAsia" w:ascii="黑体" w:hAnsi="黑体" w:cs="黑体"/>
          <w:lang w:eastAsia="zh-CN"/>
        </w:rPr>
        <w:t>第二章</w:t>
      </w:r>
      <w:r>
        <w:rPr>
          <w:rStyle w:val="19"/>
          <w:rFonts w:ascii="黑体" w:hAnsi="黑体" w:cs="黑体"/>
          <w:lang w:eastAsia="zh-CN"/>
        </w:rPr>
        <w:t xml:space="preserve"> </w:t>
      </w:r>
      <w:r>
        <w:rPr>
          <w:rStyle w:val="19"/>
          <w:rFonts w:hint="eastAsia" w:ascii="黑体" w:hAnsi="黑体" w:cs="黑体"/>
          <w:lang w:eastAsia="zh-CN"/>
        </w:rPr>
        <w:t>规划总则</w:t>
      </w:r>
      <w:r>
        <w:tab/>
      </w:r>
      <w:r>
        <w:fldChar w:fldCharType="begin"/>
      </w:r>
      <w:r>
        <w:instrText xml:space="preserve"> PAGEREF _Toc175056362 \h </w:instrText>
      </w:r>
      <w:r>
        <w:fldChar w:fldCharType="separate"/>
      </w:r>
      <w:r>
        <w:t>- 7 -</w:t>
      </w:r>
      <w:r>
        <w:fldChar w:fldCharType="end"/>
      </w:r>
      <w:r>
        <w:fldChar w:fldCharType="end"/>
      </w:r>
    </w:p>
    <w:p w14:paraId="78B94F9F">
      <w:pPr>
        <w:pStyle w:val="11"/>
        <w:tabs>
          <w:tab w:val="right" w:leader="dot" w:pos="8306"/>
        </w:tabs>
        <w:ind w:left="0" w:leftChars="0" w:firstLine="640"/>
        <w:rPr>
          <w:rFonts w:ascii="Calibri" w:hAnsi="Calibri" w:eastAsia="宋体" w:cs="Times New Roman"/>
          <w:color w:val="auto"/>
          <w:kern w:val="2"/>
          <w:sz w:val="21"/>
          <w:szCs w:val="22"/>
          <w:lang w:eastAsia="zh-CN"/>
        </w:rPr>
      </w:pPr>
      <w:r>
        <w:fldChar w:fldCharType="begin"/>
      </w:r>
      <w:r>
        <w:instrText xml:space="preserve"> HYPERLINK \l "_Toc175056363" </w:instrText>
      </w:r>
      <w:r>
        <w:fldChar w:fldCharType="separate"/>
      </w:r>
      <w:r>
        <w:rPr>
          <w:rStyle w:val="19"/>
          <w:rFonts w:hint="eastAsia" w:cs="Arial"/>
          <w:lang w:eastAsia="zh-CN"/>
        </w:rPr>
        <w:t>第一节</w:t>
      </w:r>
      <w:r>
        <w:rPr>
          <w:rStyle w:val="19"/>
          <w:rFonts w:cs="Arial"/>
          <w:lang w:eastAsia="zh-CN"/>
        </w:rPr>
        <w:t xml:space="preserve"> </w:t>
      </w:r>
      <w:r>
        <w:rPr>
          <w:rStyle w:val="19"/>
          <w:rFonts w:hint="eastAsia" w:cs="Arial"/>
          <w:lang w:eastAsia="zh-CN"/>
        </w:rPr>
        <w:t>指导思想</w:t>
      </w:r>
      <w:r>
        <w:tab/>
      </w:r>
      <w:r>
        <w:fldChar w:fldCharType="begin"/>
      </w:r>
      <w:r>
        <w:instrText xml:space="preserve"> PAGEREF _Toc175056363 \h </w:instrText>
      </w:r>
      <w:r>
        <w:fldChar w:fldCharType="separate"/>
      </w:r>
      <w:r>
        <w:t>- 7 -</w:t>
      </w:r>
      <w:r>
        <w:fldChar w:fldCharType="end"/>
      </w:r>
      <w:r>
        <w:fldChar w:fldCharType="end"/>
      </w:r>
    </w:p>
    <w:p w14:paraId="4BA70F9A">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"_Toc175056364"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规划原则</w:t>
      </w:r>
      <w:r>
        <w:tab/>
      </w:r>
      <w:r>
        <w:fldChar w:fldCharType="begin"/>
      </w:r>
      <w:r>
        <w:instrText xml:space="preserve"> PAGEREF _Toc175056364 \h </w:instrText>
      </w:r>
      <w:r>
        <w:fldChar w:fldCharType="separate"/>
      </w:r>
      <w:r>
        <w:t>- 7 -</w:t>
      </w:r>
      <w:r>
        <w:fldChar w:fldCharType="end"/>
      </w:r>
      <w:r>
        <w:fldChar w:fldCharType="end"/>
      </w:r>
    </w:p>
    <w:p w14:paraId="783E5618">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"_Toc175056365" </w:instrText>
      </w:r>
      <w:r>
        <w:fldChar w:fldCharType="separate"/>
      </w:r>
      <w:r>
        <w:rPr>
          <w:rStyle w:val="19"/>
          <w:rFonts w:hint="eastAsia" w:cs="Arial"/>
          <w:lang w:eastAsia="zh-CN"/>
        </w:rPr>
        <w:t>第三节</w:t>
      </w:r>
      <w:r>
        <w:rPr>
          <w:rStyle w:val="19"/>
          <w:rFonts w:cs="Arial"/>
          <w:lang w:eastAsia="zh-CN"/>
        </w:rPr>
        <w:t xml:space="preserve"> </w:t>
      </w:r>
      <w:r>
        <w:rPr>
          <w:rStyle w:val="19"/>
          <w:rFonts w:hint="eastAsia" w:cs="Arial"/>
          <w:lang w:eastAsia="zh-CN"/>
        </w:rPr>
        <w:t>规划依据</w:t>
      </w:r>
      <w:r>
        <w:tab/>
      </w:r>
      <w:r>
        <w:fldChar w:fldCharType="begin"/>
      </w:r>
      <w:r>
        <w:instrText xml:space="preserve"> PAGEREF _Toc175056365 \h </w:instrText>
      </w:r>
      <w:r>
        <w:fldChar w:fldCharType="separate"/>
      </w:r>
      <w:r>
        <w:t>- 8 -</w:t>
      </w:r>
      <w:r>
        <w:fldChar w:fldCharType="end"/>
      </w:r>
      <w:r>
        <w:fldChar w:fldCharType="end"/>
      </w:r>
    </w:p>
    <w:p w14:paraId="7B42BED2">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"_Toc175056366" </w:instrText>
      </w:r>
      <w:r>
        <w:fldChar w:fldCharType="separate"/>
      </w:r>
      <w:r>
        <w:rPr>
          <w:rStyle w:val="19"/>
          <w:rFonts w:hint="eastAsia" w:cs="Arial"/>
          <w:lang w:eastAsia="zh-CN"/>
        </w:rPr>
        <w:t>第四节</w:t>
      </w:r>
      <w:r>
        <w:rPr>
          <w:rStyle w:val="19"/>
          <w:rFonts w:cs="Arial"/>
          <w:lang w:eastAsia="zh-CN"/>
        </w:rPr>
        <w:t xml:space="preserve"> </w:t>
      </w:r>
      <w:r>
        <w:rPr>
          <w:rStyle w:val="19"/>
          <w:rFonts w:hint="eastAsia" w:cs="Arial"/>
          <w:lang w:eastAsia="zh-CN"/>
        </w:rPr>
        <w:t>规划期限和范围</w:t>
      </w:r>
      <w:r>
        <w:tab/>
      </w:r>
      <w:r>
        <w:fldChar w:fldCharType="begin"/>
      </w:r>
      <w:r>
        <w:instrText xml:space="preserve"> PAGEREF _Toc175056366 \h </w:instrText>
      </w:r>
      <w:r>
        <w:fldChar w:fldCharType="separate"/>
      </w:r>
      <w:r>
        <w:t>- 10 -</w:t>
      </w:r>
      <w:r>
        <w:fldChar w:fldCharType="end"/>
      </w:r>
      <w:r>
        <w:fldChar w:fldCharType="end"/>
      </w:r>
    </w:p>
    <w:p w14:paraId="137824EF">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"_Toc175056367" </w:instrText>
      </w:r>
      <w:r>
        <w:fldChar w:fldCharType="separate"/>
      </w:r>
      <w:r>
        <w:rPr>
          <w:rStyle w:val="19"/>
          <w:rFonts w:hint="eastAsia" w:ascii="黑体" w:hAnsi="黑体" w:cs="黑体"/>
          <w:lang w:eastAsia="zh-CN"/>
        </w:rPr>
        <w:t>第三章</w:t>
      </w:r>
      <w:r>
        <w:rPr>
          <w:rStyle w:val="19"/>
          <w:rFonts w:ascii="黑体" w:hAnsi="黑体" w:cs="黑体"/>
          <w:lang w:eastAsia="zh-CN"/>
        </w:rPr>
        <w:t xml:space="preserve"> </w:t>
      </w:r>
      <w:r>
        <w:rPr>
          <w:rStyle w:val="19"/>
          <w:rFonts w:hint="eastAsia" w:ascii="黑体" w:hAnsi="黑体" w:cs="黑体"/>
          <w:lang w:eastAsia="zh-CN"/>
        </w:rPr>
        <w:t>规划目标</w:t>
      </w:r>
      <w:r>
        <w:tab/>
      </w:r>
      <w:r>
        <w:fldChar w:fldCharType="begin"/>
      </w:r>
      <w:r>
        <w:instrText xml:space="preserve"> PAGEREF _Toc175056367 \h </w:instrText>
      </w:r>
      <w:r>
        <w:fldChar w:fldCharType="separate"/>
      </w:r>
      <w:r>
        <w:t>- 11 -</w:t>
      </w:r>
      <w:r>
        <w:fldChar w:fldCharType="end"/>
      </w:r>
      <w:r>
        <w:fldChar w:fldCharType="end"/>
      </w:r>
    </w:p>
    <w:p w14:paraId="6D6B5209">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"_Toc175056368" </w:instrText>
      </w:r>
      <w:r>
        <w:fldChar w:fldCharType="separate"/>
      </w:r>
      <w:r>
        <w:rPr>
          <w:rStyle w:val="19"/>
          <w:rFonts w:hint="eastAsia" w:cs="Arial"/>
          <w:lang w:eastAsia="zh-CN"/>
        </w:rPr>
        <w:t>第一节</w:t>
      </w:r>
      <w:r>
        <w:rPr>
          <w:rStyle w:val="19"/>
          <w:rFonts w:cs="Arial"/>
          <w:lang w:eastAsia="zh-CN"/>
        </w:rPr>
        <w:t xml:space="preserve"> </w:t>
      </w:r>
      <w:r>
        <w:rPr>
          <w:rStyle w:val="19"/>
          <w:rFonts w:hint="eastAsia" w:cs="Arial"/>
          <w:lang w:eastAsia="zh-CN"/>
        </w:rPr>
        <w:t>规划思路</w:t>
      </w:r>
      <w:r>
        <w:tab/>
      </w:r>
      <w:r>
        <w:fldChar w:fldCharType="begin"/>
      </w:r>
      <w:r>
        <w:instrText xml:space="preserve"> PAGEREF _Toc175056368 \h </w:instrText>
      </w:r>
      <w:r>
        <w:fldChar w:fldCharType="separate"/>
      </w:r>
      <w:r>
        <w:t>- 11 -</w:t>
      </w:r>
      <w:r>
        <w:fldChar w:fldCharType="end"/>
      </w:r>
      <w:r>
        <w:fldChar w:fldCharType="end"/>
      </w:r>
    </w:p>
    <w:p w14:paraId="7FA195AD">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"_Toc175056369"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规划对象</w:t>
      </w:r>
      <w:r>
        <w:tab/>
      </w:r>
      <w:r>
        <w:fldChar w:fldCharType="begin"/>
      </w:r>
      <w:r>
        <w:instrText xml:space="preserve"> PAGEREF _Toc175056369 \h </w:instrText>
      </w:r>
      <w:r>
        <w:fldChar w:fldCharType="separate"/>
      </w:r>
      <w:r>
        <w:t>- 11 -</w:t>
      </w:r>
      <w:r>
        <w:fldChar w:fldCharType="end"/>
      </w:r>
      <w:r>
        <w:fldChar w:fldCharType="end"/>
      </w:r>
    </w:p>
    <w:p w14:paraId="73B41A38">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"_Toc175056370" </w:instrText>
      </w:r>
      <w:r>
        <w:fldChar w:fldCharType="separate"/>
      </w:r>
      <w:r>
        <w:rPr>
          <w:rStyle w:val="19"/>
          <w:rFonts w:hint="eastAsia" w:cs="Arial"/>
          <w:lang w:eastAsia="zh-CN"/>
        </w:rPr>
        <w:t>第三节</w:t>
      </w:r>
      <w:r>
        <w:rPr>
          <w:rStyle w:val="19"/>
          <w:rFonts w:cs="Arial"/>
          <w:lang w:eastAsia="zh-CN"/>
        </w:rPr>
        <w:t xml:space="preserve"> </w:t>
      </w:r>
      <w:r>
        <w:rPr>
          <w:rStyle w:val="19"/>
          <w:rFonts w:hint="eastAsia" w:cs="Arial"/>
          <w:lang w:eastAsia="zh-CN"/>
        </w:rPr>
        <w:t>规划目标及控制指标</w:t>
      </w:r>
      <w:r>
        <w:tab/>
      </w:r>
      <w:r>
        <w:fldChar w:fldCharType="begin"/>
      </w:r>
      <w:r>
        <w:instrText xml:space="preserve"> PAGEREF _Toc175056370 \h </w:instrText>
      </w:r>
      <w:r>
        <w:fldChar w:fldCharType="separate"/>
      </w:r>
      <w:r>
        <w:t>- 12 -</w:t>
      </w:r>
      <w:r>
        <w:fldChar w:fldCharType="end"/>
      </w:r>
      <w:r>
        <w:fldChar w:fldCharType="end"/>
      </w:r>
    </w:p>
    <w:p w14:paraId="6055FAA3">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"_Toc175056371" </w:instrText>
      </w:r>
      <w:r>
        <w:fldChar w:fldCharType="separate"/>
      </w:r>
      <w:r>
        <w:rPr>
          <w:rStyle w:val="19"/>
          <w:rFonts w:hint="eastAsia" w:ascii="黑体" w:hAnsi="黑体" w:cs="黑体"/>
          <w:lang w:eastAsia="zh-CN"/>
        </w:rPr>
        <w:t>第四章</w:t>
      </w:r>
      <w:r>
        <w:rPr>
          <w:rStyle w:val="19"/>
          <w:rFonts w:ascii="黑体" w:hAnsi="黑体" w:cs="黑体"/>
          <w:lang w:eastAsia="zh-CN"/>
        </w:rPr>
        <w:t xml:space="preserve"> </w:t>
      </w:r>
      <w:r>
        <w:rPr>
          <w:rStyle w:val="19"/>
          <w:rFonts w:hint="eastAsia" w:ascii="黑体" w:hAnsi="黑体" w:cs="黑体"/>
          <w:lang w:eastAsia="zh-CN"/>
        </w:rPr>
        <w:t>城市建筑垃圾发展预测</w:t>
      </w:r>
      <w:r>
        <w:tab/>
      </w:r>
      <w:r>
        <w:fldChar w:fldCharType="begin"/>
      </w:r>
      <w:r>
        <w:instrText xml:space="preserve"> PAGEREF _Toc175056371 \h </w:instrText>
      </w:r>
      <w:r>
        <w:fldChar w:fldCharType="separate"/>
      </w:r>
      <w:r>
        <w:t>- 14 -</w:t>
      </w:r>
      <w:r>
        <w:fldChar w:fldCharType="end"/>
      </w:r>
      <w:r>
        <w:fldChar w:fldCharType="end"/>
      </w:r>
    </w:p>
    <w:p w14:paraId="0F0D66C3">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"_Toc175056372" </w:instrText>
      </w:r>
      <w:r>
        <w:fldChar w:fldCharType="separate"/>
      </w:r>
      <w:r>
        <w:rPr>
          <w:rStyle w:val="19"/>
          <w:rFonts w:hint="eastAsia" w:cs="Arial"/>
          <w:lang w:eastAsia="zh-CN"/>
        </w:rPr>
        <w:t>第一节</w:t>
      </w:r>
      <w:r>
        <w:rPr>
          <w:rStyle w:val="19"/>
          <w:rFonts w:cs="Arial"/>
          <w:lang w:eastAsia="zh-CN"/>
        </w:rPr>
        <w:t xml:space="preserve"> </w:t>
      </w:r>
      <w:r>
        <w:rPr>
          <w:rStyle w:val="19"/>
          <w:rFonts w:hint="eastAsia" w:cs="Arial"/>
          <w:lang w:eastAsia="zh-CN"/>
        </w:rPr>
        <w:t>产生量预测</w:t>
      </w:r>
      <w:r>
        <w:tab/>
      </w:r>
      <w:r>
        <w:fldChar w:fldCharType="begin"/>
      </w:r>
      <w:r>
        <w:instrText xml:space="preserve"> PAGEREF _Toc175056372 \h </w:instrText>
      </w:r>
      <w:r>
        <w:fldChar w:fldCharType="separate"/>
      </w:r>
      <w:r>
        <w:t>- 14 -</w:t>
      </w:r>
      <w:r>
        <w:fldChar w:fldCharType="end"/>
      </w:r>
      <w:r>
        <w:fldChar w:fldCharType="end"/>
      </w:r>
    </w:p>
    <w:p w14:paraId="2590396E">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"_Toc175056373"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处置量预测</w:t>
      </w:r>
      <w:r>
        <w:tab/>
      </w:r>
      <w:r>
        <w:fldChar w:fldCharType="begin"/>
      </w:r>
      <w:r>
        <w:instrText xml:space="preserve"> PAGEREF _Toc175056373 \h </w:instrText>
      </w:r>
      <w:r>
        <w:fldChar w:fldCharType="separate"/>
      </w:r>
      <w:r>
        <w:t>- 16 -</w:t>
      </w:r>
      <w:r>
        <w:fldChar w:fldCharType="end"/>
      </w:r>
      <w:r>
        <w:fldChar w:fldCharType="end"/>
      </w:r>
    </w:p>
    <w:p w14:paraId="7A0F0C91">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"_Toc175056374" </w:instrText>
      </w:r>
      <w:r>
        <w:fldChar w:fldCharType="separate"/>
      </w:r>
      <w:r>
        <w:rPr>
          <w:rStyle w:val="19"/>
          <w:rFonts w:hint="eastAsia" w:ascii="黑体" w:hAnsi="黑体" w:cs="黑体"/>
          <w:lang w:eastAsia="zh-CN"/>
        </w:rPr>
        <w:t>第五章</w:t>
      </w:r>
      <w:r>
        <w:rPr>
          <w:rStyle w:val="19"/>
          <w:rFonts w:ascii="黑体" w:hAnsi="黑体" w:cs="黑体"/>
          <w:lang w:eastAsia="zh-CN"/>
        </w:rPr>
        <w:t xml:space="preserve"> </w:t>
      </w:r>
      <w:r>
        <w:rPr>
          <w:rStyle w:val="19"/>
          <w:rFonts w:hint="eastAsia" w:ascii="黑体" w:hAnsi="黑体" w:cs="黑体"/>
          <w:lang w:eastAsia="zh-CN"/>
        </w:rPr>
        <w:t>收集运输体系规划</w:t>
      </w:r>
      <w:r>
        <w:tab/>
      </w:r>
      <w:r>
        <w:fldChar w:fldCharType="begin"/>
      </w:r>
      <w:r>
        <w:instrText xml:space="preserve"> PAGEREF _Toc175056374 \h </w:instrText>
      </w:r>
      <w:r>
        <w:fldChar w:fldCharType="separate"/>
      </w:r>
      <w:r>
        <w:t>- 17 -</w:t>
      </w:r>
      <w:r>
        <w:fldChar w:fldCharType="end"/>
      </w:r>
      <w:r>
        <w:fldChar w:fldCharType="end"/>
      </w:r>
    </w:p>
    <w:p w14:paraId="489FECAD">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"_Toc175056375" </w:instrText>
      </w:r>
      <w:r>
        <w:fldChar w:fldCharType="separate"/>
      </w:r>
      <w:r>
        <w:rPr>
          <w:rStyle w:val="19"/>
          <w:rFonts w:hint="eastAsia" w:cs="Arial"/>
          <w:lang w:eastAsia="zh-CN"/>
        </w:rPr>
        <w:t>第一节</w:t>
      </w:r>
      <w:r>
        <w:rPr>
          <w:rStyle w:val="19"/>
          <w:rFonts w:cs="Arial"/>
          <w:lang w:eastAsia="zh-CN"/>
        </w:rPr>
        <w:t xml:space="preserve">  </w:t>
      </w:r>
      <w:r>
        <w:rPr>
          <w:rStyle w:val="19"/>
          <w:rFonts w:hint="eastAsia" w:cs="Arial"/>
          <w:lang w:eastAsia="zh-CN"/>
        </w:rPr>
        <w:t>建筑垃圾收运模式</w:t>
      </w:r>
      <w:r>
        <w:tab/>
      </w:r>
      <w:r>
        <w:fldChar w:fldCharType="begin"/>
      </w:r>
      <w:r>
        <w:instrText xml:space="preserve"> PAGEREF _Toc175056375 \h </w:instrText>
      </w:r>
      <w:r>
        <w:fldChar w:fldCharType="separate"/>
      </w:r>
      <w:r>
        <w:t>- 17 -</w:t>
      </w:r>
      <w:r>
        <w:fldChar w:fldCharType="end"/>
      </w:r>
      <w:r>
        <w:fldChar w:fldCharType="end"/>
      </w:r>
    </w:p>
    <w:p w14:paraId="44A1D99D">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"_Toc175056376"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建筑垃圾相关单位要求</w:t>
      </w:r>
      <w:r>
        <w:tab/>
      </w:r>
      <w:r>
        <w:fldChar w:fldCharType="begin"/>
      </w:r>
      <w:r>
        <w:instrText xml:space="preserve"> PAGEREF _Toc175056376 \h </w:instrText>
      </w:r>
      <w:r>
        <w:fldChar w:fldCharType="separate"/>
      </w:r>
      <w:r>
        <w:t>- 17 -</w:t>
      </w:r>
      <w:r>
        <w:fldChar w:fldCharType="end"/>
      </w:r>
      <w:r>
        <w:fldChar w:fldCharType="end"/>
      </w:r>
    </w:p>
    <w:p w14:paraId="4E84CF05">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"_Toc175056377" </w:instrText>
      </w:r>
      <w:r>
        <w:fldChar w:fldCharType="separate"/>
      </w:r>
      <w:r>
        <w:rPr>
          <w:rStyle w:val="19"/>
          <w:rFonts w:hint="eastAsia" w:cs="Arial"/>
          <w:lang w:eastAsia="zh-CN"/>
        </w:rPr>
        <w:t>第三节</w:t>
      </w:r>
      <w:r>
        <w:rPr>
          <w:rStyle w:val="19"/>
          <w:rFonts w:cs="Arial"/>
          <w:lang w:eastAsia="zh-CN"/>
        </w:rPr>
        <w:t xml:space="preserve"> </w:t>
      </w:r>
      <w:r>
        <w:rPr>
          <w:rStyle w:val="19"/>
          <w:rFonts w:hint="eastAsia" w:cs="Arial"/>
          <w:lang w:eastAsia="zh-CN"/>
        </w:rPr>
        <w:t>收集要求</w:t>
      </w:r>
      <w:r>
        <w:tab/>
      </w:r>
      <w:r>
        <w:fldChar w:fldCharType="begin"/>
      </w:r>
      <w:r>
        <w:instrText xml:space="preserve"> PAGEREF _Toc175056377 \h </w:instrText>
      </w:r>
      <w:r>
        <w:fldChar w:fldCharType="separate"/>
      </w:r>
      <w:r>
        <w:t>- 18 -</w:t>
      </w:r>
      <w:r>
        <w:fldChar w:fldCharType="end"/>
      </w:r>
      <w:r>
        <w:fldChar w:fldCharType="end"/>
      </w:r>
    </w:p>
    <w:p w14:paraId="6F2E7C0E">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"_Toc175056378" </w:instrText>
      </w:r>
      <w:r>
        <w:fldChar w:fldCharType="separate"/>
      </w:r>
      <w:r>
        <w:rPr>
          <w:rStyle w:val="19"/>
          <w:rFonts w:hint="eastAsia" w:cs="Arial"/>
          <w:lang w:eastAsia="zh-CN"/>
        </w:rPr>
        <w:t>第四节</w:t>
      </w:r>
      <w:r>
        <w:rPr>
          <w:rStyle w:val="19"/>
          <w:rFonts w:cs="Arial"/>
          <w:lang w:eastAsia="zh-CN"/>
        </w:rPr>
        <w:t xml:space="preserve"> </w:t>
      </w:r>
      <w:r>
        <w:rPr>
          <w:rStyle w:val="19"/>
          <w:rFonts w:hint="eastAsia" w:cs="Arial"/>
          <w:lang w:eastAsia="zh-CN"/>
        </w:rPr>
        <w:t>收运设施规划</w:t>
      </w:r>
      <w:r>
        <w:tab/>
      </w:r>
      <w:r>
        <w:fldChar w:fldCharType="begin"/>
      </w:r>
      <w:r>
        <w:instrText xml:space="preserve"> PAGEREF _Toc175056378 \h </w:instrText>
      </w:r>
      <w:r>
        <w:fldChar w:fldCharType="separate"/>
      </w:r>
      <w:r>
        <w:t>- 19 -</w:t>
      </w:r>
      <w:r>
        <w:fldChar w:fldCharType="end"/>
      </w:r>
      <w:r>
        <w:fldChar w:fldCharType="end"/>
      </w:r>
    </w:p>
    <w:p w14:paraId="7EEF8D15">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"_Toc175056379" </w:instrText>
      </w:r>
      <w:r>
        <w:fldChar w:fldCharType="separate"/>
      </w:r>
      <w:r>
        <w:rPr>
          <w:rStyle w:val="19"/>
          <w:rFonts w:hint="eastAsia" w:ascii="黑体" w:hAnsi="黑体" w:cs="黑体"/>
          <w:lang w:eastAsia="zh-CN"/>
        </w:rPr>
        <w:t>第六章</w:t>
      </w:r>
      <w:r>
        <w:rPr>
          <w:rStyle w:val="19"/>
          <w:rFonts w:ascii="黑体" w:hAnsi="黑体" w:cs="黑体"/>
          <w:lang w:eastAsia="zh-CN"/>
        </w:rPr>
        <w:t xml:space="preserve"> </w:t>
      </w:r>
      <w:r>
        <w:rPr>
          <w:rStyle w:val="19"/>
          <w:rFonts w:hint="eastAsia" w:ascii="黑体" w:hAnsi="黑体" w:cs="黑体"/>
          <w:lang w:eastAsia="zh-CN"/>
        </w:rPr>
        <w:t>处置利用体系规划</w:t>
      </w:r>
      <w:r>
        <w:tab/>
      </w:r>
      <w:r>
        <w:fldChar w:fldCharType="begin"/>
      </w:r>
      <w:r>
        <w:instrText xml:space="preserve"> PAGEREF _Toc175056379 \h </w:instrText>
      </w:r>
      <w:r>
        <w:fldChar w:fldCharType="separate"/>
      </w:r>
      <w:r>
        <w:t>- 22 -</w:t>
      </w:r>
      <w:r>
        <w:fldChar w:fldCharType="end"/>
      </w:r>
      <w:r>
        <w:fldChar w:fldCharType="end"/>
      </w:r>
    </w:p>
    <w:p w14:paraId="1C805BC3">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"_Toc175056380" </w:instrText>
      </w:r>
      <w:r>
        <w:fldChar w:fldCharType="separate"/>
      </w:r>
      <w:r>
        <w:rPr>
          <w:rStyle w:val="19"/>
          <w:rFonts w:hint="eastAsia" w:cs="Arial"/>
          <w:lang w:eastAsia="zh-CN"/>
        </w:rPr>
        <w:t>第一节</w:t>
      </w:r>
      <w:r>
        <w:rPr>
          <w:rStyle w:val="19"/>
          <w:rFonts w:cs="Arial"/>
          <w:lang w:eastAsia="zh-CN"/>
        </w:rPr>
        <w:t xml:space="preserve"> </w:t>
      </w:r>
      <w:r>
        <w:rPr>
          <w:rStyle w:val="19"/>
          <w:rFonts w:hint="eastAsia" w:cs="Arial"/>
          <w:lang w:eastAsia="zh-CN"/>
        </w:rPr>
        <w:t>技术路线</w:t>
      </w:r>
      <w:r>
        <w:tab/>
      </w:r>
      <w:r>
        <w:fldChar w:fldCharType="begin"/>
      </w:r>
      <w:r>
        <w:instrText xml:space="preserve"> PAGEREF _Toc175056380 \h </w:instrText>
      </w:r>
      <w:r>
        <w:fldChar w:fldCharType="separate"/>
      </w:r>
      <w:r>
        <w:t>- 22 -</w:t>
      </w:r>
      <w:r>
        <w:fldChar w:fldCharType="end"/>
      </w:r>
      <w:r>
        <w:fldChar w:fldCharType="end"/>
      </w:r>
    </w:p>
    <w:p w14:paraId="0F9FC97B">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"_Toc175056381"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处理方案</w:t>
      </w:r>
      <w:r>
        <w:tab/>
      </w:r>
      <w:r>
        <w:fldChar w:fldCharType="begin"/>
      </w:r>
      <w:r>
        <w:instrText xml:space="preserve"> PAGEREF _Toc175056381 \h </w:instrText>
      </w:r>
      <w:r>
        <w:fldChar w:fldCharType="separate"/>
      </w:r>
      <w:r>
        <w:t>- 23 -</w:t>
      </w:r>
      <w:r>
        <w:fldChar w:fldCharType="end"/>
      </w:r>
      <w:r>
        <w:fldChar w:fldCharType="end"/>
      </w:r>
    </w:p>
    <w:p w14:paraId="05D1FECD">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"_Toc175056382" </w:instrText>
      </w:r>
      <w:r>
        <w:fldChar w:fldCharType="separate"/>
      </w:r>
      <w:r>
        <w:rPr>
          <w:rStyle w:val="19"/>
          <w:rFonts w:hint="eastAsia" w:cs="Arial"/>
          <w:lang w:eastAsia="zh-CN"/>
        </w:rPr>
        <w:t>第三节</w:t>
      </w:r>
      <w:r>
        <w:rPr>
          <w:rStyle w:val="19"/>
          <w:rFonts w:cs="Arial"/>
          <w:lang w:eastAsia="zh-CN"/>
        </w:rPr>
        <w:t xml:space="preserve"> </w:t>
      </w:r>
      <w:r>
        <w:rPr>
          <w:rStyle w:val="19"/>
          <w:rFonts w:hint="eastAsia" w:cs="Arial"/>
          <w:lang w:eastAsia="zh-CN"/>
        </w:rPr>
        <w:t>建筑垃圾资源化利用设施规划</w:t>
      </w:r>
      <w:r>
        <w:tab/>
      </w:r>
      <w:r>
        <w:fldChar w:fldCharType="begin"/>
      </w:r>
      <w:r>
        <w:instrText xml:space="preserve"> PAGEREF _Toc175056382 \h </w:instrText>
      </w:r>
      <w:r>
        <w:fldChar w:fldCharType="separate"/>
      </w:r>
      <w:r>
        <w:t>- 24 -</w:t>
      </w:r>
      <w:r>
        <w:fldChar w:fldCharType="end"/>
      </w:r>
      <w:r>
        <w:fldChar w:fldCharType="end"/>
      </w:r>
    </w:p>
    <w:p w14:paraId="775CEC05">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"_Toc175056383" </w:instrText>
      </w:r>
      <w:r>
        <w:fldChar w:fldCharType="separate"/>
      </w:r>
      <w:r>
        <w:rPr>
          <w:rStyle w:val="19"/>
          <w:rFonts w:hint="eastAsia" w:cs="Arial"/>
          <w:lang w:eastAsia="zh-CN"/>
        </w:rPr>
        <w:t>第四节</w:t>
      </w:r>
      <w:r>
        <w:rPr>
          <w:rStyle w:val="19"/>
          <w:rFonts w:cs="Arial"/>
          <w:lang w:eastAsia="zh-CN"/>
        </w:rPr>
        <w:t xml:space="preserve"> </w:t>
      </w:r>
      <w:r>
        <w:rPr>
          <w:rStyle w:val="19"/>
          <w:rFonts w:hint="eastAsia" w:cs="Arial"/>
          <w:lang w:eastAsia="zh-CN"/>
        </w:rPr>
        <w:t>建筑垃圾渣土消纳设施规划</w:t>
      </w:r>
      <w:r>
        <w:tab/>
      </w:r>
      <w:r>
        <w:fldChar w:fldCharType="begin"/>
      </w:r>
      <w:r>
        <w:instrText xml:space="preserve"> PAGEREF _Toc175056383 \h </w:instrText>
      </w:r>
      <w:r>
        <w:fldChar w:fldCharType="separate"/>
      </w:r>
      <w:r>
        <w:t>- 25 -</w:t>
      </w:r>
      <w:r>
        <w:fldChar w:fldCharType="end"/>
      </w:r>
      <w:r>
        <w:fldChar w:fldCharType="end"/>
      </w:r>
    </w:p>
    <w:p w14:paraId="17877F05">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"_Toc175056384" </w:instrText>
      </w:r>
      <w:r>
        <w:fldChar w:fldCharType="separate"/>
      </w:r>
      <w:r>
        <w:rPr>
          <w:rStyle w:val="19"/>
          <w:rFonts w:hint="eastAsia" w:ascii="黑体" w:hAnsi="黑体" w:cs="黑体"/>
          <w:lang w:eastAsia="zh-CN"/>
        </w:rPr>
        <w:t>第七章</w:t>
      </w:r>
      <w:r>
        <w:rPr>
          <w:rStyle w:val="19"/>
          <w:rFonts w:ascii="黑体" w:hAnsi="黑体" w:cs="黑体"/>
          <w:lang w:eastAsia="zh-CN"/>
        </w:rPr>
        <w:t xml:space="preserve"> </w:t>
      </w:r>
      <w:r>
        <w:rPr>
          <w:rStyle w:val="19"/>
          <w:rFonts w:hint="eastAsia" w:ascii="黑体" w:hAnsi="黑体" w:cs="黑体"/>
          <w:lang w:eastAsia="zh-CN"/>
        </w:rPr>
        <w:t>污染环境防治管控规划</w:t>
      </w:r>
      <w:r>
        <w:tab/>
      </w:r>
      <w:r>
        <w:fldChar w:fldCharType="begin"/>
      </w:r>
      <w:r>
        <w:instrText xml:space="preserve"> PAGEREF _Toc175056384 \h </w:instrText>
      </w:r>
      <w:r>
        <w:fldChar w:fldCharType="separate"/>
      </w:r>
      <w:r>
        <w:t>- 26 -</w:t>
      </w:r>
      <w:r>
        <w:fldChar w:fldCharType="end"/>
      </w:r>
      <w:r>
        <w:fldChar w:fldCharType="end"/>
      </w:r>
    </w:p>
    <w:p w14:paraId="19D3E6EF">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"_Toc175056385" </w:instrText>
      </w:r>
      <w:r>
        <w:fldChar w:fldCharType="separate"/>
      </w:r>
      <w:r>
        <w:rPr>
          <w:rStyle w:val="19"/>
          <w:rFonts w:hint="eastAsia" w:ascii="Arial" w:hAnsi="Arial" w:cs="Arial"/>
          <w:lang w:eastAsia="zh-CN"/>
        </w:rPr>
        <w:t>第一节</w:t>
      </w:r>
      <w:r>
        <w:rPr>
          <w:rStyle w:val="19"/>
          <w:rFonts w:ascii="Arial" w:hAnsi="Arial" w:cs="Arial"/>
          <w:lang w:eastAsia="zh-CN"/>
        </w:rPr>
        <w:t xml:space="preserve"> </w:t>
      </w:r>
      <w:r>
        <w:rPr>
          <w:rStyle w:val="19"/>
          <w:rFonts w:hint="eastAsia" w:ascii="Arial" w:hAnsi="Arial" w:cs="Arial"/>
          <w:lang w:eastAsia="zh-CN"/>
        </w:rPr>
        <w:t>管控重点空间</w:t>
      </w:r>
      <w:r>
        <w:tab/>
      </w:r>
      <w:r>
        <w:fldChar w:fldCharType="begin"/>
      </w:r>
      <w:r>
        <w:instrText xml:space="preserve"> PAGEREF _Toc175056385 \h </w:instrText>
      </w:r>
      <w:r>
        <w:fldChar w:fldCharType="separate"/>
      </w:r>
      <w:r>
        <w:t>- 26 -</w:t>
      </w:r>
      <w:r>
        <w:fldChar w:fldCharType="end"/>
      </w:r>
      <w:r>
        <w:fldChar w:fldCharType="end"/>
      </w:r>
    </w:p>
    <w:p w14:paraId="1E18FD4D">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"_Toc175056386"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管控措施</w:t>
      </w:r>
      <w:r>
        <w:tab/>
      </w:r>
      <w:r>
        <w:fldChar w:fldCharType="begin"/>
      </w:r>
      <w:r>
        <w:instrText xml:space="preserve"> PAGEREF _Toc175056386 \h </w:instrText>
      </w:r>
      <w:r>
        <w:fldChar w:fldCharType="separate"/>
      </w:r>
      <w:r>
        <w:t>- 26 -</w:t>
      </w:r>
      <w:r>
        <w:fldChar w:fldCharType="end"/>
      </w:r>
      <w:r>
        <w:fldChar w:fldCharType="end"/>
      </w:r>
    </w:p>
    <w:p w14:paraId="28CEE69B">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"_Toc175056387" </w:instrText>
      </w:r>
      <w:r>
        <w:fldChar w:fldCharType="separate"/>
      </w:r>
      <w:r>
        <w:rPr>
          <w:rStyle w:val="19"/>
          <w:rFonts w:hint="eastAsia" w:ascii="黑体" w:hAnsi="黑体" w:cs="黑体"/>
          <w:lang w:eastAsia="zh-CN"/>
        </w:rPr>
        <w:t>第八章</w:t>
      </w:r>
      <w:r>
        <w:rPr>
          <w:rStyle w:val="19"/>
          <w:rFonts w:ascii="黑体" w:hAnsi="黑体" w:cs="黑体"/>
          <w:lang w:eastAsia="zh-CN"/>
        </w:rPr>
        <w:t xml:space="preserve"> </w:t>
      </w:r>
      <w:r>
        <w:rPr>
          <w:rStyle w:val="19"/>
          <w:rFonts w:hint="eastAsia" w:ascii="黑体" w:hAnsi="黑体" w:cs="黑体"/>
          <w:lang w:eastAsia="zh-CN"/>
        </w:rPr>
        <w:t>管理体系规划</w:t>
      </w:r>
      <w:r>
        <w:tab/>
      </w:r>
      <w:r>
        <w:fldChar w:fldCharType="begin"/>
      </w:r>
      <w:r>
        <w:instrText xml:space="preserve"> PAGEREF _Toc175056387 \h </w:instrText>
      </w:r>
      <w:r>
        <w:fldChar w:fldCharType="separate"/>
      </w:r>
      <w:r>
        <w:t>- 28 -</w:t>
      </w:r>
      <w:r>
        <w:fldChar w:fldCharType="end"/>
      </w:r>
      <w:r>
        <w:fldChar w:fldCharType="end"/>
      </w:r>
    </w:p>
    <w:p w14:paraId="7C495833">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"_Toc175056388" </w:instrText>
      </w:r>
      <w:r>
        <w:fldChar w:fldCharType="separate"/>
      </w:r>
      <w:r>
        <w:rPr>
          <w:rStyle w:val="19"/>
          <w:rFonts w:hint="eastAsia" w:cs="Arial"/>
          <w:lang w:eastAsia="zh-CN"/>
        </w:rPr>
        <w:t>第一节</w:t>
      </w:r>
      <w:r>
        <w:rPr>
          <w:rStyle w:val="19"/>
          <w:rFonts w:cs="Arial"/>
          <w:lang w:eastAsia="zh-CN"/>
        </w:rPr>
        <w:t xml:space="preserve"> </w:t>
      </w:r>
      <w:r>
        <w:rPr>
          <w:rStyle w:val="19"/>
          <w:rFonts w:hint="eastAsia" w:cs="Arial"/>
          <w:lang w:eastAsia="zh-CN"/>
        </w:rPr>
        <w:t>管理组织构架</w:t>
      </w:r>
      <w:r>
        <w:tab/>
      </w:r>
      <w:r>
        <w:fldChar w:fldCharType="begin"/>
      </w:r>
      <w:r>
        <w:instrText xml:space="preserve"> PAGEREF _Toc175056388 \h </w:instrText>
      </w:r>
      <w:r>
        <w:fldChar w:fldCharType="separate"/>
      </w:r>
      <w:r>
        <w:t>- 28 -</w:t>
      </w:r>
      <w:r>
        <w:fldChar w:fldCharType="end"/>
      </w:r>
      <w:r>
        <w:fldChar w:fldCharType="end"/>
      </w:r>
    </w:p>
    <w:p w14:paraId="4DF3C2C4">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"_Toc175056389"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全过程管理体系建设</w:t>
      </w:r>
      <w:r>
        <w:tab/>
      </w:r>
      <w:r>
        <w:fldChar w:fldCharType="begin"/>
      </w:r>
      <w:r>
        <w:instrText xml:space="preserve"> PAGEREF _Toc175056389 \h </w:instrText>
      </w:r>
      <w:r>
        <w:fldChar w:fldCharType="separate"/>
      </w:r>
      <w:r>
        <w:t>- 30 -</w:t>
      </w:r>
      <w:r>
        <w:fldChar w:fldCharType="end"/>
      </w:r>
      <w:r>
        <w:fldChar w:fldCharType="end"/>
      </w:r>
    </w:p>
    <w:p w14:paraId="3E178FF8">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"_Toc175056390" </w:instrText>
      </w:r>
      <w:r>
        <w:fldChar w:fldCharType="separate"/>
      </w:r>
      <w:r>
        <w:rPr>
          <w:rStyle w:val="19"/>
          <w:rFonts w:hint="eastAsia" w:ascii="黑体" w:hAnsi="黑体" w:cs="黑体"/>
          <w:lang w:eastAsia="zh-CN"/>
        </w:rPr>
        <w:t>第九章</w:t>
      </w:r>
      <w:r>
        <w:rPr>
          <w:rStyle w:val="19"/>
          <w:rFonts w:ascii="黑体" w:hAnsi="黑体" w:cs="黑体"/>
          <w:lang w:eastAsia="zh-CN"/>
        </w:rPr>
        <w:t xml:space="preserve"> </w:t>
      </w:r>
      <w:r>
        <w:rPr>
          <w:rStyle w:val="19"/>
          <w:rFonts w:hint="eastAsia" w:ascii="黑体" w:hAnsi="黑体" w:cs="黑体"/>
          <w:lang w:eastAsia="zh-CN"/>
        </w:rPr>
        <w:t>近期建设规划</w:t>
      </w:r>
      <w:r>
        <w:tab/>
      </w:r>
      <w:r>
        <w:fldChar w:fldCharType="begin"/>
      </w:r>
      <w:r>
        <w:instrText xml:space="preserve"> PAGEREF _Toc175056390 \h </w:instrText>
      </w:r>
      <w:r>
        <w:fldChar w:fldCharType="separate"/>
      </w:r>
      <w:r>
        <w:t>- 32 -</w:t>
      </w:r>
      <w:r>
        <w:fldChar w:fldCharType="end"/>
      </w:r>
      <w:r>
        <w:fldChar w:fldCharType="end"/>
      </w:r>
    </w:p>
    <w:p w14:paraId="54F43DF7">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"_Toc175056391" </w:instrText>
      </w:r>
      <w:r>
        <w:fldChar w:fldCharType="separate"/>
      </w:r>
      <w:r>
        <w:rPr>
          <w:rStyle w:val="19"/>
          <w:rFonts w:hint="eastAsia" w:cs="Arial"/>
          <w:lang w:eastAsia="zh-CN"/>
        </w:rPr>
        <w:t>第一节</w:t>
      </w:r>
      <w:r>
        <w:rPr>
          <w:rStyle w:val="19"/>
          <w:rFonts w:cs="Arial"/>
          <w:lang w:eastAsia="zh-CN"/>
        </w:rPr>
        <w:t xml:space="preserve"> </w:t>
      </w:r>
      <w:r>
        <w:rPr>
          <w:rStyle w:val="19"/>
          <w:rFonts w:hint="eastAsia" w:cs="Arial"/>
          <w:lang w:eastAsia="zh-CN"/>
        </w:rPr>
        <w:t>近期建设目标</w:t>
      </w:r>
      <w:r>
        <w:tab/>
      </w:r>
      <w:r>
        <w:fldChar w:fldCharType="begin"/>
      </w:r>
      <w:r>
        <w:instrText xml:space="preserve"> PAGEREF _Toc175056391 \h </w:instrText>
      </w:r>
      <w:r>
        <w:fldChar w:fldCharType="separate"/>
      </w:r>
      <w:r>
        <w:t>- 32 -</w:t>
      </w:r>
      <w:r>
        <w:fldChar w:fldCharType="end"/>
      </w:r>
      <w:r>
        <w:fldChar w:fldCharType="end"/>
      </w:r>
    </w:p>
    <w:p w14:paraId="79F2CB4F">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"_Toc175056392"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存量治理</w:t>
      </w:r>
      <w:r>
        <w:tab/>
      </w:r>
      <w:r>
        <w:fldChar w:fldCharType="begin"/>
      </w:r>
      <w:r>
        <w:instrText xml:space="preserve"> PAGEREF _Toc175056392 \h </w:instrText>
      </w:r>
      <w:r>
        <w:fldChar w:fldCharType="separate"/>
      </w:r>
      <w:r>
        <w:t>- 32 -</w:t>
      </w:r>
      <w:r>
        <w:fldChar w:fldCharType="end"/>
      </w:r>
      <w:r>
        <w:fldChar w:fldCharType="end"/>
      </w:r>
    </w:p>
    <w:p w14:paraId="1DFFB514">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"_Toc175056393" </w:instrText>
      </w:r>
      <w:r>
        <w:fldChar w:fldCharType="separate"/>
      </w:r>
      <w:r>
        <w:rPr>
          <w:rStyle w:val="19"/>
          <w:rFonts w:hint="eastAsia" w:cs="Arial"/>
          <w:lang w:eastAsia="zh-CN"/>
        </w:rPr>
        <w:t>第三节</w:t>
      </w:r>
      <w:r>
        <w:rPr>
          <w:rStyle w:val="19"/>
          <w:rFonts w:cs="Arial"/>
          <w:lang w:eastAsia="zh-CN"/>
        </w:rPr>
        <w:t xml:space="preserve"> </w:t>
      </w:r>
      <w:r>
        <w:rPr>
          <w:rStyle w:val="19"/>
          <w:rFonts w:hint="eastAsia" w:cs="Arial"/>
          <w:lang w:eastAsia="zh-CN"/>
        </w:rPr>
        <w:t>收集运输设施建设</w:t>
      </w:r>
      <w:r>
        <w:tab/>
      </w:r>
      <w:r>
        <w:fldChar w:fldCharType="begin"/>
      </w:r>
      <w:r>
        <w:instrText xml:space="preserve"> PAGEREF _Toc175056393 \h </w:instrText>
      </w:r>
      <w:r>
        <w:fldChar w:fldCharType="separate"/>
      </w:r>
      <w:r>
        <w:t>- 34 -</w:t>
      </w:r>
      <w:r>
        <w:fldChar w:fldCharType="end"/>
      </w:r>
      <w:r>
        <w:fldChar w:fldCharType="end"/>
      </w:r>
    </w:p>
    <w:p w14:paraId="691275A8">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"_Toc175056394" </w:instrText>
      </w:r>
      <w:r>
        <w:fldChar w:fldCharType="separate"/>
      </w:r>
      <w:r>
        <w:rPr>
          <w:rStyle w:val="19"/>
          <w:rFonts w:hint="eastAsia" w:cs="Arial"/>
          <w:lang w:eastAsia="zh-CN"/>
        </w:rPr>
        <w:t>第四节</w:t>
      </w:r>
      <w:r>
        <w:rPr>
          <w:rStyle w:val="19"/>
          <w:rFonts w:cs="Arial"/>
          <w:lang w:eastAsia="zh-CN"/>
        </w:rPr>
        <w:t xml:space="preserve"> </w:t>
      </w:r>
      <w:r>
        <w:rPr>
          <w:rStyle w:val="19"/>
          <w:rFonts w:hint="eastAsia" w:cs="Arial"/>
          <w:lang w:eastAsia="zh-CN"/>
        </w:rPr>
        <w:t>处置利用设施建设</w:t>
      </w:r>
      <w:r>
        <w:tab/>
      </w:r>
      <w:r>
        <w:fldChar w:fldCharType="begin"/>
      </w:r>
      <w:r>
        <w:instrText xml:space="preserve"> PAGEREF _Toc175056394 \h </w:instrText>
      </w:r>
      <w:r>
        <w:fldChar w:fldCharType="separate"/>
      </w:r>
      <w:r>
        <w:t>- 34 -</w:t>
      </w:r>
      <w:r>
        <w:fldChar w:fldCharType="end"/>
      </w:r>
      <w:r>
        <w:fldChar w:fldCharType="end"/>
      </w:r>
    </w:p>
    <w:p w14:paraId="06474EE5">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"_Toc175056395" </w:instrText>
      </w:r>
      <w:r>
        <w:fldChar w:fldCharType="separate"/>
      </w:r>
      <w:r>
        <w:rPr>
          <w:rStyle w:val="19"/>
          <w:rFonts w:hint="eastAsia" w:ascii="黑体" w:hAnsi="黑体" w:cs="黑体"/>
          <w:lang w:eastAsia="zh-CN"/>
        </w:rPr>
        <w:t>第十章</w:t>
      </w:r>
      <w:r>
        <w:rPr>
          <w:rStyle w:val="19"/>
          <w:rFonts w:ascii="黑体" w:hAnsi="黑体" w:cs="黑体"/>
          <w:lang w:eastAsia="zh-CN"/>
        </w:rPr>
        <w:t xml:space="preserve"> </w:t>
      </w:r>
      <w:r>
        <w:rPr>
          <w:rStyle w:val="19"/>
          <w:rFonts w:hint="eastAsia" w:ascii="黑体" w:hAnsi="黑体" w:cs="黑体"/>
          <w:lang w:eastAsia="zh-CN"/>
        </w:rPr>
        <w:t>建筑垃圾产业规划</w:t>
      </w:r>
      <w:r>
        <w:tab/>
      </w:r>
      <w:r>
        <w:fldChar w:fldCharType="begin"/>
      </w:r>
      <w:r>
        <w:instrText xml:space="preserve"> PAGEREF _Toc175056395 \h </w:instrText>
      </w:r>
      <w:r>
        <w:fldChar w:fldCharType="separate"/>
      </w:r>
      <w:r>
        <w:t>- 36 -</w:t>
      </w:r>
      <w:r>
        <w:fldChar w:fldCharType="end"/>
      </w:r>
      <w:r>
        <w:fldChar w:fldCharType="end"/>
      </w:r>
    </w:p>
    <w:p w14:paraId="0AD5D67B">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"_Toc175056396" </w:instrText>
      </w:r>
      <w:r>
        <w:fldChar w:fldCharType="separate"/>
      </w:r>
      <w:r>
        <w:rPr>
          <w:rStyle w:val="19"/>
          <w:rFonts w:hint="eastAsia" w:cs="Arial"/>
          <w:lang w:eastAsia="zh-CN"/>
        </w:rPr>
        <w:t>第一节</w:t>
      </w:r>
      <w:r>
        <w:rPr>
          <w:rStyle w:val="19"/>
          <w:rFonts w:cs="Arial"/>
          <w:lang w:eastAsia="zh-CN"/>
        </w:rPr>
        <w:t xml:space="preserve"> </w:t>
      </w:r>
      <w:r>
        <w:rPr>
          <w:rStyle w:val="19"/>
          <w:rFonts w:hint="eastAsia" w:cs="Arial"/>
          <w:lang w:eastAsia="zh-CN"/>
        </w:rPr>
        <w:t>建筑垃圾资源利用模式</w:t>
      </w:r>
      <w:r>
        <w:tab/>
      </w:r>
      <w:r>
        <w:fldChar w:fldCharType="begin"/>
      </w:r>
      <w:r>
        <w:instrText xml:space="preserve"> PAGEREF _Toc175056396 \h </w:instrText>
      </w:r>
      <w:r>
        <w:fldChar w:fldCharType="separate"/>
      </w:r>
      <w:r>
        <w:t>- 36 -</w:t>
      </w:r>
      <w:r>
        <w:fldChar w:fldCharType="end"/>
      </w:r>
      <w:r>
        <w:fldChar w:fldCharType="end"/>
      </w:r>
    </w:p>
    <w:p w14:paraId="781A38FF">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"_Toc175056397"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再生产品利用总体要求</w:t>
      </w:r>
      <w:r>
        <w:tab/>
      </w:r>
      <w:r>
        <w:fldChar w:fldCharType="begin"/>
      </w:r>
      <w:r>
        <w:instrText xml:space="preserve"> PAGEREF _Toc175056397 \h </w:instrText>
      </w:r>
      <w:r>
        <w:fldChar w:fldCharType="separate"/>
      </w:r>
      <w:r>
        <w:t>- 36 -</w:t>
      </w:r>
      <w:r>
        <w:fldChar w:fldCharType="end"/>
      </w:r>
      <w:r>
        <w:fldChar w:fldCharType="end"/>
      </w:r>
    </w:p>
    <w:p w14:paraId="59A3A69C">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"_Toc175056398" </w:instrText>
      </w:r>
      <w:r>
        <w:fldChar w:fldCharType="separate"/>
      </w:r>
      <w:r>
        <w:rPr>
          <w:rStyle w:val="19"/>
          <w:rFonts w:hint="eastAsia" w:cs="Arial"/>
          <w:lang w:eastAsia="zh-CN"/>
        </w:rPr>
        <w:t>第三节</w:t>
      </w:r>
      <w:r>
        <w:rPr>
          <w:rStyle w:val="19"/>
          <w:rFonts w:cs="Arial"/>
          <w:lang w:eastAsia="zh-CN"/>
        </w:rPr>
        <w:t xml:space="preserve"> </w:t>
      </w:r>
      <w:r>
        <w:rPr>
          <w:rStyle w:val="19"/>
          <w:rFonts w:hint="eastAsia" w:cs="Arial"/>
          <w:lang w:eastAsia="zh-CN"/>
        </w:rPr>
        <w:t>再生材料应用要求</w:t>
      </w:r>
      <w:r>
        <w:tab/>
      </w:r>
      <w:r>
        <w:fldChar w:fldCharType="begin"/>
      </w:r>
      <w:r>
        <w:instrText xml:space="preserve"> PAGEREF _Toc175056398 \h </w:instrText>
      </w:r>
      <w:r>
        <w:fldChar w:fldCharType="separate"/>
      </w:r>
      <w:r>
        <w:t>- 37 -</w:t>
      </w:r>
      <w:r>
        <w:fldChar w:fldCharType="end"/>
      </w:r>
      <w:r>
        <w:fldChar w:fldCharType="end"/>
      </w:r>
    </w:p>
    <w:p w14:paraId="31278F96">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"_Toc175056399" </w:instrText>
      </w:r>
      <w:r>
        <w:fldChar w:fldCharType="separate"/>
      </w:r>
      <w:r>
        <w:rPr>
          <w:rStyle w:val="19"/>
          <w:rFonts w:hint="eastAsia" w:cs="Arial"/>
          <w:lang w:eastAsia="zh-CN"/>
        </w:rPr>
        <w:t>第四节</w:t>
      </w:r>
      <w:r>
        <w:rPr>
          <w:rStyle w:val="19"/>
          <w:rFonts w:cs="Arial"/>
          <w:lang w:eastAsia="zh-CN"/>
        </w:rPr>
        <w:t xml:space="preserve"> </w:t>
      </w:r>
      <w:r>
        <w:rPr>
          <w:rStyle w:val="19"/>
          <w:rFonts w:hint="eastAsia" w:cs="Arial"/>
          <w:lang w:eastAsia="zh-CN"/>
        </w:rPr>
        <w:t>再生制品应用要求</w:t>
      </w:r>
      <w:r>
        <w:tab/>
      </w:r>
      <w:r>
        <w:fldChar w:fldCharType="begin"/>
      </w:r>
      <w:r>
        <w:instrText xml:space="preserve"> PAGEREF _Toc175056399 \h </w:instrText>
      </w:r>
      <w:r>
        <w:fldChar w:fldCharType="separate"/>
      </w:r>
      <w:r>
        <w:t>- 38 -</w:t>
      </w:r>
      <w:r>
        <w:fldChar w:fldCharType="end"/>
      </w:r>
      <w:r>
        <w:fldChar w:fldCharType="end"/>
      </w:r>
    </w:p>
    <w:p w14:paraId="67CBB235">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"_Toc175056400" </w:instrText>
      </w:r>
      <w:r>
        <w:fldChar w:fldCharType="separate"/>
      </w:r>
      <w:r>
        <w:rPr>
          <w:rStyle w:val="19"/>
          <w:rFonts w:hint="eastAsia" w:cs="Arial"/>
          <w:lang w:eastAsia="zh-CN"/>
        </w:rPr>
        <w:t>第五节</w:t>
      </w:r>
      <w:r>
        <w:rPr>
          <w:rStyle w:val="19"/>
          <w:rFonts w:cs="Arial"/>
          <w:lang w:eastAsia="zh-CN"/>
        </w:rPr>
        <w:t xml:space="preserve"> </w:t>
      </w:r>
      <w:r>
        <w:rPr>
          <w:rStyle w:val="19"/>
          <w:rFonts w:hint="eastAsia" w:cs="Arial"/>
          <w:lang w:eastAsia="zh-CN"/>
        </w:rPr>
        <w:t>建筑垃圾产业化运营及管理</w:t>
      </w:r>
      <w:r>
        <w:tab/>
      </w:r>
      <w:r>
        <w:fldChar w:fldCharType="begin"/>
      </w:r>
      <w:r>
        <w:instrText xml:space="preserve"> PAGEREF _Toc175056400 \h </w:instrText>
      </w:r>
      <w:r>
        <w:fldChar w:fldCharType="separate"/>
      </w:r>
      <w:r>
        <w:t>- 39 -</w:t>
      </w:r>
      <w:r>
        <w:fldChar w:fldCharType="end"/>
      </w:r>
      <w:r>
        <w:fldChar w:fldCharType="end"/>
      </w:r>
    </w:p>
    <w:p w14:paraId="7A67EC1E">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"_Toc175056401" </w:instrText>
      </w:r>
      <w:r>
        <w:fldChar w:fldCharType="separate"/>
      </w:r>
      <w:r>
        <w:rPr>
          <w:rStyle w:val="19"/>
          <w:rFonts w:hint="eastAsia" w:ascii="黑体" w:hAnsi="黑体" w:cs="黑体"/>
          <w:lang w:eastAsia="zh-CN"/>
        </w:rPr>
        <w:t>第十一章</w:t>
      </w:r>
      <w:r>
        <w:rPr>
          <w:rStyle w:val="19"/>
          <w:rFonts w:ascii="黑体" w:hAnsi="黑体" w:cs="黑体"/>
          <w:lang w:eastAsia="zh-CN"/>
        </w:rPr>
        <w:t xml:space="preserve"> </w:t>
      </w:r>
      <w:r>
        <w:rPr>
          <w:rStyle w:val="19"/>
          <w:rFonts w:hint="eastAsia" w:ascii="黑体" w:hAnsi="黑体" w:cs="黑体"/>
          <w:lang w:eastAsia="zh-CN"/>
        </w:rPr>
        <w:t>建筑垃圾的全过程信息化管理规划</w:t>
      </w:r>
      <w:r>
        <w:tab/>
      </w:r>
      <w:r>
        <w:fldChar w:fldCharType="begin"/>
      </w:r>
      <w:r>
        <w:instrText xml:space="preserve"> PAGEREF _Toc175056401 \h </w:instrText>
      </w:r>
      <w:r>
        <w:fldChar w:fldCharType="separate"/>
      </w:r>
      <w:r>
        <w:t>- 41 -</w:t>
      </w:r>
      <w:r>
        <w:fldChar w:fldCharType="end"/>
      </w:r>
      <w:r>
        <w:fldChar w:fldCharType="end"/>
      </w:r>
    </w:p>
    <w:p w14:paraId="524C15F2">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"_Toc175056402" </w:instrText>
      </w:r>
      <w:r>
        <w:fldChar w:fldCharType="separate"/>
      </w:r>
      <w:r>
        <w:rPr>
          <w:rStyle w:val="19"/>
          <w:rFonts w:hint="eastAsia" w:cs="Arial"/>
          <w:lang w:eastAsia="zh-CN"/>
        </w:rPr>
        <w:t>第一节</w:t>
      </w:r>
      <w:r>
        <w:rPr>
          <w:rStyle w:val="19"/>
          <w:rFonts w:cs="Arial"/>
          <w:lang w:eastAsia="zh-CN"/>
        </w:rPr>
        <w:t xml:space="preserve"> </w:t>
      </w:r>
      <w:r>
        <w:rPr>
          <w:rStyle w:val="19"/>
          <w:rFonts w:hint="eastAsia" w:cs="Arial"/>
          <w:lang w:eastAsia="zh-CN"/>
        </w:rPr>
        <w:t>建筑垃圾全过程信息化管理平台构建目标</w:t>
      </w:r>
      <w:r>
        <w:tab/>
      </w:r>
      <w:r>
        <w:fldChar w:fldCharType="begin"/>
      </w:r>
      <w:r>
        <w:instrText xml:space="preserve"> PAGEREF _Toc175056402 \h </w:instrText>
      </w:r>
      <w:r>
        <w:fldChar w:fldCharType="separate"/>
      </w:r>
      <w:r>
        <w:t>- 41 -</w:t>
      </w:r>
      <w:r>
        <w:fldChar w:fldCharType="end"/>
      </w:r>
      <w:r>
        <w:fldChar w:fldCharType="end"/>
      </w:r>
    </w:p>
    <w:p w14:paraId="1CA4F672">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"_Toc175056403"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建筑垃圾全过程信息化管理模式规划</w:t>
      </w:r>
      <w:r>
        <w:tab/>
      </w:r>
      <w:r>
        <w:fldChar w:fldCharType="begin"/>
      </w:r>
      <w:r>
        <w:instrText xml:space="preserve"> PAGEREF _Toc175056403 \h </w:instrText>
      </w:r>
      <w:r>
        <w:fldChar w:fldCharType="separate"/>
      </w:r>
      <w:r>
        <w:t>- 41 -</w:t>
      </w:r>
      <w:r>
        <w:fldChar w:fldCharType="end"/>
      </w:r>
      <w:r>
        <w:fldChar w:fldCharType="end"/>
      </w:r>
    </w:p>
    <w:p w14:paraId="7F1EDF62">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"_Toc175056404" </w:instrText>
      </w:r>
      <w:r>
        <w:fldChar w:fldCharType="separate"/>
      </w:r>
      <w:r>
        <w:rPr>
          <w:rStyle w:val="19"/>
          <w:rFonts w:hint="eastAsia" w:cs="Arial"/>
          <w:lang w:eastAsia="zh-CN"/>
        </w:rPr>
        <w:t>第三节</w:t>
      </w:r>
      <w:r>
        <w:rPr>
          <w:rStyle w:val="19"/>
          <w:rFonts w:cs="Arial"/>
          <w:lang w:eastAsia="zh-CN"/>
        </w:rPr>
        <w:t xml:space="preserve"> </w:t>
      </w:r>
      <w:r>
        <w:rPr>
          <w:rStyle w:val="19"/>
          <w:rFonts w:hint="eastAsia" w:cs="Arial"/>
          <w:lang w:eastAsia="zh-CN"/>
        </w:rPr>
        <w:t>建筑垃圾的全过程信息化管理空间规划</w:t>
      </w:r>
      <w:r>
        <w:tab/>
      </w:r>
      <w:r>
        <w:fldChar w:fldCharType="begin"/>
      </w:r>
      <w:r>
        <w:instrText xml:space="preserve"> PAGEREF _Toc175056404 \h </w:instrText>
      </w:r>
      <w:r>
        <w:fldChar w:fldCharType="separate"/>
      </w:r>
      <w:r>
        <w:t>- 42 -</w:t>
      </w:r>
      <w:r>
        <w:fldChar w:fldCharType="end"/>
      </w:r>
      <w:r>
        <w:fldChar w:fldCharType="end"/>
      </w:r>
    </w:p>
    <w:p w14:paraId="11C5B4F5">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"_Toc175056405" </w:instrText>
      </w:r>
      <w:r>
        <w:fldChar w:fldCharType="separate"/>
      </w:r>
      <w:r>
        <w:rPr>
          <w:rStyle w:val="19"/>
          <w:rFonts w:hint="eastAsia" w:ascii="黑体" w:hAnsi="黑体" w:cs="黑体"/>
          <w:lang w:eastAsia="zh-CN"/>
        </w:rPr>
        <w:t>第十二章</w:t>
      </w:r>
      <w:r>
        <w:rPr>
          <w:rStyle w:val="19"/>
          <w:rFonts w:ascii="黑体" w:hAnsi="黑体" w:cs="黑体"/>
          <w:lang w:eastAsia="zh-CN"/>
        </w:rPr>
        <w:t xml:space="preserve"> </w:t>
      </w:r>
      <w:r>
        <w:rPr>
          <w:rStyle w:val="19"/>
          <w:rFonts w:hint="eastAsia" w:ascii="黑体" w:hAnsi="黑体" w:cs="黑体"/>
          <w:lang w:eastAsia="zh-CN"/>
        </w:rPr>
        <w:t>保障措施</w:t>
      </w:r>
      <w:r>
        <w:tab/>
      </w:r>
      <w:r>
        <w:fldChar w:fldCharType="begin"/>
      </w:r>
      <w:r>
        <w:instrText xml:space="preserve"> PAGEREF _Toc175056405 \h </w:instrText>
      </w:r>
      <w:r>
        <w:fldChar w:fldCharType="separate"/>
      </w:r>
      <w:r>
        <w:t>- 44 -</w:t>
      </w:r>
      <w:r>
        <w:fldChar w:fldCharType="end"/>
      </w:r>
      <w:r>
        <w:fldChar w:fldCharType="end"/>
      </w:r>
    </w:p>
    <w:p w14:paraId="04437289">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"_Toc175056406" </w:instrText>
      </w:r>
      <w:r>
        <w:fldChar w:fldCharType="separate"/>
      </w:r>
      <w:r>
        <w:rPr>
          <w:rStyle w:val="19"/>
          <w:rFonts w:hint="eastAsia" w:cs="Arial"/>
          <w:lang w:eastAsia="zh-CN"/>
        </w:rPr>
        <w:t>第一节</w:t>
      </w:r>
      <w:r>
        <w:rPr>
          <w:rStyle w:val="19"/>
          <w:rFonts w:cs="Arial"/>
          <w:lang w:eastAsia="zh-CN"/>
        </w:rPr>
        <w:t xml:space="preserve"> </w:t>
      </w:r>
      <w:r>
        <w:rPr>
          <w:rStyle w:val="19"/>
          <w:rFonts w:hint="eastAsia" w:cs="Arial"/>
          <w:lang w:eastAsia="zh-CN"/>
        </w:rPr>
        <w:t>建立工作机制</w:t>
      </w:r>
      <w:r>
        <w:tab/>
      </w:r>
      <w:r>
        <w:fldChar w:fldCharType="begin"/>
      </w:r>
      <w:r>
        <w:instrText xml:space="preserve"> PAGEREF _Toc175056406 \h </w:instrText>
      </w:r>
      <w:r>
        <w:fldChar w:fldCharType="separate"/>
      </w:r>
      <w:r>
        <w:t>- 44 -</w:t>
      </w:r>
      <w:r>
        <w:fldChar w:fldCharType="end"/>
      </w:r>
      <w:r>
        <w:fldChar w:fldCharType="end"/>
      </w:r>
    </w:p>
    <w:p w14:paraId="22110D2D">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"_Toc175056407" </w:instrText>
      </w:r>
      <w:r>
        <w:fldChar w:fldCharType="separate"/>
      </w:r>
      <w:r>
        <w:rPr>
          <w:rStyle w:val="19"/>
          <w:rFonts w:hint="eastAsia" w:cs="Arial"/>
          <w:lang w:eastAsia="zh-CN"/>
        </w:rPr>
        <w:t>第二节</w:t>
      </w:r>
      <w:r>
        <w:rPr>
          <w:rStyle w:val="19"/>
          <w:rFonts w:cs="Arial"/>
          <w:lang w:eastAsia="zh-CN"/>
        </w:rPr>
        <w:t xml:space="preserve"> </w:t>
      </w:r>
      <w:r>
        <w:rPr>
          <w:rStyle w:val="19"/>
          <w:rFonts w:hint="eastAsia" w:cs="Arial"/>
          <w:lang w:eastAsia="zh-CN"/>
        </w:rPr>
        <w:t>加强政策扶持</w:t>
      </w:r>
      <w:r>
        <w:tab/>
      </w:r>
      <w:r>
        <w:fldChar w:fldCharType="begin"/>
      </w:r>
      <w:r>
        <w:instrText xml:space="preserve"> PAGEREF _Toc175056407 \h </w:instrText>
      </w:r>
      <w:r>
        <w:fldChar w:fldCharType="separate"/>
      </w:r>
      <w:r>
        <w:t>- 44 -</w:t>
      </w:r>
      <w:r>
        <w:fldChar w:fldCharType="end"/>
      </w:r>
      <w:r>
        <w:fldChar w:fldCharType="end"/>
      </w:r>
    </w:p>
    <w:p w14:paraId="34A4FEB0">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"_Toc175056408" </w:instrText>
      </w:r>
      <w:r>
        <w:fldChar w:fldCharType="separate"/>
      </w:r>
      <w:r>
        <w:rPr>
          <w:rStyle w:val="19"/>
          <w:rFonts w:hint="eastAsia" w:cs="Arial"/>
          <w:lang w:eastAsia="zh-CN"/>
        </w:rPr>
        <w:t>第三节</w:t>
      </w:r>
      <w:r>
        <w:rPr>
          <w:rStyle w:val="19"/>
          <w:rFonts w:cs="Arial"/>
          <w:lang w:eastAsia="zh-CN"/>
        </w:rPr>
        <w:t xml:space="preserve"> </w:t>
      </w:r>
      <w:r>
        <w:rPr>
          <w:rStyle w:val="19"/>
          <w:rFonts w:hint="eastAsia" w:cs="Arial"/>
          <w:lang w:eastAsia="zh-CN"/>
        </w:rPr>
        <w:t>加强要素保障</w:t>
      </w:r>
      <w:r>
        <w:tab/>
      </w:r>
      <w:r>
        <w:fldChar w:fldCharType="begin"/>
      </w:r>
      <w:r>
        <w:instrText xml:space="preserve"> PAGEREF _Toc175056408 \h </w:instrText>
      </w:r>
      <w:r>
        <w:fldChar w:fldCharType="separate"/>
      </w:r>
      <w:r>
        <w:t>- 44 -</w:t>
      </w:r>
      <w:r>
        <w:fldChar w:fldCharType="end"/>
      </w:r>
      <w:r>
        <w:fldChar w:fldCharType="end"/>
      </w:r>
    </w:p>
    <w:p w14:paraId="4474AF6F">
      <w:pPr>
        <w:pStyle w:val="11"/>
        <w:tabs>
          <w:tab w:val="right" w:leader="dot" w:pos="8306"/>
        </w:tabs>
        <w:ind w:left="640" w:firstLine="0" w:firstLineChars="0"/>
        <w:rPr>
          <w:rFonts w:ascii="Calibri" w:hAnsi="Calibri" w:eastAsia="宋体" w:cs="Times New Roman"/>
          <w:color w:val="auto"/>
          <w:kern w:val="2"/>
          <w:sz w:val="21"/>
          <w:szCs w:val="22"/>
          <w:lang w:eastAsia="zh-CN"/>
        </w:rPr>
      </w:pPr>
      <w:r>
        <w:fldChar w:fldCharType="begin"/>
      </w:r>
      <w:r>
        <w:instrText xml:space="preserve"> HYPERLINK \l "_Toc175056409" </w:instrText>
      </w:r>
      <w:r>
        <w:fldChar w:fldCharType="separate"/>
      </w:r>
      <w:r>
        <w:rPr>
          <w:rStyle w:val="19"/>
          <w:rFonts w:hint="eastAsia" w:cs="Arial"/>
          <w:lang w:eastAsia="zh-CN"/>
        </w:rPr>
        <w:t>第四节</w:t>
      </w:r>
      <w:r>
        <w:rPr>
          <w:rStyle w:val="19"/>
          <w:rFonts w:cs="Arial"/>
          <w:lang w:eastAsia="zh-CN"/>
        </w:rPr>
        <w:t xml:space="preserve"> </w:t>
      </w:r>
      <w:r>
        <w:rPr>
          <w:rStyle w:val="19"/>
          <w:rFonts w:hint="eastAsia" w:cs="Arial"/>
          <w:lang w:eastAsia="zh-CN"/>
        </w:rPr>
        <w:t>建立监管机制</w:t>
      </w:r>
      <w:r>
        <w:tab/>
      </w:r>
      <w:r>
        <w:fldChar w:fldCharType="begin"/>
      </w:r>
      <w:r>
        <w:instrText xml:space="preserve"> PAGEREF _Toc175056409 \h </w:instrText>
      </w:r>
      <w:r>
        <w:fldChar w:fldCharType="separate"/>
      </w:r>
      <w:r>
        <w:t>- 45 -</w:t>
      </w:r>
      <w:r>
        <w:fldChar w:fldCharType="end"/>
      </w:r>
      <w:r>
        <w:fldChar w:fldCharType="end"/>
      </w:r>
    </w:p>
    <w:p w14:paraId="7D239503">
      <w:pPr>
        <w:pStyle w:val="10"/>
        <w:tabs>
          <w:tab w:val="right" w:leader="dot" w:pos="8306"/>
        </w:tabs>
        <w:ind w:firstLine="0" w:firstLineChars="0"/>
        <w:rPr>
          <w:rFonts w:ascii="Calibri" w:hAnsi="Calibri" w:eastAsia="宋体" w:cs="Times New Roman"/>
          <w:color w:val="auto"/>
          <w:kern w:val="2"/>
          <w:sz w:val="21"/>
          <w:szCs w:val="22"/>
          <w:lang w:eastAsia="zh-CN"/>
        </w:rPr>
      </w:pPr>
      <w:r>
        <w:fldChar w:fldCharType="begin"/>
      </w:r>
      <w:r>
        <w:instrText xml:space="preserve"> HYPERLINK \l "_Toc175056410" </w:instrText>
      </w:r>
      <w:r>
        <w:fldChar w:fldCharType="separate"/>
      </w:r>
      <w:r>
        <w:rPr>
          <w:rStyle w:val="19"/>
          <w:rFonts w:hint="eastAsia" w:ascii="黑体" w:hAnsi="黑体" w:cs="黑体"/>
          <w:lang w:eastAsia="zh-CN"/>
        </w:rPr>
        <w:t>附图</w:t>
      </w:r>
      <w:r>
        <w:tab/>
      </w:r>
      <w:r>
        <w:fldChar w:fldCharType="begin"/>
      </w:r>
      <w:r>
        <w:instrText xml:space="preserve"> PAGEREF _Toc175056410 \h </w:instrText>
      </w:r>
      <w:r>
        <w:fldChar w:fldCharType="separate"/>
      </w:r>
      <w:r>
        <w:t>- 46 -</w:t>
      </w:r>
      <w:r>
        <w:fldChar w:fldCharType="end"/>
      </w:r>
      <w:r>
        <w:fldChar w:fldCharType="end"/>
      </w:r>
    </w:p>
    <w:p w14:paraId="3E5AD334">
      <w:pPr>
        <w:spacing w:line="480" w:lineRule="auto"/>
        <w:ind w:firstLine="0" w:firstLineChars="0"/>
      </w:pPr>
      <w:r>
        <w:fldChar w:fldCharType="end"/>
      </w:r>
    </w:p>
    <w:p w14:paraId="5F6F7371">
      <w:pPr>
        <w:ind w:firstLine="723"/>
        <w:rPr>
          <w:rFonts w:ascii="黑体" w:hAnsi="黑体" w:eastAsia="黑体" w:cs="黑体"/>
          <w:b/>
          <w:bCs/>
          <w:color w:val="auto"/>
          <w:kern w:val="44"/>
          <w:sz w:val="36"/>
          <w:szCs w:val="36"/>
        </w:rPr>
      </w:pPr>
    </w:p>
    <w:p w14:paraId="015C9C24">
      <w:pPr>
        <w:ind w:firstLine="640"/>
        <w:sectPr>
          <w:headerReference r:id="rId12" w:type="default"/>
          <w:footerReference r:id="rId13" w:type="default"/>
          <w:pgSz w:w="11907" w:h="16840"/>
          <w:pgMar w:top="2155" w:right="1531" w:bottom="1814" w:left="1531" w:header="851" w:footer="1588" w:gutter="0"/>
          <w:pgNumType w:fmt="upperRoman" w:start="1"/>
          <w:cols w:space="720" w:num="1"/>
          <w:docGrid w:linePitch="408" w:charSpace="0"/>
        </w:sectPr>
      </w:pPr>
    </w:p>
    <w:p w14:paraId="39184D7E">
      <w:pPr>
        <w:pStyle w:val="2"/>
        <w:numPr>
          <w:ilvl w:val="0"/>
          <w:numId w:val="1"/>
        </w:numPr>
        <w:spacing w:line="580" w:lineRule="exact"/>
        <w:rPr>
          <w:rFonts w:ascii="方正小标宋_GBK" w:hAnsi="黑体" w:cs="黑体"/>
          <w:b w:val="0"/>
          <w:bCs w:val="0"/>
          <w:color w:val="auto"/>
          <w:lang w:eastAsia="zh-CN"/>
        </w:rPr>
      </w:pPr>
      <w:bookmarkStart w:id="25" w:name="_Toc175056355"/>
      <w:r>
        <w:rPr>
          <w:rFonts w:hint="eastAsia" w:ascii="方正小标宋_GBK" w:hAnsi="黑体" w:cs="黑体"/>
          <w:b w:val="0"/>
          <w:bCs w:val="0"/>
          <w:color w:val="auto"/>
          <w:lang w:eastAsia="zh-CN"/>
        </w:rPr>
        <w:t>规划背景</w:t>
      </w:r>
      <w:bookmarkEnd w:id="25"/>
    </w:p>
    <w:p w14:paraId="29911BC2">
      <w:pPr>
        <w:spacing w:line="200" w:lineRule="exact"/>
        <w:ind w:firstLine="640"/>
        <w:rPr>
          <w:lang w:eastAsia="zh-CN"/>
        </w:rPr>
      </w:pPr>
    </w:p>
    <w:p w14:paraId="1BCD7AAD">
      <w:pPr>
        <w:ind w:firstLine="640"/>
        <w:rPr>
          <w:bCs/>
          <w:lang w:eastAsia="zh-CN"/>
        </w:rPr>
      </w:pPr>
      <w:r>
        <w:rPr>
          <w:rFonts w:hint="eastAsia"/>
          <w:lang w:eastAsia="zh-CN"/>
        </w:rPr>
        <w:t>按照《中华人民共和国固体废物污染环境防治法》《四川省固体废物污染环境防治条例》《资阳市城区建筑垃圾管理条例》等法律法规要求，《</w:t>
      </w:r>
      <w:r>
        <w:rPr>
          <w:rFonts w:hint="eastAsia"/>
          <w:color w:val="auto"/>
          <w:lang w:eastAsia="zh-CN"/>
        </w:rPr>
        <w:t>四川省城市建筑垃圾处置及资源化利用行动方案</w:t>
      </w:r>
      <w:r>
        <w:rPr>
          <w:rFonts w:hint="eastAsia"/>
          <w:lang w:eastAsia="zh-CN"/>
        </w:rPr>
        <w:t>》的工作部署，按照“一城一策”，为摸清底数和确定建筑垃圾减量化和资源化利用目标，构建城市建筑垃圾全过程运行管理体系，储备一批重点建设项目，切实提升建筑垃圾资源化利用水平，推动安岳县人居环境高质量发展，特制定本规划。</w:t>
      </w:r>
      <w:bookmarkStart w:id="26" w:name="_Toc175056356"/>
    </w:p>
    <w:p w14:paraId="3498D726">
      <w:pPr>
        <w:pStyle w:val="3"/>
        <w:numPr>
          <w:ilvl w:val="0"/>
          <w:numId w:val="2"/>
        </w:numPr>
        <w:spacing w:line="580" w:lineRule="exact"/>
        <w:ind w:firstLine="640"/>
      </w:pPr>
      <w:r>
        <w:rPr>
          <w:rFonts w:hint="eastAsia"/>
          <w:b w:val="0"/>
          <w:bCs/>
        </w:rPr>
        <w:t>政策背景</w:t>
      </w:r>
      <w:bookmarkEnd w:id="26"/>
    </w:p>
    <w:p w14:paraId="1855738B">
      <w:pPr>
        <w:ind w:firstLine="640"/>
        <w:rPr>
          <w:color w:val="auto"/>
          <w:lang w:eastAsia="zh-CN"/>
        </w:rPr>
      </w:pPr>
      <w:r>
        <w:rPr>
          <w:rFonts w:hint="eastAsia"/>
          <w:color w:val="auto"/>
          <w:lang w:eastAsia="zh-CN"/>
        </w:rPr>
        <w:t>建筑废弃物是城市发展过程中不可避免产生的一类固体废弃物。近年来，随着安岳县城市开发建设工程体量不断增加，</w:t>
      </w:r>
      <w:r>
        <w:rPr>
          <w:rFonts w:hint="eastAsia"/>
          <w:color w:val="auto"/>
          <w:spacing w:val="-6"/>
          <w:lang w:eastAsia="zh-CN"/>
        </w:rPr>
        <w:t>未来建筑废弃物产量将居高不下。受城市土地资源的限制，未来建筑废弃物的处理处置将成为影响城市发展的制约因素之一。</w:t>
      </w:r>
    </w:p>
    <w:p w14:paraId="7939233C">
      <w:pPr>
        <w:ind w:firstLine="640"/>
        <w:rPr>
          <w:color w:val="auto"/>
          <w:lang w:eastAsia="zh-CN"/>
        </w:rPr>
      </w:pPr>
      <w:r>
        <w:rPr>
          <w:color w:val="auto"/>
          <w:lang w:eastAsia="zh-CN"/>
        </w:rPr>
        <w:t>2023</w:t>
      </w:r>
      <w:r>
        <w:rPr>
          <w:rFonts w:hint="eastAsia"/>
          <w:color w:val="auto"/>
          <w:lang w:eastAsia="zh-CN"/>
        </w:rPr>
        <w:t>年</w:t>
      </w:r>
      <w:r>
        <w:rPr>
          <w:color w:val="auto"/>
          <w:lang w:eastAsia="zh-CN"/>
        </w:rPr>
        <w:t>8</w:t>
      </w:r>
      <w:r>
        <w:rPr>
          <w:rFonts w:hint="eastAsia"/>
          <w:color w:val="auto"/>
          <w:lang w:eastAsia="zh-CN"/>
        </w:rPr>
        <w:t>月，国家发展改革委等部门印发《环境基础设施建设水平提升行动（</w:t>
      </w:r>
      <w:r>
        <w:rPr>
          <w:color w:val="auto"/>
          <w:lang w:eastAsia="zh-CN"/>
        </w:rPr>
        <w:t>2023</w:t>
      </w:r>
      <w:r>
        <w:rPr>
          <w:rFonts w:hint="eastAsia" w:ascii="方正仿宋_GBK"/>
          <w:color w:val="auto"/>
          <w:lang w:eastAsia="zh-CN"/>
        </w:rPr>
        <w:t>﹣</w:t>
      </w:r>
      <w:r>
        <w:rPr>
          <w:color w:val="auto"/>
          <w:lang w:eastAsia="zh-CN"/>
        </w:rPr>
        <w:t>2025</w:t>
      </w:r>
      <w:r>
        <w:rPr>
          <w:rFonts w:hint="eastAsia"/>
          <w:color w:val="auto"/>
          <w:lang w:eastAsia="zh-CN"/>
        </w:rPr>
        <w:t>年）》（发改环资〔</w:t>
      </w:r>
      <w:r>
        <w:rPr>
          <w:color w:val="auto"/>
          <w:lang w:eastAsia="zh-CN"/>
        </w:rPr>
        <w:t>2023</w:t>
      </w:r>
      <w:r>
        <w:rPr>
          <w:rFonts w:hint="eastAsia"/>
          <w:color w:val="auto"/>
          <w:lang w:eastAsia="zh-CN"/>
        </w:rPr>
        <w:t>〕</w:t>
      </w:r>
      <w:r>
        <w:rPr>
          <w:color w:val="auto"/>
          <w:lang w:eastAsia="zh-CN"/>
        </w:rPr>
        <w:t>1046</w:t>
      </w:r>
      <w:r>
        <w:rPr>
          <w:rFonts w:hint="eastAsia"/>
          <w:color w:val="auto"/>
          <w:lang w:eastAsia="zh-CN"/>
        </w:rPr>
        <w:t>号），部署推动补齐环境基础设施短板弱项，全面提升环境基础设施建设水平。提升行动要求：推进建筑垃圾分类及资源化利用、规划建设再生资源加工利用基地等。</w:t>
      </w:r>
    </w:p>
    <w:p w14:paraId="7581B2CA">
      <w:pPr>
        <w:ind w:firstLine="640"/>
        <w:rPr>
          <w:color w:val="auto"/>
          <w:lang w:eastAsia="zh-CN"/>
        </w:rPr>
      </w:pPr>
      <w:r>
        <w:rPr>
          <w:color w:val="auto"/>
          <w:lang w:eastAsia="zh-CN"/>
        </w:rPr>
        <w:t>2024</w:t>
      </w:r>
      <w:r>
        <w:rPr>
          <w:rFonts w:hint="eastAsia"/>
          <w:color w:val="auto"/>
          <w:lang w:eastAsia="zh-CN"/>
        </w:rPr>
        <w:t>年</w:t>
      </w:r>
      <w:r>
        <w:rPr>
          <w:color w:val="auto"/>
          <w:lang w:eastAsia="zh-CN"/>
        </w:rPr>
        <w:t>8</w:t>
      </w:r>
      <w:r>
        <w:rPr>
          <w:rFonts w:hint="eastAsia"/>
          <w:color w:val="auto"/>
          <w:lang w:eastAsia="zh-CN"/>
        </w:rPr>
        <w:t>月，四川省住房和城乡建设厅会同相关部门制定了《四川省城市建筑垃圾处置及资源化利用行动方案》，其目标任务是“到</w:t>
      </w:r>
      <w:r>
        <w:rPr>
          <w:color w:val="auto"/>
          <w:lang w:eastAsia="zh-CN"/>
        </w:rPr>
        <w:t>2024</w:t>
      </w:r>
      <w:r>
        <w:rPr>
          <w:rFonts w:hint="eastAsia"/>
          <w:color w:val="auto"/>
          <w:lang w:eastAsia="zh-CN"/>
        </w:rPr>
        <w:t>年底，各市（州）完成制定或修订本地区城市建筑垃圾污染环境防治工作规划，城市建筑垃圾全过程管理制度更加健全，产生、运输、处置核准进一步规范。到</w:t>
      </w:r>
      <w:r>
        <w:rPr>
          <w:color w:val="auto"/>
          <w:lang w:eastAsia="zh-CN"/>
        </w:rPr>
        <w:t>2025</w:t>
      </w:r>
      <w:r>
        <w:rPr>
          <w:rFonts w:hint="eastAsia"/>
          <w:color w:val="auto"/>
          <w:lang w:eastAsia="zh-CN"/>
        </w:rPr>
        <w:t>年底，全省基本建立城市建筑垃圾治理体系，全过程管理制度有效落实，地级及以上城市建筑垃圾资源化处理能力满足实际需求，县级城市具有规范的建筑垃圾处置场所，城市建筑垃圾综合利用率达到</w:t>
      </w:r>
      <w:r>
        <w:rPr>
          <w:color w:val="auto"/>
          <w:lang w:eastAsia="zh-CN"/>
        </w:rPr>
        <w:t xml:space="preserve"> 50%</w:t>
      </w:r>
      <w:r>
        <w:rPr>
          <w:rFonts w:hint="eastAsia"/>
          <w:color w:val="auto"/>
          <w:lang w:eastAsia="zh-CN"/>
        </w:rPr>
        <w:t>以上”。</w:t>
      </w:r>
    </w:p>
    <w:p w14:paraId="74BAEADD">
      <w:pPr>
        <w:ind w:firstLine="640"/>
        <w:rPr>
          <w:color w:val="auto"/>
          <w:lang w:eastAsia="zh-CN"/>
        </w:rPr>
      </w:pPr>
      <w:r>
        <w:rPr>
          <w:color w:val="auto"/>
          <w:lang w:eastAsia="zh-CN"/>
        </w:rPr>
        <w:t>2024</w:t>
      </w:r>
      <w:r>
        <w:rPr>
          <w:rFonts w:hint="eastAsia"/>
          <w:color w:val="auto"/>
          <w:lang w:eastAsia="zh-CN"/>
        </w:rPr>
        <w:t>年</w:t>
      </w:r>
      <w:r>
        <w:rPr>
          <w:color w:val="auto"/>
          <w:lang w:eastAsia="zh-CN"/>
        </w:rPr>
        <w:t>4</w:t>
      </w:r>
      <w:r>
        <w:rPr>
          <w:rFonts w:hint="eastAsia"/>
          <w:color w:val="auto"/>
          <w:lang w:eastAsia="zh-CN"/>
        </w:rPr>
        <w:t>月，资阳市生态环境局起草了《资阳市“无废城市”建设实施方案》，要求提升县（区）建筑垃圾回收再利用水平。鼓励现有的资源化利用企业进行技术革新和设备升级，鼓励支持建筑垃圾再生产品规模化、高效化、产业化和高值化应用。</w:t>
      </w:r>
    </w:p>
    <w:p w14:paraId="71388CB4">
      <w:pPr>
        <w:ind w:firstLine="640"/>
        <w:rPr>
          <w:color w:val="auto"/>
          <w:lang w:eastAsia="zh-CN"/>
        </w:rPr>
      </w:pPr>
      <w:r>
        <w:rPr>
          <w:rFonts w:hint="eastAsia"/>
          <w:color w:val="auto"/>
          <w:lang w:eastAsia="zh-CN"/>
        </w:rPr>
        <w:t>基于以上背景和我县实际，编制了《安岳县建筑垃圾污染环境防治专项规划（</w:t>
      </w:r>
      <w:r>
        <w:rPr>
          <w:color w:val="auto"/>
          <w:lang w:eastAsia="zh-CN"/>
        </w:rPr>
        <w:t>2024</w:t>
      </w:r>
      <w:r>
        <w:rPr>
          <w:rFonts w:hint="eastAsia" w:ascii="方正仿宋_GBK"/>
          <w:color w:val="auto"/>
          <w:lang w:eastAsia="zh-CN"/>
        </w:rPr>
        <w:t>﹣</w:t>
      </w:r>
      <w:r>
        <w:rPr>
          <w:color w:val="auto"/>
          <w:lang w:eastAsia="zh-CN"/>
        </w:rPr>
        <w:t>2035</w:t>
      </w:r>
      <w:r>
        <w:rPr>
          <w:rFonts w:hint="eastAsia"/>
          <w:color w:val="auto"/>
          <w:lang w:eastAsia="zh-CN"/>
        </w:rPr>
        <w:t>年）》。</w:t>
      </w:r>
    </w:p>
    <w:p w14:paraId="1EAADA16">
      <w:pPr>
        <w:pStyle w:val="3"/>
        <w:spacing w:line="580" w:lineRule="exact"/>
        <w:ind w:firstLine="640"/>
        <w:rPr>
          <w:b w:val="0"/>
          <w:bCs/>
        </w:rPr>
      </w:pPr>
      <w:bookmarkStart w:id="27" w:name="_Toc175056357"/>
      <w:r>
        <w:rPr>
          <w:rFonts w:hint="eastAsia"/>
          <w:b w:val="0"/>
          <w:bCs/>
        </w:rPr>
        <w:t>第二节</w:t>
      </w:r>
      <w:r>
        <w:rPr>
          <w:b w:val="0"/>
          <w:bCs/>
        </w:rPr>
        <w:t xml:space="preserve"> </w:t>
      </w:r>
      <w:r>
        <w:rPr>
          <w:rFonts w:hint="eastAsia"/>
          <w:b w:val="0"/>
          <w:bCs/>
        </w:rPr>
        <w:t>安岳县概况</w:t>
      </w:r>
      <w:bookmarkEnd w:id="27"/>
    </w:p>
    <w:p w14:paraId="6779E596">
      <w:pPr>
        <w:ind w:firstLine="640"/>
        <w:rPr>
          <w:color w:val="auto"/>
          <w:lang w:eastAsia="zh-CN"/>
        </w:rPr>
      </w:pPr>
      <w:r>
        <w:rPr>
          <w:rFonts w:hint="eastAsia"/>
          <w:color w:val="auto"/>
          <w:lang w:eastAsia="zh-CN"/>
        </w:rPr>
        <w:t>安岳县隶属四川省资阳市，位于四川盆地中部，成渝经济区腹心和成都、重庆的直线中点，被誉为“中国柠檬之都”“石刻之乡”。地貌类型以丘陵为主，属亚热带湿润季风气候，四季分明，冬暖春早，总面积</w:t>
      </w:r>
      <w:r>
        <w:rPr>
          <w:color w:val="auto"/>
          <w:lang w:eastAsia="zh-CN"/>
        </w:rPr>
        <w:t>2689.83</w:t>
      </w:r>
      <w:r>
        <w:rPr>
          <w:rFonts w:hint="eastAsia"/>
          <w:color w:val="auto"/>
          <w:lang w:eastAsia="zh-CN"/>
        </w:rPr>
        <w:t>平方千米，辖</w:t>
      </w:r>
      <w:r>
        <w:rPr>
          <w:color w:val="auto"/>
          <w:lang w:eastAsia="zh-CN"/>
        </w:rPr>
        <w:t>2</w:t>
      </w:r>
      <w:r>
        <w:rPr>
          <w:rFonts w:hint="eastAsia"/>
          <w:color w:val="auto"/>
          <w:lang w:eastAsia="zh-CN"/>
        </w:rPr>
        <w:t>个街道、</w:t>
      </w:r>
      <w:r>
        <w:rPr>
          <w:color w:val="auto"/>
          <w:lang w:eastAsia="zh-CN"/>
        </w:rPr>
        <w:t>32</w:t>
      </w:r>
      <w:r>
        <w:rPr>
          <w:rFonts w:hint="eastAsia"/>
          <w:color w:val="auto"/>
          <w:lang w:eastAsia="zh-CN"/>
        </w:rPr>
        <w:t>个镇、</w:t>
      </w:r>
      <w:r>
        <w:rPr>
          <w:color w:val="auto"/>
          <w:lang w:eastAsia="zh-CN"/>
        </w:rPr>
        <w:t>12</w:t>
      </w:r>
      <w:r>
        <w:rPr>
          <w:rFonts w:hint="eastAsia"/>
          <w:color w:val="auto"/>
          <w:lang w:eastAsia="zh-CN"/>
        </w:rPr>
        <w:t>个乡，县人民政府驻岳城街道广场路</w:t>
      </w:r>
      <w:r>
        <w:rPr>
          <w:color w:val="auto"/>
          <w:lang w:eastAsia="zh-CN"/>
        </w:rPr>
        <w:t>1</w:t>
      </w:r>
      <w:r>
        <w:rPr>
          <w:rFonts w:hint="eastAsia"/>
          <w:color w:val="auto"/>
          <w:lang w:eastAsia="zh-CN"/>
        </w:rPr>
        <w:t>号。</w:t>
      </w:r>
      <w:r>
        <w:rPr>
          <w:color w:val="auto"/>
          <w:lang w:eastAsia="zh-CN"/>
        </w:rPr>
        <w:t>2023</w:t>
      </w:r>
      <w:r>
        <w:rPr>
          <w:rFonts w:hint="eastAsia"/>
          <w:color w:val="auto"/>
          <w:lang w:eastAsia="zh-CN"/>
        </w:rPr>
        <w:t>年，安岳县常住人口</w:t>
      </w:r>
      <w:r>
        <w:rPr>
          <w:color w:val="auto"/>
          <w:lang w:eastAsia="zh-CN"/>
        </w:rPr>
        <w:t>92.9</w:t>
      </w:r>
      <w:r>
        <w:rPr>
          <w:rFonts w:hint="eastAsia"/>
          <w:color w:val="auto"/>
          <w:lang w:eastAsia="zh-CN"/>
        </w:rPr>
        <w:t>万人，城镇化率为</w:t>
      </w:r>
      <w:r>
        <w:rPr>
          <w:color w:val="auto"/>
          <w:lang w:eastAsia="zh-CN"/>
        </w:rPr>
        <w:t>33.35%</w:t>
      </w:r>
      <w:r>
        <w:rPr>
          <w:rFonts w:hint="eastAsia"/>
          <w:color w:val="auto"/>
          <w:lang w:eastAsia="zh-CN"/>
        </w:rPr>
        <w:t>。</w:t>
      </w:r>
    </w:p>
    <w:p w14:paraId="549249C4">
      <w:pPr>
        <w:ind w:firstLine="640"/>
        <w:rPr>
          <w:color w:val="auto"/>
          <w:lang w:eastAsia="zh-CN"/>
        </w:rPr>
      </w:pPr>
      <w:r>
        <w:rPr>
          <w:color w:val="auto"/>
          <w:lang w:eastAsia="zh-CN"/>
        </w:rPr>
        <w:t>2023</w:t>
      </w:r>
      <w:r>
        <w:rPr>
          <w:rFonts w:hint="eastAsia"/>
          <w:color w:val="auto"/>
          <w:lang w:eastAsia="zh-CN"/>
        </w:rPr>
        <w:t>年，安岳县地区生产总值（</w:t>
      </w:r>
      <w:r>
        <w:rPr>
          <w:color w:val="auto"/>
          <w:lang w:eastAsia="zh-CN"/>
        </w:rPr>
        <w:t>GDP</w:t>
      </w:r>
      <w:r>
        <w:rPr>
          <w:rFonts w:hint="eastAsia"/>
          <w:color w:val="auto"/>
          <w:lang w:eastAsia="zh-CN"/>
        </w:rPr>
        <w:t>）实现</w:t>
      </w:r>
      <w:r>
        <w:rPr>
          <w:color w:val="auto"/>
          <w:lang w:eastAsia="zh-CN"/>
        </w:rPr>
        <w:t>335.9</w:t>
      </w:r>
      <w:r>
        <w:rPr>
          <w:rFonts w:hint="eastAsia"/>
          <w:color w:val="auto"/>
          <w:lang w:eastAsia="zh-CN"/>
        </w:rPr>
        <w:t>亿元，按可比价格计算，比上年增长</w:t>
      </w:r>
      <w:r>
        <w:rPr>
          <w:color w:val="auto"/>
          <w:lang w:eastAsia="zh-CN"/>
        </w:rPr>
        <w:t>5.7%</w:t>
      </w:r>
      <w:r>
        <w:rPr>
          <w:rFonts w:hint="eastAsia"/>
          <w:color w:val="auto"/>
          <w:lang w:eastAsia="zh-CN"/>
        </w:rPr>
        <w:t>。</w:t>
      </w:r>
    </w:p>
    <w:p w14:paraId="7E5F9F65">
      <w:pPr>
        <w:pStyle w:val="3"/>
        <w:spacing w:line="580" w:lineRule="exact"/>
        <w:ind w:firstLine="640"/>
      </w:pPr>
      <w:bookmarkStart w:id="28" w:name="_Toc175056358"/>
      <w:r>
        <w:rPr>
          <w:rFonts w:hint="eastAsia"/>
          <w:b w:val="0"/>
          <w:bCs/>
        </w:rPr>
        <w:t>第三节</w:t>
      </w:r>
      <w:r>
        <w:rPr>
          <w:b w:val="0"/>
          <w:bCs/>
        </w:rPr>
        <w:t xml:space="preserve"> </w:t>
      </w:r>
      <w:r>
        <w:rPr>
          <w:rFonts w:hint="eastAsia"/>
          <w:b w:val="0"/>
          <w:bCs/>
        </w:rPr>
        <w:t>上位及相关规划</w:t>
      </w:r>
      <w:bookmarkEnd w:id="28"/>
    </w:p>
    <w:p w14:paraId="3741E0B0">
      <w:pPr>
        <w:ind w:firstLine="640"/>
        <w:rPr>
          <w:color w:val="auto"/>
          <w:lang w:eastAsia="zh-CN"/>
        </w:rPr>
      </w:pPr>
      <w:r>
        <w:rPr>
          <w:rFonts w:hint="eastAsia"/>
          <w:color w:val="auto"/>
          <w:lang w:eastAsia="zh-CN"/>
        </w:rPr>
        <w:t>《安岳县国民经济和社会发展第十四个五年规划和二〇三五年远景目标纲要》指出，到</w:t>
      </w:r>
      <w:r>
        <w:rPr>
          <w:color w:val="auto"/>
          <w:lang w:eastAsia="zh-CN"/>
        </w:rPr>
        <w:t>2035</w:t>
      </w:r>
      <w:r>
        <w:rPr>
          <w:rFonts w:hint="eastAsia"/>
          <w:color w:val="auto"/>
          <w:lang w:eastAsia="zh-CN"/>
        </w:rPr>
        <w:t>年，安岳县要推进城乡建设一体化，县城建成区面积拓展至</w:t>
      </w:r>
      <w:r>
        <w:rPr>
          <w:color w:val="auto"/>
          <w:lang w:eastAsia="zh-CN"/>
        </w:rPr>
        <w:t>35</w:t>
      </w:r>
      <w:r>
        <w:rPr>
          <w:rFonts w:hint="eastAsia"/>
          <w:color w:val="auto"/>
          <w:lang w:eastAsia="zh-CN"/>
        </w:rPr>
        <w:t>平方公里，城镇化率提高</w:t>
      </w:r>
      <w:r>
        <w:rPr>
          <w:color w:val="auto"/>
          <w:lang w:eastAsia="zh-CN"/>
        </w:rPr>
        <w:t>5.2</w:t>
      </w:r>
      <w:r>
        <w:rPr>
          <w:rFonts w:hint="eastAsia"/>
          <w:color w:val="auto"/>
          <w:lang w:eastAsia="zh-CN"/>
        </w:rPr>
        <w:t>个百分点，成功创建第四届省级文明城市；规划还指出要加快环保设施建设。</w:t>
      </w:r>
    </w:p>
    <w:p w14:paraId="13B1BC1C">
      <w:pPr>
        <w:ind w:firstLine="640"/>
        <w:rPr>
          <w:color w:val="auto"/>
          <w:lang w:eastAsia="zh-CN"/>
        </w:rPr>
      </w:pPr>
      <w:r>
        <w:rPr>
          <w:rFonts w:hint="eastAsia"/>
          <w:color w:val="auto"/>
          <w:lang w:eastAsia="zh-CN"/>
        </w:rPr>
        <w:t>《安岳县国土空间总体规划（</w:t>
      </w:r>
      <w:r>
        <w:rPr>
          <w:color w:val="auto"/>
          <w:lang w:eastAsia="zh-CN"/>
        </w:rPr>
        <w:t>2021—2035</w:t>
      </w:r>
      <w:r>
        <w:rPr>
          <w:rFonts w:hint="eastAsia"/>
          <w:color w:val="auto"/>
          <w:lang w:eastAsia="zh-CN"/>
        </w:rPr>
        <w:t>年）》指出，环卫系统要构建全面分类、固废高效循环的环卫系统，垃圾无害化处置率达到</w:t>
      </w:r>
      <w:r>
        <w:rPr>
          <w:color w:val="auto"/>
          <w:lang w:eastAsia="zh-CN"/>
        </w:rPr>
        <w:t>100%</w:t>
      </w:r>
      <w:r>
        <w:rPr>
          <w:rFonts w:hint="eastAsia"/>
          <w:color w:val="auto"/>
          <w:lang w:eastAsia="zh-CN"/>
        </w:rPr>
        <w:t>。</w:t>
      </w:r>
    </w:p>
    <w:p w14:paraId="0F574CD7">
      <w:pPr>
        <w:ind w:firstLine="640"/>
        <w:rPr>
          <w:color w:val="auto"/>
          <w:lang w:eastAsia="zh-CN"/>
        </w:rPr>
      </w:pPr>
      <w:r>
        <w:rPr>
          <w:rFonts w:hint="eastAsia"/>
          <w:color w:val="auto"/>
          <w:lang w:eastAsia="zh-CN"/>
        </w:rPr>
        <w:t>《安岳县“十四五”生态环境保护规划》指出，要强化固体废物污染防治，提高建筑垃圾资源化利用水平。加强收集、转运、分拣、处理处置等全过程监管，实现减量化、资源化、绿色化。</w:t>
      </w:r>
    </w:p>
    <w:p w14:paraId="5FE61952">
      <w:pPr>
        <w:pStyle w:val="3"/>
        <w:spacing w:line="580" w:lineRule="exact"/>
        <w:ind w:firstLine="640"/>
      </w:pPr>
      <w:bookmarkStart w:id="29" w:name="_Toc175056359"/>
      <w:r>
        <w:rPr>
          <w:rFonts w:hint="eastAsia"/>
          <w:b w:val="0"/>
          <w:bCs/>
        </w:rPr>
        <w:t>第四节</w:t>
      </w:r>
      <w:r>
        <w:rPr>
          <w:b w:val="0"/>
          <w:bCs/>
        </w:rPr>
        <w:t xml:space="preserve"> </w:t>
      </w:r>
      <w:r>
        <w:rPr>
          <w:rFonts w:hint="eastAsia"/>
          <w:b w:val="0"/>
          <w:bCs/>
        </w:rPr>
        <w:t>建筑垃圾现状</w:t>
      </w:r>
      <w:bookmarkEnd w:id="29"/>
    </w:p>
    <w:p w14:paraId="02ADEA2E">
      <w:pPr>
        <w:pStyle w:val="4"/>
        <w:spacing w:line="580" w:lineRule="exact"/>
        <w:ind w:firstLine="643"/>
        <w:jc w:val="both"/>
        <w:rPr>
          <w:rFonts w:eastAsia="方正楷体_GBK"/>
        </w:rPr>
      </w:pPr>
      <w:r>
        <w:rPr>
          <w:rFonts w:hint="eastAsia" w:eastAsia="方正楷体_GBK"/>
        </w:rPr>
        <w:t>（一）建筑垃圾收运情况</w:t>
      </w:r>
    </w:p>
    <w:p w14:paraId="5A277837">
      <w:pPr>
        <w:ind w:firstLine="640"/>
        <w:rPr>
          <w:color w:val="auto"/>
          <w:lang w:eastAsia="zh-CN"/>
        </w:rPr>
      </w:pPr>
      <w:r>
        <w:rPr>
          <w:rFonts w:hint="eastAsia"/>
          <w:color w:val="auto"/>
          <w:lang w:eastAsia="zh-CN"/>
        </w:rPr>
        <w:t>近年来，安岳县对建筑垃圾收运开展了一系列的治理行动，加强多部门联合执法，并成立了临时专治部门，对建筑垃圾的运输主体、运输车辆及其装备、运输路线等做出了强制性要求，进一步规范了建筑垃圾运输行为，有效遏制了建筑垃圾运输车辆在运输过程中因超载、冒载、沿途撒漏等造成的扬尘污染。安岳县建筑工程产生的弃土和废料一般由公司化、规模化、专业化的企业进行收集运输。目前安岳县有</w:t>
      </w:r>
      <w:r>
        <w:rPr>
          <w:color w:val="auto"/>
          <w:lang w:eastAsia="zh-CN"/>
        </w:rPr>
        <w:t>5</w:t>
      </w:r>
      <w:r>
        <w:rPr>
          <w:rFonts w:hint="eastAsia"/>
          <w:color w:val="auto"/>
          <w:lang w:eastAsia="zh-CN"/>
        </w:rPr>
        <w:t>家专业运输公司，</w:t>
      </w:r>
      <w:r>
        <w:rPr>
          <w:color w:val="auto"/>
          <w:lang w:eastAsia="zh-CN"/>
        </w:rPr>
        <w:t>106</w:t>
      </w:r>
      <w:r>
        <w:rPr>
          <w:rFonts w:hint="eastAsia"/>
          <w:color w:val="auto"/>
          <w:lang w:eastAsia="zh-CN"/>
        </w:rPr>
        <w:t>辆专用渣土运输车。</w:t>
      </w:r>
    </w:p>
    <w:p w14:paraId="20E5C8E0">
      <w:pPr>
        <w:ind w:firstLine="640"/>
        <w:rPr>
          <w:color w:val="auto"/>
          <w:lang w:eastAsia="zh-CN"/>
        </w:rPr>
      </w:pPr>
      <w:r>
        <w:rPr>
          <w:rFonts w:hint="eastAsia"/>
          <w:color w:val="auto"/>
          <w:lang w:eastAsia="zh-CN"/>
        </w:rPr>
        <w:t>安岳县装修垃圾的收运体系还不健全，无资源化处置利用场所，仅有分拣场所。拆除、装饰装修垃圾初选后剩余固体废物分拣后初加工作为填充骨料使用，无回收使用价值可燃烧的装饰装修垃圾送垃圾焚烧发电厂使用。</w:t>
      </w:r>
    </w:p>
    <w:p w14:paraId="686D9886">
      <w:pPr>
        <w:pStyle w:val="4"/>
        <w:spacing w:line="580" w:lineRule="exact"/>
        <w:ind w:firstLine="643"/>
        <w:jc w:val="both"/>
        <w:rPr>
          <w:rFonts w:eastAsia="方正楷体_GBK"/>
        </w:rPr>
      </w:pPr>
      <w:r>
        <w:rPr>
          <w:rFonts w:hint="eastAsia" w:eastAsia="方正楷体_GBK"/>
        </w:rPr>
        <w:t>（二）建筑垃圾处置情况</w:t>
      </w:r>
    </w:p>
    <w:p w14:paraId="4BCE16B6">
      <w:pPr>
        <w:ind w:firstLine="640"/>
        <w:rPr>
          <w:color w:val="auto"/>
          <w:lang w:eastAsia="zh-CN"/>
        </w:rPr>
      </w:pPr>
      <w:r>
        <w:rPr>
          <w:rFonts w:hint="eastAsia"/>
          <w:color w:val="auto"/>
          <w:lang w:eastAsia="zh-CN"/>
        </w:rPr>
        <w:t>安岳县于</w:t>
      </w:r>
      <w:r>
        <w:rPr>
          <w:color w:val="auto"/>
          <w:lang w:eastAsia="zh-CN"/>
        </w:rPr>
        <w:t>2016</w:t>
      </w:r>
      <w:r>
        <w:rPr>
          <w:rFonts w:hint="eastAsia"/>
          <w:color w:val="auto"/>
          <w:lang w:eastAsia="zh-CN"/>
        </w:rPr>
        <w:t>年投资</w:t>
      </w:r>
      <w:r>
        <w:rPr>
          <w:color w:val="auto"/>
          <w:lang w:eastAsia="zh-CN"/>
        </w:rPr>
        <w:t>12000</w:t>
      </w:r>
      <w:r>
        <w:rPr>
          <w:rFonts w:hint="eastAsia"/>
          <w:color w:val="auto"/>
          <w:lang w:eastAsia="zh-CN"/>
        </w:rPr>
        <w:t>万元建设了</w:t>
      </w:r>
      <w:r>
        <w:rPr>
          <w:rFonts w:hint="eastAsia"/>
          <w:color w:val="auto"/>
          <w:lang w:val="zh-CN" w:eastAsia="zh-CN"/>
        </w:rPr>
        <w:t>安岳县原岳阳镇白石村弃土消纳场工程。</w:t>
      </w:r>
      <w:r>
        <w:rPr>
          <w:rFonts w:hint="eastAsia"/>
          <w:color w:val="auto"/>
          <w:lang w:eastAsia="zh-CN"/>
        </w:rPr>
        <w:t>该</w:t>
      </w:r>
      <w:r>
        <w:rPr>
          <w:rFonts w:hint="eastAsia"/>
          <w:color w:val="auto"/>
          <w:lang w:val="zh-CN" w:eastAsia="zh-CN"/>
        </w:rPr>
        <w:t>工程位于安岳县岳城街道白石村</w:t>
      </w:r>
      <w:r>
        <w:rPr>
          <w:color w:val="auto"/>
          <w:lang w:val="zh-CN" w:eastAsia="zh-CN"/>
        </w:rPr>
        <w:t>1</w:t>
      </w:r>
      <w:r>
        <w:rPr>
          <w:rFonts w:hint="eastAsia"/>
          <w:color w:val="auto"/>
          <w:lang w:val="zh-CN" w:eastAsia="zh-CN"/>
        </w:rPr>
        <w:t>、</w:t>
      </w:r>
      <w:r>
        <w:rPr>
          <w:color w:val="auto"/>
          <w:lang w:val="zh-CN" w:eastAsia="zh-CN"/>
        </w:rPr>
        <w:t>2</w:t>
      </w:r>
      <w:r>
        <w:rPr>
          <w:rFonts w:hint="eastAsia"/>
          <w:color w:val="auto"/>
          <w:lang w:val="zh-CN" w:eastAsia="zh-CN"/>
        </w:rPr>
        <w:t>、</w:t>
      </w:r>
      <w:r>
        <w:rPr>
          <w:color w:val="auto"/>
          <w:lang w:val="zh-CN" w:eastAsia="zh-CN"/>
        </w:rPr>
        <w:t>3</w:t>
      </w:r>
      <w:r>
        <w:rPr>
          <w:rFonts w:hint="eastAsia"/>
          <w:color w:val="auto"/>
          <w:lang w:val="zh-CN" w:eastAsia="zh-CN"/>
        </w:rPr>
        <w:t>、</w:t>
      </w:r>
      <w:r>
        <w:rPr>
          <w:color w:val="auto"/>
          <w:lang w:val="zh-CN" w:eastAsia="zh-CN"/>
        </w:rPr>
        <w:t>13</w:t>
      </w:r>
      <w:r>
        <w:rPr>
          <w:rFonts w:hint="eastAsia"/>
          <w:color w:val="auto"/>
          <w:lang w:val="zh-CN" w:eastAsia="zh-CN"/>
        </w:rPr>
        <w:t>社，总用地面积</w:t>
      </w:r>
      <w:r>
        <w:rPr>
          <w:color w:val="auto"/>
          <w:lang w:val="zh-CN" w:eastAsia="zh-CN"/>
        </w:rPr>
        <w:t>1252.54</w:t>
      </w:r>
      <w:r>
        <w:rPr>
          <w:rFonts w:hint="eastAsia"/>
          <w:color w:val="auto"/>
          <w:lang w:val="zh-CN" w:eastAsia="zh-CN"/>
        </w:rPr>
        <w:t>亩，共分三期建设，其中一期用地面积</w:t>
      </w:r>
      <w:r>
        <w:rPr>
          <w:color w:val="auto"/>
          <w:lang w:val="zh-CN" w:eastAsia="zh-CN"/>
        </w:rPr>
        <w:t>201.5</w:t>
      </w:r>
      <w:r>
        <w:rPr>
          <w:rFonts w:hint="eastAsia"/>
          <w:color w:val="auto"/>
          <w:lang w:val="zh-CN" w:eastAsia="zh-CN"/>
        </w:rPr>
        <w:t>亩，二期用地面积</w:t>
      </w:r>
      <w:r>
        <w:rPr>
          <w:color w:val="auto"/>
          <w:lang w:val="zh-CN" w:eastAsia="zh-CN"/>
        </w:rPr>
        <w:t>406.16</w:t>
      </w:r>
      <w:r>
        <w:rPr>
          <w:rFonts w:hint="eastAsia"/>
          <w:color w:val="auto"/>
          <w:lang w:val="zh-CN" w:eastAsia="zh-CN"/>
        </w:rPr>
        <w:t>亩，三期用地面积</w:t>
      </w:r>
      <w:r>
        <w:rPr>
          <w:color w:val="auto"/>
          <w:lang w:val="zh-CN" w:eastAsia="zh-CN"/>
        </w:rPr>
        <w:t>644.88</w:t>
      </w:r>
      <w:r>
        <w:rPr>
          <w:rFonts w:hint="eastAsia"/>
          <w:color w:val="auto"/>
          <w:lang w:val="zh-CN" w:eastAsia="zh-CN"/>
        </w:rPr>
        <w:t>亩。项目主要接纳安岳县区域内开发建设中产生的工程弃土。</w:t>
      </w:r>
      <w:r>
        <w:rPr>
          <w:rFonts w:hint="eastAsia"/>
          <w:color w:val="auto"/>
          <w:lang w:eastAsia="zh-CN"/>
        </w:rPr>
        <w:t>项目</w:t>
      </w:r>
      <w:r>
        <w:rPr>
          <w:rFonts w:hint="eastAsia"/>
          <w:color w:val="auto"/>
          <w:lang w:val="zh-CN" w:eastAsia="zh-CN"/>
        </w:rPr>
        <w:t>总容积为</w:t>
      </w:r>
      <w:r>
        <w:rPr>
          <w:color w:val="auto"/>
          <w:lang w:val="zh-CN" w:eastAsia="zh-CN"/>
        </w:rPr>
        <w:t>3300</w:t>
      </w:r>
      <w:r>
        <w:rPr>
          <w:rFonts w:hint="eastAsia"/>
          <w:color w:val="auto"/>
          <w:lang w:val="zh-CN" w:eastAsia="zh-CN"/>
        </w:rPr>
        <w:t>万</w:t>
      </w:r>
      <w:r>
        <w:rPr>
          <w:color w:val="auto"/>
          <w:lang w:val="zh-CN" w:eastAsia="zh-CN"/>
        </w:rPr>
        <w:t>m</w:t>
      </w:r>
      <w:r>
        <w:rPr>
          <w:rFonts w:ascii="宋体" w:hAnsi="宋体" w:eastAsia="宋体" w:cs="宋体"/>
          <w:color w:val="auto"/>
          <w:vertAlign w:val="superscript"/>
          <w:lang w:val="zh-CN" w:eastAsia="zh-CN"/>
        </w:rPr>
        <w:t>3</w:t>
      </w:r>
      <w:r>
        <w:rPr>
          <w:rFonts w:hint="eastAsia"/>
          <w:color w:val="auto"/>
          <w:lang w:val="zh-CN" w:eastAsia="zh-CN"/>
        </w:rPr>
        <w:t>，利用天然沟谷建设</w:t>
      </w:r>
      <w:r>
        <w:rPr>
          <w:color w:val="auto"/>
          <w:lang w:val="zh-CN" w:eastAsia="zh-CN"/>
        </w:rPr>
        <w:t>5</w:t>
      </w:r>
      <w:r>
        <w:rPr>
          <w:rFonts w:hint="eastAsia"/>
          <w:color w:val="auto"/>
          <w:lang w:val="zh-CN" w:eastAsia="zh-CN"/>
        </w:rPr>
        <w:t>个弃土消纳场，其中一期容积约为</w:t>
      </w:r>
      <w:r>
        <w:rPr>
          <w:color w:val="auto"/>
          <w:lang w:val="zh-CN" w:eastAsia="zh-CN"/>
        </w:rPr>
        <w:t>600</w:t>
      </w:r>
      <w:r>
        <w:rPr>
          <w:rFonts w:hint="eastAsia"/>
          <w:color w:val="auto"/>
          <w:lang w:val="zh-CN" w:eastAsia="zh-CN"/>
        </w:rPr>
        <w:t>万</w:t>
      </w:r>
      <w:r>
        <w:rPr>
          <w:color w:val="auto"/>
          <w:lang w:val="zh-CN" w:eastAsia="zh-CN"/>
        </w:rPr>
        <w:t>m</w:t>
      </w:r>
      <w:r>
        <w:rPr>
          <w:rFonts w:ascii="宋体" w:hAnsi="宋体" w:eastAsia="宋体" w:cs="宋体"/>
          <w:color w:val="auto"/>
          <w:vertAlign w:val="superscript"/>
          <w:lang w:val="zh-CN" w:eastAsia="zh-CN"/>
        </w:rPr>
        <w:t>3</w:t>
      </w:r>
      <w:r>
        <w:rPr>
          <w:rFonts w:hint="eastAsia"/>
          <w:color w:val="auto"/>
          <w:lang w:val="zh-CN" w:eastAsia="zh-CN"/>
        </w:rPr>
        <w:t>，二期容积约为</w:t>
      </w:r>
      <w:r>
        <w:rPr>
          <w:color w:val="auto"/>
          <w:lang w:val="zh-CN" w:eastAsia="zh-CN"/>
        </w:rPr>
        <w:t>1200</w:t>
      </w:r>
      <w:r>
        <w:rPr>
          <w:rFonts w:hint="eastAsia"/>
          <w:color w:val="auto"/>
          <w:lang w:val="zh-CN" w:eastAsia="zh-CN"/>
        </w:rPr>
        <w:t>万</w:t>
      </w:r>
      <w:r>
        <w:rPr>
          <w:color w:val="auto"/>
          <w:lang w:val="zh-CN" w:eastAsia="zh-CN"/>
        </w:rPr>
        <w:t>m</w:t>
      </w:r>
      <w:r>
        <w:rPr>
          <w:rFonts w:ascii="宋体" w:hAnsi="宋体" w:eastAsia="宋体" w:cs="宋体"/>
          <w:color w:val="auto"/>
          <w:vertAlign w:val="superscript"/>
          <w:lang w:val="zh-CN" w:eastAsia="zh-CN"/>
        </w:rPr>
        <w:t>3</w:t>
      </w:r>
      <w:r>
        <w:rPr>
          <w:rFonts w:hint="eastAsia"/>
          <w:color w:val="auto"/>
          <w:lang w:val="zh-CN" w:eastAsia="zh-CN"/>
        </w:rPr>
        <w:t>。一二期已经复垦。三期容积约为</w:t>
      </w:r>
      <w:r>
        <w:rPr>
          <w:color w:val="auto"/>
          <w:lang w:val="zh-CN" w:eastAsia="zh-CN"/>
        </w:rPr>
        <w:t>1500</w:t>
      </w:r>
      <w:r>
        <w:rPr>
          <w:rFonts w:hint="eastAsia"/>
          <w:color w:val="auto"/>
          <w:lang w:val="zh-CN" w:eastAsia="zh-CN"/>
        </w:rPr>
        <w:t>万</w:t>
      </w:r>
      <w:r>
        <w:rPr>
          <w:color w:val="auto"/>
          <w:lang w:val="zh-CN" w:eastAsia="zh-CN"/>
        </w:rPr>
        <w:t>m</w:t>
      </w:r>
      <w:r>
        <w:rPr>
          <w:rFonts w:ascii="宋体" w:hAnsi="宋体" w:eastAsia="宋体" w:cs="宋体"/>
          <w:color w:val="auto"/>
          <w:vertAlign w:val="superscript"/>
          <w:lang w:val="zh-CN" w:eastAsia="zh-CN"/>
        </w:rPr>
        <w:t>3</w:t>
      </w:r>
      <w:r>
        <w:rPr>
          <w:rFonts w:hint="eastAsia"/>
          <w:color w:val="auto"/>
          <w:lang w:val="zh-CN" w:eastAsia="zh-CN"/>
        </w:rPr>
        <w:t>，设计采用多台阶排土；</w:t>
      </w:r>
      <w:r>
        <w:rPr>
          <w:rFonts w:hint="eastAsia"/>
          <w:color w:val="auto"/>
          <w:lang w:eastAsia="zh-CN"/>
        </w:rPr>
        <w:t>新</w:t>
      </w:r>
      <w:r>
        <w:rPr>
          <w:rFonts w:hint="eastAsia"/>
          <w:color w:val="auto"/>
          <w:lang w:val="zh-CN" w:eastAsia="zh-CN"/>
        </w:rPr>
        <w:t>建拦土坝，在其中</w:t>
      </w:r>
      <w:r>
        <w:rPr>
          <w:color w:val="auto"/>
          <w:lang w:val="zh-CN" w:eastAsia="zh-CN"/>
        </w:rPr>
        <w:t>4</w:t>
      </w:r>
      <w:r>
        <w:rPr>
          <w:rFonts w:hint="eastAsia"/>
          <w:color w:val="auto"/>
          <w:lang w:val="zh-CN" w:eastAsia="zh-CN"/>
        </w:rPr>
        <w:t>个弃土消纳场沟谷下游最狭窄处分别设置碾压堆石拦</w:t>
      </w:r>
      <w:r>
        <w:rPr>
          <w:rFonts w:hint="eastAsia"/>
          <w:color w:val="auto"/>
          <w:lang w:eastAsia="zh-CN"/>
        </w:rPr>
        <w:t>土</w:t>
      </w:r>
      <w:r>
        <w:rPr>
          <w:rFonts w:hint="eastAsia"/>
          <w:color w:val="auto"/>
          <w:lang w:val="zh-CN" w:eastAsia="zh-CN"/>
        </w:rPr>
        <w:t>坝</w:t>
      </w:r>
      <w:r>
        <w:rPr>
          <w:color w:val="auto"/>
          <w:lang w:val="zh-CN" w:eastAsia="zh-CN"/>
        </w:rPr>
        <w:t>4</w:t>
      </w:r>
      <w:r>
        <w:rPr>
          <w:rFonts w:hint="eastAsia"/>
          <w:color w:val="auto"/>
          <w:lang w:val="zh-CN" w:eastAsia="zh-CN"/>
        </w:rPr>
        <w:t>座；</w:t>
      </w:r>
      <w:r>
        <w:rPr>
          <w:rFonts w:hint="eastAsia"/>
          <w:color w:val="auto"/>
          <w:lang w:eastAsia="zh-CN"/>
        </w:rPr>
        <w:t>新</w:t>
      </w:r>
      <w:r>
        <w:rPr>
          <w:rFonts w:hint="eastAsia"/>
          <w:color w:val="auto"/>
          <w:lang w:val="zh-CN" w:eastAsia="zh-CN"/>
        </w:rPr>
        <w:t>建混凝土挡墙，在整个弃土消纳场下游末端（沟谷下游最狭窄处）设置钢筋混凝土挡土墙，并配套建设雨水导排系统、沉沙池、弃土消纳场出入口道路、弃土车辆清洗设备、管理用房、供水、供配电系统等公辅设施。</w:t>
      </w:r>
      <w:r>
        <w:rPr>
          <w:rFonts w:hint="eastAsia"/>
          <w:color w:val="auto"/>
          <w:lang w:eastAsia="zh-CN"/>
        </w:rPr>
        <w:t>近年来消纳场接纳渣土车数量统计情况见表</w:t>
      </w:r>
      <w:r>
        <w:rPr>
          <w:color w:val="auto"/>
          <w:lang w:eastAsia="zh-CN"/>
        </w:rPr>
        <w:t>1-1</w:t>
      </w:r>
      <w:r>
        <w:rPr>
          <w:rFonts w:hint="eastAsia"/>
          <w:color w:val="auto"/>
          <w:lang w:eastAsia="zh-CN"/>
        </w:rPr>
        <w:t>。</w:t>
      </w:r>
    </w:p>
    <w:p w14:paraId="0D8B5FCD">
      <w:pPr>
        <w:ind w:firstLine="0" w:firstLineChars="0"/>
        <w:jc w:val="center"/>
        <w:rPr>
          <w:color w:val="auto"/>
          <w:lang w:eastAsia="zh-CN"/>
        </w:rPr>
      </w:pPr>
      <w:r>
        <w:rPr>
          <w:rFonts w:hint="eastAsia"/>
          <w:color w:val="auto"/>
          <w:lang w:eastAsia="zh-CN"/>
        </w:rPr>
        <w:t>表</w:t>
      </w:r>
      <w:r>
        <w:rPr>
          <w:color w:val="auto"/>
          <w:lang w:eastAsia="zh-CN"/>
        </w:rPr>
        <w:t xml:space="preserve"> 1-1  </w:t>
      </w:r>
      <w:r>
        <w:rPr>
          <w:rFonts w:hint="eastAsia"/>
          <w:color w:val="auto"/>
          <w:lang w:eastAsia="zh-CN"/>
        </w:rPr>
        <w:t>近年来消纳场接纳渣土车数量统计表</w:t>
      </w:r>
    </w:p>
    <w:p w14:paraId="0DD27078">
      <w:pPr>
        <w:spacing w:line="200" w:lineRule="exact"/>
        <w:ind w:firstLine="0" w:firstLineChars="0"/>
        <w:jc w:val="center"/>
        <w:rPr>
          <w:color w:val="auto"/>
          <w:lang w:eastAsia="zh-CN"/>
        </w:rPr>
      </w:pPr>
    </w:p>
    <w:tbl>
      <w:tblPr>
        <w:tblStyle w:val="14"/>
        <w:tblW w:w="51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083"/>
        <w:gridCol w:w="1140"/>
        <w:gridCol w:w="1084"/>
        <w:gridCol w:w="1084"/>
        <w:gridCol w:w="1084"/>
        <w:gridCol w:w="1084"/>
        <w:gridCol w:w="1215"/>
      </w:tblGrid>
      <w:tr w14:paraId="355C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41" w:type="pct"/>
            <w:vAlign w:val="center"/>
          </w:tcPr>
          <w:p w14:paraId="26AAB273">
            <w:pPr>
              <w:spacing w:line="240" w:lineRule="auto"/>
              <w:ind w:firstLine="0" w:firstLineChars="0"/>
              <w:jc w:val="center"/>
              <w:rPr>
                <w:rFonts w:eastAsia="方正黑体_GBK" w:cs="宋体"/>
                <w:b/>
                <w:bCs/>
                <w:color w:val="auto"/>
                <w:sz w:val="24"/>
                <w:szCs w:val="24"/>
                <w:lang w:eastAsia="zh-CN"/>
              </w:rPr>
            </w:pPr>
            <w:r>
              <w:rPr>
                <w:rFonts w:hint="eastAsia" w:eastAsia="方正黑体_GBK" w:cs="宋体"/>
                <w:b/>
                <w:bCs/>
                <w:color w:val="auto"/>
                <w:sz w:val="24"/>
                <w:szCs w:val="24"/>
                <w:lang w:eastAsia="zh-CN"/>
              </w:rPr>
              <w:t>年份</w:t>
            </w:r>
          </w:p>
        </w:tc>
        <w:tc>
          <w:tcPr>
            <w:tcW w:w="579" w:type="pct"/>
            <w:vAlign w:val="center"/>
          </w:tcPr>
          <w:p w14:paraId="65B19B59">
            <w:pPr>
              <w:spacing w:line="240" w:lineRule="auto"/>
              <w:ind w:firstLine="0" w:firstLineChars="0"/>
              <w:jc w:val="center"/>
              <w:rPr>
                <w:rFonts w:eastAsia="方正黑体_GBK" w:cs="宋体"/>
                <w:b/>
                <w:bCs/>
                <w:color w:val="auto"/>
                <w:sz w:val="24"/>
                <w:szCs w:val="24"/>
                <w:lang w:eastAsia="zh-CN"/>
              </w:rPr>
            </w:pPr>
            <w:r>
              <w:rPr>
                <w:rFonts w:eastAsia="方正黑体_GBK" w:cs="宋体"/>
                <w:b/>
                <w:bCs/>
                <w:color w:val="auto"/>
                <w:sz w:val="24"/>
                <w:szCs w:val="24"/>
                <w:lang w:eastAsia="zh-CN"/>
              </w:rPr>
              <w:t>2018</w:t>
            </w:r>
            <w:r>
              <w:rPr>
                <w:rFonts w:hint="eastAsia" w:eastAsia="方正黑体_GBK" w:cs="宋体"/>
                <w:b/>
                <w:bCs/>
                <w:color w:val="auto"/>
                <w:sz w:val="24"/>
                <w:szCs w:val="24"/>
                <w:lang w:eastAsia="zh-CN"/>
              </w:rPr>
              <w:t>年</w:t>
            </w:r>
          </w:p>
        </w:tc>
        <w:tc>
          <w:tcPr>
            <w:tcW w:w="610" w:type="pct"/>
            <w:vAlign w:val="center"/>
          </w:tcPr>
          <w:p w14:paraId="593D1AFB">
            <w:pPr>
              <w:spacing w:line="240" w:lineRule="auto"/>
              <w:ind w:firstLine="0" w:firstLineChars="0"/>
              <w:jc w:val="center"/>
              <w:rPr>
                <w:rFonts w:eastAsia="方正黑体_GBK" w:cs="宋体"/>
                <w:b/>
                <w:bCs/>
                <w:color w:val="auto"/>
                <w:sz w:val="24"/>
                <w:szCs w:val="24"/>
                <w:lang w:eastAsia="zh-CN"/>
              </w:rPr>
            </w:pPr>
            <w:r>
              <w:rPr>
                <w:rFonts w:eastAsia="方正黑体_GBK" w:cs="宋体"/>
                <w:b/>
                <w:bCs/>
                <w:color w:val="auto"/>
                <w:sz w:val="24"/>
                <w:szCs w:val="24"/>
                <w:lang w:eastAsia="zh-CN"/>
              </w:rPr>
              <w:t>2019</w:t>
            </w:r>
            <w:r>
              <w:rPr>
                <w:rFonts w:hint="eastAsia" w:eastAsia="方正黑体_GBK" w:cs="宋体"/>
                <w:b/>
                <w:bCs/>
                <w:color w:val="auto"/>
                <w:sz w:val="24"/>
                <w:szCs w:val="24"/>
                <w:lang w:eastAsia="zh-CN"/>
              </w:rPr>
              <w:t>年</w:t>
            </w:r>
          </w:p>
        </w:tc>
        <w:tc>
          <w:tcPr>
            <w:tcW w:w="580" w:type="pct"/>
            <w:vAlign w:val="center"/>
          </w:tcPr>
          <w:p w14:paraId="43F6760A">
            <w:pPr>
              <w:spacing w:line="240" w:lineRule="auto"/>
              <w:ind w:firstLine="0" w:firstLineChars="0"/>
              <w:jc w:val="center"/>
              <w:rPr>
                <w:rFonts w:eastAsia="方正黑体_GBK" w:cs="宋体"/>
                <w:b/>
                <w:bCs/>
                <w:color w:val="auto"/>
                <w:sz w:val="24"/>
                <w:szCs w:val="24"/>
                <w:lang w:eastAsia="zh-CN"/>
              </w:rPr>
            </w:pPr>
            <w:r>
              <w:rPr>
                <w:rFonts w:eastAsia="方正黑体_GBK" w:cs="宋体"/>
                <w:b/>
                <w:bCs/>
                <w:color w:val="auto"/>
                <w:sz w:val="24"/>
                <w:szCs w:val="24"/>
                <w:lang w:eastAsia="zh-CN"/>
              </w:rPr>
              <w:t>2020</w:t>
            </w:r>
            <w:r>
              <w:rPr>
                <w:rFonts w:hint="eastAsia" w:eastAsia="方正黑体_GBK" w:cs="宋体"/>
                <w:b/>
                <w:bCs/>
                <w:color w:val="auto"/>
                <w:sz w:val="24"/>
                <w:szCs w:val="24"/>
                <w:lang w:eastAsia="zh-CN"/>
              </w:rPr>
              <w:t>年</w:t>
            </w:r>
          </w:p>
        </w:tc>
        <w:tc>
          <w:tcPr>
            <w:tcW w:w="580" w:type="pct"/>
            <w:vAlign w:val="center"/>
          </w:tcPr>
          <w:p w14:paraId="47361C30">
            <w:pPr>
              <w:spacing w:line="240" w:lineRule="auto"/>
              <w:ind w:firstLine="0" w:firstLineChars="0"/>
              <w:jc w:val="center"/>
              <w:rPr>
                <w:rFonts w:eastAsia="方正黑体_GBK" w:cs="宋体"/>
                <w:b/>
                <w:bCs/>
                <w:color w:val="auto"/>
                <w:sz w:val="24"/>
                <w:szCs w:val="24"/>
                <w:lang w:eastAsia="zh-CN"/>
              </w:rPr>
            </w:pPr>
            <w:r>
              <w:rPr>
                <w:rFonts w:eastAsia="方正黑体_GBK" w:cs="宋体"/>
                <w:b/>
                <w:bCs/>
                <w:color w:val="auto"/>
                <w:sz w:val="24"/>
                <w:szCs w:val="24"/>
                <w:lang w:eastAsia="zh-CN"/>
              </w:rPr>
              <w:t>2021</w:t>
            </w:r>
            <w:r>
              <w:rPr>
                <w:rFonts w:hint="eastAsia" w:eastAsia="方正黑体_GBK" w:cs="宋体"/>
                <w:b/>
                <w:bCs/>
                <w:color w:val="auto"/>
                <w:sz w:val="24"/>
                <w:szCs w:val="24"/>
                <w:lang w:eastAsia="zh-CN"/>
              </w:rPr>
              <w:t>年</w:t>
            </w:r>
          </w:p>
        </w:tc>
        <w:tc>
          <w:tcPr>
            <w:tcW w:w="580" w:type="pct"/>
            <w:vAlign w:val="center"/>
          </w:tcPr>
          <w:p w14:paraId="0329FD1B">
            <w:pPr>
              <w:spacing w:line="240" w:lineRule="auto"/>
              <w:ind w:firstLine="0" w:firstLineChars="0"/>
              <w:jc w:val="center"/>
              <w:rPr>
                <w:rFonts w:eastAsia="方正黑体_GBK" w:cs="宋体"/>
                <w:b/>
                <w:bCs/>
                <w:color w:val="auto"/>
                <w:sz w:val="24"/>
                <w:szCs w:val="24"/>
                <w:lang w:eastAsia="zh-CN"/>
              </w:rPr>
            </w:pPr>
            <w:r>
              <w:rPr>
                <w:rFonts w:eastAsia="方正黑体_GBK" w:cs="宋体"/>
                <w:b/>
                <w:bCs/>
                <w:color w:val="auto"/>
                <w:sz w:val="24"/>
                <w:szCs w:val="24"/>
                <w:lang w:eastAsia="zh-CN"/>
              </w:rPr>
              <w:t>2022</w:t>
            </w:r>
            <w:r>
              <w:rPr>
                <w:rFonts w:hint="eastAsia" w:eastAsia="方正黑体_GBK" w:cs="宋体"/>
                <w:b/>
                <w:bCs/>
                <w:color w:val="auto"/>
                <w:sz w:val="24"/>
                <w:szCs w:val="24"/>
                <w:lang w:eastAsia="zh-CN"/>
              </w:rPr>
              <w:t>年</w:t>
            </w:r>
          </w:p>
        </w:tc>
        <w:tc>
          <w:tcPr>
            <w:tcW w:w="580" w:type="pct"/>
            <w:vAlign w:val="center"/>
          </w:tcPr>
          <w:p w14:paraId="40C8531E">
            <w:pPr>
              <w:spacing w:line="240" w:lineRule="auto"/>
              <w:ind w:firstLine="0" w:firstLineChars="0"/>
              <w:jc w:val="center"/>
              <w:rPr>
                <w:rFonts w:eastAsia="方正黑体_GBK" w:cs="宋体"/>
                <w:b/>
                <w:bCs/>
                <w:color w:val="auto"/>
                <w:sz w:val="24"/>
                <w:szCs w:val="24"/>
                <w:lang w:eastAsia="zh-CN"/>
              </w:rPr>
            </w:pPr>
            <w:r>
              <w:rPr>
                <w:rFonts w:eastAsia="方正黑体_GBK" w:cs="宋体"/>
                <w:b/>
                <w:bCs/>
                <w:color w:val="auto"/>
                <w:sz w:val="24"/>
                <w:szCs w:val="24"/>
                <w:lang w:eastAsia="zh-CN"/>
              </w:rPr>
              <w:t>2023</w:t>
            </w:r>
            <w:r>
              <w:rPr>
                <w:rFonts w:hint="eastAsia" w:eastAsia="方正黑体_GBK" w:cs="宋体"/>
                <w:b/>
                <w:bCs/>
                <w:color w:val="auto"/>
                <w:sz w:val="24"/>
                <w:szCs w:val="24"/>
                <w:lang w:eastAsia="zh-CN"/>
              </w:rPr>
              <w:t>年</w:t>
            </w:r>
          </w:p>
        </w:tc>
        <w:tc>
          <w:tcPr>
            <w:tcW w:w="650" w:type="pct"/>
            <w:vAlign w:val="center"/>
          </w:tcPr>
          <w:p w14:paraId="11B33707">
            <w:pPr>
              <w:spacing w:line="240" w:lineRule="auto"/>
              <w:ind w:firstLine="0" w:firstLineChars="0"/>
              <w:jc w:val="center"/>
              <w:rPr>
                <w:rFonts w:eastAsia="方正黑体_GBK" w:cs="宋体"/>
                <w:b/>
                <w:bCs/>
                <w:color w:val="auto"/>
                <w:sz w:val="24"/>
                <w:szCs w:val="24"/>
                <w:lang w:eastAsia="zh-CN"/>
              </w:rPr>
            </w:pPr>
            <w:r>
              <w:rPr>
                <w:rFonts w:hint="eastAsia" w:eastAsia="方正黑体_GBK" w:cs="宋体"/>
                <w:b/>
                <w:bCs/>
                <w:color w:val="auto"/>
                <w:sz w:val="24"/>
                <w:szCs w:val="24"/>
                <w:lang w:eastAsia="zh-CN"/>
              </w:rPr>
              <w:t>平均</w:t>
            </w:r>
          </w:p>
        </w:tc>
      </w:tr>
      <w:tr w14:paraId="3F9C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41" w:type="pct"/>
            <w:vAlign w:val="center"/>
          </w:tcPr>
          <w:p w14:paraId="7AB79413">
            <w:pPr>
              <w:spacing w:line="240" w:lineRule="auto"/>
              <w:ind w:firstLine="0" w:firstLineChars="0"/>
              <w:jc w:val="center"/>
              <w:rPr>
                <w:rFonts w:cs="宋体"/>
                <w:color w:val="auto"/>
                <w:sz w:val="24"/>
                <w:szCs w:val="24"/>
                <w:lang w:eastAsia="zh-CN"/>
              </w:rPr>
            </w:pPr>
            <w:r>
              <w:rPr>
                <w:rFonts w:hint="eastAsia" w:cs="宋体"/>
                <w:color w:val="auto"/>
                <w:sz w:val="24"/>
                <w:szCs w:val="24"/>
                <w:lang w:eastAsia="zh-CN"/>
              </w:rPr>
              <w:t>车数（车）</w:t>
            </w:r>
          </w:p>
        </w:tc>
        <w:tc>
          <w:tcPr>
            <w:tcW w:w="579" w:type="pct"/>
            <w:vAlign w:val="center"/>
          </w:tcPr>
          <w:p w14:paraId="77E5FC59">
            <w:pPr>
              <w:spacing w:line="240" w:lineRule="auto"/>
              <w:ind w:firstLine="0" w:firstLineChars="0"/>
              <w:jc w:val="center"/>
              <w:rPr>
                <w:rFonts w:cs="宋体"/>
                <w:color w:val="auto"/>
                <w:sz w:val="24"/>
                <w:szCs w:val="24"/>
                <w:lang w:eastAsia="zh-CN"/>
              </w:rPr>
            </w:pPr>
            <w:r>
              <w:rPr>
                <w:rFonts w:cs="宋体"/>
                <w:color w:val="auto"/>
                <w:sz w:val="24"/>
                <w:szCs w:val="24"/>
                <w:lang w:eastAsia="zh-CN"/>
              </w:rPr>
              <w:t>114644</w:t>
            </w:r>
          </w:p>
        </w:tc>
        <w:tc>
          <w:tcPr>
            <w:tcW w:w="610" w:type="pct"/>
            <w:vAlign w:val="center"/>
          </w:tcPr>
          <w:p w14:paraId="08A12600">
            <w:pPr>
              <w:spacing w:line="240" w:lineRule="auto"/>
              <w:ind w:firstLine="0" w:firstLineChars="0"/>
              <w:jc w:val="center"/>
              <w:rPr>
                <w:rFonts w:cs="宋体"/>
                <w:color w:val="auto"/>
                <w:sz w:val="24"/>
                <w:szCs w:val="24"/>
                <w:lang w:eastAsia="zh-CN"/>
              </w:rPr>
            </w:pPr>
            <w:r>
              <w:rPr>
                <w:rFonts w:cs="宋体"/>
                <w:color w:val="auto"/>
                <w:sz w:val="24"/>
                <w:szCs w:val="24"/>
                <w:lang w:eastAsia="zh-CN"/>
              </w:rPr>
              <w:t>81082</w:t>
            </w:r>
          </w:p>
        </w:tc>
        <w:tc>
          <w:tcPr>
            <w:tcW w:w="580" w:type="pct"/>
            <w:vAlign w:val="center"/>
          </w:tcPr>
          <w:p w14:paraId="2B3C0506">
            <w:pPr>
              <w:spacing w:line="240" w:lineRule="auto"/>
              <w:ind w:firstLine="0" w:firstLineChars="0"/>
              <w:jc w:val="center"/>
              <w:rPr>
                <w:rFonts w:cs="宋体"/>
                <w:color w:val="auto"/>
                <w:sz w:val="24"/>
                <w:szCs w:val="24"/>
                <w:lang w:eastAsia="zh-CN"/>
              </w:rPr>
            </w:pPr>
            <w:r>
              <w:rPr>
                <w:rFonts w:cs="宋体"/>
                <w:color w:val="auto"/>
                <w:sz w:val="24"/>
                <w:szCs w:val="24"/>
                <w:lang w:eastAsia="zh-CN"/>
              </w:rPr>
              <w:t>65009</w:t>
            </w:r>
          </w:p>
        </w:tc>
        <w:tc>
          <w:tcPr>
            <w:tcW w:w="580" w:type="pct"/>
            <w:vAlign w:val="center"/>
          </w:tcPr>
          <w:p w14:paraId="25DBB34B">
            <w:pPr>
              <w:spacing w:line="240" w:lineRule="auto"/>
              <w:ind w:firstLine="0" w:firstLineChars="0"/>
              <w:jc w:val="center"/>
              <w:rPr>
                <w:rFonts w:cs="宋体"/>
                <w:color w:val="auto"/>
                <w:sz w:val="24"/>
                <w:szCs w:val="24"/>
                <w:lang w:eastAsia="zh-CN"/>
              </w:rPr>
            </w:pPr>
            <w:r>
              <w:rPr>
                <w:rFonts w:cs="宋体"/>
                <w:color w:val="auto"/>
                <w:sz w:val="24"/>
                <w:szCs w:val="24"/>
                <w:lang w:eastAsia="zh-CN"/>
              </w:rPr>
              <w:t>41531</w:t>
            </w:r>
          </w:p>
        </w:tc>
        <w:tc>
          <w:tcPr>
            <w:tcW w:w="580" w:type="pct"/>
            <w:vAlign w:val="center"/>
          </w:tcPr>
          <w:p w14:paraId="7B450B14">
            <w:pPr>
              <w:spacing w:line="240" w:lineRule="auto"/>
              <w:ind w:firstLine="0" w:firstLineChars="0"/>
              <w:jc w:val="center"/>
              <w:rPr>
                <w:rFonts w:cs="宋体"/>
                <w:color w:val="auto"/>
                <w:sz w:val="24"/>
                <w:szCs w:val="24"/>
                <w:lang w:eastAsia="zh-CN"/>
              </w:rPr>
            </w:pPr>
            <w:r>
              <w:rPr>
                <w:rFonts w:cs="宋体"/>
                <w:color w:val="auto"/>
                <w:sz w:val="24"/>
                <w:szCs w:val="24"/>
                <w:lang w:eastAsia="zh-CN"/>
              </w:rPr>
              <w:t>52000</w:t>
            </w:r>
          </w:p>
        </w:tc>
        <w:tc>
          <w:tcPr>
            <w:tcW w:w="580" w:type="pct"/>
            <w:vAlign w:val="center"/>
          </w:tcPr>
          <w:p w14:paraId="5318B528">
            <w:pPr>
              <w:spacing w:line="240" w:lineRule="auto"/>
              <w:ind w:firstLine="0" w:firstLineChars="0"/>
              <w:jc w:val="center"/>
              <w:rPr>
                <w:rFonts w:cs="宋体"/>
                <w:color w:val="auto"/>
                <w:sz w:val="24"/>
                <w:szCs w:val="24"/>
                <w:lang w:eastAsia="zh-CN"/>
              </w:rPr>
            </w:pPr>
            <w:r>
              <w:rPr>
                <w:rFonts w:cs="宋体"/>
                <w:color w:val="auto"/>
                <w:sz w:val="24"/>
                <w:szCs w:val="24"/>
                <w:lang w:eastAsia="zh-CN"/>
              </w:rPr>
              <w:t>126000</w:t>
            </w:r>
          </w:p>
        </w:tc>
        <w:tc>
          <w:tcPr>
            <w:tcW w:w="650" w:type="pct"/>
            <w:vAlign w:val="center"/>
          </w:tcPr>
          <w:p w14:paraId="266381D2">
            <w:pPr>
              <w:spacing w:line="240" w:lineRule="auto"/>
              <w:ind w:firstLine="0" w:firstLineChars="0"/>
              <w:jc w:val="center"/>
              <w:rPr>
                <w:rFonts w:cs="宋体"/>
                <w:color w:val="auto"/>
                <w:sz w:val="24"/>
                <w:szCs w:val="24"/>
                <w:lang w:eastAsia="zh-CN"/>
              </w:rPr>
            </w:pPr>
            <w:r>
              <w:rPr>
                <w:rFonts w:cs="宋体"/>
                <w:color w:val="auto"/>
                <w:sz w:val="24"/>
                <w:szCs w:val="24"/>
                <w:lang w:eastAsia="zh-CN"/>
              </w:rPr>
              <w:t>61144</w:t>
            </w:r>
          </w:p>
        </w:tc>
      </w:tr>
      <w:tr w14:paraId="39D6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41" w:type="pct"/>
            <w:vAlign w:val="center"/>
          </w:tcPr>
          <w:p w14:paraId="426CA499">
            <w:pPr>
              <w:spacing w:line="240" w:lineRule="auto"/>
              <w:ind w:firstLine="0" w:firstLineChars="0"/>
              <w:jc w:val="center"/>
              <w:rPr>
                <w:rFonts w:cs="宋体"/>
                <w:color w:val="auto"/>
                <w:sz w:val="24"/>
                <w:szCs w:val="24"/>
                <w:lang w:eastAsia="zh-CN"/>
              </w:rPr>
            </w:pPr>
            <w:r>
              <w:rPr>
                <w:rFonts w:hint="eastAsia" w:cs="宋体"/>
                <w:color w:val="auto"/>
                <w:sz w:val="24"/>
                <w:szCs w:val="24"/>
                <w:lang w:eastAsia="zh-CN"/>
              </w:rPr>
              <w:t>估算入场量（万立方）</w:t>
            </w:r>
          </w:p>
        </w:tc>
        <w:tc>
          <w:tcPr>
            <w:tcW w:w="579" w:type="pct"/>
            <w:vAlign w:val="center"/>
          </w:tcPr>
          <w:p w14:paraId="0914AE99">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171.97 </w:t>
            </w:r>
          </w:p>
        </w:tc>
        <w:tc>
          <w:tcPr>
            <w:tcW w:w="610" w:type="pct"/>
            <w:vAlign w:val="center"/>
          </w:tcPr>
          <w:p w14:paraId="1A02D5C8">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121.62 </w:t>
            </w:r>
          </w:p>
        </w:tc>
        <w:tc>
          <w:tcPr>
            <w:tcW w:w="580" w:type="pct"/>
            <w:vAlign w:val="center"/>
          </w:tcPr>
          <w:p w14:paraId="0F0A1839">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97.51 </w:t>
            </w:r>
          </w:p>
        </w:tc>
        <w:tc>
          <w:tcPr>
            <w:tcW w:w="580" w:type="pct"/>
            <w:vAlign w:val="center"/>
          </w:tcPr>
          <w:p w14:paraId="2505DA7D">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62.30 </w:t>
            </w:r>
          </w:p>
        </w:tc>
        <w:tc>
          <w:tcPr>
            <w:tcW w:w="580" w:type="pct"/>
            <w:vAlign w:val="center"/>
          </w:tcPr>
          <w:p w14:paraId="04476959">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78.00 </w:t>
            </w:r>
          </w:p>
        </w:tc>
        <w:tc>
          <w:tcPr>
            <w:tcW w:w="580" w:type="pct"/>
            <w:vAlign w:val="center"/>
          </w:tcPr>
          <w:p w14:paraId="0E022664">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189.00 </w:t>
            </w:r>
          </w:p>
        </w:tc>
        <w:tc>
          <w:tcPr>
            <w:tcW w:w="650" w:type="pct"/>
            <w:vAlign w:val="center"/>
          </w:tcPr>
          <w:p w14:paraId="01319576">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120.07 </w:t>
            </w:r>
          </w:p>
        </w:tc>
      </w:tr>
      <w:tr w14:paraId="4704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41" w:type="pct"/>
            <w:vAlign w:val="center"/>
          </w:tcPr>
          <w:p w14:paraId="0DC6E455">
            <w:pPr>
              <w:spacing w:line="240" w:lineRule="auto"/>
              <w:ind w:firstLine="0" w:firstLineChars="0"/>
              <w:jc w:val="center"/>
              <w:rPr>
                <w:rFonts w:cs="宋体"/>
                <w:color w:val="auto"/>
                <w:sz w:val="24"/>
                <w:szCs w:val="24"/>
                <w:lang w:eastAsia="zh-CN"/>
              </w:rPr>
            </w:pPr>
            <w:r>
              <w:rPr>
                <w:rFonts w:hint="eastAsia" w:cs="宋体"/>
                <w:color w:val="auto"/>
                <w:sz w:val="24"/>
                <w:szCs w:val="24"/>
                <w:lang w:eastAsia="zh-CN"/>
              </w:rPr>
              <w:t>日均进场量（吨）</w:t>
            </w:r>
          </w:p>
        </w:tc>
        <w:tc>
          <w:tcPr>
            <w:tcW w:w="579" w:type="pct"/>
            <w:vAlign w:val="center"/>
          </w:tcPr>
          <w:p w14:paraId="2285508C">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4711 </w:t>
            </w:r>
          </w:p>
        </w:tc>
        <w:tc>
          <w:tcPr>
            <w:tcW w:w="610" w:type="pct"/>
            <w:vAlign w:val="center"/>
          </w:tcPr>
          <w:p w14:paraId="5F0C2724">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3332 </w:t>
            </w:r>
          </w:p>
        </w:tc>
        <w:tc>
          <w:tcPr>
            <w:tcW w:w="580" w:type="pct"/>
            <w:vAlign w:val="center"/>
          </w:tcPr>
          <w:p w14:paraId="222DA5AD">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2672 </w:t>
            </w:r>
          </w:p>
        </w:tc>
        <w:tc>
          <w:tcPr>
            <w:tcW w:w="580" w:type="pct"/>
            <w:vAlign w:val="center"/>
          </w:tcPr>
          <w:p w14:paraId="36E03292">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1707 </w:t>
            </w:r>
          </w:p>
        </w:tc>
        <w:tc>
          <w:tcPr>
            <w:tcW w:w="580" w:type="pct"/>
            <w:vAlign w:val="center"/>
          </w:tcPr>
          <w:p w14:paraId="44512271">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2137 </w:t>
            </w:r>
          </w:p>
        </w:tc>
        <w:tc>
          <w:tcPr>
            <w:tcW w:w="580" w:type="pct"/>
            <w:vAlign w:val="center"/>
          </w:tcPr>
          <w:p w14:paraId="188823F9">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5178 </w:t>
            </w:r>
          </w:p>
        </w:tc>
        <w:tc>
          <w:tcPr>
            <w:tcW w:w="650" w:type="pct"/>
            <w:vAlign w:val="center"/>
          </w:tcPr>
          <w:p w14:paraId="5287B053">
            <w:pPr>
              <w:spacing w:line="240" w:lineRule="auto"/>
              <w:ind w:firstLine="0" w:firstLineChars="0"/>
              <w:jc w:val="center"/>
              <w:rPr>
                <w:rFonts w:cs="宋体"/>
                <w:color w:val="auto"/>
                <w:sz w:val="24"/>
                <w:szCs w:val="24"/>
                <w:lang w:eastAsia="zh-CN"/>
              </w:rPr>
            </w:pPr>
            <w:r>
              <w:rPr>
                <w:rFonts w:cs="宋体"/>
                <w:color w:val="auto"/>
                <w:sz w:val="24"/>
                <w:szCs w:val="24"/>
                <w:lang w:eastAsia="zh-CN"/>
              </w:rPr>
              <w:t xml:space="preserve">3289.49 </w:t>
            </w:r>
          </w:p>
        </w:tc>
      </w:tr>
    </w:tbl>
    <w:p w14:paraId="0D08320E">
      <w:pPr>
        <w:pStyle w:val="4"/>
        <w:spacing w:line="580" w:lineRule="exact"/>
        <w:ind w:firstLine="643"/>
        <w:jc w:val="both"/>
        <w:rPr>
          <w:rFonts w:eastAsia="方正楷体_GBK"/>
        </w:rPr>
      </w:pPr>
      <w:r>
        <w:rPr>
          <w:rFonts w:hint="eastAsia" w:eastAsia="方正楷体_GBK"/>
        </w:rPr>
        <w:t>（三）建筑垃圾相关规章制度情况</w:t>
      </w:r>
    </w:p>
    <w:p w14:paraId="611BEBE5">
      <w:pPr>
        <w:ind w:firstLine="640"/>
        <w:rPr>
          <w:color w:val="auto"/>
          <w:lang w:eastAsia="zh-CN"/>
        </w:rPr>
      </w:pPr>
      <w:r>
        <w:rPr>
          <w:rFonts w:hint="eastAsia"/>
          <w:color w:val="auto"/>
          <w:lang w:eastAsia="zh-CN"/>
        </w:rPr>
        <w:t>目前，安岳县正参照《资阳市城区建筑垃圾管理条例》编制适合安岳县建筑垃圾管理的实施方案。</w:t>
      </w:r>
    </w:p>
    <w:p w14:paraId="4A3E96AC">
      <w:pPr>
        <w:pStyle w:val="3"/>
        <w:numPr>
          <w:ilvl w:val="0"/>
          <w:numId w:val="3"/>
        </w:numPr>
        <w:spacing w:line="580" w:lineRule="exact"/>
        <w:ind w:firstLine="640"/>
      </w:pPr>
      <w:bookmarkStart w:id="30" w:name="_Toc175056360"/>
      <w:r>
        <w:rPr>
          <w:rFonts w:hint="eastAsia"/>
          <w:b w:val="0"/>
          <w:bCs/>
        </w:rPr>
        <w:t>产业发展现状</w:t>
      </w:r>
      <w:bookmarkEnd w:id="30"/>
    </w:p>
    <w:p w14:paraId="069CE133">
      <w:pPr>
        <w:ind w:firstLine="640"/>
        <w:rPr>
          <w:color w:val="auto"/>
          <w:lang w:eastAsia="zh-CN"/>
        </w:rPr>
      </w:pPr>
      <w:r>
        <w:rPr>
          <w:rFonts w:hint="eastAsia"/>
          <w:color w:val="auto"/>
          <w:lang w:eastAsia="zh-CN"/>
        </w:rPr>
        <w:t>由于安岳县砂石资源相比成都市、资阳市等地较易取得，价格相比较低，这极大地压制了建筑垃圾资源利用。目前安岳县还未建成建筑垃圾资源化利用中心，仅有分拣场所，仅对利用价值较高的原料付费接手。拆除、装饰装修垃圾初选后剩余固体废物分拣后初加工作为填充骨料使用，无回收使用价值可燃烧的装饰装修垃圾送垃圾焚烧发电厂使用。暂存少量利用价值不高的装修垃圾未得到及时处理，待建筑垃圾资源化利用中心建成后进行规范处理。</w:t>
      </w:r>
    </w:p>
    <w:p w14:paraId="1648B8EF">
      <w:pPr>
        <w:pStyle w:val="3"/>
        <w:spacing w:line="580" w:lineRule="exact"/>
        <w:ind w:firstLine="640"/>
        <w:rPr>
          <w:b w:val="0"/>
          <w:bCs/>
        </w:rPr>
      </w:pPr>
      <w:bookmarkStart w:id="31" w:name="_Toc175056361"/>
      <w:r>
        <w:rPr>
          <w:rFonts w:hint="eastAsia"/>
          <w:b w:val="0"/>
          <w:bCs/>
        </w:rPr>
        <w:t>第六节</w:t>
      </w:r>
      <w:r>
        <w:rPr>
          <w:b w:val="0"/>
          <w:bCs/>
        </w:rPr>
        <w:t xml:space="preserve"> </w:t>
      </w:r>
      <w:r>
        <w:rPr>
          <w:rFonts w:hint="eastAsia"/>
          <w:b w:val="0"/>
          <w:bCs/>
        </w:rPr>
        <w:t>现状主要问题</w:t>
      </w:r>
      <w:bookmarkEnd w:id="31"/>
    </w:p>
    <w:p w14:paraId="7C85E218">
      <w:pPr>
        <w:ind w:firstLine="640"/>
        <w:rPr>
          <w:color w:val="auto"/>
          <w:lang w:eastAsia="zh-CN"/>
        </w:rPr>
      </w:pPr>
      <w:r>
        <w:rPr>
          <w:rFonts w:hint="eastAsia"/>
          <w:color w:val="auto"/>
          <w:lang w:eastAsia="zh-CN"/>
        </w:rPr>
        <w:t>结合上述分析，安岳县建筑垃圾面临以下问题：</w:t>
      </w:r>
    </w:p>
    <w:p w14:paraId="35E50943">
      <w:pPr>
        <w:ind w:firstLine="643"/>
        <w:rPr>
          <w:color w:val="auto"/>
          <w:lang w:eastAsia="zh-CN"/>
        </w:rPr>
      </w:pPr>
      <w:r>
        <w:rPr>
          <w:rFonts w:hint="eastAsia" w:eastAsia="方正楷体_GBK"/>
          <w:b/>
          <w:color w:val="auto"/>
          <w:lang w:eastAsia="zh-CN"/>
        </w:rPr>
        <w:t>（一）</w:t>
      </w:r>
      <w:r>
        <w:rPr>
          <w:rFonts w:hint="eastAsia"/>
          <w:color w:val="auto"/>
          <w:lang w:eastAsia="zh-CN"/>
        </w:rPr>
        <w:t>处置能力建设滞后。除安岳县岳城街道白石村弃土消纳场外，还未建成专门的装修垃圾处置场所。</w:t>
      </w:r>
    </w:p>
    <w:p w14:paraId="25E36DFF">
      <w:pPr>
        <w:ind w:firstLine="643"/>
        <w:rPr>
          <w:color w:val="auto"/>
          <w:lang w:eastAsia="zh-CN"/>
        </w:rPr>
      </w:pPr>
      <w:r>
        <w:rPr>
          <w:rFonts w:hint="eastAsia" w:eastAsia="方正楷体_GBK"/>
          <w:b/>
          <w:color w:val="auto"/>
          <w:lang w:eastAsia="zh-CN"/>
        </w:rPr>
        <w:t>（二）</w:t>
      </w:r>
      <w:r>
        <w:rPr>
          <w:rFonts w:hint="eastAsia"/>
          <w:color w:val="auto"/>
          <w:lang w:eastAsia="zh-CN"/>
        </w:rPr>
        <w:t>再生产品和资源化利用率不高。除拆除、装修垃圾可燃物送垃圾焚烧发电厂外，其余部分未充分进行利用。</w:t>
      </w:r>
    </w:p>
    <w:p w14:paraId="129502AF">
      <w:pPr>
        <w:ind w:firstLine="643"/>
        <w:rPr>
          <w:color w:val="auto"/>
          <w:lang w:eastAsia="zh-CN"/>
        </w:rPr>
      </w:pPr>
      <w:r>
        <w:rPr>
          <w:rFonts w:hint="eastAsia" w:eastAsia="方正楷体_GBK"/>
          <w:b/>
          <w:color w:val="auto"/>
          <w:lang w:eastAsia="zh-CN"/>
        </w:rPr>
        <w:t>（三）</w:t>
      </w:r>
      <w:r>
        <w:rPr>
          <w:rFonts w:hint="eastAsia"/>
          <w:color w:val="auto"/>
          <w:lang w:eastAsia="zh-CN"/>
        </w:rPr>
        <w:t>部分相关规章制度尚不健全，不能有效规范建筑垃圾产生企业的处置行为。</w:t>
      </w:r>
    </w:p>
    <w:p w14:paraId="6DA2C339">
      <w:pPr>
        <w:ind w:firstLine="640"/>
        <w:rPr>
          <w:lang w:eastAsia="zh-CN"/>
        </w:rPr>
        <w:sectPr>
          <w:footerReference r:id="rId14" w:type="default"/>
          <w:pgSz w:w="11907" w:h="16840"/>
          <w:pgMar w:top="2155" w:right="1531" w:bottom="1814" w:left="1531" w:header="851" w:footer="1588" w:gutter="0"/>
          <w:pgNumType w:fmt="numberInDash" w:start="1"/>
          <w:cols w:space="0" w:num="1"/>
          <w:docGrid w:linePitch="435" w:charSpace="0"/>
        </w:sectPr>
      </w:pPr>
      <w:r>
        <w:rPr>
          <w:rFonts w:hint="eastAsia"/>
          <w:lang w:eastAsia="zh-CN"/>
        </w:rPr>
        <w:t>（四）尚未全面建成建筑垃圾收集、运输、处置、应用一体化的闭环系统。</w:t>
      </w:r>
      <w:bookmarkStart w:id="32" w:name="_Toc175056362"/>
    </w:p>
    <w:p w14:paraId="5E34EC0E">
      <w:pPr>
        <w:ind w:firstLine="880"/>
        <w:jc w:val="center"/>
        <w:rPr>
          <w:rFonts w:eastAsia="方正小标宋_GBK"/>
          <w:sz w:val="44"/>
          <w:szCs w:val="44"/>
          <w:lang w:eastAsia="zh-CN"/>
        </w:rPr>
      </w:pPr>
      <w:r>
        <w:rPr>
          <w:rFonts w:hint="eastAsia" w:eastAsia="方正小标宋_GBK"/>
          <w:sz w:val="44"/>
          <w:szCs w:val="44"/>
          <w:lang w:eastAsia="zh-CN"/>
        </w:rPr>
        <w:t>第二章</w:t>
      </w:r>
      <w:r>
        <w:rPr>
          <w:rFonts w:eastAsia="方正小标宋_GBK"/>
          <w:sz w:val="44"/>
          <w:szCs w:val="44"/>
          <w:lang w:eastAsia="zh-CN"/>
        </w:rPr>
        <w:t xml:space="preserve"> </w:t>
      </w:r>
      <w:r>
        <w:rPr>
          <w:rFonts w:hint="eastAsia" w:eastAsia="方正小标宋_GBK"/>
          <w:sz w:val="44"/>
          <w:szCs w:val="44"/>
          <w:lang w:eastAsia="zh-CN"/>
        </w:rPr>
        <w:t>规划总则</w:t>
      </w:r>
      <w:bookmarkEnd w:id="32"/>
    </w:p>
    <w:p w14:paraId="1EE6F570">
      <w:pPr>
        <w:spacing w:line="200" w:lineRule="exact"/>
        <w:ind w:firstLine="0" w:firstLineChars="0"/>
        <w:jc w:val="center"/>
        <w:rPr>
          <w:rFonts w:ascii="黑体" w:hAnsi="黑体" w:eastAsia="方正小标宋_GBK" w:cs="黑体"/>
          <w:bCs/>
          <w:sz w:val="44"/>
          <w:szCs w:val="44"/>
          <w:lang w:eastAsia="zh-CN"/>
        </w:rPr>
      </w:pPr>
    </w:p>
    <w:p w14:paraId="6AAA435B">
      <w:pPr>
        <w:pStyle w:val="3"/>
        <w:spacing w:line="580" w:lineRule="exact"/>
        <w:ind w:firstLine="640"/>
        <w:rPr>
          <w:b w:val="0"/>
        </w:rPr>
      </w:pPr>
      <w:bookmarkStart w:id="33" w:name="_Toc175056363"/>
      <w:r>
        <w:rPr>
          <w:rFonts w:hint="eastAsia"/>
          <w:b w:val="0"/>
        </w:rPr>
        <w:t>第一节</w:t>
      </w:r>
      <w:r>
        <w:rPr>
          <w:b w:val="0"/>
        </w:rPr>
        <w:t xml:space="preserve"> </w:t>
      </w:r>
      <w:r>
        <w:rPr>
          <w:rFonts w:hint="eastAsia"/>
          <w:b w:val="0"/>
        </w:rPr>
        <w:t>指导思想</w:t>
      </w:r>
      <w:bookmarkEnd w:id="33"/>
    </w:p>
    <w:p w14:paraId="7FF54E13">
      <w:pPr>
        <w:ind w:firstLine="640"/>
        <w:rPr>
          <w:color w:val="auto"/>
          <w:lang w:eastAsia="zh-CN"/>
        </w:rPr>
      </w:pPr>
      <w:r>
        <w:rPr>
          <w:rFonts w:hint="eastAsia"/>
          <w:color w:val="auto"/>
          <w:lang w:eastAsia="zh-CN"/>
        </w:rPr>
        <w:t>坚持以习近平新时代中国特色社会主义思想为指导，全面贯彻党的二十大精神，深入贯彻习近平生态文明思想和习近平总书记对四川工作系列重要指示精神，全面落实省第十二次党代会有关精神，结合安岳县实际情况，综合考虑资源再利用、社会经济发展、环境保护的关系，以发展循环经济、推进生态文明建设、改善人居环境为原则，提高建筑垃圾处理资源化、减量化、无害化水平，建立布局合理、技术先进、资源得到有效利用的建筑垃圾治理体系，进一步促进建筑垃圾治理和再利用产业化发展，实现建筑垃圾治理工作经济效益、生态效益和社会效益同步推进。</w:t>
      </w:r>
    </w:p>
    <w:p w14:paraId="04D1AB11">
      <w:pPr>
        <w:pStyle w:val="3"/>
        <w:spacing w:line="580" w:lineRule="exact"/>
        <w:ind w:firstLine="640"/>
        <w:rPr>
          <w:b w:val="0"/>
          <w:bCs/>
        </w:rPr>
      </w:pPr>
      <w:bookmarkStart w:id="34" w:name="_Toc175056364"/>
      <w:r>
        <w:rPr>
          <w:rFonts w:hint="eastAsia"/>
          <w:b w:val="0"/>
          <w:bCs/>
        </w:rPr>
        <w:t>第二节</w:t>
      </w:r>
      <w:r>
        <w:rPr>
          <w:b w:val="0"/>
          <w:bCs/>
        </w:rPr>
        <w:t xml:space="preserve"> </w:t>
      </w:r>
      <w:r>
        <w:rPr>
          <w:rFonts w:hint="eastAsia"/>
          <w:b w:val="0"/>
          <w:bCs/>
        </w:rPr>
        <w:t>规划原则</w:t>
      </w:r>
      <w:bookmarkEnd w:id="34"/>
    </w:p>
    <w:p w14:paraId="6CFB76D5">
      <w:pPr>
        <w:pStyle w:val="4"/>
        <w:spacing w:line="580" w:lineRule="exact"/>
        <w:ind w:firstLine="643"/>
        <w:jc w:val="both"/>
        <w:rPr>
          <w:rFonts w:eastAsia="方正楷体_GBK"/>
          <w:b w:val="0"/>
          <w:bCs w:val="0"/>
          <w:color w:val="auto"/>
        </w:rPr>
      </w:pPr>
      <w:r>
        <w:rPr>
          <w:rFonts w:hint="eastAsia" w:eastAsia="方正楷体_GBK"/>
          <w:color w:val="auto"/>
        </w:rPr>
        <w:t>（一）控源</w:t>
      </w:r>
      <w:r>
        <w:rPr>
          <w:rFonts w:hint="eastAsia" w:eastAsia="方正楷体_GBK"/>
        </w:rPr>
        <w:t>减</w:t>
      </w:r>
      <w:r>
        <w:rPr>
          <w:rFonts w:hint="eastAsia" w:eastAsia="方正楷体_GBK"/>
          <w:color w:val="auto"/>
        </w:rPr>
        <w:t>量、利用为先</w:t>
      </w:r>
    </w:p>
    <w:p w14:paraId="762E08CD">
      <w:pPr>
        <w:ind w:firstLine="640"/>
        <w:rPr>
          <w:color w:val="auto"/>
          <w:lang w:eastAsia="zh-CN"/>
        </w:rPr>
      </w:pPr>
      <w:r>
        <w:rPr>
          <w:rFonts w:hint="eastAsia"/>
          <w:color w:val="auto"/>
          <w:lang w:eastAsia="zh-CN"/>
        </w:rPr>
        <w:t>在政策配套、管理到位的前提下从源头减少建筑垃圾产生量、探索资源化利用途径。提升建筑垃圾资源化利用水平，推动再生产品广泛应用。</w:t>
      </w:r>
    </w:p>
    <w:p w14:paraId="27118573">
      <w:pPr>
        <w:pStyle w:val="4"/>
        <w:spacing w:line="580" w:lineRule="exact"/>
        <w:ind w:firstLine="643"/>
        <w:jc w:val="both"/>
        <w:rPr>
          <w:rFonts w:eastAsia="方正楷体_GBK"/>
          <w:color w:val="auto"/>
        </w:rPr>
      </w:pPr>
      <w:r>
        <w:rPr>
          <w:rFonts w:hint="eastAsia" w:eastAsia="方正楷体_GBK"/>
          <w:color w:val="auto"/>
        </w:rPr>
        <w:t>（二）科学预测、分类管控</w:t>
      </w:r>
    </w:p>
    <w:p w14:paraId="33DCB2C4">
      <w:pPr>
        <w:ind w:firstLine="640"/>
        <w:rPr>
          <w:color w:val="auto"/>
          <w:lang w:eastAsia="zh-CN"/>
        </w:rPr>
      </w:pPr>
      <w:r>
        <w:rPr>
          <w:rFonts w:hint="eastAsia"/>
          <w:color w:val="auto"/>
          <w:lang w:eastAsia="zh-CN"/>
        </w:rPr>
        <w:t>科学选取预测因子，力求产量预测指标合理。明确建筑垃圾分类收集、运输、分拣、消纳等要求，对不同产生源的建筑垃圾分类管控。</w:t>
      </w:r>
    </w:p>
    <w:p w14:paraId="567A22E4">
      <w:pPr>
        <w:pStyle w:val="4"/>
        <w:spacing w:line="580" w:lineRule="exact"/>
        <w:ind w:firstLine="643"/>
        <w:jc w:val="both"/>
        <w:rPr>
          <w:rFonts w:eastAsia="方正楷体_GBK"/>
          <w:color w:val="auto"/>
        </w:rPr>
      </w:pPr>
      <w:r>
        <w:rPr>
          <w:rFonts w:hint="eastAsia" w:eastAsia="方正楷体_GBK"/>
          <w:color w:val="auto"/>
        </w:rPr>
        <w:t>（三）区域统筹、属地管理</w:t>
      </w:r>
    </w:p>
    <w:p w14:paraId="2038683D">
      <w:pPr>
        <w:ind w:firstLine="640"/>
        <w:rPr>
          <w:color w:val="auto"/>
          <w:lang w:eastAsia="zh-CN"/>
        </w:rPr>
      </w:pPr>
      <w:r>
        <w:rPr>
          <w:rFonts w:hint="eastAsia"/>
          <w:color w:val="auto"/>
          <w:lang w:eastAsia="zh-CN"/>
        </w:rPr>
        <w:t>建立县、乡镇（街道）两级处理、管理架构，从县级层面统筹集约建设各类建筑垃圾处理设施、避免资源浪费，各乡镇（街道）按照县级要求，做好辖区内建筑垃圾管理工作。</w:t>
      </w:r>
    </w:p>
    <w:p w14:paraId="5553E0CB">
      <w:pPr>
        <w:pStyle w:val="4"/>
        <w:spacing w:line="580" w:lineRule="exact"/>
        <w:ind w:firstLine="643"/>
        <w:jc w:val="both"/>
        <w:rPr>
          <w:rFonts w:eastAsia="方正楷体_GBK"/>
          <w:color w:val="auto"/>
        </w:rPr>
      </w:pPr>
      <w:r>
        <w:rPr>
          <w:rFonts w:hint="eastAsia" w:eastAsia="方正楷体_GBK"/>
          <w:color w:val="auto"/>
        </w:rPr>
        <w:t>（四）长远规划、分步实施</w:t>
      </w:r>
    </w:p>
    <w:p w14:paraId="1458C362">
      <w:pPr>
        <w:ind w:firstLine="640"/>
        <w:rPr>
          <w:color w:val="auto"/>
          <w:lang w:eastAsia="zh-CN"/>
        </w:rPr>
      </w:pPr>
      <w:r>
        <w:rPr>
          <w:rFonts w:hint="eastAsia"/>
          <w:color w:val="auto"/>
          <w:lang w:eastAsia="zh-CN"/>
        </w:rPr>
        <w:t>着眼长远，合理布局建筑垃圾处理设施，合理配置建筑垃圾收运体系，明确建设时序。充分考虑各区域发展需求，规划布局要有一定的前瞻性，注重弹性，留有余地。</w:t>
      </w:r>
    </w:p>
    <w:p w14:paraId="5779A4F8">
      <w:pPr>
        <w:pStyle w:val="4"/>
        <w:spacing w:line="580" w:lineRule="exact"/>
        <w:ind w:firstLine="643"/>
        <w:jc w:val="both"/>
        <w:rPr>
          <w:rFonts w:eastAsia="方正楷体_GBK"/>
          <w:color w:val="auto"/>
        </w:rPr>
      </w:pPr>
      <w:r>
        <w:rPr>
          <w:rFonts w:hint="eastAsia" w:eastAsia="方正楷体_GBK"/>
          <w:color w:val="auto"/>
        </w:rPr>
        <w:t>（五）政府主导、市场运作</w:t>
      </w:r>
    </w:p>
    <w:p w14:paraId="40AA4C5F">
      <w:pPr>
        <w:ind w:firstLine="640"/>
        <w:rPr>
          <w:color w:val="auto"/>
          <w:lang w:eastAsia="zh-CN"/>
        </w:rPr>
      </w:pPr>
      <w:r>
        <w:rPr>
          <w:rFonts w:hint="eastAsia"/>
          <w:color w:val="auto"/>
          <w:lang w:eastAsia="zh-CN"/>
        </w:rPr>
        <w:t>联合县公安局、县自然资源和规划局、县住房和城乡建设局、县交通运输局、资阳市安岳生态环境局等相关部门形成联动监管合力，强化统一管理，坚持走合理的市场化道路。</w:t>
      </w:r>
    </w:p>
    <w:p w14:paraId="51555DC6">
      <w:pPr>
        <w:pStyle w:val="3"/>
        <w:spacing w:line="580" w:lineRule="exact"/>
        <w:ind w:firstLine="640"/>
        <w:rPr>
          <w:b w:val="0"/>
          <w:bCs/>
        </w:rPr>
      </w:pPr>
      <w:bookmarkStart w:id="35" w:name="_Toc175056365"/>
      <w:r>
        <w:rPr>
          <w:rFonts w:hint="eastAsia"/>
          <w:b w:val="0"/>
          <w:bCs/>
        </w:rPr>
        <w:t>第三节</w:t>
      </w:r>
      <w:r>
        <w:rPr>
          <w:b w:val="0"/>
          <w:bCs/>
        </w:rPr>
        <w:t xml:space="preserve"> </w:t>
      </w:r>
      <w:r>
        <w:rPr>
          <w:rFonts w:hint="eastAsia"/>
          <w:b w:val="0"/>
          <w:bCs/>
        </w:rPr>
        <w:t>规划依据</w:t>
      </w:r>
      <w:bookmarkEnd w:id="35"/>
    </w:p>
    <w:p w14:paraId="08E355BF">
      <w:pPr>
        <w:pStyle w:val="4"/>
        <w:spacing w:line="580" w:lineRule="exact"/>
        <w:ind w:firstLine="643"/>
        <w:jc w:val="both"/>
        <w:rPr>
          <w:rFonts w:eastAsia="方正楷体_GBK"/>
          <w:b w:val="0"/>
          <w:bCs w:val="0"/>
          <w:color w:val="auto"/>
        </w:rPr>
      </w:pPr>
      <w:r>
        <w:rPr>
          <w:rFonts w:hint="eastAsia" w:eastAsia="方正楷体_GBK"/>
          <w:color w:val="auto"/>
        </w:rPr>
        <w:t>（一）</w:t>
      </w:r>
      <w:r>
        <w:rPr>
          <w:rFonts w:hint="eastAsia" w:eastAsia="方正楷体_GBK"/>
        </w:rPr>
        <w:t>法律</w:t>
      </w:r>
      <w:r>
        <w:rPr>
          <w:rFonts w:hint="eastAsia" w:eastAsia="方正楷体_GBK"/>
          <w:color w:val="auto"/>
        </w:rPr>
        <w:t>法规</w:t>
      </w:r>
    </w:p>
    <w:p w14:paraId="341A9291">
      <w:pPr>
        <w:ind w:firstLine="640"/>
        <w:rPr>
          <w:color w:val="auto"/>
          <w:lang w:eastAsia="zh-CN"/>
        </w:rPr>
      </w:pPr>
      <w:r>
        <w:rPr>
          <w:rFonts w:hint="eastAsia"/>
          <w:color w:val="auto"/>
          <w:lang w:eastAsia="zh-CN"/>
        </w:rPr>
        <w:t>《中华人民共和国环境保护法》（</w:t>
      </w:r>
      <w:r>
        <w:rPr>
          <w:color w:val="auto"/>
          <w:lang w:eastAsia="zh-CN"/>
        </w:rPr>
        <w:t>2014</w:t>
      </w:r>
      <w:r>
        <w:rPr>
          <w:rFonts w:hint="eastAsia"/>
          <w:color w:val="auto"/>
          <w:lang w:eastAsia="zh-CN"/>
        </w:rPr>
        <w:t>修订）</w:t>
      </w:r>
    </w:p>
    <w:p w14:paraId="4ECBBA7E">
      <w:pPr>
        <w:ind w:firstLine="632"/>
        <w:rPr>
          <w:color w:val="auto"/>
          <w:spacing w:val="-4"/>
          <w:lang w:eastAsia="zh-CN"/>
        </w:rPr>
      </w:pPr>
      <w:r>
        <w:rPr>
          <w:rFonts w:hint="eastAsia"/>
          <w:color w:val="auto"/>
          <w:spacing w:val="-4"/>
          <w:lang w:eastAsia="zh-CN"/>
        </w:rPr>
        <w:t>《中华人民共和国固体废物污染环境防治法》（</w:t>
      </w:r>
      <w:r>
        <w:rPr>
          <w:color w:val="auto"/>
          <w:spacing w:val="-4"/>
          <w:lang w:eastAsia="zh-CN"/>
        </w:rPr>
        <w:t>2020</w:t>
      </w:r>
      <w:r>
        <w:rPr>
          <w:rFonts w:hint="eastAsia"/>
          <w:color w:val="auto"/>
          <w:spacing w:val="-4"/>
          <w:lang w:eastAsia="zh-CN"/>
        </w:rPr>
        <w:t>修订）</w:t>
      </w:r>
    </w:p>
    <w:p w14:paraId="2933FB86">
      <w:pPr>
        <w:ind w:firstLine="640"/>
        <w:rPr>
          <w:color w:val="auto"/>
          <w:lang w:eastAsia="zh-CN"/>
        </w:rPr>
      </w:pPr>
      <w:r>
        <w:rPr>
          <w:rFonts w:hint="eastAsia"/>
          <w:color w:val="auto"/>
          <w:lang w:eastAsia="zh-CN"/>
        </w:rPr>
        <w:t>《中华人民共和国清洁生产促进法》（</w:t>
      </w:r>
      <w:r>
        <w:rPr>
          <w:color w:val="auto"/>
          <w:lang w:eastAsia="zh-CN"/>
        </w:rPr>
        <w:t>2012</w:t>
      </w:r>
      <w:r>
        <w:rPr>
          <w:rFonts w:hint="eastAsia"/>
          <w:color w:val="auto"/>
          <w:lang w:eastAsia="zh-CN"/>
        </w:rPr>
        <w:t>修订）</w:t>
      </w:r>
    </w:p>
    <w:p w14:paraId="2CB6417D">
      <w:pPr>
        <w:ind w:firstLine="640"/>
        <w:rPr>
          <w:color w:val="auto"/>
          <w:lang w:eastAsia="zh-CN"/>
        </w:rPr>
      </w:pPr>
      <w:r>
        <w:rPr>
          <w:rFonts w:hint="eastAsia"/>
          <w:color w:val="auto"/>
          <w:lang w:eastAsia="zh-CN"/>
        </w:rPr>
        <w:t>《中华人民共和国循环经济促进法》（</w:t>
      </w:r>
      <w:r>
        <w:rPr>
          <w:color w:val="auto"/>
          <w:lang w:eastAsia="zh-CN"/>
        </w:rPr>
        <w:t>2018</w:t>
      </w:r>
      <w:r>
        <w:rPr>
          <w:rFonts w:hint="eastAsia"/>
          <w:color w:val="auto"/>
          <w:lang w:eastAsia="zh-CN"/>
        </w:rPr>
        <w:t>修正）</w:t>
      </w:r>
    </w:p>
    <w:p w14:paraId="376C176E">
      <w:pPr>
        <w:ind w:firstLine="640"/>
        <w:rPr>
          <w:color w:val="auto"/>
          <w:lang w:eastAsia="zh-CN"/>
        </w:rPr>
      </w:pPr>
      <w:r>
        <w:rPr>
          <w:rFonts w:hint="eastAsia"/>
          <w:color w:val="auto"/>
          <w:lang w:eastAsia="zh-CN"/>
        </w:rPr>
        <w:t>《中华人民共和国土地管理法》（</w:t>
      </w:r>
      <w:r>
        <w:rPr>
          <w:color w:val="auto"/>
          <w:lang w:eastAsia="zh-CN"/>
        </w:rPr>
        <w:t>2019</w:t>
      </w:r>
      <w:r>
        <w:rPr>
          <w:rFonts w:hint="eastAsia"/>
          <w:color w:val="auto"/>
          <w:lang w:eastAsia="zh-CN"/>
        </w:rPr>
        <w:t>修正）</w:t>
      </w:r>
    </w:p>
    <w:p w14:paraId="5A77ABCB">
      <w:pPr>
        <w:ind w:firstLine="640"/>
        <w:rPr>
          <w:color w:val="auto"/>
          <w:lang w:eastAsia="zh-CN"/>
        </w:rPr>
      </w:pPr>
      <w:r>
        <w:rPr>
          <w:rFonts w:hint="eastAsia"/>
          <w:color w:val="auto"/>
          <w:lang w:eastAsia="zh-CN"/>
        </w:rPr>
        <w:t>《中华人民共和国城乡规划法》（</w:t>
      </w:r>
      <w:r>
        <w:rPr>
          <w:color w:val="auto"/>
          <w:lang w:eastAsia="zh-CN"/>
        </w:rPr>
        <w:t>2019</w:t>
      </w:r>
      <w:r>
        <w:rPr>
          <w:rFonts w:hint="eastAsia"/>
          <w:color w:val="auto"/>
          <w:lang w:eastAsia="zh-CN"/>
        </w:rPr>
        <w:t>修正）</w:t>
      </w:r>
    </w:p>
    <w:p w14:paraId="684AEEC3">
      <w:pPr>
        <w:ind w:firstLine="640"/>
        <w:rPr>
          <w:color w:val="auto"/>
          <w:lang w:eastAsia="zh-CN"/>
        </w:rPr>
      </w:pPr>
      <w:r>
        <w:rPr>
          <w:rFonts w:hint="eastAsia"/>
          <w:color w:val="auto"/>
          <w:lang w:eastAsia="zh-CN"/>
        </w:rPr>
        <w:t>《四川省固体废物污染环境防治条例》（</w:t>
      </w:r>
      <w:r>
        <w:rPr>
          <w:color w:val="auto"/>
          <w:lang w:eastAsia="zh-CN"/>
        </w:rPr>
        <w:t>2022</w:t>
      </w:r>
      <w:r>
        <w:rPr>
          <w:rFonts w:hint="eastAsia"/>
          <w:color w:val="auto"/>
          <w:lang w:eastAsia="zh-CN"/>
        </w:rPr>
        <w:t>修订）</w:t>
      </w:r>
    </w:p>
    <w:p w14:paraId="472D2A95">
      <w:pPr>
        <w:pStyle w:val="4"/>
        <w:spacing w:line="580" w:lineRule="exact"/>
        <w:ind w:firstLine="643"/>
        <w:jc w:val="both"/>
        <w:rPr>
          <w:rFonts w:eastAsia="方正楷体_GBK"/>
          <w:color w:val="auto"/>
        </w:rPr>
      </w:pPr>
      <w:r>
        <w:rPr>
          <w:rFonts w:hint="eastAsia" w:eastAsia="方正楷体_GBK"/>
          <w:color w:val="auto"/>
        </w:rPr>
        <w:t>（二）标准规范</w:t>
      </w:r>
    </w:p>
    <w:p w14:paraId="7800B9F4">
      <w:pPr>
        <w:ind w:firstLine="640"/>
        <w:rPr>
          <w:color w:val="auto"/>
          <w:lang w:eastAsia="zh-CN"/>
        </w:rPr>
      </w:pPr>
      <w:r>
        <w:rPr>
          <w:rFonts w:hint="eastAsia"/>
          <w:color w:val="auto"/>
          <w:lang w:eastAsia="zh-CN"/>
        </w:rPr>
        <w:t>《环境卫生设施设置标准》（</w:t>
      </w:r>
      <w:r>
        <w:rPr>
          <w:color w:val="auto"/>
          <w:lang w:eastAsia="zh-CN"/>
        </w:rPr>
        <w:t>CJJ27—2012</w:t>
      </w:r>
      <w:r>
        <w:rPr>
          <w:rFonts w:hint="eastAsia"/>
          <w:color w:val="auto"/>
          <w:lang w:eastAsia="zh-CN"/>
        </w:rPr>
        <w:t>）</w:t>
      </w:r>
    </w:p>
    <w:p w14:paraId="594E26FE">
      <w:pPr>
        <w:ind w:firstLine="640"/>
        <w:rPr>
          <w:color w:val="auto"/>
          <w:lang w:eastAsia="zh-CN"/>
        </w:rPr>
      </w:pPr>
      <w:r>
        <w:rPr>
          <w:rFonts w:hint="eastAsia"/>
          <w:color w:val="auto"/>
          <w:lang w:eastAsia="zh-CN"/>
        </w:rPr>
        <w:t>《城市环境卫生设施规划标准》（</w:t>
      </w:r>
      <w:r>
        <w:rPr>
          <w:color w:val="auto"/>
          <w:lang w:eastAsia="zh-CN"/>
        </w:rPr>
        <w:t>GB/T50337—2018</w:t>
      </w:r>
      <w:r>
        <w:rPr>
          <w:rFonts w:hint="eastAsia"/>
          <w:color w:val="auto"/>
          <w:lang w:eastAsia="zh-CN"/>
        </w:rPr>
        <w:t>）</w:t>
      </w:r>
    </w:p>
    <w:p w14:paraId="0653A993">
      <w:pPr>
        <w:ind w:firstLine="640"/>
        <w:rPr>
          <w:color w:val="auto"/>
          <w:lang w:eastAsia="zh-CN"/>
        </w:rPr>
      </w:pPr>
      <w:r>
        <w:rPr>
          <w:rFonts w:hint="eastAsia"/>
          <w:color w:val="auto"/>
          <w:lang w:eastAsia="zh-CN"/>
        </w:rPr>
        <w:t>《环境卫生图形符号标准》（</w:t>
      </w:r>
      <w:r>
        <w:rPr>
          <w:color w:val="auto"/>
          <w:lang w:eastAsia="zh-CN"/>
        </w:rPr>
        <w:t>CJJ/T125—2021</w:t>
      </w:r>
      <w:r>
        <w:rPr>
          <w:rFonts w:hint="eastAsia"/>
          <w:color w:val="auto"/>
          <w:lang w:eastAsia="zh-CN"/>
        </w:rPr>
        <w:t>）</w:t>
      </w:r>
    </w:p>
    <w:p w14:paraId="48C64881">
      <w:pPr>
        <w:ind w:firstLine="640"/>
        <w:rPr>
          <w:color w:val="auto"/>
          <w:lang w:eastAsia="zh-CN"/>
        </w:rPr>
      </w:pPr>
      <w:r>
        <w:rPr>
          <w:rFonts w:hint="eastAsia"/>
          <w:color w:val="auto"/>
          <w:lang w:eastAsia="zh-CN"/>
        </w:rPr>
        <w:t>《市容环境卫生术语标准》（</w:t>
      </w:r>
      <w:r>
        <w:rPr>
          <w:color w:val="auto"/>
          <w:lang w:eastAsia="zh-CN"/>
        </w:rPr>
        <w:t>CJJ/T65—2004</w:t>
      </w:r>
      <w:r>
        <w:rPr>
          <w:rFonts w:hint="eastAsia"/>
          <w:color w:val="auto"/>
          <w:lang w:eastAsia="zh-CN"/>
        </w:rPr>
        <w:t>）</w:t>
      </w:r>
    </w:p>
    <w:p w14:paraId="7BE48DF9">
      <w:pPr>
        <w:ind w:firstLine="640"/>
        <w:rPr>
          <w:color w:val="auto"/>
          <w:lang w:eastAsia="zh-CN"/>
        </w:rPr>
      </w:pPr>
      <w:r>
        <w:rPr>
          <w:rFonts w:hint="eastAsia"/>
          <w:color w:val="auto"/>
          <w:lang w:eastAsia="zh-CN"/>
        </w:rPr>
        <w:t>《建筑垃圾处理技术标准》（</w:t>
      </w:r>
      <w:r>
        <w:rPr>
          <w:color w:val="auto"/>
          <w:lang w:eastAsia="zh-CN"/>
        </w:rPr>
        <w:t>CJJ/T134—2019</w:t>
      </w:r>
      <w:r>
        <w:rPr>
          <w:rFonts w:hint="eastAsia"/>
          <w:color w:val="auto"/>
          <w:lang w:eastAsia="zh-CN"/>
        </w:rPr>
        <w:t>）</w:t>
      </w:r>
    </w:p>
    <w:p w14:paraId="5FE9BAE4">
      <w:pPr>
        <w:ind w:firstLine="640"/>
        <w:rPr>
          <w:color w:val="auto"/>
          <w:lang w:eastAsia="zh-CN"/>
        </w:rPr>
      </w:pPr>
      <w:r>
        <w:rPr>
          <w:rFonts w:hint="eastAsia"/>
          <w:color w:val="auto"/>
          <w:lang w:eastAsia="zh-CN"/>
        </w:rPr>
        <w:t>《城市建筑垃圾管理规定》（建设部令第</w:t>
      </w:r>
      <w:r>
        <w:rPr>
          <w:color w:val="auto"/>
          <w:lang w:eastAsia="zh-CN"/>
        </w:rPr>
        <w:t>139</w:t>
      </w:r>
      <w:r>
        <w:rPr>
          <w:rFonts w:hint="eastAsia"/>
          <w:color w:val="auto"/>
          <w:lang w:eastAsia="zh-CN"/>
        </w:rPr>
        <w:t>号）</w:t>
      </w:r>
    </w:p>
    <w:p w14:paraId="5AFCF23E">
      <w:pPr>
        <w:ind w:firstLine="640"/>
        <w:rPr>
          <w:color w:val="auto"/>
          <w:lang w:eastAsia="zh-CN"/>
        </w:rPr>
      </w:pPr>
      <w:r>
        <w:rPr>
          <w:rFonts w:hint="eastAsia"/>
          <w:color w:val="auto"/>
          <w:lang w:eastAsia="zh-CN"/>
        </w:rPr>
        <w:t>《一般工业固体废物贮存和填埋污染控制标准》（</w:t>
      </w:r>
      <w:r>
        <w:rPr>
          <w:color w:val="auto"/>
          <w:lang w:eastAsia="zh-CN"/>
        </w:rPr>
        <w:t>GB18599-2020</w:t>
      </w:r>
      <w:r>
        <w:rPr>
          <w:rFonts w:hint="eastAsia"/>
          <w:color w:val="auto"/>
          <w:lang w:eastAsia="zh-CN"/>
        </w:rPr>
        <w:t>）</w:t>
      </w:r>
    </w:p>
    <w:p w14:paraId="4861AA2D">
      <w:pPr>
        <w:pStyle w:val="4"/>
        <w:spacing w:line="580" w:lineRule="exact"/>
        <w:ind w:firstLine="643"/>
        <w:jc w:val="both"/>
        <w:rPr>
          <w:rFonts w:eastAsia="方正楷体_GBK"/>
          <w:color w:val="auto"/>
        </w:rPr>
      </w:pPr>
      <w:r>
        <w:rPr>
          <w:rFonts w:hint="eastAsia" w:eastAsia="方正楷体_GBK"/>
          <w:color w:val="auto"/>
        </w:rPr>
        <w:t>（三）政策文件</w:t>
      </w:r>
    </w:p>
    <w:p w14:paraId="4888F7E9">
      <w:pPr>
        <w:ind w:firstLine="640"/>
        <w:rPr>
          <w:color w:val="auto"/>
          <w:lang w:eastAsia="zh-CN"/>
        </w:rPr>
      </w:pPr>
      <w:r>
        <w:rPr>
          <w:rFonts w:hint="eastAsia"/>
          <w:color w:val="auto"/>
          <w:lang w:eastAsia="zh-CN"/>
        </w:rPr>
        <w:t>《“无废城市”建设指标体系（试行）》（</w:t>
      </w:r>
      <w:r>
        <w:rPr>
          <w:color w:val="auto"/>
          <w:lang w:eastAsia="zh-CN"/>
        </w:rPr>
        <w:t>2019</w:t>
      </w:r>
      <w:r>
        <w:rPr>
          <w:rFonts w:hint="eastAsia"/>
          <w:color w:val="auto"/>
          <w:lang w:eastAsia="zh-CN"/>
        </w:rPr>
        <w:t>）</w:t>
      </w:r>
    </w:p>
    <w:p w14:paraId="141503B3">
      <w:pPr>
        <w:ind w:firstLine="640"/>
        <w:rPr>
          <w:color w:val="auto"/>
          <w:lang w:eastAsia="zh-CN"/>
        </w:rPr>
      </w:pPr>
      <w:r>
        <w:rPr>
          <w:rFonts w:hint="eastAsia"/>
          <w:color w:val="auto"/>
          <w:lang w:eastAsia="zh-CN"/>
        </w:rPr>
        <w:t>《住房和城乡建设部关于推进建筑垃圾减量化的指导意见》（建质〔</w:t>
      </w:r>
      <w:r>
        <w:rPr>
          <w:color w:val="auto"/>
          <w:lang w:eastAsia="zh-CN"/>
        </w:rPr>
        <w:t>2020</w:t>
      </w:r>
      <w:r>
        <w:rPr>
          <w:rFonts w:hint="eastAsia"/>
          <w:color w:val="auto"/>
          <w:lang w:eastAsia="zh-CN"/>
        </w:rPr>
        <w:t>〕</w:t>
      </w:r>
      <w:r>
        <w:rPr>
          <w:color w:val="auto"/>
          <w:lang w:eastAsia="zh-CN"/>
        </w:rPr>
        <w:t>46</w:t>
      </w:r>
      <w:r>
        <w:rPr>
          <w:rFonts w:hint="eastAsia"/>
          <w:color w:val="auto"/>
          <w:lang w:eastAsia="zh-CN"/>
        </w:rPr>
        <w:t>号）</w:t>
      </w:r>
    </w:p>
    <w:p w14:paraId="66ED29B9">
      <w:pPr>
        <w:ind w:firstLine="640"/>
        <w:rPr>
          <w:color w:val="auto"/>
          <w:lang w:eastAsia="zh-CN"/>
        </w:rPr>
      </w:pPr>
      <w:r>
        <w:rPr>
          <w:rFonts w:hint="eastAsia"/>
          <w:color w:val="auto"/>
          <w:lang w:eastAsia="zh-CN"/>
        </w:rPr>
        <w:t>《“十四五”时期“无废城市”建设工作方案》（环固体〔</w:t>
      </w:r>
      <w:r>
        <w:rPr>
          <w:color w:val="auto"/>
          <w:lang w:eastAsia="zh-CN"/>
        </w:rPr>
        <w:t>2021</w:t>
      </w:r>
      <w:r>
        <w:rPr>
          <w:rFonts w:hint="eastAsia"/>
          <w:color w:val="auto"/>
          <w:lang w:eastAsia="zh-CN"/>
        </w:rPr>
        <w:t>〕</w:t>
      </w:r>
      <w:r>
        <w:rPr>
          <w:color w:val="auto"/>
          <w:lang w:eastAsia="zh-CN"/>
        </w:rPr>
        <w:t>114</w:t>
      </w:r>
      <w:r>
        <w:rPr>
          <w:rFonts w:hint="eastAsia"/>
          <w:color w:val="auto"/>
          <w:lang w:eastAsia="zh-CN"/>
        </w:rPr>
        <w:t>号）；</w:t>
      </w:r>
    </w:p>
    <w:p w14:paraId="7105DF49">
      <w:pPr>
        <w:ind w:firstLine="640"/>
        <w:rPr>
          <w:color w:val="auto"/>
          <w:lang w:eastAsia="zh-CN"/>
        </w:rPr>
      </w:pPr>
      <w:r>
        <w:rPr>
          <w:rFonts w:hint="eastAsia"/>
          <w:color w:val="auto"/>
          <w:lang w:eastAsia="zh-CN"/>
        </w:rPr>
        <w:t>《关于“十四五”大宗固体废弃物综合利用的指导意见》（发改环资〔</w:t>
      </w:r>
      <w:r>
        <w:rPr>
          <w:color w:val="auto"/>
          <w:lang w:eastAsia="zh-CN"/>
        </w:rPr>
        <w:t>2021</w:t>
      </w:r>
      <w:r>
        <w:rPr>
          <w:rFonts w:hint="eastAsia"/>
          <w:color w:val="auto"/>
          <w:lang w:eastAsia="zh-CN"/>
        </w:rPr>
        <w:t>〕</w:t>
      </w:r>
      <w:r>
        <w:rPr>
          <w:color w:val="auto"/>
          <w:lang w:eastAsia="zh-CN"/>
        </w:rPr>
        <w:t>381</w:t>
      </w:r>
      <w:r>
        <w:rPr>
          <w:rFonts w:hint="eastAsia"/>
          <w:color w:val="auto"/>
          <w:lang w:eastAsia="zh-CN"/>
        </w:rPr>
        <w:t>号）；</w:t>
      </w:r>
    </w:p>
    <w:p w14:paraId="55573AA5">
      <w:pPr>
        <w:ind w:firstLine="640"/>
        <w:rPr>
          <w:color w:val="auto"/>
          <w:lang w:eastAsia="zh-CN"/>
        </w:rPr>
      </w:pPr>
      <w:r>
        <w:rPr>
          <w:rFonts w:hint="eastAsia"/>
          <w:color w:val="auto"/>
          <w:lang w:eastAsia="zh-CN"/>
        </w:rPr>
        <w:t>《“十四五”全国城市基础设施建设规划》（建城〔</w:t>
      </w:r>
      <w:r>
        <w:rPr>
          <w:color w:val="auto"/>
          <w:lang w:eastAsia="zh-CN"/>
        </w:rPr>
        <w:t>2022</w:t>
      </w:r>
      <w:r>
        <w:rPr>
          <w:rFonts w:hint="eastAsia"/>
          <w:color w:val="auto"/>
          <w:lang w:eastAsia="zh-CN"/>
        </w:rPr>
        <w:t>〕</w:t>
      </w:r>
      <w:r>
        <w:rPr>
          <w:color w:val="auto"/>
          <w:lang w:eastAsia="zh-CN"/>
        </w:rPr>
        <w:t>57</w:t>
      </w:r>
      <w:r>
        <w:rPr>
          <w:rFonts w:hint="eastAsia"/>
          <w:color w:val="auto"/>
          <w:lang w:eastAsia="zh-CN"/>
        </w:rPr>
        <w:t>号）；</w:t>
      </w:r>
    </w:p>
    <w:p w14:paraId="603184BD">
      <w:pPr>
        <w:ind w:firstLine="640"/>
        <w:rPr>
          <w:color w:val="auto"/>
          <w:lang w:eastAsia="zh-CN"/>
        </w:rPr>
      </w:pPr>
      <w:r>
        <w:rPr>
          <w:rFonts w:hint="eastAsia"/>
          <w:color w:val="auto"/>
          <w:lang w:eastAsia="zh-CN"/>
        </w:rPr>
        <w:t>《环境基础设施建设水平提升行动（</w:t>
      </w:r>
      <w:r>
        <w:rPr>
          <w:color w:val="auto"/>
          <w:lang w:eastAsia="zh-CN"/>
        </w:rPr>
        <w:t>2023—2025</w:t>
      </w:r>
      <w:r>
        <w:rPr>
          <w:rFonts w:hint="eastAsia"/>
          <w:color w:val="auto"/>
          <w:lang w:eastAsia="zh-CN"/>
        </w:rPr>
        <w:t>年）》（发改环资〔</w:t>
      </w:r>
      <w:r>
        <w:rPr>
          <w:color w:val="auto"/>
          <w:lang w:eastAsia="zh-CN"/>
        </w:rPr>
        <w:t>2023</w:t>
      </w:r>
      <w:r>
        <w:rPr>
          <w:rFonts w:hint="eastAsia"/>
          <w:color w:val="auto"/>
          <w:lang w:eastAsia="zh-CN"/>
        </w:rPr>
        <w:t>〕</w:t>
      </w:r>
      <w:r>
        <w:rPr>
          <w:color w:val="auto"/>
          <w:lang w:eastAsia="zh-CN"/>
        </w:rPr>
        <w:t>1046</w:t>
      </w:r>
      <w:r>
        <w:rPr>
          <w:rFonts w:hint="eastAsia"/>
          <w:color w:val="auto"/>
          <w:lang w:eastAsia="zh-CN"/>
        </w:rPr>
        <w:t>号）</w:t>
      </w:r>
    </w:p>
    <w:p w14:paraId="113BB42A">
      <w:pPr>
        <w:ind w:firstLine="640"/>
        <w:rPr>
          <w:color w:val="auto"/>
          <w:lang w:eastAsia="zh-CN"/>
        </w:rPr>
      </w:pPr>
      <w:r>
        <w:rPr>
          <w:rFonts w:hint="eastAsia"/>
          <w:color w:val="auto"/>
          <w:lang w:eastAsia="zh-CN"/>
        </w:rPr>
        <w:t>《关于加强城市建筑垃圾管理与资源化利用的指导意见》（川建行规〔</w:t>
      </w:r>
      <w:r>
        <w:rPr>
          <w:color w:val="auto"/>
          <w:lang w:eastAsia="zh-CN"/>
        </w:rPr>
        <w:t>2020</w:t>
      </w:r>
      <w:r>
        <w:rPr>
          <w:rFonts w:hint="eastAsia"/>
          <w:color w:val="auto"/>
          <w:lang w:eastAsia="zh-CN"/>
        </w:rPr>
        <w:t>〕</w:t>
      </w:r>
      <w:r>
        <w:rPr>
          <w:color w:val="auto"/>
          <w:lang w:eastAsia="zh-CN"/>
        </w:rPr>
        <w:t>9</w:t>
      </w:r>
      <w:r>
        <w:rPr>
          <w:rFonts w:hint="eastAsia"/>
          <w:color w:val="auto"/>
          <w:lang w:eastAsia="zh-CN"/>
        </w:rPr>
        <w:t>号）</w:t>
      </w:r>
    </w:p>
    <w:p w14:paraId="1A1CF766">
      <w:pPr>
        <w:ind w:firstLine="640"/>
        <w:rPr>
          <w:color w:val="auto"/>
          <w:lang w:eastAsia="zh-CN"/>
        </w:rPr>
      </w:pPr>
      <w:r>
        <w:rPr>
          <w:rFonts w:hint="eastAsia"/>
          <w:color w:val="auto"/>
          <w:lang w:eastAsia="zh-CN"/>
        </w:rPr>
        <w:t>《关于印发促进绿色建材生产和应用行动方案》（工信部联原〔</w:t>
      </w:r>
      <w:r>
        <w:rPr>
          <w:color w:val="auto"/>
          <w:lang w:eastAsia="zh-CN"/>
        </w:rPr>
        <w:t>2015</w:t>
      </w:r>
      <w:r>
        <w:rPr>
          <w:rFonts w:hint="eastAsia"/>
          <w:color w:val="auto"/>
          <w:lang w:eastAsia="zh-CN"/>
        </w:rPr>
        <w:t>〕</w:t>
      </w:r>
      <w:r>
        <w:rPr>
          <w:color w:val="auto"/>
          <w:lang w:eastAsia="zh-CN"/>
        </w:rPr>
        <w:t xml:space="preserve">309 </w:t>
      </w:r>
      <w:r>
        <w:rPr>
          <w:rFonts w:hint="eastAsia"/>
          <w:color w:val="auto"/>
          <w:lang w:eastAsia="zh-CN"/>
        </w:rPr>
        <w:t>号）</w:t>
      </w:r>
    </w:p>
    <w:p w14:paraId="196C4EAC">
      <w:pPr>
        <w:ind w:firstLine="640"/>
        <w:rPr>
          <w:color w:val="auto"/>
          <w:lang w:eastAsia="zh-CN"/>
        </w:rPr>
      </w:pPr>
      <w:r>
        <w:rPr>
          <w:rFonts w:hint="eastAsia"/>
          <w:color w:val="auto"/>
          <w:lang w:eastAsia="zh-CN"/>
        </w:rPr>
        <w:t>《建筑垃圾治理专项规划编制大纲》</w:t>
      </w:r>
    </w:p>
    <w:p w14:paraId="57A4FCB5">
      <w:pPr>
        <w:ind w:firstLine="640"/>
        <w:rPr>
          <w:color w:val="auto"/>
          <w:lang w:eastAsia="zh-CN"/>
        </w:rPr>
      </w:pPr>
      <w:r>
        <w:rPr>
          <w:rFonts w:hint="eastAsia"/>
          <w:color w:val="auto"/>
          <w:lang w:eastAsia="zh-CN"/>
        </w:rPr>
        <w:t>《关于印发</w:t>
      </w:r>
      <w:r>
        <w:rPr>
          <w:rFonts w:hint="eastAsia" w:ascii="方正仿宋_GBK" w:hAnsi="方正仿宋_GBK" w:cs="方正仿宋_GBK"/>
          <w:color w:val="auto"/>
          <w:lang w:eastAsia="zh-CN"/>
        </w:rPr>
        <w:t>〈</w:t>
      </w:r>
      <w:r>
        <w:rPr>
          <w:rFonts w:hint="eastAsia"/>
          <w:color w:val="auto"/>
          <w:lang w:eastAsia="zh-CN"/>
        </w:rPr>
        <w:t>四川省城市建筑垃圾处置及资源化利用行动方案</w:t>
      </w:r>
      <w:r>
        <w:rPr>
          <w:rFonts w:hint="eastAsia" w:ascii="方正仿宋_GBK" w:hAnsi="方正仿宋_GBK" w:cs="方正仿宋_GBK"/>
          <w:color w:val="auto"/>
          <w:lang w:eastAsia="zh-CN"/>
        </w:rPr>
        <w:t>〉</w:t>
      </w:r>
      <w:r>
        <w:rPr>
          <w:rFonts w:hint="eastAsia"/>
          <w:color w:val="auto"/>
          <w:lang w:eastAsia="zh-CN"/>
        </w:rPr>
        <w:t>的通知》（川建行规〔</w:t>
      </w:r>
      <w:r>
        <w:rPr>
          <w:color w:val="auto"/>
          <w:lang w:eastAsia="zh-CN"/>
        </w:rPr>
        <w:t>2024</w:t>
      </w:r>
      <w:r>
        <w:rPr>
          <w:rFonts w:hint="eastAsia"/>
          <w:color w:val="auto"/>
          <w:lang w:eastAsia="zh-CN"/>
        </w:rPr>
        <w:t>〕</w:t>
      </w:r>
      <w:r>
        <w:rPr>
          <w:color w:val="auto"/>
          <w:lang w:eastAsia="zh-CN"/>
        </w:rPr>
        <w:t>12</w:t>
      </w:r>
      <w:r>
        <w:rPr>
          <w:rFonts w:hint="eastAsia"/>
          <w:color w:val="auto"/>
          <w:lang w:eastAsia="zh-CN"/>
        </w:rPr>
        <w:t>号）</w:t>
      </w:r>
    </w:p>
    <w:p w14:paraId="37074B71">
      <w:pPr>
        <w:ind w:firstLine="640"/>
        <w:rPr>
          <w:color w:val="auto"/>
          <w:lang w:eastAsia="zh-CN"/>
        </w:rPr>
      </w:pPr>
      <w:r>
        <w:rPr>
          <w:rFonts w:hint="eastAsia"/>
          <w:color w:val="auto"/>
          <w:lang w:eastAsia="zh-CN"/>
        </w:rPr>
        <w:t>《资阳市城区建筑垃圾管理条例》</w:t>
      </w:r>
    </w:p>
    <w:p w14:paraId="14A6B8AC">
      <w:pPr>
        <w:ind w:firstLine="640"/>
        <w:rPr>
          <w:color w:val="auto"/>
          <w:lang w:eastAsia="zh-CN"/>
        </w:rPr>
      </w:pPr>
      <w:r>
        <w:rPr>
          <w:rFonts w:hint="eastAsia"/>
          <w:color w:val="auto"/>
          <w:lang w:eastAsia="zh-CN"/>
        </w:rPr>
        <w:t>《资阳市“无废城市”建设实施方案》</w:t>
      </w:r>
    </w:p>
    <w:p w14:paraId="2EC7EF0C">
      <w:pPr>
        <w:pStyle w:val="4"/>
        <w:spacing w:line="580" w:lineRule="exact"/>
        <w:ind w:firstLine="643"/>
        <w:jc w:val="both"/>
        <w:rPr>
          <w:rFonts w:eastAsia="方正楷体_GBK"/>
          <w:color w:val="auto"/>
        </w:rPr>
      </w:pPr>
      <w:r>
        <w:rPr>
          <w:rFonts w:hint="eastAsia" w:eastAsia="方正楷体_GBK"/>
          <w:color w:val="auto"/>
        </w:rPr>
        <w:t>（四）相关规划</w:t>
      </w:r>
    </w:p>
    <w:p w14:paraId="3600ABCA">
      <w:pPr>
        <w:ind w:firstLine="640"/>
        <w:rPr>
          <w:color w:val="auto"/>
          <w:lang w:eastAsia="zh-CN"/>
        </w:rPr>
      </w:pPr>
      <w:r>
        <w:rPr>
          <w:rFonts w:hint="eastAsia"/>
          <w:color w:val="auto"/>
          <w:lang w:eastAsia="zh-CN"/>
        </w:rPr>
        <w:t>《资阳市国民经济和社会发展第十四个五年规划和二〇三五年远景目标纲要》</w:t>
      </w:r>
    </w:p>
    <w:p w14:paraId="7D8FC3AB">
      <w:pPr>
        <w:ind w:firstLine="640"/>
        <w:rPr>
          <w:color w:val="auto"/>
          <w:lang w:eastAsia="zh-CN"/>
        </w:rPr>
      </w:pPr>
      <w:r>
        <w:rPr>
          <w:rFonts w:hint="eastAsia"/>
          <w:color w:val="auto"/>
          <w:lang w:eastAsia="zh-CN"/>
        </w:rPr>
        <w:t>《安岳县国民经济和社会发展第十四个五年规划和二〇三五年远景目标纲要》</w:t>
      </w:r>
    </w:p>
    <w:p w14:paraId="4CFE6190">
      <w:pPr>
        <w:ind w:firstLine="640"/>
        <w:rPr>
          <w:color w:val="auto"/>
          <w:lang w:eastAsia="zh-CN"/>
        </w:rPr>
      </w:pPr>
      <w:r>
        <w:rPr>
          <w:rFonts w:hint="eastAsia"/>
          <w:color w:val="auto"/>
          <w:lang w:eastAsia="zh-CN"/>
        </w:rPr>
        <w:t>《安岳县国土空间总体规划（</w:t>
      </w:r>
      <w:r>
        <w:rPr>
          <w:color w:val="auto"/>
          <w:lang w:eastAsia="zh-CN"/>
        </w:rPr>
        <w:t>2021—2035</w:t>
      </w:r>
      <w:r>
        <w:rPr>
          <w:rFonts w:hint="eastAsia"/>
          <w:color w:val="auto"/>
          <w:lang w:eastAsia="zh-CN"/>
        </w:rPr>
        <w:t>年）》</w:t>
      </w:r>
    </w:p>
    <w:p w14:paraId="72AA0A13">
      <w:pPr>
        <w:ind w:firstLine="640"/>
        <w:rPr>
          <w:color w:val="auto"/>
          <w:lang w:eastAsia="zh-CN"/>
        </w:rPr>
      </w:pPr>
      <w:r>
        <w:rPr>
          <w:rFonts w:hint="eastAsia"/>
          <w:color w:val="auto"/>
          <w:lang w:eastAsia="zh-CN"/>
        </w:rPr>
        <w:t>《安岳县“十四五”生态环境保护规划》</w:t>
      </w:r>
    </w:p>
    <w:p w14:paraId="23713B1E">
      <w:pPr>
        <w:pStyle w:val="3"/>
        <w:spacing w:line="580" w:lineRule="exact"/>
        <w:ind w:firstLine="640"/>
        <w:rPr>
          <w:b w:val="0"/>
          <w:bCs/>
        </w:rPr>
      </w:pPr>
      <w:bookmarkStart w:id="36" w:name="_Toc175056366"/>
      <w:r>
        <w:rPr>
          <w:rFonts w:hint="eastAsia"/>
          <w:b w:val="0"/>
          <w:bCs/>
        </w:rPr>
        <w:t>第四节</w:t>
      </w:r>
      <w:r>
        <w:rPr>
          <w:b w:val="0"/>
          <w:bCs/>
        </w:rPr>
        <w:t xml:space="preserve"> </w:t>
      </w:r>
      <w:r>
        <w:rPr>
          <w:rFonts w:hint="eastAsia"/>
          <w:b w:val="0"/>
          <w:bCs/>
        </w:rPr>
        <w:t>规划期限和范围</w:t>
      </w:r>
      <w:bookmarkEnd w:id="36"/>
    </w:p>
    <w:p w14:paraId="411C3A9D">
      <w:pPr>
        <w:ind w:firstLine="640"/>
        <w:rPr>
          <w:color w:val="auto"/>
          <w:lang w:eastAsia="zh-CN"/>
        </w:rPr>
      </w:pPr>
      <w:r>
        <w:rPr>
          <w:rFonts w:hint="eastAsia"/>
          <w:color w:val="auto"/>
          <w:lang w:eastAsia="zh-CN"/>
        </w:rPr>
        <w:t>规划期限：</w:t>
      </w:r>
      <w:r>
        <w:rPr>
          <w:color w:val="auto"/>
          <w:lang w:eastAsia="zh-CN"/>
        </w:rPr>
        <w:t>2024—2035</w:t>
      </w:r>
      <w:r>
        <w:rPr>
          <w:rFonts w:hint="eastAsia"/>
          <w:color w:val="auto"/>
          <w:lang w:eastAsia="zh-CN"/>
        </w:rPr>
        <w:t>年。近期规划到</w:t>
      </w:r>
      <w:r>
        <w:rPr>
          <w:color w:val="auto"/>
          <w:lang w:eastAsia="zh-CN"/>
        </w:rPr>
        <w:t>2030</w:t>
      </w:r>
      <w:r>
        <w:rPr>
          <w:rFonts w:hint="eastAsia"/>
          <w:color w:val="auto"/>
          <w:lang w:eastAsia="zh-CN"/>
        </w:rPr>
        <w:t>年，远期规划到</w:t>
      </w:r>
      <w:r>
        <w:rPr>
          <w:color w:val="auto"/>
          <w:lang w:eastAsia="zh-CN"/>
        </w:rPr>
        <w:t>2035</w:t>
      </w:r>
      <w:r>
        <w:rPr>
          <w:rFonts w:hint="eastAsia"/>
          <w:color w:val="auto"/>
          <w:lang w:eastAsia="zh-CN"/>
        </w:rPr>
        <w:t>年。</w:t>
      </w:r>
    </w:p>
    <w:p w14:paraId="786AB869">
      <w:pPr>
        <w:ind w:firstLine="640"/>
        <w:rPr>
          <w:color w:val="auto"/>
          <w:lang w:eastAsia="zh-CN"/>
        </w:rPr>
      </w:pPr>
      <w:r>
        <w:rPr>
          <w:rFonts w:hint="eastAsia"/>
          <w:color w:val="auto"/>
          <w:lang w:eastAsia="zh-CN"/>
        </w:rPr>
        <w:t>规划范围：全县域城镇区域，包括</w:t>
      </w:r>
      <w:r>
        <w:rPr>
          <w:color w:val="auto"/>
          <w:lang w:eastAsia="zh-CN"/>
        </w:rPr>
        <w:t>2</w:t>
      </w:r>
      <w:r>
        <w:rPr>
          <w:rFonts w:hint="eastAsia"/>
          <w:color w:val="auto"/>
          <w:lang w:eastAsia="zh-CN"/>
        </w:rPr>
        <w:t>个街道、</w:t>
      </w:r>
      <w:r>
        <w:rPr>
          <w:color w:val="auto"/>
          <w:lang w:eastAsia="zh-CN"/>
        </w:rPr>
        <w:t>44</w:t>
      </w:r>
      <w:r>
        <w:rPr>
          <w:rFonts w:hint="eastAsia"/>
          <w:color w:val="auto"/>
          <w:lang w:eastAsia="zh-CN"/>
        </w:rPr>
        <w:t>个乡镇，不包括农村区域。</w:t>
      </w:r>
    </w:p>
    <w:p w14:paraId="6A57EF0F">
      <w:pPr>
        <w:ind w:firstLine="0" w:firstLineChars="0"/>
        <w:jc w:val="center"/>
        <w:rPr>
          <w:rFonts w:ascii="方正小标宋_GBK" w:hAnsi="方正小标宋_GBK" w:eastAsia="方正小标宋_GBK" w:cs="方正小标宋_GBK"/>
          <w:color w:val="auto"/>
          <w:sz w:val="44"/>
          <w:szCs w:val="44"/>
          <w:lang w:eastAsia="zh-CN"/>
        </w:rPr>
      </w:pPr>
      <w:bookmarkStart w:id="37" w:name="_Toc175056367"/>
      <w:r>
        <w:rPr>
          <w:rFonts w:hint="eastAsia" w:eastAsia="方正小标宋_GBK"/>
          <w:color w:val="auto"/>
          <w:sz w:val="44"/>
          <w:szCs w:val="44"/>
          <w:lang w:eastAsia="zh-CN"/>
        </w:rPr>
        <w:t>第三章</w:t>
      </w:r>
      <w:r>
        <w:rPr>
          <w:rFonts w:hint="eastAsia" w:ascii="方正小标宋_GBK" w:hAnsi="方正小标宋_GBK" w:eastAsia="方正小标宋_GBK" w:cs="方正小标宋_GBK"/>
          <w:color w:val="auto"/>
          <w:sz w:val="44"/>
          <w:szCs w:val="44"/>
          <w:lang w:eastAsia="zh-CN"/>
        </w:rPr>
        <w:t>规划目标</w:t>
      </w:r>
      <w:bookmarkEnd w:id="37"/>
    </w:p>
    <w:p w14:paraId="74A98EAC">
      <w:pPr>
        <w:spacing w:line="200" w:lineRule="exact"/>
        <w:ind w:firstLine="0" w:firstLineChars="0"/>
        <w:jc w:val="center"/>
        <w:rPr>
          <w:rFonts w:ascii="方正小标宋_GBK" w:hAnsi="方正小标宋_GBK" w:eastAsia="方正小标宋_GBK" w:cs="方正小标宋_GBK"/>
          <w:color w:val="auto"/>
          <w:sz w:val="44"/>
          <w:szCs w:val="44"/>
          <w:lang w:eastAsia="zh-CN"/>
        </w:rPr>
      </w:pPr>
    </w:p>
    <w:p w14:paraId="4EA3AF50">
      <w:pPr>
        <w:pStyle w:val="3"/>
        <w:spacing w:line="580" w:lineRule="exact"/>
        <w:ind w:firstLine="640"/>
        <w:rPr>
          <w:b w:val="0"/>
        </w:rPr>
      </w:pPr>
      <w:bookmarkStart w:id="38" w:name="_Toc175056368"/>
      <w:r>
        <w:rPr>
          <w:rFonts w:hint="eastAsia"/>
          <w:b w:val="0"/>
        </w:rPr>
        <w:t>第一节</w:t>
      </w:r>
      <w:r>
        <w:rPr>
          <w:b w:val="0"/>
        </w:rPr>
        <w:t xml:space="preserve"> </w:t>
      </w:r>
      <w:r>
        <w:rPr>
          <w:rFonts w:hint="eastAsia"/>
          <w:b w:val="0"/>
        </w:rPr>
        <w:t>规划思路</w:t>
      </w:r>
      <w:bookmarkEnd w:id="38"/>
    </w:p>
    <w:p w14:paraId="308BC273">
      <w:pPr>
        <w:ind w:firstLine="640"/>
        <w:rPr>
          <w:color w:val="auto"/>
          <w:lang w:eastAsia="zh-CN"/>
        </w:rPr>
      </w:pPr>
      <w:r>
        <w:rPr>
          <w:rFonts w:hint="eastAsia"/>
          <w:color w:val="auto"/>
          <w:lang w:eastAsia="zh-CN"/>
        </w:rPr>
        <w:t>本次规划对于建筑废弃物处置采取源头产量减量，区域调配平衡，末端处置资源利用，消纳填埋应急备用的总体思路，首先通过土方就地平衡、建筑垃圾废物就地处理利用以及绿色规划、绿色设计及绿色施工等措施减少源头产量，其次通过全县区域内的土方调配，大幅减少末端处置设施的处置压力，再次在末端处置环节提高综合利用技术水平，提高建筑废弃物的资源化程度。</w:t>
      </w:r>
    </w:p>
    <w:p w14:paraId="0F16DC36">
      <w:pPr>
        <w:ind w:firstLine="640"/>
        <w:rPr>
          <w:color w:val="auto"/>
          <w:lang w:eastAsia="zh-CN"/>
        </w:rPr>
      </w:pPr>
      <w:r>
        <w:rPr>
          <w:rFonts w:hint="eastAsia"/>
          <w:color w:val="auto"/>
          <w:lang w:eastAsia="zh-CN"/>
        </w:rPr>
        <w:t>通过以上环节，基本达到建筑废弃物排放与处置的平衡，最终消纳填埋设施尽量作为应急备用设施应对突发情况。</w:t>
      </w:r>
    </w:p>
    <w:p w14:paraId="7A0AC7D1">
      <w:pPr>
        <w:pStyle w:val="3"/>
        <w:spacing w:line="580" w:lineRule="exact"/>
        <w:ind w:firstLine="640"/>
        <w:rPr>
          <w:b w:val="0"/>
          <w:bCs/>
        </w:rPr>
      </w:pPr>
      <w:bookmarkStart w:id="39" w:name="_Toc175056369"/>
      <w:r>
        <w:rPr>
          <w:rFonts w:hint="eastAsia"/>
          <w:b w:val="0"/>
          <w:bCs/>
        </w:rPr>
        <w:t>第二节</w:t>
      </w:r>
      <w:r>
        <w:rPr>
          <w:b w:val="0"/>
          <w:bCs/>
        </w:rPr>
        <w:t xml:space="preserve"> </w:t>
      </w:r>
      <w:r>
        <w:rPr>
          <w:rFonts w:hint="eastAsia"/>
          <w:b w:val="0"/>
          <w:bCs/>
        </w:rPr>
        <w:t>规划对象</w:t>
      </w:r>
      <w:bookmarkEnd w:id="39"/>
    </w:p>
    <w:p w14:paraId="6D2CF066">
      <w:pPr>
        <w:ind w:firstLine="640"/>
        <w:rPr>
          <w:color w:val="auto"/>
          <w:lang w:eastAsia="zh-CN"/>
        </w:rPr>
      </w:pPr>
      <w:r>
        <w:rPr>
          <w:rFonts w:hint="eastAsia"/>
          <w:color w:val="auto"/>
          <w:lang w:eastAsia="zh-CN"/>
        </w:rPr>
        <w:t>本规划所指的建筑垃圾是施工现场产生的工程渣土、工程垃圾、拆除垃圾和装修垃圾的总称。包括新建改建、扩建和拆迁各类建筑物、构筑物等以及居民装饰装修房屋过程中产生的弃土、弃料及其他废弃物，不包括经检验、鉴定为危险废弃物的建筑垃圾。</w:t>
      </w:r>
    </w:p>
    <w:p w14:paraId="240024CF">
      <w:pPr>
        <w:ind w:firstLine="640"/>
        <w:rPr>
          <w:color w:val="auto"/>
          <w:lang w:eastAsia="zh-CN"/>
        </w:rPr>
      </w:pPr>
      <w:r>
        <w:rPr>
          <w:rFonts w:hint="eastAsia"/>
          <w:color w:val="auto"/>
          <w:lang w:eastAsia="zh-CN"/>
        </w:rPr>
        <w:t>工程渣土：指各类建筑物、构筑物、管网、道桥等在建设过程中开挖土石方产生的弃土。</w:t>
      </w:r>
    </w:p>
    <w:p w14:paraId="53BA8B77">
      <w:pPr>
        <w:ind w:firstLine="640"/>
        <w:rPr>
          <w:color w:val="auto"/>
          <w:lang w:eastAsia="zh-CN"/>
        </w:rPr>
      </w:pPr>
      <w:r>
        <w:rPr>
          <w:rFonts w:hint="eastAsia"/>
          <w:color w:val="auto"/>
          <w:lang w:eastAsia="zh-CN"/>
        </w:rPr>
        <w:t>工程渣土一般由施工单位负责运输。其去向一般被用作回填材料，填补低洼地或施工场地，不能完全利用的渣土进入渣土场。</w:t>
      </w:r>
    </w:p>
    <w:p w14:paraId="66ADDF83">
      <w:pPr>
        <w:ind w:firstLine="640"/>
        <w:rPr>
          <w:color w:val="auto"/>
          <w:lang w:eastAsia="zh-CN"/>
        </w:rPr>
      </w:pPr>
      <w:r>
        <w:rPr>
          <w:rFonts w:hint="eastAsia"/>
          <w:color w:val="auto"/>
          <w:lang w:eastAsia="zh-CN"/>
        </w:rPr>
        <w:t>工程垃圾：指各类建筑物、构筑物、管网、道桥等在新建、改建、扩建过程中产生的混凝土、沥青混合料、砂浆、模板等弃料。</w:t>
      </w:r>
    </w:p>
    <w:p w14:paraId="7612201E">
      <w:pPr>
        <w:ind w:firstLine="640"/>
        <w:rPr>
          <w:color w:val="auto"/>
          <w:lang w:eastAsia="zh-CN"/>
        </w:rPr>
      </w:pPr>
      <w:r>
        <w:rPr>
          <w:rFonts w:hint="eastAsia"/>
          <w:color w:val="auto"/>
          <w:lang w:eastAsia="zh-CN"/>
        </w:rPr>
        <w:t>拆除垃圾：指各类建筑物、构筑物、管网、道桥等在拆除过程中产生的混凝土、砂浆、砖瓦、陶瓷、石材、金属、木材等废弃物。</w:t>
      </w:r>
    </w:p>
    <w:p w14:paraId="3AEDEC34">
      <w:pPr>
        <w:ind w:firstLine="640"/>
        <w:rPr>
          <w:color w:val="auto"/>
          <w:lang w:eastAsia="zh-CN"/>
        </w:rPr>
      </w:pPr>
      <w:r>
        <w:rPr>
          <w:rFonts w:hint="eastAsia"/>
          <w:color w:val="auto"/>
          <w:lang w:eastAsia="zh-CN"/>
        </w:rPr>
        <w:t>装修垃圾：指房屋装饰装修过程中产生的混凝土、砂浆、砖瓦、陶瓷、石材、石膏、加气混凝土砌块、金属、木材、玻璃和塑料等废弃物。拆除垃圾一般由产废单位负责运输。</w:t>
      </w:r>
    </w:p>
    <w:p w14:paraId="7E8AEDAD">
      <w:pPr>
        <w:ind w:firstLine="640"/>
        <w:rPr>
          <w:color w:val="auto"/>
          <w:lang w:eastAsia="zh-CN"/>
        </w:rPr>
      </w:pPr>
      <w:r>
        <w:rPr>
          <w:rFonts w:hint="eastAsia"/>
          <w:color w:val="auto"/>
          <w:lang w:eastAsia="zh-CN"/>
        </w:rPr>
        <w:t>工程垃圾、拆除垃圾原则上由产废单位负责运输到建筑垃圾综合利用场所。装修垃圾由县综合执法局许可的专业运输公司运输到建筑垃圾综合利用场所。在建筑垃圾综合利用场所通过筛分分选等工艺，回收可再利用的资源，包括金属、木料、骨料等；危险废物分选后进入危废处理工厂；不可回收的轻质垃圾进入垃圾焚烧厂；分选后不能完全利用的渣土按工程渣土进行处理。</w:t>
      </w:r>
    </w:p>
    <w:p w14:paraId="1FE04D01">
      <w:pPr>
        <w:pStyle w:val="3"/>
        <w:spacing w:line="580" w:lineRule="exact"/>
        <w:ind w:firstLine="640"/>
        <w:rPr>
          <w:b w:val="0"/>
          <w:bCs/>
        </w:rPr>
      </w:pPr>
      <w:bookmarkStart w:id="40" w:name="_Toc175056370"/>
      <w:r>
        <w:rPr>
          <w:rFonts w:hint="eastAsia"/>
          <w:b w:val="0"/>
          <w:bCs/>
        </w:rPr>
        <w:t>第三节</w:t>
      </w:r>
      <w:r>
        <w:rPr>
          <w:b w:val="0"/>
          <w:bCs/>
        </w:rPr>
        <w:t xml:space="preserve"> </w:t>
      </w:r>
      <w:r>
        <w:rPr>
          <w:rFonts w:hint="eastAsia"/>
          <w:b w:val="0"/>
          <w:bCs/>
        </w:rPr>
        <w:t>规划目标及控制指标</w:t>
      </w:r>
      <w:bookmarkEnd w:id="40"/>
    </w:p>
    <w:p w14:paraId="36DB7C05">
      <w:pPr>
        <w:ind w:firstLine="640"/>
        <w:rPr>
          <w:color w:val="auto"/>
          <w:lang w:eastAsia="zh-CN"/>
        </w:rPr>
      </w:pPr>
      <w:r>
        <w:rPr>
          <w:rFonts w:hint="eastAsia"/>
          <w:color w:val="auto"/>
          <w:lang w:eastAsia="zh-CN"/>
        </w:rPr>
        <w:t>以“减量化、资源化、无害化”为目标，以“绿色、低碳、循环”发展为抓手，建立有效的建筑垃圾治理体系，加强建筑垃圾全过程管理，实现建筑垃圾的综合利用，最大限度减少填埋量。推动形成城市绿色可持续发展方式，全面提升综合管理水平，改善人居环境、提升城市品位、创造高品质生活。</w:t>
      </w:r>
    </w:p>
    <w:p w14:paraId="671D3A71">
      <w:pPr>
        <w:ind w:firstLine="0" w:firstLineChars="0"/>
        <w:jc w:val="center"/>
        <w:rPr>
          <w:color w:val="auto"/>
          <w:lang w:eastAsia="zh-CN"/>
        </w:rPr>
      </w:pPr>
      <w:r>
        <w:rPr>
          <w:rFonts w:hint="eastAsia"/>
          <w:color w:val="auto"/>
          <w:lang w:eastAsia="zh-CN"/>
        </w:rPr>
        <w:t>表</w:t>
      </w:r>
      <w:r>
        <w:rPr>
          <w:color w:val="auto"/>
          <w:lang w:eastAsia="zh-CN"/>
        </w:rPr>
        <w:t xml:space="preserve"> 3-1  </w:t>
      </w:r>
      <w:r>
        <w:rPr>
          <w:rFonts w:hint="eastAsia"/>
          <w:color w:val="auto"/>
          <w:lang w:eastAsia="zh-CN"/>
        </w:rPr>
        <w:t>安岳县建筑垃圾治理指标一览表</w:t>
      </w:r>
    </w:p>
    <w:p w14:paraId="27218D6A">
      <w:pPr>
        <w:spacing w:line="200" w:lineRule="exact"/>
        <w:ind w:firstLine="0" w:firstLineChars="0"/>
        <w:jc w:val="center"/>
        <w:rPr>
          <w:color w:val="auto"/>
          <w:lang w:eastAsia="zh-CN"/>
        </w:rPr>
      </w:pPr>
    </w:p>
    <w:tbl>
      <w:tblPr>
        <w:tblStyle w:val="14"/>
        <w:tblW w:w="95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4"/>
        <w:gridCol w:w="1276"/>
        <w:gridCol w:w="4114"/>
        <w:gridCol w:w="851"/>
        <w:gridCol w:w="850"/>
        <w:gridCol w:w="709"/>
        <w:gridCol w:w="1175"/>
      </w:tblGrid>
      <w:tr w14:paraId="724FB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564" w:type="dxa"/>
            <w:vMerge w:val="restart"/>
            <w:tcBorders>
              <w:bottom w:val="nil"/>
            </w:tcBorders>
            <w:textDirection w:val="tbRlV"/>
            <w:vAlign w:val="center"/>
          </w:tcPr>
          <w:p w14:paraId="2605F706">
            <w:pPr>
              <w:pStyle w:val="6"/>
              <w:spacing w:line="240" w:lineRule="auto"/>
              <w:ind w:firstLine="0" w:firstLineChars="0"/>
              <w:jc w:val="center"/>
              <w:rPr>
                <w:rFonts w:ascii="Times New Roman" w:hAnsi="Times New Roman" w:eastAsia="方正黑体_GBK" w:cs="宋体"/>
                <w:bCs/>
                <w:color w:val="auto"/>
                <w:sz w:val="24"/>
                <w:szCs w:val="24"/>
              </w:rPr>
            </w:pPr>
            <w:r>
              <w:rPr>
                <w:rFonts w:hint="eastAsia" w:ascii="Times New Roman" w:hAnsi="Times New Roman" w:eastAsia="方正黑体_GBK" w:cs="宋体"/>
                <w:bCs/>
                <w:color w:val="auto"/>
                <w:sz w:val="24"/>
                <w:szCs w:val="24"/>
              </w:rPr>
              <w:t>序号</w:t>
            </w:r>
          </w:p>
        </w:tc>
        <w:tc>
          <w:tcPr>
            <w:tcW w:w="5390" w:type="dxa"/>
            <w:gridSpan w:val="2"/>
            <w:vMerge w:val="restart"/>
            <w:tcBorders>
              <w:bottom w:val="nil"/>
            </w:tcBorders>
            <w:vAlign w:val="center"/>
          </w:tcPr>
          <w:p w14:paraId="33A4F9AF">
            <w:pPr>
              <w:pStyle w:val="6"/>
              <w:spacing w:line="240" w:lineRule="auto"/>
              <w:ind w:firstLine="0" w:firstLineChars="0"/>
              <w:jc w:val="center"/>
              <w:rPr>
                <w:rFonts w:ascii="Times New Roman" w:hAnsi="Times New Roman" w:eastAsia="方正黑体_GBK" w:cs="宋体"/>
                <w:bCs/>
                <w:color w:val="auto"/>
                <w:sz w:val="24"/>
                <w:szCs w:val="24"/>
              </w:rPr>
            </w:pPr>
            <w:r>
              <w:rPr>
                <w:rFonts w:hint="eastAsia" w:ascii="Times New Roman" w:hAnsi="Times New Roman" w:eastAsia="方正黑体_GBK" w:cs="宋体"/>
                <w:bCs/>
                <w:color w:val="auto"/>
                <w:sz w:val="24"/>
                <w:szCs w:val="24"/>
              </w:rPr>
              <w:t>指标类型</w:t>
            </w:r>
          </w:p>
        </w:tc>
        <w:tc>
          <w:tcPr>
            <w:tcW w:w="2410" w:type="dxa"/>
            <w:gridSpan w:val="3"/>
          </w:tcPr>
          <w:p w14:paraId="08D8330B">
            <w:pPr>
              <w:pStyle w:val="6"/>
              <w:spacing w:line="240" w:lineRule="auto"/>
              <w:ind w:firstLine="0" w:firstLineChars="0"/>
              <w:jc w:val="center"/>
              <w:rPr>
                <w:rFonts w:ascii="Times New Roman" w:hAnsi="Times New Roman" w:eastAsia="方正黑体_GBK" w:cs="宋体"/>
                <w:bCs/>
                <w:color w:val="auto"/>
                <w:sz w:val="24"/>
                <w:szCs w:val="24"/>
                <w:lang w:eastAsia="zh-CN"/>
              </w:rPr>
            </w:pPr>
            <w:r>
              <w:rPr>
                <w:rFonts w:hint="eastAsia" w:ascii="Times New Roman" w:hAnsi="Times New Roman" w:eastAsia="方正黑体_GBK" w:cs="宋体"/>
                <w:bCs/>
                <w:color w:val="auto"/>
                <w:sz w:val="24"/>
                <w:szCs w:val="24"/>
              </w:rPr>
              <w:t>年限</w:t>
            </w:r>
            <w:r>
              <w:rPr>
                <w:rFonts w:hint="eastAsia" w:ascii="Times New Roman" w:hAnsi="Times New Roman" w:eastAsia="方正黑体_GBK" w:cs="宋体"/>
                <w:bCs/>
                <w:color w:val="auto"/>
                <w:sz w:val="24"/>
                <w:szCs w:val="24"/>
                <w:lang w:eastAsia="zh-CN"/>
              </w:rPr>
              <w:t>（年）</w:t>
            </w:r>
            <w:r>
              <w:rPr>
                <w:rFonts w:ascii="Times New Roman" w:hAnsi="Times New Roman" w:eastAsia="方正黑体_GBK" w:cs="宋体"/>
                <w:bCs/>
                <w:color w:val="auto"/>
                <w:sz w:val="24"/>
                <w:szCs w:val="24"/>
                <w:lang w:eastAsia="zh-CN"/>
              </w:rPr>
              <w:t xml:space="preserve"> </w:t>
            </w:r>
          </w:p>
        </w:tc>
        <w:tc>
          <w:tcPr>
            <w:tcW w:w="1175" w:type="dxa"/>
            <w:vMerge w:val="restart"/>
            <w:tcBorders>
              <w:bottom w:val="nil"/>
            </w:tcBorders>
            <w:vAlign w:val="center"/>
          </w:tcPr>
          <w:p w14:paraId="56D9DF05">
            <w:pPr>
              <w:pStyle w:val="6"/>
              <w:spacing w:line="240" w:lineRule="auto"/>
              <w:ind w:firstLine="0" w:firstLineChars="0"/>
              <w:jc w:val="center"/>
              <w:rPr>
                <w:rFonts w:ascii="Times New Roman" w:hAnsi="Times New Roman" w:eastAsia="方正黑体_GBK" w:cs="宋体"/>
                <w:bCs/>
                <w:color w:val="auto"/>
                <w:sz w:val="24"/>
                <w:szCs w:val="24"/>
              </w:rPr>
            </w:pPr>
            <w:r>
              <w:rPr>
                <w:rFonts w:hint="eastAsia" w:ascii="Times New Roman" w:hAnsi="Times New Roman" w:eastAsia="方正黑体_GBK" w:cs="宋体"/>
                <w:bCs/>
                <w:color w:val="auto"/>
                <w:sz w:val="24"/>
                <w:szCs w:val="24"/>
              </w:rPr>
              <w:t>备注</w:t>
            </w:r>
          </w:p>
        </w:tc>
      </w:tr>
      <w:tr w14:paraId="5B088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564" w:type="dxa"/>
            <w:vMerge w:val="continue"/>
            <w:tcBorders>
              <w:top w:val="nil"/>
            </w:tcBorders>
            <w:textDirection w:val="tbRlV"/>
            <w:vAlign w:val="center"/>
          </w:tcPr>
          <w:p w14:paraId="6670D65B">
            <w:pPr>
              <w:pStyle w:val="6"/>
              <w:spacing w:line="240" w:lineRule="auto"/>
              <w:ind w:firstLine="0" w:firstLineChars="0"/>
              <w:jc w:val="center"/>
              <w:rPr>
                <w:rFonts w:ascii="Times New Roman" w:hAnsi="Times New Roman" w:eastAsia="方正仿宋_GBK" w:cs="宋体"/>
                <w:color w:val="auto"/>
                <w:sz w:val="24"/>
                <w:szCs w:val="24"/>
              </w:rPr>
            </w:pPr>
          </w:p>
        </w:tc>
        <w:tc>
          <w:tcPr>
            <w:tcW w:w="5390" w:type="dxa"/>
            <w:gridSpan w:val="2"/>
            <w:vMerge w:val="continue"/>
            <w:tcBorders>
              <w:top w:val="nil"/>
            </w:tcBorders>
            <w:vAlign w:val="center"/>
          </w:tcPr>
          <w:p w14:paraId="41810190">
            <w:pPr>
              <w:pStyle w:val="6"/>
              <w:spacing w:line="240" w:lineRule="auto"/>
              <w:ind w:firstLine="0" w:firstLineChars="0"/>
              <w:jc w:val="center"/>
              <w:rPr>
                <w:rFonts w:ascii="Times New Roman" w:hAnsi="Times New Roman" w:eastAsia="方正仿宋_GBK" w:cs="宋体"/>
                <w:color w:val="auto"/>
                <w:sz w:val="24"/>
                <w:szCs w:val="24"/>
              </w:rPr>
            </w:pPr>
          </w:p>
        </w:tc>
        <w:tc>
          <w:tcPr>
            <w:tcW w:w="851" w:type="dxa"/>
            <w:vAlign w:val="center"/>
          </w:tcPr>
          <w:p w14:paraId="5079C764">
            <w:pPr>
              <w:pStyle w:val="6"/>
              <w:spacing w:line="240" w:lineRule="auto"/>
              <w:ind w:firstLine="0" w:firstLineChars="0"/>
              <w:jc w:val="center"/>
              <w:rPr>
                <w:rFonts w:ascii="Times New Roman" w:hAnsi="Times New Roman" w:eastAsia="方正仿宋_GBK" w:cs="宋体"/>
                <w:bCs/>
                <w:color w:val="auto"/>
                <w:sz w:val="24"/>
                <w:szCs w:val="24"/>
                <w:lang w:eastAsia="zh-CN"/>
              </w:rPr>
            </w:pPr>
            <w:r>
              <w:rPr>
                <w:rFonts w:ascii="Times New Roman" w:hAnsi="Times New Roman" w:eastAsia="方正仿宋_GBK" w:cs="宋体"/>
                <w:bCs/>
                <w:color w:val="auto"/>
                <w:sz w:val="24"/>
                <w:szCs w:val="24"/>
                <w:lang w:eastAsia="zh-CN"/>
              </w:rPr>
              <w:t>2025</w:t>
            </w:r>
          </w:p>
        </w:tc>
        <w:tc>
          <w:tcPr>
            <w:tcW w:w="850" w:type="dxa"/>
            <w:vAlign w:val="center"/>
          </w:tcPr>
          <w:p w14:paraId="28F6C7E1">
            <w:pPr>
              <w:pStyle w:val="6"/>
              <w:spacing w:line="240" w:lineRule="auto"/>
              <w:ind w:firstLine="0" w:firstLineChars="0"/>
              <w:jc w:val="center"/>
              <w:rPr>
                <w:rFonts w:ascii="Times New Roman" w:hAnsi="Times New Roman" w:eastAsia="方正仿宋_GBK" w:cs="宋体"/>
                <w:bCs/>
                <w:color w:val="auto"/>
                <w:sz w:val="24"/>
                <w:szCs w:val="24"/>
                <w:lang w:eastAsia="zh-CN"/>
              </w:rPr>
            </w:pPr>
            <w:r>
              <w:rPr>
                <w:rFonts w:ascii="Times New Roman" w:hAnsi="Times New Roman" w:eastAsia="方正仿宋_GBK" w:cs="宋体"/>
                <w:bCs/>
                <w:color w:val="auto"/>
                <w:sz w:val="24"/>
                <w:szCs w:val="24"/>
              </w:rPr>
              <w:t>20</w:t>
            </w:r>
            <w:r>
              <w:rPr>
                <w:rFonts w:ascii="Times New Roman" w:hAnsi="Times New Roman" w:eastAsia="方正仿宋_GBK" w:cs="宋体"/>
                <w:bCs/>
                <w:color w:val="auto"/>
                <w:sz w:val="24"/>
                <w:szCs w:val="24"/>
                <w:lang w:eastAsia="zh-CN"/>
              </w:rPr>
              <w:t>30</w:t>
            </w:r>
          </w:p>
        </w:tc>
        <w:tc>
          <w:tcPr>
            <w:tcW w:w="709" w:type="dxa"/>
            <w:vAlign w:val="center"/>
          </w:tcPr>
          <w:p w14:paraId="74F9E71F">
            <w:pPr>
              <w:pStyle w:val="6"/>
              <w:spacing w:line="240" w:lineRule="auto"/>
              <w:ind w:firstLine="0" w:firstLineChars="0"/>
              <w:jc w:val="center"/>
              <w:rPr>
                <w:rFonts w:ascii="Times New Roman" w:hAnsi="Times New Roman" w:eastAsia="方正仿宋_GBK" w:cs="宋体"/>
                <w:bCs/>
                <w:color w:val="auto"/>
                <w:sz w:val="24"/>
                <w:szCs w:val="24"/>
              </w:rPr>
            </w:pPr>
            <w:r>
              <w:rPr>
                <w:rFonts w:ascii="Times New Roman" w:hAnsi="Times New Roman" w:eastAsia="方正仿宋_GBK" w:cs="宋体"/>
                <w:bCs/>
                <w:color w:val="auto"/>
                <w:sz w:val="24"/>
                <w:szCs w:val="24"/>
              </w:rPr>
              <w:t>2035</w:t>
            </w:r>
          </w:p>
        </w:tc>
        <w:tc>
          <w:tcPr>
            <w:tcW w:w="1175" w:type="dxa"/>
            <w:vMerge w:val="continue"/>
            <w:tcBorders>
              <w:top w:val="nil"/>
            </w:tcBorders>
            <w:vAlign w:val="center"/>
          </w:tcPr>
          <w:p w14:paraId="37E139B4">
            <w:pPr>
              <w:pStyle w:val="6"/>
              <w:spacing w:line="240" w:lineRule="auto"/>
              <w:ind w:firstLine="0" w:firstLineChars="0"/>
              <w:jc w:val="center"/>
              <w:rPr>
                <w:rFonts w:ascii="Times New Roman" w:hAnsi="Times New Roman" w:eastAsia="方正仿宋_GBK" w:cs="宋体"/>
                <w:color w:val="auto"/>
                <w:sz w:val="24"/>
                <w:szCs w:val="24"/>
              </w:rPr>
            </w:pPr>
          </w:p>
        </w:tc>
      </w:tr>
      <w:tr w14:paraId="3FD78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564" w:type="dxa"/>
            <w:vAlign w:val="center"/>
          </w:tcPr>
          <w:p w14:paraId="327E97B5">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rPr>
              <w:t>1</w:t>
            </w:r>
          </w:p>
        </w:tc>
        <w:tc>
          <w:tcPr>
            <w:tcW w:w="5390" w:type="dxa"/>
            <w:gridSpan w:val="2"/>
            <w:vAlign w:val="center"/>
          </w:tcPr>
          <w:p w14:paraId="415585CD">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hint="eastAsia" w:ascii="Times New Roman" w:hAnsi="Times New Roman" w:eastAsia="方正仿宋_GBK" w:cs="宋体"/>
                <w:color w:val="auto"/>
                <w:sz w:val="24"/>
                <w:szCs w:val="24"/>
                <w:lang w:eastAsia="zh-CN"/>
              </w:rPr>
              <w:t>建筑垃圾申报核准率（</w:t>
            </w:r>
            <w:r>
              <w:rPr>
                <w:rFonts w:ascii="Times New Roman" w:hAnsi="Times New Roman" w:eastAsia="方正仿宋_GBK" w:cs="宋体"/>
                <w:color w:val="auto"/>
                <w:sz w:val="24"/>
                <w:szCs w:val="24"/>
                <w:lang w:eastAsia="zh-CN"/>
              </w:rPr>
              <w:t>%</w:t>
            </w:r>
            <w:r>
              <w:rPr>
                <w:rFonts w:hint="eastAsia" w:ascii="Times New Roman" w:hAnsi="Times New Roman" w:eastAsia="方正仿宋_GBK" w:cs="宋体"/>
                <w:color w:val="auto"/>
                <w:sz w:val="24"/>
                <w:szCs w:val="24"/>
                <w:lang w:eastAsia="zh-CN"/>
              </w:rPr>
              <w:t>）</w:t>
            </w:r>
          </w:p>
        </w:tc>
        <w:tc>
          <w:tcPr>
            <w:tcW w:w="851" w:type="dxa"/>
            <w:vAlign w:val="center"/>
          </w:tcPr>
          <w:p w14:paraId="0881EA3B">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70</w:t>
            </w:r>
          </w:p>
        </w:tc>
        <w:tc>
          <w:tcPr>
            <w:tcW w:w="850" w:type="dxa"/>
            <w:vAlign w:val="center"/>
          </w:tcPr>
          <w:p w14:paraId="36B97949">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90</w:t>
            </w:r>
          </w:p>
        </w:tc>
        <w:tc>
          <w:tcPr>
            <w:tcW w:w="709" w:type="dxa"/>
            <w:vAlign w:val="center"/>
          </w:tcPr>
          <w:p w14:paraId="72033293">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95</w:t>
            </w:r>
          </w:p>
        </w:tc>
        <w:tc>
          <w:tcPr>
            <w:tcW w:w="1175" w:type="dxa"/>
            <w:vAlign w:val="center"/>
          </w:tcPr>
          <w:p w14:paraId="15DF3C71">
            <w:pPr>
              <w:pStyle w:val="6"/>
              <w:spacing w:line="240" w:lineRule="auto"/>
              <w:ind w:firstLine="0" w:firstLineChars="0"/>
              <w:jc w:val="center"/>
              <w:rPr>
                <w:rFonts w:ascii="Times New Roman" w:hAnsi="Times New Roman" w:eastAsia="方正仿宋_GBK" w:cs="宋体"/>
                <w:color w:val="auto"/>
                <w:sz w:val="24"/>
                <w:szCs w:val="24"/>
              </w:rPr>
            </w:pPr>
            <w:r>
              <w:rPr>
                <w:rFonts w:hint="eastAsia" w:ascii="Times New Roman" w:hAnsi="Times New Roman" w:eastAsia="方正仿宋_GBK" w:cs="宋体"/>
                <w:color w:val="auto"/>
                <w:sz w:val="24"/>
                <w:szCs w:val="24"/>
              </w:rPr>
              <w:t>约束型</w:t>
            </w:r>
          </w:p>
        </w:tc>
      </w:tr>
      <w:tr w14:paraId="50EE1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564" w:type="dxa"/>
            <w:vAlign w:val="center"/>
          </w:tcPr>
          <w:p w14:paraId="69CAE364">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rPr>
              <w:t>2</w:t>
            </w:r>
          </w:p>
        </w:tc>
        <w:tc>
          <w:tcPr>
            <w:tcW w:w="5390" w:type="dxa"/>
            <w:gridSpan w:val="2"/>
            <w:vAlign w:val="center"/>
          </w:tcPr>
          <w:p w14:paraId="24D4F2E8">
            <w:pPr>
              <w:pStyle w:val="6"/>
              <w:spacing w:line="240" w:lineRule="auto"/>
              <w:ind w:firstLine="0" w:firstLineChars="0"/>
              <w:jc w:val="center"/>
              <w:rPr>
                <w:rFonts w:ascii="Times New Roman" w:hAnsi="Times New Roman" w:eastAsia="方正仿宋_GBK" w:cs="宋体"/>
                <w:color w:val="auto"/>
                <w:sz w:val="24"/>
                <w:szCs w:val="24"/>
              </w:rPr>
            </w:pPr>
            <w:r>
              <w:rPr>
                <w:rFonts w:hint="eastAsia" w:ascii="Times New Roman" w:hAnsi="Times New Roman" w:eastAsia="方正仿宋_GBK" w:cs="宋体"/>
                <w:color w:val="auto"/>
                <w:sz w:val="24"/>
                <w:szCs w:val="24"/>
              </w:rPr>
              <w:t>建筑垃圾收运率（</w:t>
            </w:r>
            <w:r>
              <w:rPr>
                <w:rFonts w:ascii="Times New Roman" w:hAnsi="Times New Roman" w:eastAsia="方正仿宋_GBK" w:cs="宋体"/>
                <w:color w:val="auto"/>
                <w:sz w:val="24"/>
                <w:szCs w:val="24"/>
              </w:rPr>
              <w:t>%</w:t>
            </w:r>
            <w:r>
              <w:rPr>
                <w:rFonts w:hint="eastAsia" w:ascii="Times New Roman" w:hAnsi="Times New Roman" w:eastAsia="方正仿宋_GBK" w:cs="宋体"/>
                <w:color w:val="auto"/>
                <w:sz w:val="24"/>
                <w:szCs w:val="24"/>
              </w:rPr>
              <w:t>）</w:t>
            </w:r>
          </w:p>
        </w:tc>
        <w:tc>
          <w:tcPr>
            <w:tcW w:w="851" w:type="dxa"/>
            <w:vAlign w:val="center"/>
          </w:tcPr>
          <w:p w14:paraId="0869551A">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70</w:t>
            </w:r>
          </w:p>
        </w:tc>
        <w:tc>
          <w:tcPr>
            <w:tcW w:w="850" w:type="dxa"/>
            <w:vAlign w:val="center"/>
          </w:tcPr>
          <w:p w14:paraId="1C00A20F">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80</w:t>
            </w:r>
          </w:p>
        </w:tc>
        <w:tc>
          <w:tcPr>
            <w:tcW w:w="709" w:type="dxa"/>
            <w:vAlign w:val="center"/>
          </w:tcPr>
          <w:p w14:paraId="45C1933B">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90</w:t>
            </w:r>
          </w:p>
        </w:tc>
        <w:tc>
          <w:tcPr>
            <w:tcW w:w="1175" w:type="dxa"/>
            <w:vAlign w:val="center"/>
          </w:tcPr>
          <w:p w14:paraId="17EB21BB">
            <w:pPr>
              <w:pStyle w:val="6"/>
              <w:spacing w:line="240" w:lineRule="auto"/>
              <w:ind w:firstLine="0" w:firstLineChars="0"/>
              <w:jc w:val="center"/>
              <w:rPr>
                <w:rFonts w:ascii="Times New Roman" w:hAnsi="Times New Roman" w:eastAsia="方正仿宋_GBK" w:cs="宋体"/>
                <w:color w:val="auto"/>
                <w:sz w:val="24"/>
                <w:szCs w:val="24"/>
              </w:rPr>
            </w:pPr>
            <w:r>
              <w:rPr>
                <w:rFonts w:hint="eastAsia" w:ascii="Times New Roman" w:hAnsi="Times New Roman" w:eastAsia="方正仿宋_GBK" w:cs="宋体"/>
                <w:color w:val="auto"/>
                <w:sz w:val="24"/>
                <w:szCs w:val="24"/>
              </w:rPr>
              <w:t>约束型</w:t>
            </w:r>
          </w:p>
        </w:tc>
      </w:tr>
      <w:tr w14:paraId="5AB80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jc w:val="center"/>
        </w:trPr>
        <w:tc>
          <w:tcPr>
            <w:tcW w:w="564" w:type="dxa"/>
            <w:vAlign w:val="center"/>
          </w:tcPr>
          <w:p w14:paraId="44BF792D">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rPr>
              <w:t>3</w:t>
            </w:r>
          </w:p>
        </w:tc>
        <w:tc>
          <w:tcPr>
            <w:tcW w:w="5390" w:type="dxa"/>
            <w:gridSpan w:val="2"/>
            <w:vAlign w:val="center"/>
          </w:tcPr>
          <w:p w14:paraId="0517A379">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hint="eastAsia" w:ascii="Times New Roman" w:hAnsi="Times New Roman" w:eastAsia="方正仿宋_GBK" w:cs="宋体"/>
                <w:color w:val="auto"/>
                <w:sz w:val="24"/>
                <w:szCs w:val="24"/>
                <w:lang w:eastAsia="zh-CN"/>
              </w:rPr>
              <w:t>建筑垃圾密闭化运输率（</w:t>
            </w:r>
            <w:r>
              <w:rPr>
                <w:rFonts w:ascii="Times New Roman" w:hAnsi="Times New Roman" w:eastAsia="方正仿宋_GBK" w:cs="宋体"/>
                <w:color w:val="auto"/>
                <w:sz w:val="24"/>
                <w:szCs w:val="24"/>
                <w:lang w:eastAsia="zh-CN"/>
              </w:rPr>
              <w:t>%</w:t>
            </w:r>
            <w:r>
              <w:rPr>
                <w:rFonts w:hint="eastAsia" w:ascii="Times New Roman" w:hAnsi="Times New Roman" w:eastAsia="方正仿宋_GBK" w:cs="宋体"/>
                <w:color w:val="auto"/>
                <w:sz w:val="24"/>
                <w:szCs w:val="24"/>
                <w:lang w:eastAsia="zh-CN"/>
              </w:rPr>
              <w:t>）（建筑垃圾密闭化运输车辆占建筑垃圾运输车辆的比例）</w:t>
            </w:r>
          </w:p>
        </w:tc>
        <w:tc>
          <w:tcPr>
            <w:tcW w:w="851" w:type="dxa"/>
            <w:vAlign w:val="center"/>
          </w:tcPr>
          <w:p w14:paraId="1BB81ADB">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70</w:t>
            </w:r>
          </w:p>
        </w:tc>
        <w:tc>
          <w:tcPr>
            <w:tcW w:w="850" w:type="dxa"/>
            <w:vAlign w:val="center"/>
          </w:tcPr>
          <w:p w14:paraId="0BB8B877">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rPr>
              <w:t>90</w:t>
            </w:r>
          </w:p>
        </w:tc>
        <w:tc>
          <w:tcPr>
            <w:tcW w:w="709" w:type="dxa"/>
            <w:vAlign w:val="center"/>
          </w:tcPr>
          <w:p w14:paraId="308D2402">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rPr>
              <w:t>100</w:t>
            </w:r>
          </w:p>
        </w:tc>
        <w:tc>
          <w:tcPr>
            <w:tcW w:w="1175" w:type="dxa"/>
            <w:vAlign w:val="center"/>
          </w:tcPr>
          <w:p w14:paraId="16317F08">
            <w:pPr>
              <w:pStyle w:val="6"/>
              <w:spacing w:line="240" w:lineRule="auto"/>
              <w:ind w:firstLine="0" w:firstLineChars="0"/>
              <w:jc w:val="center"/>
              <w:rPr>
                <w:rFonts w:ascii="Times New Roman" w:hAnsi="Times New Roman" w:eastAsia="方正仿宋_GBK" w:cs="宋体"/>
                <w:color w:val="auto"/>
                <w:sz w:val="24"/>
                <w:szCs w:val="24"/>
              </w:rPr>
            </w:pPr>
            <w:r>
              <w:rPr>
                <w:rFonts w:hint="eastAsia" w:ascii="Times New Roman" w:hAnsi="Times New Roman" w:eastAsia="方正仿宋_GBK" w:cs="宋体"/>
                <w:color w:val="auto"/>
                <w:sz w:val="24"/>
                <w:szCs w:val="24"/>
              </w:rPr>
              <w:t>引导型</w:t>
            </w:r>
          </w:p>
        </w:tc>
      </w:tr>
      <w:tr w14:paraId="2F773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jc w:val="center"/>
        </w:trPr>
        <w:tc>
          <w:tcPr>
            <w:tcW w:w="564" w:type="dxa"/>
            <w:vAlign w:val="center"/>
          </w:tcPr>
          <w:p w14:paraId="2329493E">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rPr>
              <w:t>4</w:t>
            </w:r>
          </w:p>
        </w:tc>
        <w:tc>
          <w:tcPr>
            <w:tcW w:w="5390" w:type="dxa"/>
            <w:gridSpan w:val="2"/>
            <w:vAlign w:val="center"/>
          </w:tcPr>
          <w:p w14:paraId="4D6AE30E">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hint="eastAsia" w:ascii="Times New Roman" w:hAnsi="Times New Roman" w:eastAsia="方正仿宋_GBK" w:cs="宋体"/>
                <w:color w:val="auto"/>
                <w:sz w:val="24"/>
                <w:szCs w:val="24"/>
                <w:lang w:eastAsia="zh-CN"/>
              </w:rPr>
              <w:t>工程垃圾、拆除垃圾、装修垃圾分类收集率（</w:t>
            </w:r>
            <w:r>
              <w:rPr>
                <w:rFonts w:ascii="Times New Roman" w:hAnsi="Times New Roman" w:eastAsia="方正仿宋_GBK" w:cs="宋体"/>
                <w:color w:val="auto"/>
                <w:sz w:val="24"/>
                <w:szCs w:val="24"/>
                <w:lang w:eastAsia="zh-CN"/>
              </w:rPr>
              <w:t>%</w:t>
            </w:r>
            <w:r>
              <w:rPr>
                <w:rFonts w:hint="eastAsia" w:ascii="Times New Roman" w:hAnsi="Times New Roman" w:eastAsia="方正仿宋_GBK" w:cs="宋体"/>
                <w:color w:val="auto"/>
                <w:sz w:val="24"/>
                <w:szCs w:val="24"/>
                <w:lang w:eastAsia="zh-CN"/>
              </w:rPr>
              <w:t>）</w:t>
            </w:r>
          </w:p>
        </w:tc>
        <w:tc>
          <w:tcPr>
            <w:tcW w:w="851" w:type="dxa"/>
            <w:vAlign w:val="center"/>
          </w:tcPr>
          <w:p w14:paraId="5DF067E2">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60</w:t>
            </w:r>
          </w:p>
        </w:tc>
        <w:tc>
          <w:tcPr>
            <w:tcW w:w="850" w:type="dxa"/>
            <w:vAlign w:val="center"/>
          </w:tcPr>
          <w:p w14:paraId="0A8A0E55">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80</w:t>
            </w:r>
          </w:p>
        </w:tc>
        <w:tc>
          <w:tcPr>
            <w:tcW w:w="709" w:type="dxa"/>
            <w:vAlign w:val="center"/>
          </w:tcPr>
          <w:p w14:paraId="3A4F217A">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90</w:t>
            </w:r>
          </w:p>
        </w:tc>
        <w:tc>
          <w:tcPr>
            <w:tcW w:w="1175" w:type="dxa"/>
            <w:vAlign w:val="center"/>
          </w:tcPr>
          <w:p w14:paraId="7102329F">
            <w:pPr>
              <w:pStyle w:val="6"/>
              <w:spacing w:line="240" w:lineRule="auto"/>
              <w:ind w:firstLine="0" w:firstLineChars="0"/>
              <w:jc w:val="center"/>
              <w:rPr>
                <w:rFonts w:ascii="Times New Roman" w:hAnsi="Times New Roman" w:eastAsia="方正仿宋_GBK" w:cs="宋体"/>
                <w:color w:val="auto"/>
                <w:sz w:val="24"/>
                <w:szCs w:val="24"/>
              </w:rPr>
            </w:pPr>
            <w:r>
              <w:rPr>
                <w:rFonts w:hint="eastAsia" w:ascii="Times New Roman" w:hAnsi="Times New Roman" w:eastAsia="方正仿宋_GBK" w:cs="宋体"/>
                <w:color w:val="auto"/>
                <w:sz w:val="24"/>
                <w:szCs w:val="24"/>
              </w:rPr>
              <w:t>约束型</w:t>
            </w:r>
          </w:p>
        </w:tc>
      </w:tr>
      <w:tr w14:paraId="05B6B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0" w:hRule="atLeast"/>
          <w:jc w:val="center"/>
        </w:trPr>
        <w:tc>
          <w:tcPr>
            <w:tcW w:w="564" w:type="dxa"/>
            <w:vMerge w:val="restart"/>
            <w:tcBorders>
              <w:bottom w:val="nil"/>
            </w:tcBorders>
            <w:vAlign w:val="center"/>
          </w:tcPr>
          <w:p w14:paraId="66D28BD9">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rPr>
              <w:t>5</w:t>
            </w:r>
          </w:p>
        </w:tc>
        <w:tc>
          <w:tcPr>
            <w:tcW w:w="1276" w:type="dxa"/>
            <w:vMerge w:val="restart"/>
            <w:tcBorders>
              <w:bottom w:val="nil"/>
            </w:tcBorders>
            <w:vAlign w:val="center"/>
          </w:tcPr>
          <w:p w14:paraId="130815FF">
            <w:pPr>
              <w:pStyle w:val="6"/>
              <w:spacing w:line="240" w:lineRule="auto"/>
              <w:ind w:firstLine="0" w:firstLineChars="0"/>
              <w:jc w:val="center"/>
              <w:rPr>
                <w:rFonts w:ascii="Times New Roman" w:hAnsi="Times New Roman" w:eastAsia="方正仿宋_GBK" w:cs="宋体"/>
                <w:color w:val="auto"/>
                <w:sz w:val="24"/>
                <w:szCs w:val="24"/>
              </w:rPr>
            </w:pPr>
            <w:r>
              <w:rPr>
                <w:rFonts w:hint="eastAsia" w:ascii="Times New Roman" w:hAnsi="Times New Roman" w:eastAsia="方正仿宋_GBK" w:cs="宋体"/>
                <w:color w:val="auto"/>
                <w:sz w:val="24"/>
                <w:szCs w:val="24"/>
              </w:rPr>
              <w:t>建筑垃圾综合利用率</w:t>
            </w:r>
          </w:p>
        </w:tc>
        <w:tc>
          <w:tcPr>
            <w:tcW w:w="4114" w:type="dxa"/>
            <w:vAlign w:val="center"/>
          </w:tcPr>
          <w:p w14:paraId="38057030">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hint="eastAsia" w:ascii="Times New Roman" w:hAnsi="Times New Roman" w:eastAsia="方正仿宋_GBK" w:cs="宋体"/>
                <w:color w:val="auto"/>
                <w:sz w:val="24"/>
                <w:szCs w:val="24"/>
                <w:lang w:eastAsia="zh-CN"/>
              </w:rPr>
              <w:t>拆除</w:t>
            </w:r>
            <w:r>
              <w:rPr>
                <w:rFonts w:ascii="Times New Roman" w:hAnsi="Times New Roman" w:eastAsia="方正仿宋_GBK" w:cs="宋体"/>
                <w:color w:val="auto"/>
                <w:sz w:val="24"/>
                <w:szCs w:val="24"/>
                <w:lang w:eastAsia="zh-CN"/>
              </w:rPr>
              <w:t>/</w:t>
            </w:r>
            <w:r>
              <w:rPr>
                <w:rFonts w:hint="eastAsia" w:ascii="Times New Roman" w:hAnsi="Times New Roman" w:eastAsia="方正仿宋_GBK" w:cs="宋体"/>
                <w:color w:val="auto"/>
                <w:sz w:val="24"/>
                <w:szCs w:val="24"/>
                <w:lang w:eastAsia="zh-CN"/>
              </w:rPr>
              <w:t>工程垃圾综合利用率（</w:t>
            </w:r>
            <w:r>
              <w:rPr>
                <w:rFonts w:ascii="Times New Roman" w:hAnsi="Times New Roman" w:eastAsia="方正仿宋_GBK" w:cs="宋体"/>
                <w:color w:val="auto"/>
                <w:sz w:val="24"/>
                <w:szCs w:val="24"/>
                <w:lang w:eastAsia="zh-CN"/>
              </w:rPr>
              <w:t>%</w:t>
            </w:r>
            <w:r>
              <w:rPr>
                <w:rFonts w:hint="eastAsia" w:ascii="Times New Roman" w:hAnsi="Times New Roman" w:eastAsia="方正仿宋_GBK" w:cs="宋体"/>
                <w:color w:val="auto"/>
                <w:sz w:val="24"/>
                <w:szCs w:val="24"/>
                <w:lang w:eastAsia="zh-CN"/>
              </w:rPr>
              <w:t>）（拆除</w:t>
            </w:r>
            <w:r>
              <w:rPr>
                <w:rFonts w:ascii="Times New Roman" w:hAnsi="Times New Roman" w:eastAsia="方正仿宋_GBK" w:cs="宋体"/>
                <w:color w:val="auto"/>
                <w:sz w:val="24"/>
                <w:szCs w:val="24"/>
                <w:lang w:eastAsia="zh-CN"/>
              </w:rPr>
              <w:t>/</w:t>
            </w:r>
            <w:r>
              <w:rPr>
                <w:rFonts w:hint="eastAsia" w:ascii="Times New Roman" w:hAnsi="Times New Roman" w:eastAsia="方正仿宋_GBK" w:cs="宋体"/>
                <w:color w:val="auto"/>
                <w:sz w:val="24"/>
                <w:szCs w:val="24"/>
                <w:lang w:eastAsia="zh-CN"/>
              </w:rPr>
              <w:t>工程垃圾综合利用量占拆除</w:t>
            </w:r>
            <w:r>
              <w:rPr>
                <w:rFonts w:ascii="Times New Roman" w:hAnsi="Times New Roman" w:eastAsia="方正仿宋_GBK" w:cs="宋体"/>
                <w:color w:val="auto"/>
                <w:sz w:val="24"/>
                <w:szCs w:val="24"/>
                <w:lang w:eastAsia="zh-CN"/>
              </w:rPr>
              <w:t>/</w:t>
            </w:r>
            <w:r>
              <w:rPr>
                <w:rFonts w:hint="eastAsia" w:ascii="Times New Roman" w:hAnsi="Times New Roman" w:eastAsia="方正仿宋_GBK" w:cs="宋体"/>
                <w:color w:val="auto"/>
                <w:sz w:val="24"/>
                <w:szCs w:val="24"/>
                <w:lang w:eastAsia="zh-CN"/>
              </w:rPr>
              <w:t>工程垃圾总生产量的比例）</w:t>
            </w:r>
          </w:p>
        </w:tc>
        <w:tc>
          <w:tcPr>
            <w:tcW w:w="851" w:type="dxa"/>
            <w:vAlign w:val="center"/>
          </w:tcPr>
          <w:p w14:paraId="05F4DDA5">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50</w:t>
            </w:r>
          </w:p>
        </w:tc>
        <w:tc>
          <w:tcPr>
            <w:tcW w:w="850" w:type="dxa"/>
            <w:vAlign w:val="center"/>
          </w:tcPr>
          <w:p w14:paraId="469FA72A">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60</w:t>
            </w:r>
          </w:p>
        </w:tc>
        <w:tc>
          <w:tcPr>
            <w:tcW w:w="709" w:type="dxa"/>
            <w:vAlign w:val="center"/>
          </w:tcPr>
          <w:p w14:paraId="11C5A0B0">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70</w:t>
            </w:r>
          </w:p>
        </w:tc>
        <w:tc>
          <w:tcPr>
            <w:tcW w:w="1175" w:type="dxa"/>
            <w:vAlign w:val="center"/>
          </w:tcPr>
          <w:p w14:paraId="5174A34A">
            <w:pPr>
              <w:pStyle w:val="6"/>
              <w:spacing w:line="240" w:lineRule="auto"/>
              <w:ind w:firstLine="0" w:firstLineChars="0"/>
              <w:jc w:val="center"/>
              <w:rPr>
                <w:rFonts w:ascii="Times New Roman" w:hAnsi="Times New Roman" w:eastAsia="方正仿宋_GBK" w:cs="宋体"/>
                <w:color w:val="auto"/>
                <w:sz w:val="24"/>
                <w:szCs w:val="24"/>
              </w:rPr>
            </w:pPr>
            <w:r>
              <w:rPr>
                <w:rFonts w:hint="eastAsia" w:ascii="Times New Roman" w:hAnsi="Times New Roman" w:eastAsia="方正仿宋_GBK" w:cs="宋体"/>
                <w:color w:val="auto"/>
                <w:sz w:val="24"/>
                <w:szCs w:val="24"/>
              </w:rPr>
              <w:t>引导型</w:t>
            </w:r>
          </w:p>
        </w:tc>
      </w:tr>
      <w:tr w14:paraId="0188D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jc w:val="center"/>
        </w:trPr>
        <w:tc>
          <w:tcPr>
            <w:tcW w:w="564" w:type="dxa"/>
            <w:vMerge w:val="continue"/>
            <w:tcBorders>
              <w:top w:val="nil"/>
            </w:tcBorders>
            <w:vAlign w:val="center"/>
          </w:tcPr>
          <w:p w14:paraId="39A1BE52">
            <w:pPr>
              <w:pStyle w:val="6"/>
              <w:spacing w:line="240" w:lineRule="auto"/>
              <w:ind w:firstLine="0" w:firstLineChars="0"/>
              <w:jc w:val="center"/>
              <w:rPr>
                <w:rFonts w:ascii="Times New Roman" w:hAnsi="Times New Roman" w:eastAsia="方正仿宋_GBK" w:cs="宋体"/>
                <w:color w:val="auto"/>
                <w:sz w:val="24"/>
                <w:szCs w:val="24"/>
              </w:rPr>
            </w:pPr>
          </w:p>
        </w:tc>
        <w:tc>
          <w:tcPr>
            <w:tcW w:w="1276" w:type="dxa"/>
            <w:vMerge w:val="continue"/>
            <w:tcBorders>
              <w:top w:val="nil"/>
            </w:tcBorders>
            <w:vAlign w:val="center"/>
          </w:tcPr>
          <w:p w14:paraId="20AAF639">
            <w:pPr>
              <w:pStyle w:val="6"/>
              <w:spacing w:line="240" w:lineRule="auto"/>
              <w:ind w:firstLine="0" w:firstLineChars="0"/>
              <w:jc w:val="center"/>
              <w:rPr>
                <w:rFonts w:ascii="Times New Roman" w:hAnsi="Times New Roman" w:eastAsia="方正仿宋_GBK" w:cs="宋体"/>
                <w:color w:val="auto"/>
                <w:sz w:val="24"/>
                <w:szCs w:val="24"/>
              </w:rPr>
            </w:pPr>
          </w:p>
        </w:tc>
        <w:tc>
          <w:tcPr>
            <w:tcW w:w="4114" w:type="dxa"/>
            <w:vAlign w:val="center"/>
          </w:tcPr>
          <w:p w14:paraId="3A754D22">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hint="eastAsia" w:ascii="Times New Roman" w:hAnsi="Times New Roman" w:eastAsia="方正仿宋_GBK" w:cs="宋体"/>
                <w:color w:val="auto"/>
                <w:sz w:val="24"/>
                <w:szCs w:val="24"/>
                <w:lang w:eastAsia="zh-CN"/>
              </w:rPr>
              <w:t>装修垃圾综合利用率（</w:t>
            </w:r>
            <w:r>
              <w:rPr>
                <w:rFonts w:ascii="Times New Roman" w:hAnsi="Times New Roman" w:eastAsia="方正仿宋_GBK" w:cs="宋体"/>
                <w:color w:val="auto"/>
                <w:sz w:val="24"/>
                <w:szCs w:val="24"/>
                <w:lang w:eastAsia="zh-CN"/>
              </w:rPr>
              <w:t>%</w:t>
            </w:r>
            <w:r>
              <w:rPr>
                <w:rFonts w:hint="eastAsia" w:ascii="Times New Roman" w:hAnsi="Times New Roman" w:eastAsia="方正仿宋_GBK" w:cs="宋体"/>
                <w:color w:val="auto"/>
                <w:sz w:val="24"/>
                <w:szCs w:val="24"/>
                <w:lang w:eastAsia="zh-CN"/>
              </w:rPr>
              <w:t>）（装修垃圾综合利用量占装修垃圾总生产量的比例）</w:t>
            </w:r>
          </w:p>
        </w:tc>
        <w:tc>
          <w:tcPr>
            <w:tcW w:w="851" w:type="dxa"/>
            <w:vAlign w:val="center"/>
          </w:tcPr>
          <w:p w14:paraId="635E0193">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50</w:t>
            </w:r>
          </w:p>
        </w:tc>
        <w:tc>
          <w:tcPr>
            <w:tcW w:w="850" w:type="dxa"/>
            <w:vAlign w:val="center"/>
          </w:tcPr>
          <w:p w14:paraId="2A403236">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60</w:t>
            </w:r>
          </w:p>
        </w:tc>
        <w:tc>
          <w:tcPr>
            <w:tcW w:w="709" w:type="dxa"/>
            <w:vAlign w:val="center"/>
          </w:tcPr>
          <w:p w14:paraId="59578B05">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70</w:t>
            </w:r>
          </w:p>
        </w:tc>
        <w:tc>
          <w:tcPr>
            <w:tcW w:w="1175" w:type="dxa"/>
            <w:vAlign w:val="center"/>
          </w:tcPr>
          <w:p w14:paraId="44538C1C">
            <w:pPr>
              <w:pStyle w:val="6"/>
              <w:spacing w:line="240" w:lineRule="auto"/>
              <w:ind w:firstLine="0" w:firstLineChars="0"/>
              <w:jc w:val="center"/>
              <w:rPr>
                <w:rFonts w:ascii="Times New Roman" w:hAnsi="Times New Roman" w:eastAsia="方正仿宋_GBK" w:cs="宋体"/>
                <w:color w:val="auto"/>
                <w:sz w:val="24"/>
                <w:szCs w:val="24"/>
              </w:rPr>
            </w:pPr>
            <w:r>
              <w:rPr>
                <w:rFonts w:hint="eastAsia" w:ascii="Times New Roman" w:hAnsi="Times New Roman" w:eastAsia="方正仿宋_GBK" w:cs="宋体"/>
                <w:color w:val="auto"/>
                <w:sz w:val="24"/>
                <w:szCs w:val="24"/>
              </w:rPr>
              <w:t>引导型</w:t>
            </w:r>
          </w:p>
        </w:tc>
      </w:tr>
      <w:tr w14:paraId="017F0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564" w:type="dxa"/>
            <w:vAlign w:val="center"/>
          </w:tcPr>
          <w:p w14:paraId="69FE6965">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rPr>
              <w:t>6</w:t>
            </w:r>
          </w:p>
        </w:tc>
        <w:tc>
          <w:tcPr>
            <w:tcW w:w="5390" w:type="dxa"/>
            <w:gridSpan w:val="2"/>
            <w:vAlign w:val="center"/>
          </w:tcPr>
          <w:p w14:paraId="32CC76B5">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hint="eastAsia" w:ascii="Times New Roman" w:hAnsi="Times New Roman" w:eastAsia="方正仿宋_GBK" w:cs="宋体"/>
                <w:color w:val="auto"/>
                <w:sz w:val="24"/>
                <w:szCs w:val="24"/>
                <w:lang w:eastAsia="zh-CN"/>
              </w:rPr>
              <w:t>建筑垃圾安全处置率（</w:t>
            </w:r>
            <w:r>
              <w:rPr>
                <w:rFonts w:ascii="Times New Roman" w:hAnsi="Times New Roman" w:eastAsia="方正仿宋_GBK" w:cs="宋体"/>
                <w:color w:val="auto"/>
                <w:sz w:val="24"/>
                <w:szCs w:val="24"/>
                <w:lang w:eastAsia="zh-CN"/>
              </w:rPr>
              <w:t>%</w:t>
            </w:r>
            <w:r>
              <w:rPr>
                <w:rFonts w:hint="eastAsia" w:ascii="Times New Roman" w:hAnsi="Times New Roman" w:eastAsia="方正仿宋_GBK" w:cs="宋体"/>
                <w:color w:val="auto"/>
                <w:sz w:val="24"/>
                <w:szCs w:val="24"/>
                <w:lang w:eastAsia="zh-CN"/>
              </w:rPr>
              <w:t>）</w:t>
            </w:r>
          </w:p>
        </w:tc>
        <w:tc>
          <w:tcPr>
            <w:tcW w:w="851" w:type="dxa"/>
            <w:vAlign w:val="center"/>
          </w:tcPr>
          <w:p w14:paraId="3D8FD710">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70</w:t>
            </w:r>
          </w:p>
        </w:tc>
        <w:tc>
          <w:tcPr>
            <w:tcW w:w="850" w:type="dxa"/>
            <w:vAlign w:val="center"/>
          </w:tcPr>
          <w:p w14:paraId="5DC1D0D9">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90</w:t>
            </w:r>
          </w:p>
        </w:tc>
        <w:tc>
          <w:tcPr>
            <w:tcW w:w="709" w:type="dxa"/>
            <w:vAlign w:val="center"/>
          </w:tcPr>
          <w:p w14:paraId="3D6F829A">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rPr>
              <w:t>100</w:t>
            </w:r>
          </w:p>
        </w:tc>
        <w:tc>
          <w:tcPr>
            <w:tcW w:w="1175" w:type="dxa"/>
            <w:vAlign w:val="center"/>
          </w:tcPr>
          <w:p w14:paraId="4F938055">
            <w:pPr>
              <w:pStyle w:val="6"/>
              <w:spacing w:line="240" w:lineRule="auto"/>
              <w:ind w:firstLine="0" w:firstLineChars="0"/>
              <w:jc w:val="center"/>
              <w:rPr>
                <w:rFonts w:ascii="Times New Roman" w:hAnsi="Times New Roman" w:eastAsia="方正仿宋_GBK" w:cs="宋体"/>
                <w:color w:val="auto"/>
                <w:sz w:val="24"/>
                <w:szCs w:val="24"/>
              </w:rPr>
            </w:pPr>
            <w:r>
              <w:rPr>
                <w:rFonts w:hint="eastAsia" w:ascii="Times New Roman" w:hAnsi="Times New Roman" w:eastAsia="方正仿宋_GBK" w:cs="宋体"/>
                <w:color w:val="auto"/>
                <w:sz w:val="24"/>
                <w:szCs w:val="24"/>
              </w:rPr>
              <w:t>约束型</w:t>
            </w:r>
          </w:p>
        </w:tc>
      </w:tr>
      <w:tr w14:paraId="66770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jc w:val="center"/>
        </w:trPr>
        <w:tc>
          <w:tcPr>
            <w:tcW w:w="564" w:type="dxa"/>
            <w:vAlign w:val="center"/>
          </w:tcPr>
          <w:p w14:paraId="06750F0B">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rPr>
              <w:t>7</w:t>
            </w:r>
          </w:p>
        </w:tc>
        <w:tc>
          <w:tcPr>
            <w:tcW w:w="5390" w:type="dxa"/>
            <w:gridSpan w:val="2"/>
            <w:vAlign w:val="center"/>
          </w:tcPr>
          <w:p w14:paraId="0BEC64A7">
            <w:pPr>
              <w:pStyle w:val="6"/>
              <w:spacing w:line="240" w:lineRule="auto"/>
              <w:ind w:firstLine="0" w:firstLineChars="0"/>
              <w:jc w:val="center"/>
              <w:rPr>
                <w:rFonts w:ascii="Times New Roman" w:hAnsi="Times New Roman" w:eastAsia="方正仿宋_GBK" w:cs="宋体"/>
                <w:color w:val="auto"/>
                <w:spacing w:val="-6"/>
                <w:sz w:val="24"/>
                <w:szCs w:val="24"/>
                <w:lang w:eastAsia="zh-CN"/>
              </w:rPr>
            </w:pPr>
            <w:r>
              <w:rPr>
                <w:rFonts w:hint="eastAsia" w:ascii="Times New Roman" w:hAnsi="Times New Roman" w:eastAsia="方正仿宋_GBK" w:cs="宋体"/>
                <w:color w:val="auto"/>
                <w:spacing w:val="-6"/>
                <w:sz w:val="24"/>
                <w:szCs w:val="24"/>
                <w:lang w:eastAsia="zh-CN"/>
              </w:rPr>
              <w:t>建筑垃圾运输车辆车载卫星定位系统安装比例（</w:t>
            </w:r>
            <w:r>
              <w:rPr>
                <w:rFonts w:ascii="Times New Roman" w:hAnsi="Times New Roman" w:eastAsia="方正仿宋_GBK" w:cs="宋体"/>
                <w:color w:val="auto"/>
                <w:spacing w:val="-6"/>
                <w:sz w:val="24"/>
                <w:szCs w:val="24"/>
                <w:lang w:eastAsia="zh-CN"/>
              </w:rPr>
              <w:t>%</w:t>
            </w:r>
            <w:r>
              <w:rPr>
                <w:rFonts w:hint="eastAsia" w:ascii="Times New Roman" w:hAnsi="Times New Roman" w:eastAsia="方正仿宋_GBK" w:cs="宋体"/>
                <w:color w:val="auto"/>
                <w:spacing w:val="-6"/>
                <w:sz w:val="24"/>
                <w:szCs w:val="24"/>
                <w:lang w:eastAsia="zh-CN"/>
              </w:rPr>
              <w:t>）</w:t>
            </w:r>
          </w:p>
        </w:tc>
        <w:tc>
          <w:tcPr>
            <w:tcW w:w="851" w:type="dxa"/>
            <w:vAlign w:val="center"/>
          </w:tcPr>
          <w:p w14:paraId="67816EDA">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80</w:t>
            </w:r>
          </w:p>
        </w:tc>
        <w:tc>
          <w:tcPr>
            <w:tcW w:w="850" w:type="dxa"/>
            <w:vAlign w:val="center"/>
          </w:tcPr>
          <w:p w14:paraId="18F12ADC">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90</w:t>
            </w:r>
          </w:p>
        </w:tc>
        <w:tc>
          <w:tcPr>
            <w:tcW w:w="709" w:type="dxa"/>
            <w:vAlign w:val="center"/>
          </w:tcPr>
          <w:p w14:paraId="5F0A81FC">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100</w:t>
            </w:r>
          </w:p>
        </w:tc>
        <w:tc>
          <w:tcPr>
            <w:tcW w:w="1175" w:type="dxa"/>
            <w:vAlign w:val="center"/>
          </w:tcPr>
          <w:p w14:paraId="4F2DC0D1">
            <w:pPr>
              <w:pStyle w:val="6"/>
              <w:spacing w:line="240" w:lineRule="auto"/>
              <w:ind w:firstLine="0" w:firstLineChars="0"/>
              <w:jc w:val="center"/>
              <w:rPr>
                <w:rFonts w:ascii="Times New Roman" w:hAnsi="Times New Roman" w:eastAsia="方正仿宋_GBK" w:cs="宋体"/>
                <w:color w:val="auto"/>
                <w:sz w:val="24"/>
                <w:szCs w:val="24"/>
              </w:rPr>
            </w:pPr>
            <w:r>
              <w:rPr>
                <w:rFonts w:hint="eastAsia" w:ascii="Times New Roman" w:hAnsi="Times New Roman" w:eastAsia="方正仿宋_GBK" w:cs="宋体"/>
                <w:color w:val="auto"/>
                <w:sz w:val="24"/>
                <w:szCs w:val="24"/>
              </w:rPr>
              <w:t>引导型</w:t>
            </w:r>
          </w:p>
        </w:tc>
      </w:tr>
      <w:tr w14:paraId="40A8D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564" w:type="dxa"/>
            <w:vAlign w:val="center"/>
          </w:tcPr>
          <w:p w14:paraId="6C537693">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rPr>
              <w:t>8</w:t>
            </w:r>
          </w:p>
        </w:tc>
        <w:tc>
          <w:tcPr>
            <w:tcW w:w="5390" w:type="dxa"/>
            <w:gridSpan w:val="2"/>
            <w:vAlign w:val="center"/>
          </w:tcPr>
          <w:p w14:paraId="56B3C75F">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hint="eastAsia" w:ascii="Times New Roman" w:hAnsi="Times New Roman" w:eastAsia="方正仿宋_GBK" w:cs="宋体"/>
                <w:color w:val="auto"/>
                <w:sz w:val="24"/>
                <w:szCs w:val="24"/>
                <w:lang w:eastAsia="zh-CN"/>
              </w:rPr>
              <w:t>施工工地、处置场所监控管理系统安装比例（</w:t>
            </w:r>
            <w:r>
              <w:rPr>
                <w:rFonts w:ascii="Times New Roman" w:hAnsi="Times New Roman" w:eastAsia="方正仿宋_GBK" w:cs="宋体"/>
                <w:color w:val="auto"/>
                <w:sz w:val="24"/>
                <w:szCs w:val="24"/>
                <w:lang w:eastAsia="zh-CN"/>
              </w:rPr>
              <w:t>%</w:t>
            </w:r>
            <w:r>
              <w:rPr>
                <w:rFonts w:hint="eastAsia" w:ascii="Times New Roman" w:hAnsi="Times New Roman" w:eastAsia="方正仿宋_GBK" w:cs="宋体"/>
                <w:color w:val="auto"/>
                <w:sz w:val="24"/>
                <w:szCs w:val="24"/>
                <w:lang w:eastAsia="zh-CN"/>
              </w:rPr>
              <w:t>）</w:t>
            </w:r>
          </w:p>
        </w:tc>
        <w:tc>
          <w:tcPr>
            <w:tcW w:w="851" w:type="dxa"/>
            <w:vAlign w:val="center"/>
          </w:tcPr>
          <w:p w14:paraId="75440801">
            <w:pPr>
              <w:pStyle w:val="6"/>
              <w:spacing w:line="240" w:lineRule="auto"/>
              <w:ind w:firstLine="0" w:firstLineChars="0"/>
              <w:jc w:val="center"/>
              <w:rPr>
                <w:rFonts w:ascii="Times New Roman" w:hAnsi="Times New Roman" w:eastAsia="方正仿宋_GBK" w:cs="宋体"/>
                <w:color w:val="auto"/>
                <w:sz w:val="24"/>
                <w:szCs w:val="24"/>
                <w:lang w:eastAsia="zh-CN"/>
              </w:rPr>
            </w:pPr>
            <w:r>
              <w:rPr>
                <w:rFonts w:ascii="Times New Roman" w:hAnsi="Times New Roman" w:eastAsia="方正仿宋_GBK" w:cs="宋体"/>
                <w:color w:val="auto"/>
                <w:sz w:val="24"/>
                <w:szCs w:val="24"/>
                <w:lang w:eastAsia="zh-CN"/>
              </w:rPr>
              <w:t>80</w:t>
            </w:r>
          </w:p>
        </w:tc>
        <w:tc>
          <w:tcPr>
            <w:tcW w:w="850" w:type="dxa"/>
            <w:vAlign w:val="center"/>
          </w:tcPr>
          <w:p w14:paraId="1C4BF995">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lang w:eastAsia="zh-CN"/>
              </w:rPr>
              <w:t>90</w:t>
            </w:r>
          </w:p>
        </w:tc>
        <w:tc>
          <w:tcPr>
            <w:tcW w:w="709" w:type="dxa"/>
            <w:vAlign w:val="center"/>
          </w:tcPr>
          <w:p w14:paraId="2D24B2F8">
            <w:pPr>
              <w:pStyle w:val="6"/>
              <w:spacing w:line="240" w:lineRule="auto"/>
              <w:ind w:firstLine="0" w:firstLineChars="0"/>
              <w:jc w:val="center"/>
              <w:rPr>
                <w:rFonts w:ascii="Times New Roman" w:hAnsi="Times New Roman" w:eastAsia="方正仿宋_GBK" w:cs="宋体"/>
                <w:color w:val="auto"/>
                <w:sz w:val="24"/>
                <w:szCs w:val="24"/>
              </w:rPr>
            </w:pPr>
            <w:r>
              <w:rPr>
                <w:rFonts w:ascii="Times New Roman" w:hAnsi="Times New Roman" w:eastAsia="方正仿宋_GBK" w:cs="宋体"/>
                <w:color w:val="auto"/>
                <w:sz w:val="24"/>
                <w:szCs w:val="24"/>
                <w:lang w:eastAsia="zh-CN"/>
              </w:rPr>
              <w:t>100</w:t>
            </w:r>
          </w:p>
        </w:tc>
        <w:tc>
          <w:tcPr>
            <w:tcW w:w="1175" w:type="dxa"/>
            <w:vAlign w:val="center"/>
          </w:tcPr>
          <w:p w14:paraId="542C7DF9">
            <w:pPr>
              <w:pStyle w:val="6"/>
              <w:spacing w:line="240" w:lineRule="auto"/>
              <w:ind w:firstLine="0" w:firstLineChars="0"/>
              <w:jc w:val="center"/>
              <w:rPr>
                <w:rFonts w:ascii="Times New Roman" w:hAnsi="Times New Roman" w:eastAsia="方正仿宋_GBK" w:cs="宋体"/>
                <w:color w:val="auto"/>
                <w:sz w:val="24"/>
                <w:szCs w:val="24"/>
              </w:rPr>
            </w:pPr>
            <w:r>
              <w:rPr>
                <w:rFonts w:hint="eastAsia" w:ascii="Times New Roman" w:hAnsi="Times New Roman" w:eastAsia="方正仿宋_GBK" w:cs="宋体"/>
                <w:color w:val="auto"/>
                <w:sz w:val="24"/>
                <w:szCs w:val="24"/>
              </w:rPr>
              <w:t>引导型</w:t>
            </w:r>
          </w:p>
        </w:tc>
      </w:tr>
    </w:tbl>
    <w:p w14:paraId="7141D62C">
      <w:pPr>
        <w:ind w:firstLine="640"/>
        <w:rPr>
          <w:color w:val="auto"/>
          <w:lang w:eastAsia="zh-CN"/>
        </w:rPr>
      </w:pPr>
      <w:r>
        <w:rPr>
          <w:rFonts w:hint="eastAsia"/>
          <w:color w:val="auto"/>
          <w:lang w:eastAsia="zh-CN"/>
        </w:rPr>
        <w:t>本次规划根据安岳县建筑垃圾治理目标，参考国内外先进城市建筑垃圾治理水平，拟定</w:t>
      </w:r>
      <w:r>
        <w:rPr>
          <w:color w:val="auto"/>
          <w:lang w:eastAsia="zh-CN"/>
        </w:rPr>
        <w:t>2025</w:t>
      </w:r>
      <w:r>
        <w:rPr>
          <w:rFonts w:hint="eastAsia"/>
          <w:color w:val="auto"/>
          <w:lang w:eastAsia="zh-CN"/>
        </w:rPr>
        <w:t>年、近期</w:t>
      </w:r>
      <w:r>
        <w:rPr>
          <w:color w:val="auto"/>
          <w:lang w:eastAsia="zh-CN"/>
        </w:rPr>
        <w:t>2030</w:t>
      </w:r>
      <w:r>
        <w:rPr>
          <w:rFonts w:hint="eastAsia"/>
          <w:color w:val="auto"/>
          <w:lang w:eastAsia="zh-CN"/>
        </w:rPr>
        <w:t>年与远期</w:t>
      </w:r>
      <w:r>
        <w:rPr>
          <w:color w:val="auto"/>
          <w:lang w:eastAsia="zh-CN"/>
        </w:rPr>
        <w:t>2035</w:t>
      </w:r>
      <w:r>
        <w:rPr>
          <w:rFonts w:hint="eastAsia"/>
          <w:color w:val="auto"/>
          <w:lang w:eastAsia="zh-CN"/>
        </w:rPr>
        <w:t>年指标。对各项建筑垃圾治理内容，提出</w:t>
      </w:r>
      <w:r>
        <w:rPr>
          <w:color w:val="auto"/>
          <w:lang w:eastAsia="zh-CN"/>
        </w:rPr>
        <w:t>2025</w:t>
      </w:r>
      <w:r>
        <w:rPr>
          <w:rFonts w:hint="eastAsia"/>
          <w:color w:val="auto"/>
          <w:lang w:eastAsia="zh-CN"/>
        </w:rPr>
        <w:t>年、近期</w:t>
      </w:r>
      <w:r>
        <w:rPr>
          <w:color w:val="auto"/>
          <w:lang w:eastAsia="zh-CN"/>
        </w:rPr>
        <w:t>2030</w:t>
      </w:r>
      <w:r>
        <w:rPr>
          <w:rFonts w:hint="eastAsia"/>
          <w:color w:val="auto"/>
          <w:lang w:eastAsia="zh-CN"/>
        </w:rPr>
        <w:t>年与远期</w:t>
      </w:r>
      <w:r>
        <w:rPr>
          <w:color w:val="auto"/>
          <w:lang w:eastAsia="zh-CN"/>
        </w:rPr>
        <w:t>2035</w:t>
      </w:r>
      <w:r>
        <w:rPr>
          <w:rFonts w:hint="eastAsia"/>
          <w:color w:val="auto"/>
          <w:lang w:eastAsia="zh-CN"/>
        </w:rPr>
        <w:t>年具体目标，详见表</w:t>
      </w:r>
      <w:r>
        <w:rPr>
          <w:color w:val="auto"/>
          <w:lang w:eastAsia="zh-CN"/>
        </w:rPr>
        <w:t>3-1</w:t>
      </w:r>
      <w:r>
        <w:rPr>
          <w:rFonts w:hint="eastAsia"/>
          <w:color w:val="auto"/>
          <w:lang w:eastAsia="zh-CN"/>
        </w:rPr>
        <w:t>。</w:t>
      </w:r>
    </w:p>
    <w:p w14:paraId="645B09E3">
      <w:pPr>
        <w:ind w:firstLine="640"/>
        <w:jc w:val="center"/>
        <w:rPr>
          <w:lang w:eastAsia="zh-CN"/>
        </w:rPr>
        <w:sectPr>
          <w:pgSz w:w="11907" w:h="16840"/>
          <w:pgMar w:top="2155" w:right="1531" w:bottom="1814" w:left="1531" w:header="851" w:footer="1588" w:gutter="0"/>
          <w:pgNumType w:fmt="numberInDash"/>
          <w:cols w:space="0" w:num="1"/>
          <w:docGrid w:linePitch="435" w:charSpace="0"/>
        </w:sectPr>
      </w:pPr>
      <w:bookmarkStart w:id="41" w:name="_Toc175056371"/>
    </w:p>
    <w:p w14:paraId="0F792F1C">
      <w:pPr>
        <w:ind w:firstLine="880"/>
        <w:jc w:val="center"/>
        <w:rPr>
          <w:rFonts w:eastAsia="方正小标宋_GBK"/>
          <w:sz w:val="44"/>
          <w:szCs w:val="44"/>
          <w:lang w:eastAsia="zh-CN"/>
        </w:rPr>
      </w:pPr>
      <w:r>
        <w:rPr>
          <w:rFonts w:hint="eastAsia" w:eastAsia="方正小标宋_GBK"/>
          <w:sz w:val="44"/>
          <w:szCs w:val="44"/>
          <w:lang w:eastAsia="zh-CN"/>
        </w:rPr>
        <w:t>第四章</w:t>
      </w:r>
      <w:r>
        <w:rPr>
          <w:rFonts w:eastAsia="方正小标宋_GBK"/>
          <w:sz w:val="44"/>
          <w:szCs w:val="44"/>
          <w:lang w:eastAsia="zh-CN"/>
        </w:rPr>
        <w:t xml:space="preserve"> </w:t>
      </w:r>
      <w:r>
        <w:rPr>
          <w:rFonts w:hint="eastAsia" w:eastAsia="方正小标宋_GBK"/>
          <w:sz w:val="44"/>
          <w:szCs w:val="44"/>
          <w:lang w:eastAsia="zh-CN"/>
        </w:rPr>
        <w:t>城市建筑垃圾发展预测</w:t>
      </w:r>
      <w:bookmarkEnd w:id="41"/>
    </w:p>
    <w:p w14:paraId="21DE4603">
      <w:pPr>
        <w:spacing w:line="400" w:lineRule="exact"/>
        <w:ind w:firstLine="880"/>
        <w:jc w:val="center"/>
        <w:rPr>
          <w:rFonts w:eastAsia="方正小标宋_GBK"/>
          <w:sz w:val="44"/>
          <w:szCs w:val="44"/>
          <w:lang w:eastAsia="zh-CN"/>
        </w:rPr>
      </w:pPr>
    </w:p>
    <w:p w14:paraId="0F3DDA8D">
      <w:pPr>
        <w:pStyle w:val="3"/>
        <w:spacing w:line="580" w:lineRule="exact"/>
        <w:ind w:firstLine="640"/>
        <w:rPr>
          <w:b w:val="0"/>
        </w:rPr>
      </w:pPr>
      <w:bookmarkStart w:id="42" w:name="_Toc175056372"/>
      <w:r>
        <w:rPr>
          <w:rFonts w:hint="eastAsia"/>
          <w:b w:val="0"/>
        </w:rPr>
        <w:t>第一节</w:t>
      </w:r>
      <w:r>
        <w:rPr>
          <w:b w:val="0"/>
        </w:rPr>
        <w:t xml:space="preserve"> </w:t>
      </w:r>
      <w:r>
        <w:rPr>
          <w:rFonts w:hint="eastAsia"/>
          <w:b w:val="0"/>
        </w:rPr>
        <w:t>产生量预测</w:t>
      </w:r>
      <w:bookmarkEnd w:id="42"/>
    </w:p>
    <w:p w14:paraId="6C0A15F0">
      <w:pPr>
        <w:ind w:firstLine="640"/>
        <w:rPr>
          <w:color w:val="auto"/>
          <w:lang w:eastAsia="zh-CN"/>
        </w:rPr>
      </w:pPr>
      <w:r>
        <w:rPr>
          <w:rFonts w:hint="eastAsia"/>
          <w:color w:val="auto"/>
          <w:lang w:eastAsia="zh-CN"/>
        </w:rPr>
        <w:t>对安岳县建筑垃圾产生现状进行估算，计算方法如下：</w:t>
      </w:r>
    </w:p>
    <w:p w14:paraId="744DF347">
      <w:pPr>
        <w:pStyle w:val="4"/>
        <w:spacing w:line="580" w:lineRule="exact"/>
        <w:ind w:firstLine="643"/>
        <w:jc w:val="both"/>
        <w:rPr>
          <w:rFonts w:eastAsia="方正楷体_GBK"/>
          <w:b w:val="0"/>
          <w:bCs w:val="0"/>
          <w:color w:val="auto"/>
        </w:rPr>
      </w:pPr>
      <w:r>
        <w:rPr>
          <w:rFonts w:hint="eastAsia" w:eastAsia="方正楷体_GBK"/>
          <w:color w:val="auto"/>
        </w:rPr>
        <w:t>（一）工程</w:t>
      </w:r>
      <w:r>
        <w:rPr>
          <w:rFonts w:hint="eastAsia" w:eastAsia="方正楷体_GBK"/>
        </w:rPr>
        <w:t>渣土</w:t>
      </w:r>
      <w:r>
        <w:rPr>
          <w:rFonts w:hint="eastAsia" w:eastAsia="方正楷体_GBK"/>
          <w:color w:val="auto"/>
        </w:rPr>
        <w:t>、工程泥浆</w:t>
      </w:r>
    </w:p>
    <w:p w14:paraId="770C43FD">
      <w:pPr>
        <w:ind w:firstLine="640"/>
        <w:rPr>
          <w:color w:val="auto"/>
          <w:lang w:eastAsia="zh-CN"/>
        </w:rPr>
      </w:pPr>
      <w:r>
        <w:rPr>
          <w:rFonts w:hint="eastAsia"/>
          <w:color w:val="auto"/>
          <w:lang w:eastAsia="zh-CN"/>
        </w:rPr>
        <w:t>工程渣土和工程泥浆应先进行就近区域平衡，再将剩余部分进行外运处理。</w:t>
      </w:r>
    </w:p>
    <w:p w14:paraId="10F7C7CF">
      <w:pPr>
        <w:ind w:firstLine="640"/>
        <w:rPr>
          <w:color w:val="auto"/>
          <w:lang w:eastAsia="zh-CN"/>
        </w:rPr>
      </w:pPr>
      <w:r>
        <w:rPr>
          <w:rFonts w:hint="eastAsia"/>
          <w:color w:val="auto"/>
          <w:lang w:eastAsia="zh-CN"/>
        </w:rPr>
        <w:t>根据经验和调研结果，本规划工程渣土以每一公顷新开工面积产生</w:t>
      </w:r>
      <w:r>
        <w:rPr>
          <w:color w:val="auto"/>
          <w:lang w:eastAsia="zh-CN"/>
        </w:rPr>
        <w:t xml:space="preserve">15000 </w:t>
      </w:r>
      <w:r>
        <w:rPr>
          <w:rFonts w:hint="eastAsia"/>
          <w:color w:val="auto"/>
          <w:lang w:eastAsia="zh-CN"/>
        </w:rPr>
        <w:t>吨渣土为计算指标，工程渣土产生量修正系数（扣除项目回填）取</w:t>
      </w:r>
      <w:r>
        <w:rPr>
          <w:color w:val="auto"/>
          <w:lang w:eastAsia="zh-CN"/>
        </w:rPr>
        <w:t xml:space="preserve"> 0.7</w:t>
      </w:r>
      <w:r>
        <w:rPr>
          <w:rFonts w:hint="eastAsia"/>
          <w:color w:val="auto"/>
          <w:lang w:eastAsia="zh-CN"/>
        </w:rPr>
        <w:t>。根据《安岳县</w:t>
      </w:r>
      <w:r>
        <w:rPr>
          <w:color w:val="auto"/>
          <w:lang w:eastAsia="zh-CN"/>
        </w:rPr>
        <w:t>2023</w:t>
      </w:r>
      <w:r>
        <w:rPr>
          <w:rFonts w:hint="eastAsia"/>
          <w:color w:val="auto"/>
          <w:lang w:eastAsia="zh-CN"/>
        </w:rPr>
        <w:t>年国民经济和社会发展统计公报》，安岳县</w:t>
      </w:r>
      <w:r>
        <w:rPr>
          <w:color w:val="auto"/>
          <w:lang w:eastAsia="zh-CN"/>
        </w:rPr>
        <w:t>2023</w:t>
      </w:r>
      <w:r>
        <w:rPr>
          <w:rFonts w:hint="eastAsia"/>
          <w:color w:val="auto"/>
          <w:lang w:eastAsia="zh-CN"/>
        </w:rPr>
        <w:t>年城镇化率为</w:t>
      </w:r>
      <w:r>
        <w:rPr>
          <w:color w:val="auto"/>
          <w:lang w:eastAsia="zh-CN"/>
        </w:rPr>
        <w:t>33.35%</w:t>
      </w:r>
      <w:r>
        <w:rPr>
          <w:rFonts w:hint="eastAsia"/>
          <w:color w:val="auto"/>
          <w:lang w:eastAsia="zh-CN"/>
        </w:rPr>
        <w:t>。根据《安岳县国土空间总体规划（</w:t>
      </w:r>
      <w:r>
        <w:rPr>
          <w:color w:val="auto"/>
          <w:lang w:eastAsia="zh-CN"/>
        </w:rPr>
        <w:t>2021—2035</w:t>
      </w:r>
      <w:r>
        <w:rPr>
          <w:rFonts w:hint="eastAsia"/>
          <w:color w:val="auto"/>
          <w:lang w:eastAsia="zh-CN"/>
        </w:rPr>
        <w:t>年）》，到</w:t>
      </w:r>
      <w:r>
        <w:rPr>
          <w:color w:val="auto"/>
          <w:lang w:eastAsia="zh-CN"/>
        </w:rPr>
        <w:t>2025</w:t>
      </w:r>
      <w:r>
        <w:rPr>
          <w:rFonts w:hint="eastAsia"/>
          <w:color w:val="auto"/>
          <w:lang w:eastAsia="zh-CN"/>
        </w:rPr>
        <w:t>年，安岳县县域常住人口</w:t>
      </w:r>
      <w:r>
        <w:rPr>
          <w:color w:val="auto"/>
          <w:lang w:eastAsia="zh-CN"/>
        </w:rPr>
        <w:t>89</w:t>
      </w:r>
      <w:r>
        <w:rPr>
          <w:rFonts w:hint="eastAsia"/>
          <w:color w:val="auto"/>
          <w:lang w:eastAsia="zh-CN"/>
        </w:rPr>
        <w:t>万人，县域人均城镇建设用地面积</w:t>
      </w:r>
      <w:r>
        <w:rPr>
          <w:color w:val="auto"/>
          <w:lang w:eastAsia="zh-CN"/>
        </w:rPr>
        <w:t>88.19</w:t>
      </w:r>
      <w:r>
        <w:rPr>
          <w:rFonts w:hint="eastAsia"/>
          <w:color w:val="auto"/>
          <w:lang w:eastAsia="zh-CN"/>
        </w:rPr>
        <w:t>平方米；到</w:t>
      </w:r>
      <w:r>
        <w:rPr>
          <w:color w:val="auto"/>
          <w:lang w:eastAsia="zh-CN"/>
        </w:rPr>
        <w:t>2035</w:t>
      </w:r>
      <w:r>
        <w:rPr>
          <w:rFonts w:hint="eastAsia"/>
          <w:color w:val="auto"/>
          <w:lang w:eastAsia="zh-CN"/>
        </w:rPr>
        <w:t>年县域常住人口</w:t>
      </w:r>
      <w:r>
        <w:rPr>
          <w:color w:val="auto"/>
          <w:lang w:eastAsia="zh-CN"/>
        </w:rPr>
        <w:t>90</w:t>
      </w:r>
      <w:r>
        <w:rPr>
          <w:rFonts w:hint="eastAsia"/>
          <w:color w:val="auto"/>
          <w:lang w:eastAsia="zh-CN"/>
        </w:rPr>
        <w:t>万人，常住人口城镇化率</w:t>
      </w:r>
      <w:r>
        <w:rPr>
          <w:color w:val="auto"/>
          <w:lang w:eastAsia="zh-CN"/>
        </w:rPr>
        <w:t>62%</w:t>
      </w:r>
      <w:r>
        <w:rPr>
          <w:rFonts w:hint="eastAsia"/>
          <w:color w:val="auto"/>
          <w:lang w:eastAsia="zh-CN"/>
        </w:rPr>
        <w:t>、县域人均城镇建设用地面积</w:t>
      </w:r>
      <w:r>
        <w:rPr>
          <w:color w:val="auto"/>
          <w:lang w:eastAsia="zh-CN"/>
        </w:rPr>
        <w:t>81.86</w:t>
      </w:r>
      <w:r>
        <w:rPr>
          <w:rFonts w:hint="eastAsia"/>
          <w:color w:val="auto"/>
          <w:lang w:eastAsia="zh-CN"/>
        </w:rPr>
        <w:t>平方米。因此估算</w:t>
      </w:r>
      <w:r>
        <w:rPr>
          <w:color w:val="auto"/>
          <w:lang w:eastAsia="zh-CN"/>
        </w:rPr>
        <w:t>2025</w:t>
      </w:r>
      <w:r>
        <w:rPr>
          <w:rFonts w:hint="eastAsia"/>
          <w:color w:val="auto"/>
          <w:lang w:eastAsia="zh-CN"/>
        </w:rPr>
        <w:t>到</w:t>
      </w:r>
      <w:r>
        <w:rPr>
          <w:color w:val="auto"/>
          <w:lang w:eastAsia="zh-CN"/>
        </w:rPr>
        <w:t>2035</w:t>
      </w:r>
      <w:r>
        <w:rPr>
          <w:rFonts w:hint="eastAsia"/>
          <w:color w:val="auto"/>
          <w:lang w:eastAsia="zh-CN"/>
        </w:rPr>
        <w:t>年间，新增城镇建设用地面积约</w:t>
      </w:r>
      <w:r>
        <w:rPr>
          <w:color w:val="auto"/>
          <w:lang w:eastAsia="zh-CN"/>
        </w:rPr>
        <w:t>1742.18</w:t>
      </w:r>
      <w:r>
        <w:rPr>
          <w:rFonts w:hint="eastAsia"/>
          <w:color w:val="auto"/>
          <w:lang w:eastAsia="zh-CN"/>
        </w:rPr>
        <w:t>万平方米，即</w:t>
      </w:r>
      <w:r>
        <w:rPr>
          <w:color w:val="auto"/>
          <w:lang w:eastAsia="zh-CN"/>
        </w:rPr>
        <w:t>1742.18</w:t>
      </w:r>
      <w:r>
        <w:rPr>
          <w:rFonts w:hint="eastAsia"/>
          <w:color w:val="auto"/>
          <w:lang w:eastAsia="zh-CN"/>
        </w:rPr>
        <w:t>公顷，新增渣土量为</w:t>
      </w:r>
      <w:r>
        <w:rPr>
          <w:color w:val="auto"/>
          <w:lang w:eastAsia="zh-CN"/>
        </w:rPr>
        <w:t>2090.62</w:t>
      </w:r>
      <w:r>
        <w:rPr>
          <w:rFonts w:hint="eastAsia"/>
          <w:color w:val="auto"/>
          <w:lang w:eastAsia="zh-CN"/>
        </w:rPr>
        <w:t>万吨，约</w:t>
      </w:r>
      <w:r>
        <w:rPr>
          <w:color w:val="auto"/>
          <w:lang w:eastAsia="zh-CN"/>
        </w:rPr>
        <w:t>1161</w:t>
      </w:r>
      <w:r>
        <w:rPr>
          <w:rFonts w:hint="eastAsia"/>
          <w:color w:val="auto"/>
          <w:lang w:eastAsia="zh-CN"/>
        </w:rPr>
        <w:t>万立方米。年均约</w:t>
      </w:r>
      <w:r>
        <w:rPr>
          <w:color w:val="auto"/>
          <w:lang w:eastAsia="zh-CN"/>
        </w:rPr>
        <w:t>116</w:t>
      </w:r>
      <w:r>
        <w:rPr>
          <w:rFonts w:hint="eastAsia"/>
          <w:color w:val="auto"/>
          <w:lang w:eastAsia="zh-CN"/>
        </w:rPr>
        <w:t>万立方米。该部分建筑垃圾污染较小、利用价值不高，一般直接进入渣土场。</w:t>
      </w:r>
    </w:p>
    <w:p w14:paraId="6FA50B3C">
      <w:pPr>
        <w:pStyle w:val="4"/>
        <w:spacing w:line="580" w:lineRule="exact"/>
        <w:ind w:firstLine="643"/>
        <w:jc w:val="both"/>
        <w:rPr>
          <w:rFonts w:eastAsia="方正楷体_GBK"/>
          <w:color w:val="auto"/>
        </w:rPr>
      </w:pPr>
      <w:r>
        <w:rPr>
          <w:rFonts w:hint="eastAsia" w:eastAsia="方正楷体_GBK"/>
          <w:color w:val="auto"/>
        </w:rPr>
        <w:t>（二）工程垃圾</w:t>
      </w:r>
    </w:p>
    <w:p w14:paraId="2E01FC3F">
      <w:pPr>
        <w:ind w:firstLine="640"/>
        <w:rPr>
          <w:color w:val="auto"/>
          <w:lang w:eastAsia="zh-CN"/>
        </w:rPr>
      </w:pPr>
      <w:r>
        <w:rPr>
          <w:rFonts w:hint="eastAsia"/>
          <w:color w:val="auto"/>
          <w:lang w:eastAsia="zh-CN"/>
        </w:rPr>
        <w:t>工程垃圾产生量可按公式（</w:t>
      </w:r>
      <w:r>
        <w:rPr>
          <w:color w:val="auto"/>
          <w:lang w:eastAsia="zh-CN"/>
        </w:rPr>
        <w:t>4-1</w:t>
      </w:r>
      <w:r>
        <w:rPr>
          <w:rFonts w:hint="eastAsia"/>
          <w:color w:val="auto"/>
          <w:lang w:eastAsia="zh-CN"/>
        </w:rPr>
        <w:t>）进行估算：</w:t>
      </w:r>
    </w:p>
    <w:p w14:paraId="72CA7E91">
      <w:pPr>
        <w:ind w:firstLine="640"/>
        <w:rPr>
          <w:color w:val="auto"/>
        </w:rPr>
      </w:pPr>
      <w:r>
        <w:rPr>
          <w:color w:val="auto"/>
        </w:rPr>
        <w:t>M</w:t>
      </w:r>
      <w:r>
        <w:rPr>
          <w:color w:val="auto"/>
          <w:vertAlign w:val="subscript"/>
        </w:rPr>
        <w:t>g</w:t>
      </w:r>
      <w:r>
        <w:rPr>
          <w:color w:val="auto"/>
        </w:rPr>
        <w:t>=R</w:t>
      </w:r>
      <w:r>
        <w:rPr>
          <w:color w:val="auto"/>
          <w:vertAlign w:val="subscript"/>
        </w:rPr>
        <w:t>g</w:t>
      </w:r>
      <w:r>
        <w:rPr>
          <w:rFonts w:hint="eastAsia"/>
          <w:color w:val="auto"/>
        </w:rPr>
        <w:t>×</w:t>
      </w:r>
      <w:r>
        <w:rPr>
          <w:color w:val="auto"/>
        </w:rPr>
        <w:t>m</w:t>
      </w:r>
      <w:r>
        <w:rPr>
          <w:color w:val="auto"/>
          <w:vertAlign w:val="subscript"/>
        </w:rPr>
        <w:t>g</w:t>
      </w:r>
      <w:r>
        <w:rPr>
          <w:color w:val="auto"/>
        </w:rPr>
        <w:t xml:space="preserve"> </w:t>
      </w:r>
      <w:r>
        <w:rPr>
          <w:color w:val="auto"/>
          <w:lang w:eastAsia="zh-CN"/>
        </w:rPr>
        <w:t xml:space="preserve">                           </w:t>
      </w:r>
      <w:r>
        <w:rPr>
          <w:rFonts w:hint="eastAsia"/>
          <w:color w:val="auto"/>
        </w:rPr>
        <w:t>（</w:t>
      </w:r>
      <w:r>
        <w:rPr>
          <w:color w:val="auto"/>
          <w:lang w:eastAsia="zh-CN"/>
        </w:rPr>
        <w:t>4</w:t>
      </w:r>
      <w:r>
        <w:rPr>
          <w:color w:val="auto"/>
        </w:rPr>
        <w:t>-1</w:t>
      </w:r>
      <w:r>
        <w:rPr>
          <w:rFonts w:hint="eastAsia"/>
          <w:color w:val="auto"/>
        </w:rPr>
        <w:t>）</w:t>
      </w:r>
    </w:p>
    <w:p w14:paraId="3EAC4E60">
      <w:pPr>
        <w:ind w:firstLine="640"/>
        <w:rPr>
          <w:color w:val="auto"/>
        </w:rPr>
      </w:pPr>
      <w:r>
        <w:rPr>
          <w:rFonts w:hint="eastAsia"/>
          <w:color w:val="auto"/>
        </w:rPr>
        <w:t>式中：</w:t>
      </w:r>
    </w:p>
    <w:p w14:paraId="6AFE5279">
      <w:pPr>
        <w:ind w:firstLine="640"/>
        <w:rPr>
          <w:color w:val="auto"/>
          <w:lang w:eastAsia="zh-CN"/>
        </w:rPr>
      </w:pPr>
      <w:r>
        <w:rPr>
          <w:color w:val="auto"/>
          <w:lang w:eastAsia="zh-CN"/>
        </w:rPr>
        <w:t>M</w:t>
      </w:r>
      <w:r>
        <w:rPr>
          <w:color w:val="auto"/>
          <w:vertAlign w:val="subscript"/>
          <w:lang w:eastAsia="zh-CN"/>
        </w:rPr>
        <w:t>g</w:t>
      </w:r>
      <w:r>
        <w:rPr>
          <w:color w:val="auto"/>
          <w:lang w:eastAsia="zh-CN"/>
        </w:rPr>
        <w:t>—</w:t>
      </w:r>
      <w:r>
        <w:rPr>
          <w:rFonts w:hint="eastAsia"/>
          <w:color w:val="auto"/>
          <w:lang w:eastAsia="zh-CN"/>
        </w:rPr>
        <w:t>城市或区域工程垃圾年产生量，万</w:t>
      </w:r>
      <w:r>
        <w:rPr>
          <w:color w:val="auto"/>
          <w:lang w:eastAsia="zh-CN"/>
        </w:rPr>
        <w:t>t/</w:t>
      </w:r>
      <w:r>
        <w:rPr>
          <w:rFonts w:hint="eastAsia"/>
          <w:color w:val="auto"/>
          <w:lang w:eastAsia="zh-CN"/>
        </w:rPr>
        <w:t>年。</w:t>
      </w:r>
    </w:p>
    <w:p w14:paraId="5A3342FE">
      <w:pPr>
        <w:ind w:firstLine="640"/>
        <w:rPr>
          <w:color w:val="auto"/>
          <w:lang w:eastAsia="zh-CN"/>
        </w:rPr>
      </w:pPr>
      <w:r>
        <w:rPr>
          <w:color w:val="auto"/>
          <w:lang w:eastAsia="zh-CN"/>
        </w:rPr>
        <w:t>R</w:t>
      </w:r>
      <w:r>
        <w:rPr>
          <w:color w:val="auto"/>
          <w:vertAlign w:val="subscript"/>
          <w:lang w:eastAsia="zh-CN"/>
        </w:rPr>
        <w:t>g</w:t>
      </w:r>
      <w:r>
        <w:rPr>
          <w:color w:val="auto"/>
          <w:lang w:eastAsia="zh-CN"/>
        </w:rPr>
        <w:t>—</w:t>
      </w:r>
      <w:r>
        <w:rPr>
          <w:rFonts w:hint="eastAsia"/>
          <w:color w:val="auto"/>
          <w:lang w:eastAsia="zh-CN"/>
        </w:rPr>
        <w:t>城市或区域新增建筑面积，万</w:t>
      </w:r>
      <w:r>
        <w:rPr>
          <w:color w:val="auto"/>
          <w:lang w:eastAsia="zh-CN"/>
        </w:rPr>
        <w:t>m</w:t>
      </w:r>
      <w:r>
        <w:rPr>
          <w:rFonts w:ascii="宋体" w:hAnsi="宋体" w:eastAsia="宋体" w:cs="宋体"/>
          <w:color w:val="auto"/>
          <w:lang w:eastAsia="zh-CN"/>
        </w:rPr>
        <w:t>2</w:t>
      </w:r>
      <w:r>
        <w:rPr>
          <w:color w:val="auto"/>
          <w:lang w:eastAsia="zh-CN"/>
        </w:rPr>
        <w:t>/</w:t>
      </w:r>
      <w:r>
        <w:rPr>
          <w:rFonts w:hint="eastAsia"/>
          <w:color w:val="auto"/>
          <w:lang w:eastAsia="zh-CN"/>
        </w:rPr>
        <w:t>年。</w:t>
      </w:r>
    </w:p>
    <w:p w14:paraId="1F5998DF">
      <w:pPr>
        <w:ind w:firstLine="640"/>
        <w:rPr>
          <w:color w:val="auto"/>
          <w:lang w:eastAsia="zh-CN"/>
        </w:rPr>
      </w:pPr>
      <w:r>
        <w:rPr>
          <w:color w:val="auto"/>
          <w:lang w:eastAsia="zh-CN"/>
        </w:rPr>
        <w:t>m</w:t>
      </w:r>
      <w:r>
        <w:rPr>
          <w:color w:val="auto"/>
          <w:vertAlign w:val="subscript"/>
          <w:lang w:eastAsia="zh-CN"/>
        </w:rPr>
        <w:t>g</w:t>
      </w:r>
      <w:r>
        <w:rPr>
          <w:color w:val="auto"/>
          <w:lang w:eastAsia="zh-CN"/>
        </w:rPr>
        <w:t>—</w:t>
      </w:r>
      <w:r>
        <w:rPr>
          <w:rFonts w:hint="eastAsia"/>
          <w:color w:val="auto"/>
          <w:lang w:eastAsia="zh-CN"/>
        </w:rPr>
        <w:t>单位面积建筑垃圾产生量基数，万</w:t>
      </w:r>
      <w:r>
        <w:rPr>
          <w:color w:val="auto"/>
          <w:lang w:eastAsia="zh-CN"/>
        </w:rPr>
        <w:t>t/</w:t>
      </w:r>
      <w:r>
        <w:rPr>
          <w:rFonts w:hint="eastAsia"/>
          <w:color w:val="auto"/>
          <w:lang w:eastAsia="zh-CN"/>
        </w:rPr>
        <w:t>万</w:t>
      </w:r>
      <w:r>
        <w:rPr>
          <w:color w:val="auto"/>
          <w:lang w:eastAsia="zh-CN"/>
        </w:rPr>
        <w:t>m</w:t>
      </w:r>
      <w:r>
        <w:rPr>
          <w:rFonts w:ascii="宋体" w:hAnsi="宋体" w:eastAsia="宋体" w:cs="宋体"/>
          <w:color w:val="auto"/>
          <w:lang w:eastAsia="zh-CN"/>
        </w:rPr>
        <w:t>2</w:t>
      </w:r>
      <w:r>
        <w:rPr>
          <w:rFonts w:hint="eastAsia"/>
          <w:color w:val="auto"/>
          <w:lang w:eastAsia="zh-CN"/>
        </w:rPr>
        <w:t>，可取</w:t>
      </w:r>
      <w:r>
        <w:rPr>
          <w:color w:val="auto"/>
          <w:lang w:eastAsia="zh-CN"/>
        </w:rPr>
        <w:t>0.03~0.08</w:t>
      </w:r>
      <w:r>
        <w:rPr>
          <w:rFonts w:hint="eastAsia"/>
          <w:color w:val="auto"/>
          <w:lang w:eastAsia="zh-CN"/>
        </w:rPr>
        <w:t>。安岳县取值为</w:t>
      </w:r>
      <w:r>
        <w:rPr>
          <w:color w:val="auto"/>
          <w:lang w:eastAsia="zh-CN"/>
        </w:rPr>
        <w:t>0.05</w:t>
      </w:r>
      <w:r>
        <w:rPr>
          <w:rFonts w:hint="eastAsia"/>
          <w:color w:val="auto"/>
          <w:lang w:eastAsia="zh-CN"/>
        </w:rPr>
        <w:t>。</w:t>
      </w:r>
    </w:p>
    <w:p w14:paraId="3A37846D">
      <w:pPr>
        <w:ind w:firstLine="640"/>
        <w:rPr>
          <w:color w:val="auto"/>
          <w:lang w:eastAsia="zh-CN"/>
        </w:rPr>
      </w:pPr>
      <w:r>
        <w:rPr>
          <w:rFonts w:hint="eastAsia"/>
          <w:color w:val="auto"/>
          <w:lang w:eastAsia="zh-CN"/>
        </w:rPr>
        <w:t>根据《安岳县</w:t>
      </w:r>
      <w:r>
        <w:rPr>
          <w:color w:val="auto"/>
          <w:lang w:eastAsia="zh-CN"/>
        </w:rPr>
        <w:t>2022</w:t>
      </w:r>
      <w:r>
        <w:rPr>
          <w:rFonts w:hint="eastAsia"/>
          <w:color w:val="auto"/>
          <w:lang w:eastAsia="zh-CN"/>
        </w:rPr>
        <w:t>年国民经济和社会发展统计公报》，</w:t>
      </w:r>
      <w:r>
        <w:rPr>
          <w:color w:val="auto"/>
          <w:lang w:eastAsia="zh-CN"/>
        </w:rPr>
        <w:t>2022</w:t>
      </w:r>
      <w:r>
        <w:rPr>
          <w:rFonts w:hint="eastAsia"/>
          <w:color w:val="auto"/>
          <w:lang w:eastAsia="zh-CN"/>
        </w:rPr>
        <w:t>年安岳县施工房屋面积为</w:t>
      </w:r>
      <w:r>
        <w:rPr>
          <w:color w:val="auto"/>
          <w:lang w:eastAsia="zh-CN"/>
        </w:rPr>
        <w:t>284.9</w:t>
      </w:r>
      <w:r>
        <w:rPr>
          <w:rFonts w:hint="eastAsia"/>
          <w:color w:val="auto"/>
          <w:lang w:eastAsia="zh-CN"/>
        </w:rPr>
        <w:t>万</w:t>
      </w:r>
      <w:r>
        <w:rPr>
          <w:color w:val="auto"/>
          <w:lang w:eastAsia="zh-CN"/>
        </w:rPr>
        <w:t>m</w:t>
      </w:r>
      <w:r>
        <w:rPr>
          <w:rFonts w:ascii="宋体" w:hAnsi="宋体" w:eastAsia="宋体" w:cs="宋体"/>
          <w:color w:val="auto"/>
          <w:lang w:eastAsia="zh-CN"/>
        </w:rPr>
        <w:t>2</w:t>
      </w:r>
      <w:r>
        <w:rPr>
          <w:rFonts w:hint="eastAsia"/>
          <w:color w:val="auto"/>
          <w:lang w:eastAsia="zh-CN"/>
        </w:rPr>
        <w:t>，城镇区按</w:t>
      </w:r>
      <w:r>
        <w:rPr>
          <w:color w:val="auto"/>
          <w:lang w:eastAsia="zh-CN"/>
        </w:rPr>
        <w:t>75%</w:t>
      </w:r>
      <w:r>
        <w:rPr>
          <w:rFonts w:hint="eastAsia"/>
          <w:color w:val="auto"/>
          <w:lang w:eastAsia="zh-CN"/>
        </w:rPr>
        <w:t>估算，</w:t>
      </w:r>
      <w:r>
        <w:rPr>
          <w:color w:val="auto"/>
          <w:lang w:eastAsia="zh-CN"/>
        </w:rPr>
        <w:t>2022</w:t>
      </w:r>
      <w:r>
        <w:rPr>
          <w:rFonts w:hint="eastAsia"/>
          <w:color w:val="auto"/>
          <w:lang w:eastAsia="zh-CN"/>
        </w:rPr>
        <w:t>年安岳县城镇区域工程垃圾为</w:t>
      </w:r>
      <w:r>
        <w:rPr>
          <w:color w:val="auto"/>
          <w:lang w:eastAsia="zh-CN"/>
        </w:rPr>
        <w:t>10.68</w:t>
      </w:r>
      <w:r>
        <w:rPr>
          <w:rFonts w:hint="eastAsia"/>
          <w:color w:val="auto"/>
          <w:lang w:eastAsia="zh-CN"/>
        </w:rPr>
        <w:t>万吨。随着近年来房地产开发放缓，预测</w:t>
      </w:r>
      <w:r>
        <w:rPr>
          <w:color w:val="auto"/>
          <w:lang w:eastAsia="zh-CN"/>
        </w:rPr>
        <w:t>2025</w:t>
      </w:r>
      <w:r>
        <w:rPr>
          <w:rFonts w:hint="eastAsia"/>
          <w:color w:val="auto"/>
          <w:lang w:eastAsia="zh-CN"/>
        </w:rPr>
        <w:t>年安岳县工程垃圾为</w:t>
      </w:r>
      <w:r>
        <w:rPr>
          <w:color w:val="auto"/>
          <w:lang w:eastAsia="zh-CN"/>
        </w:rPr>
        <w:t>11</w:t>
      </w:r>
      <w:r>
        <w:rPr>
          <w:rFonts w:hint="eastAsia"/>
          <w:color w:val="auto"/>
          <w:lang w:eastAsia="zh-CN"/>
        </w:rPr>
        <w:t>万吨。</w:t>
      </w:r>
    </w:p>
    <w:p w14:paraId="7AF7C773">
      <w:pPr>
        <w:pStyle w:val="4"/>
        <w:spacing w:line="580" w:lineRule="exact"/>
        <w:ind w:firstLine="643"/>
        <w:jc w:val="both"/>
        <w:rPr>
          <w:rFonts w:eastAsia="方正楷体_GBK"/>
          <w:color w:val="auto"/>
        </w:rPr>
      </w:pPr>
      <w:r>
        <w:rPr>
          <w:rFonts w:hint="eastAsia" w:eastAsia="方正楷体_GBK"/>
          <w:color w:val="auto"/>
        </w:rPr>
        <w:t>（三）拆</w:t>
      </w:r>
      <w:bookmarkStart w:id="43" w:name="_Hlk177742416"/>
      <w:r>
        <w:rPr>
          <w:rFonts w:hint="eastAsia" w:eastAsia="方正楷体_GBK"/>
          <w:color w:val="auto"/>
        </w:rPr>
        <w:t>除</w:t>
      </w:r>
      <w:bookmarkEnd w:id="43"/>
      <w:r>
        <w:rPr>
          <w:rFonts w:hint="eastAsia" w:eastAsia="方正楷体_GBK"/>
          <w:color w:val="auto"/>
        </w:rPr>
        <w:t>垃圾</w:t>
      </w:r>
    </w:p>
    <w:p w14:paraId="4CE901D4">
      <w:pPr>
        <w:pStyle w:val="30"/>
        <w:ind w:firstLine="640"/>
        <w:rPr>
          <w:color w:val="auto"/>
          <w:lang w:eastAsia="zh-CN"/>
        </w:rPr>
      </w:pPr>
      <w:r>
        <w:rPr>
          <w:rFonts w:hint="eastAsia"/>
          <w:color w:val="auto"/>
          <w:lang w:eastAsia="zh-CN"/>
        </w:rPr>
        <w:t>拆除垃圾产生量可按公式（</w:t>
      </w:r>
      <w:r>
        <w:rPr>
          <w:color w:val="auto"/>
          <w:lang w:eastAsia="zh-CN"/>
        </w:rPr>
        <w:t>4-2</w:t>
      </w:r>
      <w:r>
        <w:rPr>
          <w:rFonts w:hint="eastAsia"/>
          <w:color w:val="auto"/>
          <w:lang w:eastAsia="zh-CN"/>
        </w:rPr>
        <w:t>）进行估算：</w:t>
      </w:r>
    </w:p>
    <w:p w14:paraId="4763960C">
      <w:pPr>
        <w:ind w:firstLine="640"/>
        <w:rPr>
          <w:color w:val="auto"/>
        </w:rPr>
      </w:pPr>
      <w:r>
        <w:rPr>
          <w:color w:val="auto"/>
        </w:rPr>
        <w:t>M</w:t>
      </w:r>
      <w:r>
        <w:rPr>
          <w:color w:val="auto"/>
          <w:vertAlign w:val="subscript"/>
        </w:rPr>
        <w:t>c</w:t>
      </w:r>
      <w:r>
        <w:rPr>
          <w:color w:val="auto"/>
        </w:rPr>
        <w:t>=R</w:t>
      </w:r>
      <w:r>
        <w:rPr>
          <w:color w:val="auto"/>
          <w:vertAlign w:val="subscript"/>
        </w:rPr>
        <w:t>c</w:t>
      </w:r>
      <w:r>
        <w:rPr>
          <w:rFonts w:hint="eastAsia"/>
          <w:color w:val="auto"/>
        </w:rPr>
        <w:t>×</w:t>
      </w:r>
      <w:r>
        <w:rPr>
          <w:color w:val="auto"/>
        </w:rPr>
        <w:t>m</w:t>
      </w:r>
      <w:r>
        <w:rPr>
          <w:color w:val="auto"/>
          <w:vertAlign w:val="subscript"/>
        </w:rPr>
        <w:t>c</w:t>
      </w:r>
      <w:r>
        <w:rPr>
          <w:color w:val="auto"/>
          <w:lang w:eastAsia="zh-CN"/>
        </w:rPr>
        <w:t xml:space="preserve">                                </w:t>
      </w:r>
      <w:r>
        <w:rPr>
          <w:rFonts w:hint="eastAsia"/>
          <w:color w:val="auto"/>
        </w:rPr>
        <w:t>（</w:t>
      </w:r>
      <w:r>
        <w:rPr>
          <w:color w:val="auto"/>
          <w:lang w:eastAsia="zh-CN"/>
        </w:rPr>
        <w:t>4</w:t>
      </w:r>
      <w:r>
        <w:rPr>
          <w:color w:val="auto"/>
        </w:rPr>
        <w:t>-2</w:t>
      </w:r>
      <w:r>
        <w:rPr>
          <w:rFonts w:hint="eastAsia"/>
          <w:color w:val="auto"/>
        </w:rPr>
        <w:t>）</w:t>
      </w:r>
    </w:p>
    <w:p w14:paraId="3A8F7A69">
      <w:pPr>
        <w:ind w:firstLine="640"/>
        <w:rPr>
          <w:color w:val="auto"/>
        </w:rPr>
      </w:pPr>
      <w:r>
        <w:rPr>
          <w:rFonts w:hint="eastAsia"/>
          <w:color w:val="auto"/>
        </w:rPr>
        <w:t>式中：</w:t>
      </w:r>
    </w:p>
    <w:p w14:paraId="34CBBA6C">
      <w:pPr>
        <w:ind w:firstLine="640"/>
        <w:rPr>
          <w:color w:val="auto"/>
          <w:lang w:eastAsia="zh-CN"/>
        </w:rPr>
      </w:pPr>
      <w:r>
        <w:rPr>
          <w:color w:val="auto"/>
          <w:lang w:eastAsia="zh-CN"/>
        </w:rPr>
        <w:t>M</w:t>
      </w:r>
      <w:r>
        <w:rPr>
          <w:color w:val="auto"/>
          <w:vertAlign w:val="subscript"/>
          <w:lang w:eastAsia="zh-CN"/>
        </w:rPr>
        <w:t>c</w:t>
      </w:r>
      <w:r>
        <w:rPr>
          <w:color w:val="auto"/>
          <w:lang w:eastAsia="zh-CN"/>
        </w:rPr>
        <w:t>—</w:t>
      </w:r>
      <w:r>
        <w:rPr>
          <w:rFonts w:hint="eastAsia"/>
          <w:color w:val="auto"/>
          <w:lang w:eastAsia="zh-CN"/>
        </w:rPr>
        <w:t>某城市或区域拆除垃圾年产生量，万</w:t>
      </w:r>
      <w:r>
        <w:rPr>
          <w:color w:val="auto"/>
          <w:lang w:eastAsia="zh-CN"/>
        </w:rPr>
        <w:t>t/</w:t>
      </w:r>
      <w:r>
        <w:rPr>
          <w:rFonts w:hint="eastAsia"/>
          <w:color w:val="auto"/>
          <w:lang w:eastAsia="zh-CN"/>
        </w:rPr>
        <w:t>年。</w:t>
      </w:r>
    </w:p>
    <w:p w14:paraId="2D5DB464">
      <w:pPr>
        <w:ind w:firstLine="640"/>
        <w:rPr>
          <w:color w:val="auto"/>
          <w:lang w:eastAsia="zh-CN"/>
        </w:rPr>
      </w:pPr>
      <w:r>
        <w:rPr>
          <w:color w:val="auto"/>
          <w:lang w:eastAsia="zh-CN"/>
        </w:rPr>
        <w:t>R</w:t>
      </w:r>
      <w:r>
        <w:rPr>
          <w:color w:val="auto"/>
          <w:vertAlign w:val="subscript"/>
          <w:lang w:eastAsia="zh-CN"/>
        </w:rPr>
        <w:t>c</w:t>
      </w:r>
      <w:r>
        <w:rPr>
          <w:color w:val="auto"/>
          <w:lang w:eastAsia="zh-CN"/>
        </w:rPr>
        <w:t>—</w:t>
      </w:r>
      <w:r>
        <w:rPr>
          <w:rFonts w:hint="eastAsia"/>
          <w:color w:val="auto"/>
          <w:lang w:eastAsia="zh-CN"/>
        </w:rPr>
        <w:t>城市或区域拆除面积，万</w:t>
      </w:r>
      <w:r>
        <w:rPr>
          <w:color w:val="auto"/>
          <w:lang w:eastAsia="zh-CN"/>
        </w:rPr>
        <w:t>m</w:t>
      </w:r>
      <w:r>
        <w:rPr>
          <w:rFonts w:ascii="宋体" w:hAnsi="宋体" w:eastAsia="宋体" w:cs="宋体"/>
          <w:color w:val="auto"/>
          <w:lang w:eastAsia="zh-CN"/>
        </w:rPr>
        <w:t>2</w:t>
      </w:r>
      <w:r>
        <w:rPr>
          <w:color w:val="auto"/>
          <w:lang w:eastAsia="zh-CN"/>
        </w:rPr>
        <w:t>/</w:t>
      </w:r>
      <w:r>
        <w:rPr>
          <w:rFonts w:hint="eastAsia"/>
          <w:color w:val="auto"/>
          <w:lang w:eastAsia="zh-CN"/>
        </w:rPr>
        <w:t>年。</w:t>
      </w:r>
    </w:p>
    <w:p w14:paraId="17A7504F">
      <w:pPr>
        <w:ind w:firstLine="640"/>
        <w:rPr>
          <w:color w:val="auto"/>
          <w:lang w:eastAsia="zh-CN"/>
        </w:rPr>
      </w:pPr>
      <w:r>
        <w:rPr>
          <w:color w:val="auto"/>
          <w:lang w:eastAsia="zh-CN"/>
        </w:rPr>
        <w:t>m</w:t>
      </w:r>
      <w:r>
        <w:rPr>
          <w:color w:val="auto"/>
          <w:vertAlign w:val="subscript"/>
          <w:lang w:eastAsia="zh-CN"/>
        </w:rPr>
        <w:t>c</w:t>
      </w:r>
      <w:r>
        <w:rPr>
          <w:color w:val="auto"/>
          <w:lang w:eastAsia="zh-CN"/>
        </w:rPr>
        <w:t>—</w:t>
      </w:r>
      <w:r>
        <w:rPr>
          <w:rFonts w:hint="eastAsia"/>
          <w:color w:val="auto"/>
          <w:lang w:eastAsia="zh-CN"/>
        </w:rPr>
        <w:t>单位面积建筑垃圾产生量基数，万</w:t>
      </w:r>
      <w:r>
        <w:rPr>
          <w:color w:val="auto"/>
          <w:lang w:eastAsia="zh-CN"/>
        </w:rPr>
        <w:t>t/</w:t>
      </w:r>
      <w:r>
        <w:rPr>
          <w:rFonts w:hint="eastAsia"/>
          <w:color w:val="auto"/>
          <w:lang w:eastAsia="zh-CN"/>
        </w:rPr>
        <w:t>万</w:t>
      </w:r>
      <w:r>
        <w:rPr>
          <w:color w:val="auto"/>
          <w:lang w:eastAsia="zh-CN"/>
        </w:rPr>
        <w:t>m</w:t>
      </w:r>
      <w:r>
        <w:rPr>
          <w:rFonts w:ascii="宋体" w:hAnsi="宋体" w:eastAsia="宋体" w:cs="宋体"/>
          <w:color w:val="auto"/>
          <w:lang w:eastAsia="zh-CN"/>
        </w:rPr>
        <w:t>2</w:t>
      </w:r>
      <w:r>
        <w:rPr>
          <w:rFonts w:hint="eastAsia"/>
          <w:color w:val="auto"/>
          <w:lang w:eastAsia="zh-CN"/>
        </w:rPr>
        <w:t>，可取</w:t>
      </w:r>
      <w:r>
        <w:rPr>
          <w:color w:val="auto"/>
          <w:lang w:eastAsia="zh-CN"/>
        </w:rPr>
        <w:t>0.8~1.3</w:t>
      </w:r>
      <w:r>
        <w:rPr>
          <w:rFonts w:hint="eastAsia"/>
          <w:color w:val="auto"/>
          <w:lang w:eastAsia="zh-CN"/>
        </w:rPr>
        <w:t>，安岳县取值</w:t>
      </w:r>
      <w:r>
        <w:rPr>
          <w:color w:val="auto"/>
          <w:lang w:eastAsia="zh-CN"/>
        </w:rPr>
        <w:t>1.0</w:t>
      </w:r>
      <w:r>
        <w:rPr>
          <w:rFonts w:hint="eastAsia"/>
          <w:color w:val="auto"/>
          <w:lang w:eastAsia="zh-CN"/>
        </w:rPr>
        <w:t>。</w:t>
      </w:r>
    </w:p>
    <w:p w14:paraId="43F15630">
      <w:pPr>
        <w:ind w:firstLine="640"/>
        <w:rPr>
          <w:color w:val="auto"/>
          <w:lang w:eastAsia="zh-CN"/>
        </w:rPr>
      </w:pPr>
      <w:r>
        <w:rPr>
          <w:rFonts w:hint="eastAsia"/>
          <w:color w:val="auto"/>
          <w:lang w:eastAsia="zh-CN"/>
        </w:rPr>
        <w:t>根据《资阳市“十四五”城镇住房发展规划》，截至“十三</w:t>
      </w:r>
      <w:r>
        <w:rPr>
          <w:rFonts w:hint="eastAsia"/>
          <w:color w:val="auto"/>
          <w:spacing w:val="-4"/>
          <w:lang w:eastAsia="zh-CN"/>
        </w:rPr>
        <w:t>五</w:t>
      </w:r>
      <w:r>
        <w:rPr>
          <w:rFonts w:hint="eastAsia"/>
          <w:color w:val="auto"/>
          <w:lang w:eastAsia="zh-CN"/>
        </w:rPr>
        <w:t>”</w:t>
      </w:r>
      <w:r>
        <w:rPr>
          <w:rFonts w:hint="eastAsia"/>
          <w:color w:val="auto"/>
          <w:spacing w:val="-4"/>
          <w:lang w:eastAsia="zh-CN"/>
        </w:rPr>
        <w:t>末，城镇居民人均住房面积</w:t>
      </w:r>
      <w:r>
        <w:rPr>
          <w:color w:val="auto"/>
          <w:spacing w:val="-4"/>
          <w:lang w:eastAsia="zh-CN"/>
        </w:rPr>
        <w:t>34.5m</w:t>
      </w:r>
      <w:r>
        <w:rPr>
          <w:rFonts w:ascii="宋体" w:hAnsi="宋体" w:eastAsia="宋体" w:cs="宋体"/>
          <w:color w:val="auto"/>
          <w:spacing w:val="-4"/>
          <w:lang w:eastAsia="zh-CN"/>
        </w:rPr>
        <w:t>2</w:t>
      </w:r>
      <w:r>
        <w:rPr>
          <w:rFonts w:hint="eastAsia"/>
          <w:color w:val="auto"/>
          <w:spacing w:val="-4"/>
          <w:lang w:eastAsia="zh-CN"/>
        </w:rPr>
        <w:t>。拆除建筑物按建筑面积的</w:t>
      </w:r>
      <w:r>
        <w:rPr>
          <w:color w:val="auto"/>
          <w:spacing w:val="-4"/>
          <w:lang w:eastAsia="zh-CN"/>
        </w:rPr>
        <w:t>0.8%</w:t>
      </w:r>
      <w:r>
        <w:rPr>
          <w:rFonts w:hint="eastAsia"/>
          <w:color w:val="auto"/>
          <w:spacing w:val="-4"/>
          <w:lang w:eastAsia="zh-CN"/>
        </w:rPr>
        <w:t>考虑，估算</w:t>
      </w:r>
      <w:r>
        <w:rPr>
          <w:color w:val="auto"/>
          <w:spacing w:val="-4"/>
          <w:lang w:eastAsia="zh-CN"/>
        </w:rPr>
        <w:t>2022</w:t>
      </w:r>
      <w:r>
        <w:rPr>
          <w:rFonts w:hint="eastAsia"/>
          <w:color w:val="auto"/>
          <w:spacing w:val="-4"/>
          <w:lang w:eastAsia="zh-CN"/>
        </w:rPr>
        <w:t>年安岳县城镇区域拆除垃圾为</w:t>
      </w:r>
      <w:r>
        <w:rPr>
          <w:color w:val="auto"/>
          <w:spacing w:val="-4"/>
          <w:lang w:eastAsia="zh-CN"/>
        </w:rPr>
        <w:t>8.55</w:t>
      </w:r>
      <w:r>
        <w:rPr>
          <w:rFonts w:hint="eastAsia"/>
          <w:color w:val="auto"/>
          <w:spacing w:val="-4"/>
          <w:lang w:eastAsia="zh-CN"/>
        </w:rPr>
        <w:t>万</w:t>
      </w:r>
      <w:r>
        <w:rPr>
          <w:rFonts w:hint="eastAsia"/>
          <w:color w:val="auto"/>
          <w:lang w:eastAsia="zh-CN"/>
        </w:rPr>
        <w:t>吨，预测</w:t>
      </w:r>
      <w:r>
        <w:rPr>
          <w:color w:val="auto"/>
          <w:lang w:eastAsia="zh-CN"/>
        </w:rPr>
        <w:t>2025</w:t>
      </w:r>
      <w:r>
        <w:rPr>
          <w:rFonts w:hint="eastAsia"/>
          <w:color w:val="auto"/>
          <w:lang w:eastAsia="zh-CN"/>
        </w:rPr>
        <w:t>年安岳县拆除垃圾为</w:t>
      </w:r>
      <w:r>
        <w:rPr>
          <w:color w:val="auto"/>
          <w:lang w:eastAsia="zh-CN"/>
        </w:rPr>
        <w:t>9.0</w:t>
      </w:r>
      <w:r>
        <w:rPr>
          <w:rFonts w:hint="eastAsia"/>
          <w:color w:val="auto"/>
          <w:lang w:eastAsia="zh-CN"/>
        </w:rPr>
        <w:t>万吨。</w:t>
      </w:r>
    </w:p>
    <w:p w14:paraId="29729A2D">
      <w:pPr>
        <w:pStyle w:val="4"/>
        <w:spacing w:line="580" w:lineRule="exact"/>
        <w:ind w:firstLine="643"/>
        <w:jc w:val="both"/>
        <w:rPr>
          <w:rFonts w:eastAsia="方正楷体_GBK"/>
          <w:color w:val="auto"/>
        </w:rPr>
      </w:pPr>
      <w:r>
        <w:rPr>
          <w:rFonts w:hint="eastAsia" w:eastAsia="方正楷体_GBK"/>
          <w:color w:val="auto"/>
        </w:rPr>
        <w:t>（四）装修垃圾</w:t>
      </w:r>
    </w:p>
    <w:p w14:paraId="254BF51F">
      <w:pPr>
        <w:ind w:firstLine="640"/>
        <w:rPr>
          <w:color w:val="auto"/>
          <w:lang w:eastAsia="zh-CN"/>
        </w:rPr>
      </w:pPr>
      <w:r>
        <w:rPr>
          <w:rFonts w:hint="eastAsia"/>
          <w:color w:val="auto"/>
          <w:lang w:eastAsia="zh-CN"/>
        </w:rPr>
        <w:t>装修垃圾产生量可按公式（</w:t>
      </w:r>
      <w:r>
        <w:rPr>
          <w:color w:val="auto"/>
          <w:lang w:eastAsia="zh-CN"/>
        </w:rPr>
        <w:t>4-3</w:t>
      </w:r>
      <w:r>
        <w:rPr>
          <w:rFonts w:hint="eastAsia"/>
          <w:color w:val="auto"/>
          <w:lang w:eastAsia="zh-CN"/>
        </w:rPr>
        <w:t>）进行估算：</w:t>
      </w:r>
    </w:p>
    <w:p w14:paraId="39E80624">
      <w:pPr>
        <w:ind w:firstLine="640"/>
        <w:rPr>
          <w:color w:val="auto"/>
        </w:rPr>
      </w:pPr>
      <w:r>
        <w:rPr>
          <w:color w:val="auto"/>
        </w:rPr>
        <w:t>M</w:t>
      </w:r>
      <w:r>
        <w:rPr>
          <w:color w:val="auto"/>
          <w:vertAlign w:val="subscript"/>
        </w:rPr>
        <w:t>z</w:t>
      </w:r>
      <w:r>
        <w:rPr>
          <w:color w:val="auto"/>
        </w:rPr>
        <w:t>=R</w:t>
      </w:r>
      <w:r>
        <w:rPr>
          <w:color w:val="auto"/>
          <w:vertAlign w:val="subscript"/>
        </w:rPr>
        <w:t>z</w:t>
      </w:r>
      <w:r>
        <w:rPr>
          <w:rFonts w:hint="eastAsia"/>
          <w:color w:val="auto"/>
        </w:rPr>
        <w:t>×</w:t>
      </w:r>
      <w:r>
        <w:rPr>
          <w:color w:val="auto"/>
        </w:rPr>
        <w:t>m</w:t>
      </w:r>
      <w:r>
        <w:rPr>
          <w:color w:val="auto"/>
          <w:vertAlign w:val="subscript"/>
        </w:rPr>
        <w:t>z</w:t>
      </w:r>
      <w:r>
        <w:rPr>
          <w:color w:val="auto"/>
          <w:lang w:eastAsia="zh-CN"/>
        </w:rPr>
        <w:t xml:space="preserve">              </w:t>
      </w:r>
      <w:r>
        <w:rPr>
          <w:rFonts w:hint="eastAsia"/>
          <w:color w:val="auto"/>
        </w:rPr>
        <w:t>（</w:t>
      </w:r>
      <w:r>
        <w:rPr>
          <w:color w:val="auto"/>
          <w:lang w:eastAsia="zh-CN"/>
        </w:rPr>
        <w:t>4</w:t>
      </w:r>
      <w:r>
        <w:rPr>
          <w:color w:val="auto"/>
        </w:rPr>
        <w:t>-3</w:t>
      </w:r>
      <w:r>
        <w:rPr>
          <w:rFonts w:hint="eastAsia"/>
          <w:color w:val="auto"/>
        </w:rPr>
        <w:t>）</w:t>
      </w:r>
    </w:p>
    <w:p w14:paraId="4EE2D31B">
      <w:pPr>
        <w:ind w:firstLine="640"/>
        <w:rPr>
          <w:color w:val="auto"/>
        </w:rPr>
      </w:pPr>
      <w:r>
        <w:rPr>
          <w:rFonts w:hint="eastAsia"/>
          <w:color w:val="auto"/>
        </w:rPr>
        <w:t>式中：</w:t>
      </w:r>
    </w:p>
    <w:p w14:paraId="617A178E">
      <w:pPr>
        <w:ind w:firstLine="640"/>
        <w:rPr>
          <w:color w:val="auto"/>
          <w:lang w:eastAsia="zh-CN"/>
        </w:rPr>
      </w:pPr>
      <w:r>
        <w:rPr>
          <w:color w:val="auto"/>
          <w:lang w:eastAsia="zh-CN"/>
        </w:rPr>
        <w:t>M</w:t>
      </w:r>
      <w:r>
        <w:rPr>
          <w:color w:val="auto"/>
          <w:vertAlign w:val="subscript"/>
          <w:lang w:eastAsia="zh-CN"/>
        </w:rPr>
        <w:t>z</w:t>
      </w:r>
      <w:r>
        <w:rPr>
          <w:color w:val="auto"/>
          <w:lang w:eastAsia="zh-CN"/>
        </w:rPr>
        <w:t>—</w:t>
      </w:r>
      <w:r>
        <w:rPr>
          <w:rFonts w:hint="eastAsia"/>
          <w:color w:val="auto"/>
          <w:lang w:eastAsia="zh-CN"/>
        </w:rPr>
        <w:t>某城市或区域装修垃圾年产生量，</w:t>
      </w:r>
      <w:r>
        <w:rPr>
          <w:color w:val="auto"/>
          <w:lang w:eastAsia="zh-CN"/>
        </w:rPr>
        <w:t>t/</w:t>
      </w:r>
      <w:r>
        <w:rPr>
          <w:rFonts w:hint="eastAsia"/>
          <w:color w:val="auto"/>
          <w:lang w:eastAsia="zh-CN"/>
        </w:rPr>
        <w:t>年。</w:t>
      </w:r>
    </w:p>
    <w:p w14:paraId="49E5094D">
      <w:pPr>
        <w:ind w:firstLine="640"/>
        <w:rPr>
          <w:color w:val="auto"/>
          <w:lang w:eastAsia="zh-CN"/>
        </w:rPr>
      </w:pPr>
      <w:r>
        <w:rPr>
          <w:color w:val="auto"/>
          <w:lang w:eastAsia="zh-CN"/>
        </w:rPr>
        <w:t>R</w:t>
      </w:r>
      <w:r>
        <w:rPr>
          <w:color w:val="auto"/>
          <w:vertAlign w:val="subscript"/>
          <w:lang w:eastAsia="zh-CN"/>
        </w:rPr>
        <w:t>z</w:t>
      </w:r>
      <w:r>
        <w:rPr>
          <w:color w:val="auto"/>
          <w:lang w:eastAsia="zh-CN"/>
        </w:rPr>
        <w:t>—</w:t>
      </w:r>
      <w:r>
        <w:rPr>
          <w:rFonts w:hint="eastAsia"/>
          <w:color w:val="auto"/>
          <w:lang w:eastAsia="zh-CN"/>
        </w:rPr>
        <w:t>城市或区域居民户数，户</w:t>
      </w:r>
      <w:r>
        <w:rPr>
          <w:color w:val="auto"/>
          <w:lang w:eastAsia="zh-CN"/>
        </w:rPr>
        <w:t>/</w:t>
      </w:r>
      <w:r>
        <w:rPr>
          <w:rFonts w:hint="eastAsia"/>
          <w:color w:val="auto"/>
          <w:lang w:eastAsia="zh-CN"/>
        </w:rPr>
        <w:t>年。</w:t>
      </w:r>
    </w:p>
    <w:p w14:paraId="7C470F1C">
      <w:pPr>
        <w:ind w:firstLine="640"/>
        <w:rPr>
          <w:color w:val="auto"/>
          <w:lang w:eastAsia="zh-CN"/>
        </w:rPr>
      </w:pPr>
      <w:r>
        <w:rPr>
          <w:color w:val="auto"/>
          <w:lang w:eastAsia="zh-CN"/>
        </w:rPr>
        <w:t>m</w:t>
      </w:r>
      <w:r>
        <w:rPr>
          <w:color w:val="auto"/>
          <w:vertAlign w:val="subscript"/>
          <w:lang w:eastAsia="zh-CN"/>
        </w:rPr>
        <w:t>z</w:t>
      </w:r>
      <w:r>
        <w:rPr>
          <w:color w:val="auto"/>
          <w:lang w:eastAsia="zh-CN"/>
        </w:rPr>
        <w:t>—</w:t>
      </w:r>
      <w:r>
        <w:rPr>
          <w:rFonts w:hint="eastAsia"/>
          <w:color w:val="auto"/>
          <w:lang w:eastAsia="zh-CN"/>
        </w:rPr>
        <w:t>单位户数装修垃圾产生量基数，</w:t>
      </w:r>
      <w:r>
        <w:rPr>
          <w:color w:val="auto"/>
          <w:lang w:eastAsia="zh-CN"/>
        </w:rPr>
        <w:t>t/</w:t>
      </w:r>
      <w:r>
        <w:rPr>
          <w:rFonts w:hint="eastAsia"/>
          <w:color w:val="auto"/>
          <w:lang w:eastAsia="zh-CN"/>
        </w:rPr>
        <w:t>户，可取</w:t>
      </w:r>
      <w:r>
        <w:rPr>
          <w:color w:val="auto"/>
          <w:lang w:eastAsia="zh-CN"/>
        </w:rPr>
        <w:t>0.5~1.0</w:t>
      </w:r>
      <w:r>
        <w:rPr>
          <w:rFonts w:hint="eastAsia"/>
          <w:color w:val="auto"/>
          <w:lang w:eastAsia="zh-CN"/>
        </w:rPr>
        <w:t>，安岳县取值为</w:t>
      </w:r>
      <w:r>
        <w:rPr>
          <w:color w:val="auto"/>
          <w:lang w:eastAsia="zh-CN"/>
        </w:rPr>
        <w:t>0.8</w:t>
      </w:r>
      <w:r>
        <w:rPr>
          <w:rFonts w:hint="eastAsia"/>
          <w:color w:val="auto"/>
          <w:lang w:eastAsia="zh-CN"/>
        </w:rPr>
        <w:t>。</w:t>
      </w:r>
    </w:p>
    <w:p w14:paraId="262BE53B">
      <w:pPr>
        <w:ind w:firstLine="640"/>
        <w:rPr>
          <w:color w:val="auto"/>
          <w:lang w:eastAsia="zh-CN"/>
        </w:rPr>
      </w:pPr>
      <w:r>
        <w:rPr>
          <w:rFonts w:hint="eastAsia"/>
          <w:color w:val="auto"/>
          <w:lang w:eastAsia="zh-CN"/>
        </w:rPr>
        <w:t>根据《安岳县</w:t>
      </w:r>
      <w:r>
        <w:rPr>
          <w:color w:val="auto"/>
          <w:lang w:eastAsia="zh-CN"/>
        </w:rPr>
        <w:t>2023</w:t>
      </w:r>
      <w:r>
        <w:rPr>
          <w:rFonts w:hint="eastAsia"/>
          <w:color w:val="auto"/>
          <w:lang w:eastAsia="zh-CN"/>
        </w:rPr>
        <w:t>年国民经济和社会发展统计公报》，安岳县</w:t>
      </w:r>
      <w:r>
        <w:rPr>
          <w:color w:val="auto"/>
          <w:lang w:eastAsia="zh-CN"/>
        </w:rPr>
        <w:t>2023</w:t>
      </w:r>
      <w:r>
        <w:rPr>
          <w:rFonts w:hint="eastAsia"/>
          <w:color w:val="auto"/>
          <w:lang w:eastAsia="zh-CN"/>
        </w:rPr>
        <w:t>年末全县城镇人口</w:t>
      </w:r>
      <w:r>
        <w:rPr>
          <w:color w:val="auto"/>
          <w:lang w:eastAsia="zh-CN"/>
        </w:rPr>
        <w:t>30.98</w:t>
      </w:r>
      <w:r>
        <w:rPr>
          <w:rFonts w:hint="eastAsia"/>
          <w:color w:val="auto"/>
          <w:lang w:eastAsia="zh-CN"/>
        </w:rPr>
        <w:t>万人，户均人口</w:t>
      </w:r>
      <w:r>
        <w:rPr>
          <w:color w:val="auto"/>
          <w:lang w:eastAsia="zh-CN"/>
        </w:rPr>
        <w:t>2.85</w:t>
      </w:r>
      <w:r>
        <w:rPr>
          <w:rFonts w:hint="eastAsia"/>
          <w:color w:val="auto"/>
          <w:lang w:eastAsia="zh-CN"/>
        </w:rPr>
        <w:t>人，城镇化率为</w:t>
      </w:r>
      <w:r>
        <w:rPr>
          <w:color w:val="auto"/>
          <w:lang w:eastAsia="zh-CN"/>
        </w:rPr>
        <w:t>33.35%</w:t>
      </w:r>
      <w:r>
        <w:rPr>
          <w:rFonts w:hint="eastAsia"/>
          <w:color w:val="auto"/>
          <w:lang w:eastAsia="zh-CN"/>
        </w:rPr>
        <w:t>，估算</w:t>
      </w:r>
      <w:r>
        <w:rPr>
          <w:color w:val="auto"/>
          <w:lang w:eastAsia="zh-CN"/>
        </w:rPr>
        <w:t>2023</w:t>
      </w:r>
      <w:r>
        <w:rPr>
          <w:rFonts w:hint="eastAsia"/>
          <w:color w:val="auto"/>
          <w:lang w:eastAsia="zh-CN"/>
        </w:rPr>
        <w:t>年安岳县装修垃圾为</w:t>
      </w:r>
      <w:r>
        <w:rPr>
          <w:color w:val="auto"/>
          <w:lang w:eastAsia="zh-CN"/>
        </w:rPr>
        <w:t>8.70</w:t>
      </w:r>
      <w:r>
        <w:rPr>
          <w:rFonts w:hint="eastAsia"/>
          <w:color w:val="auto"/>
          <w:lang w:eastAsia="zh-CN"/>
        </w:rPr>
        <w:t>万吨，预测</w:t>
      </w:r>
      <w:r>
        <w:rPr>
          <w:color w:val="auto"/>
          <w:lang w:eastAsia="zh-CN"/>
        </w:rPr>
        <w:t>2025</w:t>
      </w:r>
      <w:r>
        <w:rPr>
          <w:rFonts w:hint="eastAsia"/>
          <w:color w:val="auto"/>
          <w:lang w:eastAsia="zh-CN"/>
        </w:rPr>
        <w:t>年安岳县装修垃圾为</w:t>
      </w:r>
      <w:r>
        <w:rPr>
          <w:color w:val="auto"/>
          <w:lang w:eastAsia="zh-CN"/>
        </w:rPr>
        <w:t>9.0</w:t>
      </w:r>
      <w:r>
        <w:rPr>
          <w:rFonts w:hint="eastAsia"/>
          <w:color w:val="auto"/>
          <w:lang w:eastAsia="zh-CN"/>
        </w:rPr>
        <w:t>万吨。</w:t>
      </w:r>
    </w:p>
    <w:p w14:paraId="4537BEA6">
      <w:pPr>
        <w:ind w:firstLine="640"/>
        <w:rPr>
          <w:color w:val="auto"/>
          <w:lang w:eastAsia="zh-CN"/>
        </w:rPr>
      </w:pPr>
      <w:r>
        <w:rPr>
          <w:rFonts w:hint="eastAsia"/>
          <w:color w:val="auto"/>
          <w:lang w:eastAsia="zh-CN"/>
        </w:rPr>
        <w:t>综上所述，预测</w:t>
      </w:r>
      <w:r>
        <w:rPr>
          <w:color w:val="auto"/>
          <w:lang w:eastAsia="zh-CN"/>
        </w:rPr>
        <w:t>2025</w:t>
      </w:r>
      <w:r>
        <w:rPr>
          <w:rFonts w:hint="eastAsia"/>
          <w:color w:val="auto"/>
          <w:lang w:eastAsia="zh-CN"/>
        </w:rPr>
        <w:t>年安岳县工程垃圾为</w:t>
      </w:r>
      <w:r>
        <w:rPr>
          <w:color w:val="auto"/>
          <w:lang w:eastAsia="zh-CN"/>
        </w:rPr>
        <w:t>11</w:t>
      </w:r>
      <w:r>
        <w:rPr>
          <w:rFonts w:hint="eastAsia"/>
          <w:color w:val="auto"/>
          <w:lang w:eastAsia="zh-CN"/>
        </w:rPr>
        <w:t>万吨、拆除垃圾为</w:t>
      </w:r>
      <w:r>
        <w:rPr>
          <w:color w:val="auto"/>
          <w:lang w:eastAsia="zh-CN"/>
        </w:rPr>
        <w:t>9.0</w:t>
      </w:r>
      <w:r>
        <w:rPr>
          <w:rFonts w:hint="eastAsia"/>
          <w:color w:val="auto"/>
          <w:lang w:eastAsia="zh-CN"/>
        </w:rPr>
        <w:t>万吨、装修垃圾为</w:t>
      </w:r>
      <w:r>
        <w:rPr>
          <w:color w:val="auto"/>
          <w:lang w:eastAsia="zh-CN"/>
        </w:rPr>
        <w:t>9.0</w:t>
      </w:r>
      <w:r>
        <w:rPr>
          <w:rFonts w:hint="eastAsia"/>
          <w:color w:val="auto"/>
          <w:lang w:eastAsia="zh-CN"/>
        </w:rPr>
        <w:t>万吨。预测</w:t>
      </w:r>
      <w:r>
        <w:rPr>
          <w:color w:val="auto"/>
          <w:lang w:eastAsia="zh-CN"/>
        </w:rPr>
        <w:t>2025</w:t>
      </w:r>
      <w:r>
        <w:rPr>
          <w:rFonts w:hint="eastAsia"/>
          <w:color w:val="auto"/>
          <w:lang w:eastAsia="zh-CN"/>
        </w:rPr>
        <w:t>年安岳县建筑垃圾总产生量为</w:t>
      </w:r>
      <w:r>
        <w:rPr>
          <w:color w:val="auto"/>
          <w:lang w:eastAsia="zh-CN"/>
        </w:rPr>
        <w:t>29.0</w:t>
      </w:r>
      <w:r>
        <w:rPr>
          <w:rFonts w:hint="eastAsia"/>
          <w:color w:val="auto"/>
          <w:lang w:eastAsia="zh-CN"/>
        </w:rPr>
        <w:t>万吨。预测到</w:t>
      </w:r>
      <w:r>
        <w:rPr>
          <w:color w:val="auto"/>
          <w:lang w:eastAsia="zh-CN"/>
        </w:rPr>
        <w:t>2030</w:t>
      </w:r>
      <w:r>
        <w:rPr>
          <w:rFonts w:hint="eastAsia"/>
          <w:color w:val="auto"/>
          <w:lang w:eastAsia="zh-CN"/>
        </w:rPr>
        <w:t>年，安岳县建筑垃圾总产生量为</w:t>
      </w:r>
      <w:r>
        <w:rPr>
          <w:color w:val="auto"/>
          <w:lang w:eastAsia="zh-CN"/>
        </w:rPr>
        <w:t>30</w:t>
      </w:r>
      <w:r>
        <w:rPr>
          <w:rFonts w:hint="eastAsia"/>
          <w:color w:val="auto"/>
          <w:lang w:eastAsia="zh-CN"/>
        </w:rPr>
        <w:t>万吨。到</w:t>
      </w:r>
      <w:r>
        <w:rPr>
          <w:color w:val="auto"/>
          <w:lang w:eastAsia="zh-CN"/>
        </w:rPr>
        <w:t>2035</w:t>
      </w:r>
      <w:r>
        <w:rPr>
          <w:rFonts w:hint="eastAsia"/>
          <w:color w:val="auto"/>
          <w:lang w:eastAsia="zh-CN"/>
        </w:rPr>
        <w:t>年，安岳县建筑垃圾总产生量为</w:t>
      </w:r>
      <w:r>
        <w:rPr>
          <w:color w:val="auto"/>
          <w:lang w:eastAsia="zh-CN"/>
        </w:rPr>
        <w:t>32</w:t>
      </w:r>
      <w:r>
        <w:rPr>
          <w:rFonts w:hint="eastAsia"/>
          <w:color w:val="auto"/>
          <w:lang w:eastAsia="zh-CN"/>
        </w:rPr>
        <w:t>万吨。</w:t>
      </w:r>
    </w:p>
    <w:p w14:paraId="5619D61A">
      <w:pPr>
        <w:pStyle w:val="3"/>
        <w:spacing w:line="580" w:lineRule="exact"/>
        <w:ind w:firstLine="640"/>
        <w:rPr>
          <w:b w:val="0"/>
          <w:bCs/>
        </w:rPr>
      </w:pPr>
      <w:bookmarkStart w:id="44" w:name="_Toc175056373"/>
      <w:r>
        <w:rPr>
          <w:rFonts w:hint="eastAsia"/>
          <w:b w:val="0"/>
          <w:bCs/>
        </w:rPr>
        <w:t>第二节</w:t>
      </w:r>
      <w:r>
        <w:rPr>
          <w:b w:val="0"/>
          <w:bCs/>
        </w:rPr>
        <w:t xml:space="preserve"> </w:t>
      </w:r>
      <w:r>
        <w:rPr>
          <w:rFonts w:hint="eastAsia"/>
          <w:b w:val="0"/>
          <w:bCs/>
        </w:rPr>
        <w:t>处置量预测</w:t>
      </w:r>
      <w:bookmarkEnd w:id="44"/>
    </w:p>
    <w:p w14:paraId="0642ABBE">
      <w:pPr>
        <w:ind w:firstLine="640"/>
        <w:rPr>
          <w:color w:val="auto"/>
          <w:lang w:eastAsia="zh-CN"/>
        </w:rPr>
      </w:pPr>
      <w:r>
        <w:rPr>
          <w:rFonts w:hint="eastAsia"/>
          <w:color w:val="auto"/>
          <w:lang w:eastAsia="zh-CN"/>
        </w:rPr>
        <w:t>到</w:t>
      </w:r>
      <w:r>
        <w:rPr>
          <w:color w:val="auto"/>
          <w:lang w:eastAsia="zh-CN"/>
        </w:rPr>
        <w:t>2030</w:t>
      </w:r>
      <w:r>
        <w:rPr>
          <w:rFonts w:hint="eastAsia"/>
          <w:color w:val="auto"/>
          <w:lang w:eastAsia="zh-CN"/>
        </w:rPr>
        <w:t>年，安岳县建筑垃圾综合处置量要达到约</w:t>
      </w:r>
      <w:r>
        <w:rPr>
          <w:color w:val="auto"/>
          <w:lang w:eastAsia="zh-CN"/>
        </w:rPr>
        <w:t>30</w:t>
      </w:r>
      <w:r>
        <w:rPr>
          <w:rFonts w:hint="eastAsia"/>
          <w:color w:val="auto"/>
          <w:lang w:eastAsia="zh-CN"/>
        </w:rPr>
        <w:t>万吨</w:t>
      </w:r>
      <w:r>
        <w:rPr>
          <w:color w:val="auto"/>
          <w:lang w:eastAsia="zh-CN"/>
        </w:rPr>
        <w:t>/</w:t>
      </w:r>
      <w:r>
        <w:rPr>
          <w:rFonts w:hint="eastAsia"/>
          <w:color w:val="auto"/>
          <w:lang w:eastAsia="zh-CN"/>
        </w:rPr>
        <w:t>年；到</w:t>
      </w:r>
      <w:r>
        <w:rPr>
          <w:color w:val="auto"/>
          <w:lang w:eastAsia="zh-CN"/>
        </w:rPr>
        <w:t>2035</w:t>
      </w:r>
      <w:r>
        <w:rPr>
          <w:rFonts w:hint="eastAsia"/>
          <w:color w:val="auto"/>
          <w:lang w:eastAsia="zh-CN"/>
        </w:rPr>
        <w:t>年，安岳县建筑垃圾综合处置量达到</w:t>
      </w:r>
      <w:r>
        <w:rPr>
          <w:color w:val="auto"/>
          <w:lang w:eastAsia="zh-CN"/>
        </w:rPr>
        <w:t>32</w:t>
      </w:r>
      <w:r>
        <w:rPr>
          <w:rFonts w:hint="eastAsia"/>
          <w:color w:val="auto"/>
          <w:lang w:eastAsia="zh-CN"/>
        </w:rPr>
        <w:t>万吨</w:t>
      </w:r>
      <w:r>
        <w:rPr>
          <w:color w:val="auto"/>
          <w:lang w:eastAsia="zh-CN"/>
        </w:rPr>
        <w:t>/</w:t>
      </w:r>
      <w:r>
        <w:rPr>
          <w:rFonts w:hint="eastAsia"/>
          <w:color w:val="auto"/>
          <w:lang w:eastAsia="zh-CN"/>
        </w:rPr>
        <w:t>年。</w:t>
      </w:r>
    </w:p>
    <w:p w14:paraId="0EFA569F">
      <w:pPr>
        <w:spacing w:line="660" w:lineRule="exact"/>
        <w:ind w:firstLine="0" w:firstLineChars="0"/>
        <w:jc w:val="center"/>
        <w:rPr>
          <w:lang w:eastAsia="zh-CN"/>
        </w:rPr>
        <w:sectPr>
          <w:pgSz w:w="11907" w:h="16840"/>
          <w:pgMar w:top="2155" w:right="1531" w:bottom="1814" w:left="1531" w:header="851" w:footer="1588" w:gutter="0"/>
          <w:pgNumType w:fmt="numberInDash"/>
          <w:cols w:space="0" w:num="1"/>
          <w:docGrid w:linePitch="435" w:charSpace="0"/>
        </w:sectPr>
      </w:pPr>
      <w:bookmarkStart w:id="45" w:name="_Toc175056374"/>
    </w:p>
    <w:p w14:paraId="78780C71">
      <w:pPr>
        <w:spacing w:line="660" w:lineRule="exact"/>
        <w:ind w:firstLine="0" w:firstLineChars="0"/>
        <w:jc w:val="center"/>
        <w:rPr>
          <w:rFonts w:eastAsia="方正小标宋_GBK"/>
          <w:sz w:val="44"/>
          <w:szCs w:val="44"/>
          <w:lang w:eastAsia="zh-CN"/>
        </w:rPr>
      </w:pPr>
      <w:r>
        <w:rPr>
          <w:rFonts w:hint="eastAsia" w:eastAsia="方正小标宋_GBK"/>
          <w:sz w:val="44"/>
          <w:szCs w:val="44"/>
          <w:lang w:eastAsia="zh-CN"/>
        </w:rPr>
        <w:t>第五章</w:t>
      </w:r>
      <w:r>
        <w:rPr>
          <w:rFonts w:eastAsia="方正小标宋_GBK"/>
          <w:sz w:val="44"/>
          <w:szCs w:val="44"/>
          <w:lang w:eastAsia="zh-CN"/>
        </w:rPr>
        <w:t xml:space="preserve"> </w:t>
      </w:r>
      <w:r>
        <w:rPr>
          <w:rFonts w:hint="eastAsia" w:eastAsia="方正小标宋_GBK"/>
          <w:sz w:val="44"/>
          <w:szCs w:val="44"/>
          <w:lang w:eastAsia="zh-CN"/>
        </w:rPr>
        <w:t>收集运输体系规划</w:t>
      </w:r>
      <w:bookmarkEnd w:id="45"/>
    </w:p>
    <w:p w14:paraId="5BE905FD">
      <w:pPr>
        <w:spacing w:line="200" w:lineRule="exact"/>
        <w:ind w:firstLine="0" w:firstLineChars="0"/>
        <w:jc w:val="center"/>
        <w:rPr>
          <w:rFonts w:eastAsia="方正小标宋_GBK"/>
          <w:sz w:val="44"/>
          <w:szCs w:val="44"/>
          <w:lang w:eastAsia="zh-CN"/>
        </w:rPr>
      </w:pPr>
    </w:p>
    <w:p w14:paraId="0BC6BCBF">
      <w:pPr>
        <w:pStyle w:val="3"/>
        <w:spacing w:line="580" w:lineRule="exact"/>
        <w:ind w:firstLine="640"/>
        <w:rPr>
          <w:b w:val="0"/>
          <w:bCs/>
        </w:rPr>
      </w:pPr>
      <w:bookmarkStart w:id="46" w:name="_Toc175056375"/>
      <w:r>
        <w:rPr>
          <w:rFonts w:hint="eastAsia"/>
          <w:b w:val="0"/>
          <w:bCs/>
        </w:rPr>
        <w:t>第一节</w:t>
      </w:r>
      <w:r>
        <w:rPr>
          <w:b w:val="0"/>
          <w:bCs/>
        </w:rPr>
        <w:t xml:space="preserve"> </w:t>
      </w:r>
      <w:r>
        <w:rPr>
          <w:rFonts w:hint="eastAsia"/>
          <w:b w:val="0"/>
          <w:bCs/>
        </w:rPr>
        <w:t>建筑垃圾收运模式</w:t>
      </w:r>
      <w:bookmarkEnd w:id="46"/>
    </w:p>
    <w:p w14:paraId="4D92EA82">
      <w:pPr>
        <w:ind w:firstLine="640"/>
        <w:rPr>
          <w:color w:val="auto"/>
          <w:lang w:eastAsia="zh-CN"/>
        </w:rPr>
      </w:pPr>
      <w:r>
        <w:rPr>
          <w:rFonts w:hint="eastAsia"/>
          <w:color w:val="auto"/>
          <w:lang w:eastAsia="zh-CN"/>
        </w:rPr>
        <w:t>建筑垃圾收运由县综合行政执法局核准通过的收运公司负责。工程渣土、工程泥浆、工程垃圾、拆除垃圾和装修垃圾因成分构成、产生位置、处置方式等不同，采取差异化收运体系。工程渣土、工程垃圾、拆除垃圾办理行政处置许可手续，交由审核批准具备运输资格的单位进场进行清运，清运至指定的处置场所进行资源化利用或最终处置。工程泥浆应在施工现场设立沉淀池，经脱水预处理后形成干泥，再按照工程渣土流程运送至渣土消纳场。装修垃圾堆放于集中收集场地，由有资质的运输企业至装修垃圾收集点进行收集，再运至建筑垃圾转运调配场或者消纳场所处置。</w:t>
      </w:r>
    </w:p>
    <w:p w14:paraId="57D05731">
      <w:pPr>
        <w:pStyle w:val="3"/>
        <w:spacing w:line="580" w:lineRule="exact"/>
        <w:ind w:firstLine="640"/>
        <w:rPr>
          <w:b w:val="0"/>
          <w:bCs/>
        </w:rPr>
      </w:pPr>
      <w:bookmarkStart w:id="47" w:name="_Toc175056376"/>
      <w:r>
        <w:rPr>
          <w:rFonts w:hint="eastAsia"/>
          <w:b w:val="0"/>
          <w:bCs/>
        </w:rPr>
        <w:t>第二节</w:t>
      </w:r>
      <w:r>
        <w:rPr>
          <w:b w:val="0"/>
          <w:bCs/>
        </w:rPr>
        <w:t xml:space="preserve"> </w:t>
      </w:r>
      <w:r>
        <w:rPr>
          <w:rFonts w:hint="eastAsia"/>
          <w:b w:val="0"/>
          <w:bCs/>
        </w:rPr>
        <w:t>建筑垃圾相关单位要求</w:t>
      </w:r>
      <w:bookmarkEnd w:id="47"/>
    </w:p>
    <w:p w14:paraId="7218AD89">
      <w:pPr>
        <w:pStyle w:val="4"/>
        <w:spacing w:line="580" w:lineRule="exact"/>
        <w:ind w:firstLine="643"/>
        <w:jc w:val="both"/>
        <w:rPr>
          <w:rFonts w:eastAsia="方正楷体_GBK"/>
          <w:b w:val="0"/>
          <w:bCs w:val="0"/>
          <w:color w:val="auto"/>
        </w:rPr>
      </w:pPr>
      <w:r>
        <w:rPr>
          <w:rFonts w:hint="eastAsia" w:eastAsia="方正楷体_GBK"/>
          <w:color w:val="auto"/>
        </w:rPr>
        <w:t>（一）工程施工单位</w:t>
      </w:r>
    </w:p>
    <w:p w14:paraId="345B1FBC">
      <w:pPr>
        <w:ind w:firstLine="640"/>
        <w:rPr>
          <w:color w:val="auto"/>
          <w:lang w:eastAsia="zh-CN"/>
        </w:rPr>
      </w:pPr>
      <w:r>
        <w:rPr>
          <w:rFonts w:hint="eastAsia"/>
          <w:color w:val="auto"/>
          <w:lang w:eastAsia="zh-CN"/>
        </w:rPr>
        <w:t>工程施工单位应当向县综合行政执法局申请建筑垃圾处置核准许可，根据工程工期、建筑垃圾量、道路状况和环境保护要求，对建筑垃圾处置方案进行审查。施工产生的建筑垃圾应分类堆放，不得混装混运，防止环境污染。</w:t>
      </w:r>
    </w:p>
    <w:p w14:paraId="1B4EE64A">
      <w:pPr>
        <w:pStyle w:val="4"/>
        <w:spacing w:line="580" w:lineRule="exact"/>
        <w:ind w:firstLine="643"/>
        <w:jc w:val="both"/>
        <w:rPr>
          <w:rFonts w:eastAsia="方正楷体_GBK"/>
          <w:color w:val="auto"/>
        </w:rPr>
      </w:pPr>
      <w:r>
        <w:rPr>
          <w:rFonts w:hint="eastAsia" w:eastAsia="方正楷体_GBK"/>
          <w:color w:val="auto"/>
        </w:rPr>
        <w:t>（二）收集运输单位</w:t>
      </w:r>
    </w:p>
    <w:p w14:paraId="2FDCB4DA">
      <w:pPr>
        <w:ind w:firstLine="640"/>
        <w:rPr>
          <w:b/>
          <w:bCs/>
          <w:color w:val="auto"/>
          <w:lang w:eastAsia="zh-CN"/>
        </w:rPr>
      </w:pPr>
      <w:r>
        <w:rPr>
          <w:rFonts w:hint="eastAsia"/>
          <w:color w:val="auto"/>
          <w:lang w:eastAsia="zh-CN"/>
        </w:rPr>
        <w:t>经营建筑垃圾运输业务的单位应当在取得公安交管部门车辆运输经营许可后，向县综合行政执法局申请建筑垃圾准运许可。运输车辆应当按照管理部门的要求安装使用卫星定位装置，具备完整、良好的建筑垃圾分类运输设备和全密闭运输机械装置；按照规定喷印所属企业名称、标志、编号、反光标贴</w:t>
      </w:r>
      <w:r>
        <w:rPr>
          <w:rFonts w:hint="eastAsia"/>
          <w:color w:val="auto"/>
          <w:spacing w:val="-8"/>
          <w:lang w:eastAsia="zh-CN"/>
        </w:rPr>
        <w:t>及放大号牌，车身颜色醒目且相对统一。在施工现场配备管理人员，配合建设单位或者施工单位履行职责，并做好书面记录。</w:t>
      </w:r>
    </w:p>
    <w:p w14:paraId="110F4A5B">
      <w:pPr>
        <w:pStyle w:val="4"/>
        <w:spacing w:line="580" w:lineRule="exact"/>
        <w:ind w:firstLine="643"/>
        <w:jc w:val="both"/>
        <w:rPr>
          <w:rFonts w:eastAsia="方正楷体_GBK"/>
          <w:color w:val="auto"/>
        </w:rPr>
      </w:pPr>
      <w:r>
        <w:rPr>
          <w:rFonts w:hint="eastAsia" w:eastAsia="方正楷体_GBK"/>
          <w:color w:val="auto"/>
        </w:rPr>
        <w:t>（三）建筑垃圾处置单位</w:t>
      </w:r>
    </w:p>
    <w:p w14:paraId="1CD3B157">
      <w:pPr>
        <w:ind w:firstLine="640"/>
        <w:rPr>
          <w:b/>
          <w:color w:val="auto"/>
          <w:lang w:eastAsia="zh-CN"/>
        </w:rPr>
      </w:pPr>
      <w:r>
        <w:rPr>
          <w:rFonts w:hint="eastAsia"/>
          <w:color w:val="auto"/>
          <w:lang w:eastAsia="zh-CN"/>
        </w:rPr>
        <w:t>建筑垃圾处置单位应当向县综合行政执法局申请建筑垃圾处置许可。未经许可不可擅自设置回填场。建筑垃圾处置单位应当按照规定，实施场内道路硬化，设置清洗设施，配置管理人员和保洁人员，查验进场车辆的安全证、准运证、通行证，建立日作业台账。不得受纳许可规定以外的建筑垃圾，不得允许无安全证、准运证、通行证的车辆进场卸载建筑垃圾。</w:t>
      </w:r>
    </w:p>
    <w:p w14:paraId="3D537A61">
      <w:pPr>
        <w:pStyle w:val="3"/>
        <w:spacing w:line="580" w:lineRule="exact"/>
        <w:ind w:firstLine="640"/>
        <w:rPr>
          <w:b w:val="0"/>
          <w:bCs/>
        </w:rPr>
      </w:pPr>
      <w:bookmarkStart w:id="48" w:name="_Toc175056377"/>
      <w:r>
        <w:rPr>
          <w:rFonts w:hint="eastAsia"/>
          <w:b w:val="0"/>
          <w:bCs/>
        </w:rPr>
        <w:t>第三节</w:t>
      </w:r>
      <w:r>
        <w:rPr>
          <w:b w:val="0"/>
          <w:bCs/>
        </w:rPr>
        <w:t xml:space="preserve"> </w:t>
      </w:r>
      <w:r>
        <w:rPr>
          <w:rFonts w:hint="eastAsia"/>
          <w:b w:val="0"/>
          <w:bCs/>
        </w:rPr>
        <w:t>收集要求</w:t>
      </w:r>
      <w:bookmarkEnd w:id="48"/>
    </w:p>
    <w:p w14:paraId="77F9A204">
      <w:pPr>
        <w:pStyle w:val="4"/>
        <w:spacing w:line="580" w:lineRule="exact"/>
        <w:ind w:firstLine="643"/>
        <w:jc w:val="both"/>
        <w:rPr>
          <w:rFonts w:eastAsia="方正楷体_GBK"/>
          <w:color w:val="auto"/>
        </w:rPr>
      </w:pPr>
      <w:r>
        <w:rPr>
          <w:rFonts w:hint="eastAsia" w:eastAsia="方正楷体_GBK"/>
          <w:color w:val="auto"/>
        </w:rPr>
        <w:t>（一）工程垃圾</w:t>
      </w:r>
    </w:p>
    <w:p w14:paraId="340059DA">
      <w:pPr>
        <w:ind w:firstLine="624"/>
        <w:rPr>
          <w:color w:val="auto"/>
          <w:spacing w:val="-8"/>
          <w:lang w:eastAsia="zh-CN"/>
        </w:rPr>
      </w:pPr>
      <w:r>
        <w:rPr>
          <w:rFonts w:hint="eastAsia"/>
          <w:color w:val="auto"/>
          <w:spacing w:val="-8"/>
          <w:lang w:eastAsia="zh-CN"/>
        </w:rPr>
        <w:t>在建设工程施工前，可编制工程垃圾资源化利用专项方案。桩基工程的工程桩桩头、基坑工程的临时支撑可统一收集。现场破碎、分离混凝土和钢筋时，混凝土和钢筋应分类堆放。</w:t>
      </w:r>
    </w:p>
    <w:p w14:paraId="4436F231">
      <w:pPr>
        <w:ind w:firstLine="640"/>
        <w:rPr>
          <w:color w:val="auto"/>
          <w:lang w:eastAsia="zh-CN"/>
        </w:rPr>
      </w:pPr>
      <w:r>
        <w:rPr>
          <w:rFonts w:hint="eastAsia"/>
          <w:color w:val="auto"/>
          <w:lang w:eastAsia="zh-CN"/>
        </w:rPr>
        <w:t>道路混凝土或沥青混合料应单独收集。</w:t>
      </w:r>
    </w:p>
    <w:p w14:paraId="1B37718F">
      <w:pPr>
        <w:ind w:firstLine="640"/>
        <w:rPr>
          <w:color w:val="auto"/>
          <w:lang w:eastAsia="zh-CN"/>
        </w:rPr>
      </w:pPr>
      <w:r>
        <w:rPr>
          <w:rFonts w:hint="eastAsia"/>
          <w:color w:val="auto"/>
          <w:lang w:eastAsia="zh-CN"/>
        </w:rPr>
        <w:t>其他工程垃圾不应与工程桩桩头、支撑或道路混凝土、沥青混合料混杂。</w:t>
      </w:r>
    </w:p>
    <w:p w14:paraId="6D9B32C9">
      <w:pPr>
        <w:pStyle w:val="4"/>
        <w:spacing w:line="580" w:lineRule="exact"/>
        <w:ind w:firstLine="643"/>
        <w:jc w:val="both"/>
        <w:rPr>
          <w:rFonts w:eastAsia="方正楷体_GBK"/>
          <w:color w:val="auto"/>
        </w:rPr>
      </w:pPr>
      <w:r>
        <w:rPr>
          <w:rFonts w:hint="eastAsia" w:eastAsia="方正楷体_GBK"/>
          <w:color w:val="auto"/>
        </w:rPr>
        <w:t>（二）拆除垃圾</w:t>
      </w:r>
    </w:p>
    <w:p w14:paraId="64EA69A5">
      <w:pPr>
        <w:ind w:firstLine="640"/>
        <w:rPr>
          <w:color w:val="auto"/>
          <w:lang w:eastAsia="zh-CN"/>
        </w:rPr>
      </w:pPr>
      <w:r>
        <w:rPr>
          <w:rFonts w:hint="eastAsia"/>
          <w:color w:val="auto"/>
          <w:lang w:eastAsia="zh-CN"/>
        </w:rPr>
        <w:t>大型拆除工程施工前，可编制拆除垃圾资源化利用专项方案，根据拆除工程资源化利用专项方案实施分类收集。建（构）筑物拆除前应清除、腾空内部可移动设施、设备、家具等物品。</w:t>
      </w:r>
    </w:p>
    <w:p w14:paraId="7C57AA4B">
      <w:pPr>
        <w:ind w:firstLine="640"/>
        <w:rPr>
          <w:color w:val="auto"/>
          <w:lang w:eastAsia="zh-CN"/>
        </w:rPr>
      </w:pPr>
      <w:r>
        <w:rPr>
          <w:rFonts w:hint="eastAsia"/>
          <w:color w:val="auto"/>
          <w:lang w:eastAsia="zh-CN"/>
        </w:rPr>
        <w:t>附属构件（门、窗等）可先于主体结构拆除，分类堆放。拆除的混凝土梁、柱、楼板构件或其他预制件可统一收集。砖瓦宜分类堆放，完整的砖瓦可再利用。</w:t>
      </w:r>
    </w:p>
    <w:p w14:paraId="05CDE09C">
      <w:pPr>
        <w:pStyle w:val="4"/>
        <w:spacing w:line="580" w:lineRule="exact"/>
        <w:ind w:firstLine="643"/>
        <w:jc w:val="both"/>
        <w:rPr>
          <w:rFonts w:eastAsia="方正楷体_GBK"/>
          <w:color w:val="auto"/>
        </w:rPr>
      </w:pPr>
      <w:r>
        <w:rPr>
          <w:rFonts w:hint="eastAsia" w:eastAsia="方正楷体_GBK"/>
          <w:color w:val="auto"/>
        </w:rPr>
        <w:t>（三）装修垃圾</w:t>
      </w:r>
    </w:p>
    <w:p w14:paraId="6E6FA308">
      <w:pPr>
        <w:ind w:firstLine="640"/>
        <w:rPr>
          <w:color w:val="auto"/>
          <w:lang w:eastAsia="zh-CN"/>
        </w:rPr>
      </w:pPr>
      <w:r>
        <w:rPr>
          <w:rFonts w:hint="eastAsia"/>
          <w:color w:val="auto"/>
          <w:lang w:eastAsia="zh-CN"/>
        </w:rPr>
        <w:t>较大的装修工程，可在施工前编制完成装修垃圾资源化利用专项方案。</w:t>
      </w:r>
    </w:p>
    <w:p w14:paraId="311583AE">
      <w:pPr>
        <w:ind w:firstLine="640"/>
        <w:rPr>
          <w:color w:val="auto"/>
          <w:lang w:eastAsia="zh-CN"/>
        </w:rPr>
      </w:pPr>
      <w:r>
        <w:rPr>
          <w:rFonts w:hint="eastAsia"/>
          <w:color w:val="auto"/>
          <w:lang w:eastAsia="zh-CN"/>
        </w:rPr>
        <w:t>住宅装修合同应明确业主、施工单位关于装修垃圾分类收集的职责。</w:t>
      </w:r>
    </w:p>
    <w:p w14:paraId="16EAFD1F">
      <w:pPr>
        <w:ind w:firstLine="640"/>
        <w:rPr>
          <w:color w:val="auto"/>
          <w:lang w:eastAsia="zh-CN"/>
        </w:rPr>
      </w:pPr>
      <w:r>
        <w:rPr>
          <w:rFonts w:hint="eastAsia"/>
          <w:color w:val="auto"/>
          <w:lang w:eastAsia="zh-CN"/>
        </w:rPr>
        <w:t>装修垃圾应袋装收集。无机装修废料（混凝土、砂浆、砖瓦、陶瓷等）不应与有机杂物、金属等混杂。</w:t>
      </w:r>
    </w:p>
    <w:p w14:paraId="437B3DFB">
      <w:pPr>
        <w:ind w:firstLine="640"/>
        <w:rPr>
          <w:color w:val="auto"/>
          <w:lang w:eastAsia="zh-CN"/>
        </w:rPr>
      </w:pPr>
      <w:r>
        <w:rPr>
          <w:rFonts w:hint="eastAsia"/>
          <w:color w:val="auto"/>
          <w:lang w:eastAsia="zh-CN"/>
        </w:rPr>
        <w:t>住宅小区应设置专门的装修垃圾堆放点。</w:t>
      </w:r>
    </w:p>
    <w:p w14:paraId="09578109">
      <w:pPr>
        <w:ind w:firstLine="640"/>
        <w:rPr>
          <w:rFonts w:eastAsia="方正小标宋_GBK"/>
          <w:sz w:val="44"/>
          <w:szCs w:val="44"/>
          <w:lang w:eastAsia="zh-CN"/>
        </w:rPr>
      </w:pPr>
      <w:r>
        <w:rPr>
          <w:rFonts w:hint="eastAsia"/>
          <w:color w:val="auto"/>
          <w:lang w:eastAsia="zh-CN"/>
        </w:rPr>
        <w:t>非住宅装修工程，装修垃圾应分类、集中堆放装修垃圾收集箱。</w:t>
      </w:r>
      <w:bookmarkStart w:id="49" w:name="_Toc175056378"/>
    </w:p>
    <w:p w14:paraId="203B46D5">
      <w:pPr>
        <w:pStyle w:val="3"/>
        <w:spacing w:line="580" w:lineRule="exact"/>
        <w:ind w:firstLine="640"/>
      </w:pPr>
      <w:r>
        <w:rPr>
          <w:rFonts w:hint="eastAsia"/>
          <w:b w:val="0"/>
          <w:bCs/>
        </w:rPr>
        <w:t>第四节</w:t>
      </w:r>
      <w:r>
        <w:rPr>
          <w:b w:val="0"/>
          <w:bCs/>
        </w:rPr>
        <w:t xml:space="preserve"> </w:t>
      </w:r>
      <w:r>
        <w:rPr>
          <w:rFonts w:hint="eastAsia"/>
          <w:b w:val="0"/>
          <w:bCs/>
        </w:rPr>
        <w:t>收运设施规划</w:t>
      </w:r>
      <w:bookmarkEnd w:id="49"/>
    </w:p>
    <w:p w14:paraId="0F48633C">
      <w:pPr>
        <w:pStyle w:val="4"/>
        <w:spacing w:line="580" w:lineRule="exact"/>
        <w:ind w:firstLine="643"/>
        <w:jc w:val="both"/>
        <w:rPr>
          <w:rFonts w:eastAsia="方正楷体_GBK"/>
          <w:color w:val="auto"/>
        </w:rPr>
      </w:pPr>
      <w:r>
        <w:rPr>
          <w:rFonts w:hint="eastAsia" w:eastAsia="方正楷体_GBK"/>
          <w:color w:val="auto"/>
        </w:rPr>
        <w:t>（一）装修垃圾收集点</w:t>
      </w:r>
    </w:p>
    <w:p w14:paraId="58BE7303">
      <w:pPr>
        <w:ind w:firstLine="640"/>
        <w:rPr>
          <w:color w:val="auto"/>
          <w:lang w:eastAsia="zh-CN"/>
        </w:rPr>
      </w:pPr>
      <w:r>
        <w:rPr>
          <w:rFonts w:hint="eastAsia"/>
          <w:color w:val="auto"/>
          <w:lang w:eastAsia="zh-CN"/>
        </w:rPr>
        <w:t>装修垃圾收集点为装修垃圾的前端收集设施，用于居民在建造、装饰、维修和拆除房屋过程中产生的建筑垃圾的集中收集和临时堆放，从而有利于装修垃圾集中运往建筑垃圾调配场和终端处理设施。装修垃圾收集点配置应满足以下要求：</w:t>
      </w:r>
    </w:p>
    <w:p w14:paraId="23D1F944">
      <w:pPr>
        <w:ind w:firstLine="640"/>
        <w:rPr>
          <w:color w:val="auto"/>
          <w:lang w:eastAsia="zh-CN"/>
        </w:rPr>
      </w:pPr>
      <w:r>
        <w:rPr>
          <w:color w:val="auto"/>
          <w:lang w:eastAsia="zh-CN"/>
        </w:rPr>
        <w:t>1.</w:t>
      </w:r>
      <w:r>
        <w:rPr>
          <w:rFonts w:hint="eastAsia"/>
          <w:color w:val="auto"/>
          <w:lang w:eastAsia="zh-CN"/>
        </w:rPr>
        <w:t>装修垃圾宜按砖瓦混凝土类、木材类、石膏类、有毒有害类、其他类等分类分区物理隔断，严禁生活垃圾、工业固体废物等混入。</w:t>
      </w:r>
    </w:p>
    <w:p w14:paraId="0BB4F603">
      <w:pPr>
        <w:ind w:firstLine="640"/>
        <w:rPr>
          <w:color w:val="auto"/>
          <w:lang w:eastAsia="zh-CN"/>
        </w:rPr>
      </w:pPr>
      <w:r>
        <w:rPr>
          <w:color w:val="auto"/>
          <w:lang w:eastAsia="zh-CN"/>
        </w:rPr>
        <w:t>2.</w:t>
      </w:r>
      <w:r>
        <w:rPr>
          <w:rFonts w:hint="eastAsia"/>
          <w:color w:val="auto"/>
          <w:lang w:eastAsia="zh-CN"/>
        </w:rPr>
        <w:t>新建小区投入使用早期可按需临时设置多处装修垃圾堆放点，满足居民集中装修期间垃圾量较多的需求。</w:t>
      </w:r>
    </w:p>
    <w:p w14:paraId="74D8909C">
      <w:pPr>
        <w:ind w:firstLine="640"/>
        <w:rPr>
          <w:color w:val="auto"/>
          <w:lang w:eastAsia="zh-CN"/>
        </w:rPr>
      </w:pPr>
      <w:r>
        <w:rPr>
          <w:color w:val="auto"/>
          <w:lang w:eastAsia="zh-CN"/>
        </w:rPr>
        <w:t>3.</w:t>
      </w:r>
      <w:r>
        <w:rPr>
          <w:rFonts w:hint="eastAsia"/>
          <w:color w:val="auto"/>
          <w:lang w:eastAsia="zh-CN"/>
        </w:rPr>
        <w:t>堆放点应为封闭式的构筑物，占地宜大于</w:t>
      </w:r>
      <w:r>
        <w:rPr>
          <w:color w:val="auto"/>
          <w:lang w:eastAsia="zh-CN"/>
        </w:rPr>
        <w:t>30m</w:t>
      </w:r>
      <w:r>
        <w:rPr>
          <w:rFonts w:ascii="宋体" w:hAnsi="宋体" w:eastAsia="宋体" w:cs="宋体"/>
          <w:color w:val="auto"/>
          <w:lang w:eastAsia="zh-CN"/>
        </w:rPr>
        <w:t>2</w:t>
      </w:r>
      <w:r>
        <w:rPr>
          <w:rFonts w:hint="eastAsia"/>
          <w:color w:val="auto"/>
          <w:lang w:eastAsia="zh-CN"/>
        </w:rPr>
        <w:t>，高度宜为</w:t>
      </w:r>
      <w:r>
        <w:rPr>
          <w:color w:val="auto"/>
          <w:lang w:eastAsia="zh-CN"/>
        </w:rPr>
        <w:t xml:space="preserve">3.5 </w:t>
      </w:r>
      <w:r>
        <w:rPr>
          <w:rFonts w:hint="eastAsia"/>
          <w:color w:val="auto"/>
          <w:lang w:eastAsia="zh-CN"/>
        </w:rPr>
        <w:t>米至</w:t>
      </w:r>
      <w:r>
        <w:rPr>
          <w:color w:val="auto"/>
          <w:lang w:eastAsia="zh-CN"/>
        </w:rPr>
        <w:t xml:space="preserve">5 </w:t>
      </w:r>
      <w:r>
        <w:rPr>
          <w:rFonts w:hint="eastAsia"/>
          <w:color w:val="auto"/>
          <w:lang w:eastAsia="zh-CN"/>
        </w:rPr>
        <w:t>米，具体根据居民小区实际情况设置。</w:t>
      </w:r>
    </w:p>
    <w:p w14:paraId="6BA3DB2B">
      <w:pPr>
        <w:ind w:firstLine="640"/>
        <w:rPr>
          <w:color w:val="auto"/>
          <w:lang w:eastAsia="zh-CN"/>
        </w:rPr>
      </w:pPr>
      <w:r>
        <w:rPr>
          <w:color w:val="auto"/>
          <w:lang w:eastAsia="zh-CN"/>
        </w:rPr>
        <w:t>4.</w:t>
      </w:r>
      <w:r>
        <w:rPr>
          <w:rFonts w:hint="eastAsia"/>
          <w:color w:val="auto"/>
          <w:lang w:eastAsia="zh-CN"/>
        </w:rPr>
        <w:t>堆放点应设置投放、收运标识等信息，配备洒水、覆盖、监控系统等防尘降噪防渗设施。</w:t>
      </w:r>
    </w:p>
    <w:p w14:paraId="14490004">
      <w:pPr>
        <w:ind w:firstLine="640"/>
        <w:rPr>
          <w:color w:val="auto"/>
          <w:lang w:eastAsia="zh-CN"/>
        </w:rPr>
      </w:pPr>
      <w:r>
        <w:rPr>
          <w:color w:val="auto"/>
          <w:lang w:eastAsia="zh-CN"/>
        </w:rPr>
        <w:t>5.</w:t>
      </w:r>
      <w:r>
        <w:rPr>
          <w:rFonts w:hint="eastAsia"/>
          <w:color w:val="auto"/>
          <w:lang w:eastAsia="zh-CN"/>
        </w:rPr>
        <w:t>产生装修垃圾的业主、使用人或施工单位应按照装修垃</w:t>
      </w:r>
      <w:r>
        <w:rPr>
          <w:rFonts w:hint="eastAsia"/>
          <w:color w:val="auto"/>
          <w:spacing w:val="-6"/>
          <w:lang w:eastAsia="zh-CN"/>
        </w:rPr>
        <w:t>圾分类方案，将装修垃圾分类、袋装，投送至装修垃圾堆放点。委托物业管理的，由物业及时组织清运堆放点的装修垃圾。</w:t>
      </w:r>
    </w:p>
    <w:p w14:paraId="278BE89C">
      <w:pPr>
        <w:ind w:firstLine="640"/>
        <w:rPr>
          <w:color w:val="auto"/>
          <w:lang w:eastAsia="zh-CN"/>
        </w:rPr>
      </w:pPr>
      <w:r>
        <w:rPr>
          <w:color w:val="auto"/>
          <w:lang w:eastAsia="zh-CN"/>
        </w:rPr>
        <w:t>6.</w:t>
      </w:r>
      <w:r>
        <w:rPr>
          <w:rFonts w:hint="eastAsia"/>
          <w:color w:val="auto"/>
          <w:lang w:eastAsia="zh-CN"/>
        </w:rPr>
        <w:t>装修垃圾分类投放相关情况应纳入社区公约、市民公约，以及文明社区、文明小区等精神文明创建活动的评选，提高社区、小区和市民开展垃圾分类工作的积极性。</w:t>
      </w:r>
    </w:p>
    <w:p w14:paraId="796E0D81">
      <w:pPr>
        <w:ind w:firstLine="640"/>
        <w:rPr>
          <w:color w:val="auto"/>
          <w:lang w:eastAsia="zh-CN"/>
        </w:rPr>
      </w:pPr>
      <w:r>
        <w:rPr>
          <w:color w:val="auto"/>
          <w:lang w:eastAsia="zh-CN"/>
        </w:rPr>
        <w:t>7.</w:t>
      </w:r>
      <w:r>
        <w:rPr>
          <w:rFonts w:hint="eastAsia"/>
          <w:color w:val="auto"/>
          <w:lang w:eastAsia="zh-CN"/>
        </w:rPr>
        <w:t>对零散装饰装修设置建筑垃圾箱或上门定时清运，零散装修实行</w:t>
      </w:r>
      <w:r>
        <w:rPr>
          <w:color w:val="auto"/>
          <w:lang w:eastAsia="zh-CN"/>
        </w:rPr>
        <w:t>APP</w:t>
      </w:r>
      <w:r>
        <w:rPr>
          <w:rFonts w:hint="eastAsia"/>
          <w:color w:val="auto"/>
          <w:lang w:eastAsia="zh-CN"/>
        </w:rPr>
        <w:t>预约或电话预约定时上门收集。</w:t>
      </w:r>
    </w:p>
    <w:p w14:paraId="723FE1BA">
      <w:pPr>
        <w:pStyle w:val="4"/>
        <w:spacing w:line="580" w:lineRule="exact"/>
        <w:ind w:firstLine="643"/>
        <w:jc w:val="both"/>
        <w:rPr>
          <w:rFonts w:eastAsia="方正楷体_GBK"/>
          <w:color w:val="auto"/>
        </w:rPr>
      </w:pPr>
      <w:r>
        <w:rPr>
          <w:rFonts w:hint="eastAsia" w:eastAsia="方正楷体_GBK"/>
          <w:color w:val="auto"/>
        </w:rPr>
        <w:t>（二）收运车辆要求</w:t>
      </w:r>
    </w:p>
    <w:p w14:paraId="6EEF6216">
      <w:pPr>
        <w:ind w:firstLine="640"/>
        <w:rPr>
          <w:color w:val="auto"/>
          <w:lang w:eastAsia="zh-CN"/>
        </w:rPr>
      </w:pPr>
      <w:r>
        <w:rPr>
          <w:color w:val="auto"/>
          <w:lang w:eastAsia="zh-CN"/>
        </w:rPr>
        <w:t>1.</w:t>
      </w:r>
      <w:r>
        <w:rPr>
          <w:rFonts w:hint="eastAsia"/>
          <w:color w:val="auto"/>
          <w:lang w:eastAsia="zh-CN"/>
        </w:rPr>
        <w:t>建筑垃圾运输工具应外观整洁、标识齐全，车辆底盘、车轮应无大块泥沙等附着物。</w:t>
      </w:r>
    </w:p>
    <w:p w14:paraId="17970994">
      <w:pPr>
        <w:ind w:firstLine="640"/>
        <w:rPr>
          <w:color w:val="auto"/>
          <w:lang w:eastAsia="zh-CN"/>
        </w:rPr>
      </w:pPr>
      <w:r>
        <w:rPr>
          <w:color w:val="auto"/>
          <w:lang w:eastAsia="zh-CN"/>
        </w:rPr>
        <w:t>2.</w:t>
      </w:r>
      <w:r>
        <w:rPr>
          <w:rFonts w:hint="eastAsia"/>
          <w:color w:val="auto"/>
          <w:lang w:eastAsia="zh-CN"/>
        </w:rPr>
        <w:t>建筑垃圾运输车应采用密闭厢式货车，建筑垃圾散装运输车表面应有效遮盖，建筑垃圾不得裸露和散落。</w:t>
      </w:r>
    </w:p>
    <w:p w14:paraId="0C1CAD44">
      <w:pPr>
        <w:ind w:firstLine="640"/>
        <w:rPr>
          <w:color w:val="auto"/>
          <w:lang w:eastAsia="zh-CN"/>
        </w:rPr>
      </w:pPr>
      <w:r>
        <w:rPr>
          <w:color w:val="auto"/>
          <w:lang w:eastAsia="zh-CN"/>
        </w:rPr>
        <w:t>3.</w:t>
      </w:r>
      <w:r>
        <w:rPr>
          <w:rFonts w:hint="eastAsia"/>
          <w:color w:val="auto"/>
          <w:lang w:eastAsia="zh-CN"/>
        </w:rPr>
        <w:t>收集运输车辆应安装定位和监控系统，保持正常运行，并与环境卫生主管部门建筑垃圾信息共享平台和运输监控系统互联互通，实现信息共享和部门执法联动。</w:t>
      </w:r>
    </w:p>
    <w:p w14:paraId="023E1510">
      <w:pPr>
        <w:ind w:firstLine="640"/>
        <w:rPr>
          <w:color w:val="auto"/>
          <w:lang w:eastAsia="zh-CN"/>
        </w:rPr>
      </w:pPr>
      <w:r>
        <w:rPr>
          <w:color w:val="auto"/>
          <w:lang w:eastAsia="zh-CN"/>
        </w:rPr>
        <w:t>4.</w:t>
      </w:r>
      <w:r>
        <w:rPr>
          <w:rFonts w:hint="eastAsia"/>
          <w:color w:val="auto"/>
          <w:lang w:eastAsia="zh-CN"/>
        </w:rPr>
        <w:t>收集运输车辆应建立车辆技术档案，记载内容应及时、完整、准确。</w:t>
      </w:r>
    </w:p>
    <w:p w14:paraId="4FB09072">
      <w:pPr>
        <w:ind w:firstLine="640"/>
        <w:rPr>
          <w:color w:val="auto"/>
          <w:lang w:eastAsia="zh-CN"/>
        </w:rPr>
      </w:pPr>
      <w:r>
        <w:rPr>
          <w:color w:val="auto"/>
          <w:lang w:eastAsia="zh-CN"/>
        </w:rPr>
        <w:t>5.</w:t>
      </w:r>
      <w:r>
        <w:rPr>
          <w:rFonts w:hint="eastAsia"/>
          <w:color w:val="auto"/>
          <w:lang w:eastAsia="zh-CN"/>
        </w:rPr>
        <w:t>垃圾装运量应以车辆的额定荷载和有效容积为限，严禁超重、超高运输。</w:t>
      </w:r>
    </w:p>
    <w:p w14:paraId="3C89B639">
      <w:pPr>
        <w:ind w:firstLine="640"/>
        <w:rPr>
          <w:lang w:eastAsia="zh-CN"/>
        </w:rPr>
        <w:sectPr>
          <w:pgSz w:w="11907" w:h="16840"/>
          <w:pgMar w:top="2155" w:right="1531" w:bottom="1814" w:left="1531" w:header="851" w:footer="1588" w:gutter="0"/>
          <w:pgNumType w:fmt="numberInDash"/>
          <w:cols w:space="0" w:num="1"/>
          <w:docGrid w:linePitch="435" w:charSpace="0"/>
        </w:sectPr>
      </w:pPr>
      <w:r>
        <w:rPr>
          <w:lang w:eastAsia="zh-CN"/>
        </w:rPr>
        <w:t>6.</w:t>
      </w:r>
      <w:r>
        <w:rPr>
          <w:rFonts w:hint="eastAsia"/>
          <w:lang w:eastAsia="zh-CN"/>
        </w:rPr>
        <w:t>收集运输车辆应标识明显的分类收集、运输标识，并保持全密闭，外观整洁，无大块泥沙、土等附着物。</w:t>
      </w:r>
      <w:bookmarkStart w:id="50" w:name="_Toc175056379"/>
    </w:p>
    <w:p w14:paraId="067FA4B1">
      <w:pPr>
        <w:ind w:firstLine="880"/>
        <w:jc w:val="center"/>
        <w:rPr>
          <w:rFonts w:ascii="黑体" w:hAnsi="黑体" w:eastAsia="方正小标宋_GBK" w:cs="黑体"/>
          <w:bCs/>
          <w:sz w:val="44"/>
          <w:szCs w:val="44"/>
          <w:lang w:eastAsia="zh-CN"/>
        </w:rPr>
      </w:pPr>
      <w:r>
        <w:rPr>
          <w:rFonts w:hint="eastAsia" w:ascii="黑体" w:hAnsi="黑体" w:eastAsia="方正小标宋_GBK" w:cs="黑体"/>
          <w:bCs/>
          <w:sz w:val="44"/>
          <w:szCs w:val="44"/>
          <w:lang w:eastAsia="zh-CN"/>
        </w:rPr>
        <w:t>第六章</w:t>
      </w:r>
      <w:r>
        <w:rPr>
          <w:rFonts w:ascii="黑体" w:hAnsi="黑体" w:eastAsia="方正小标宋_GBK" w:cs="黑体"/>
          <w:bCs/>
          <w:sz w:val="44"/>
          <w:szCs w:val="44"/>
          <w:lang w:eastAsia="zh-CN"/>
        </w:rPr>
        <w:t xml:space="preserve"> </w:t>
      </w:r>
      <w:r>
        <w:rPr>
          <w:rFonts w:hint="eastAsia" w:ascii="黑体" w:hAnsi="黑体" w:eastAsia="方正小标宋_GBK" w:cs="黑体"/>
          <w:bCs/>
          <w:sz w:val="44"/>
          <w:szCs w:val="44"/>
          <w:lang w:eastAsia="zh-CN"/>
        </w:rPr>
        <w:t>处置利用体系规划</w:t>
      </w:r>
      <w:bookmarkEnd w:id="50"/>
      <w:bookmarkStart w:id="51" w:name="_Toc175056380"/>
    </w:p>
    <w:p w14:paraId="0C0A219B">
      <w:pPr>
        <w:spacing w:line="200" w:lineRule="exact"/>
        <w:ind w:firstLine="0" w:firstLineChars="0"/>
        <w:jc w:val="center"/>
        <w:rPr>
          <w:bCs/>
          <w:lang w:eastAsia="zh-CN"/>
        </w:rPr>
      </w:pPr>
    </w:p>
    <w:p w14:paraId="4295BED7">
      <w:pPr>
        <w:pStyle w:val="3"/>
        <w:spacing w:line="580" w:lineRule="exact"/>
        <w:ind w:firstLine="640"/>
        <w:rPr>
          <w:b w:val="0"/>
          <w:bCs/>
        </w:rPr>
      </w:pPr>
      <w:r>
        <w:rPr>
          <w:rFonts w:hint="eastAsia"/>
          <w:b w:val="0"/>
          <w:bCs/>
        </w:rPr>
        <w:t>第一节</w:t>
      </w:r>
      <w:r>
        <w:rPr>
          <w:b w:val="0"/>
          <w:bCs/>
        </w:rPr>
        <w:t xml:space="preserve"> </w:t>
      </w:r>
      <w:r>
        <w:rPr>
          <w:rFonts w:hint="eastAsia"/>
          <w:b w:val="0"/>
          <w:bCs/>
        </w:rPr>
        <w:t>技术路线</w:t>
      </w:r>
      <w:bookmarkEnd w:id="51"/>
    </w:p>
    <w:p w14:paraId="7D7559BE">
      <w:pPr>
        <w:pStyle w:val="4"/>
        <w:spacing w:line="580" w:lineRule="exact"/>
        <w:ind w:firstLine="643"/>
        <w:jc w:val="both"/>
        <w:rPr>
          <w:rFonts w:eastAsia="方正楷体_GBK"/>
          <w:color w:val="auto"/>
        </w:rPr>
      </w:pPr>
      <w:r>
        <w:rPr>
          <w:rFonts w:hint="eastAsia" w:eastAsia="方正楷体_GBK"/>
          <w:color w:val="auto"/>
        </w:rPr>
        <w:t>（一）源头减量</w:t>
      </w:r>
    </w:p>
    <w:p w14:paraId="46C6367F">
      <w:pPr>
        <w:ind w:firstLine="640"/>
        <w:rPr>
          <w:color w:val="auto"/>
          <w:lang w:eastAsia="zh-CN"/>
        </w:rPr>
      </w:pPr>
      <w:r>
        <w:rPr>
          <w:rFonts w:hint="eastAsia"/>
          <w:color w:val="auto"/>
          <w:lang w:eastAsia="zh-CN"/>
        </w:rPr>
        <w:t>建筑垃圾的减量化是指从源头减少建筑垃圾的产生量和排放量，是对建筑垃圾的数量、体积、种类、有害物质的全面管理，亦即开展清洁生产。它不仅要求减少建筑垃圾的数量和体积，还包括尽可能地减少其种类、降低其有害成分的浓度、减少或消除其危害特性等。减量化是防止建筑垃圾污染环境优先考虑的措施。</w:t>
      </w:r>
    </w:p>
    <w:p w14:paraId="4DE74081">
      <w:pPr>
        <w:ind w:firstLine="640"/>
        <w:rPr>
          <w:color w:val="auto"/>
          <w:lang w:eastAsia="zh-CN"/>
        </w:rPr>
      </w:pPr>
      <w:r>
        <w:rPr>
          <w:rFonts w:hint="eastAsia"/>
          <w:color w:val="auto"/>
          <w:lang w:eastAsia="zh-CN"/>
        </w:rPr>
        <w:t>要减少建筑垃圾的产生，需在设计和施工的组织方面采取积极措施，并在建筑的各个阶段都进行仔细的计划和组织。</w:t>
      </w:r>
    </w:p>
    <w:p w14:paraId="646178D9">
      <w:pPr>
        <w:pStyle w:val="4"/>
        <w:spacing w:line="580" w:lineRule="exact"/>
        <w:ind w:firstLine="643"/>
        <w:jc w:val="both"/>
        <w:rPr>
          <w:rFonts w:eastAsia="方正楷体_GBK"/>
          <w:color w:val="auto"/>
        </w:rPr>
      </w:pPr>
      <w:r>
        <w:rPr>
          <w:rFonts w:hint="eastAsia" w:eastAsia="方正楷体_GBK"/>
          <w:color w:val="auto"/>
        </w:rPr>
        <w:t>（二）调剂减量</w:t>
      </w:r>
    </w:p>
    <w:p w14:paraId="34D062DC">
      <w:pPr>
        <w:ind w:firstLine="640"/>
        <w:rPr>
          <w:color w:val="auto"/>
          <w:lang w:eastAsia="zh-CN"/>
        </w:rPr>
      </w:pPr>
      <w:r>
        <w:rPr>
          <w:rFonts w:hint="eastAsia"/>
          <w:color w:val="auto"/>
          <w:lang w:eastAsia="zh-CN"/>
        </w:rPr>
        <w:t>针对工程渣土，主要采用回填的方法，以市场平衡为主。回填的区域，一是需要渣土的施工工地或单位；二是在公园、街头绿地等堆山造景，形成一定高度的假山，创造公园、街头绿地新的观景制高点，营造公园、绿地高低起伏、曲径通幽的格局气势；三是根据防洪规划、竖向规划，利用需要提高标高的区域进行整体平填。回填的利用方式，最关键的是供需信息的共享，需要县自然资源和规划局、县住房和城乡建设局、县综合行政执法局等管理部门共享信息，使得工程渣土有适宜的使用渠道，节约土地。</w:t>
      </w:r>
    </w:p>
    <w:p w14:paraId="435D4BF6">
      <w:pPr>
        <w:pStyle w:val="4"/>
        <w:spacing w:line="580" w:lineRule="exact"/>
        <w:ind w:firstLine="643"/>
        <w:jc w:val="both"/>
        <w:rPr>
          <w:rFonts w:eastAsia="方正楷体_GBK"/>
          <w:color w:val="auto"/>
        </w:rPr>
      </w:pPr>
      <w:r>
        <w:rPr>
          <w:rFonts w:hint="eastAsia" w:eastAsia="方正楷体_GBK"/>
          <w:color w:val="auto"/>
        </w:rPr>
        <w:t>（三）资源化利用</w:t>
      </w:r>
    </w:p>
    <w:p w14:paraId="3292D62C">
      <w:pPr>
        <w:ind w:firstLine="640"/>
        <w:rPr>
          <w:color w:val="auto"/>
          <w:lang w:eastAsia="zh-CN"/>
        </w:rPr>
      </w:pPr>
      <w:r>
        <w:rPr>
          <w:rFonts w:hint="eastAsia"/>
          <w:color w:val="auto"/>
          <w:lang w:eastAsia="zh-CN"/>
        </w:rPr>
        <w:t>装修垃圾和工程垃圾、拆除垃圾，经分拣后具备资源化利用价值的木材、金属、玻璃进入回收利用渠道，混凝土块等纳入资源化利用设施进一步资源化利用。开展全过程的建筑垃圾减量、回收、资源化利用工作，是未来建筑垃圾处理发展的主要方向，建筑垃圾应尽量综合利用，因地制宜选择建筑垃圾资源化利用方式。</w:t>
      </w:r>
    </w:p>
    <w:p w14:paraId="2D5655EF">
      <w:pPr>
        <w:pStyle w:val="4"/>
        <w:spacing w:line="580" w:lineRule="exact"/>
        <w:ind w:firstLine="643"/>
        <w:jc w:val="both"/>
        <w:rPr>
          <w:rFonts w:eastAsia="方正楷体_GBK"/>
          <w:color w:val="auto"/>
        </w:rPr>
      </w:pPr>
      <w:r>
        <w:rPr>
          <w:rFonts w:hint="eastAsia" w:eastAsia="方正楷体_GBK"/>
          <w:color w:val="auto"/>
        </w:rPr>
        <w:t>（四）弃置消纳</w:t>
      </w:r>
    </w:p>
    <w:p w14:paraId="754DE044">
      <w:pPr>
        <w:ind w:firstLine="640"/>
        <w:rPr>
          <w:color w:val="auto"/>
          <w:lang w:eastAsia="zh-CN"/>
        </w:rPr>
      </w:pPr>
      <w:r>
        <w:rPr>
          <w:rFonts w:hint="eastAsia"/>
          <w:color w:val="auto"/>
          <w:lang w:eastAsia="zh-CN"/>
        </w:rPr>
        <w:t>不能进行资源化利用的建筑垃圾应当在岳城街道白石村渣土消纳场进行无害化处理。任何单位和个人不得将危险废物、生活垃圾混入建筑垃圾，不得擅自设立弃置场受纳建筑垃圾。</w:t>
      </w:r>
    </w:p>
    <w:p w14:paraId="6018A192">
      <w:pPr>
        <w:pStyle w:val="3"/>
        <w:spacing w:line="580" w:lineRule="exact"/>
        <w:ind w:firstLine="640"/>
        <w:rPr>
          <w:b w:val="0"/>
          <w:bCs/>
        </w:rPr>
      </w:pPr>
      <w:bookmarkStart w:id="52" w:name="_Toc175056381"/>
      <w:r>
        <w:rPr>
          <w:rFonts w:hint="eastAsia"/>
          <w:b w:val="0"/>
          <w:bCs/>
        </w:rPr>
        <w:t>第二节</w:t>
      </w:r>
      <w:r>
        <w:rPr>
          <w:b w:val="0"/>
          <w:bCs/>
        </w:rPr>
        <w:t xml:space="preserve"> </w:t>
      </w:r>
      <w:r>
        <w:rPr>
          <w:rFonts w:hint="eastAsia"/>
          <w:b w:val="0"/>
          <w:bCs/>
        </w:rPr>
        <w:t>处理方案</w:t>
      </w:r>
      <w:bookmarkEnd w:id="52"/>
    </w:p>
    <w:p w14:paraId="0E22C8E6">
      <w:pPr>
        <w:pStyle w:val="4"/>
        <w:spacing w:line="580" w:lineRule="exact"/>
        <w:ind w:firstLine="643"/>
        <w:jc w:val="both"/>
        <w:rPr>
          <w:rFonts w:eastAsia="方正楷体_GBK"/>
          <w:color w:val="auto"/>
        </w:rPr>
      </w:pPr>
      <w:r>
        <w:rPr>
          <w:rFonts w:hint="eastAsia" w:eastAsia="方正楷体_GBK"/>
          <w:color w:val="auto"/>
        </w:rPr>
        <w:t>（一）工程渣土</w:t>
      </w:r>
    </w:p>
    <w:p w14:paraId="57C3F50C">
      <w:pPr>
        <w:ind w:firstLine="640"/>
        <w:rPr>
          <w:color w:val="auto"/>
          <w:lang w:eastAsia="zh-CN"/>
        </w:rPr>
      </w:pPr>
      <w:r>
        <w:rPr>
          <w:rFonts w:hint="eastAsia"/>
          <w:color w:val="auto"/>
          <w:lang w:eastAsia="zh-CN"/>
        </w:rPr>
        <w:t>工程渣土其利用途径包括坑塘、废弃砖瓦窑厂等低洼地回填、道路工程回填等，但在回填利用方面，存在时间上的矛盾。为有效解决安岳县工程渣土利用问题，规划需提供调配通道，通过两方面实现，一是借助信息化平台提供工程渣土供需信息，二是提供临时调配场地用于暂不具备利用出路的工程渣土的临时堆放。</w:t>
      </w:r>
    </w:p>
    <w:p w14:paraId="46B721E7">
      <w:pPr>
        <w:ind w:firstLine="640"/>
        <w:rPr>
          <w:color w:val="auto"/>
          <w:lang w:eastAsia="zh-CN"/>
        </w:rPr>
      </w:pPr>
      <w:r>
        <w:rPr>
          <w:rFonts w:hint="eastAsia"/>
          <w:color w:val="auto"/>
          <w:lang w:eastAsia="zh-CN"/>
        </w:rPr>
        <w:t>同时，在传统回填利用的基础上，规划拓展工程渣土利用的新途径，包括堆山造景、结合防洪规划抬高整体标高等。</w:t>
      </w:r>
    </w:p>
    <w:p w14:paraId="1261BDBE">
      <w:pPr>
        <w:pStyle w:val="4"/>
        <w:spacing w:line="580" w:lineRule="exact"/>
        <w:ind w:firstLine="643"/>
        <w:jc w:val="both"/>
        <w:rPr>
          <w:rFonts w:eastAsia="方正楷体_GBK"/>
          <w:color w:val="auto"/>
        </w:rPr>
      </w:pPr>
      <w:r>
        <w:rPr>
          <w:rFonts w:hint="eastAsia" w:eastAsia="方正楷体_GBK"/>
          <w:color w:val="auto"/>
        </w:rPr>
        <w:t>（二）拆除垃圾和工程垃圾</w:t>
      </w:r>
    </w:p>
    <w:p w14:paraId="4E500F5E">
      <w:pPr>
        <w:ind w:firstLine="640"/>
        <w:rPr>
          <w:color w:val="auto"/>
          <w:lang w:eastAsia="zh-CN"/>
        </w:rPr>
      </w:pPr>
      <w:r>
        <w:rPr>
          <w:rFonts w:hint="eastAsia"/>
          <w:color w:val="auto"/>
          <w:lang w:eastAsia="zh-CN"/>
        </w:rPr>
        <w:t>规划安岳县应建设集中的资源化利用设施，发挥规模化效应，提高设施、设备的规范性、环保性，对拆除垃圾和工程垃圾进行集中资源化利用。</w:t>
      </w:r>
    </w:p>
    <w:p w14:paraId="0DA0326B">
      <w:pPr>
        <w:pStyle w:val="4"/>
        <w:spacing w:line="580" w:lineRule="exact"/>
        <w:ind w:firstLine="643"/>
        <w:jc w:val="both"/>
        <w:rPr>
          <w:rFonts w:eastAsia="方正楷体_GBK"/>
          <w:color w:val="auto"/>
        </w:rPr>
      </w:pPr>
      <w:r>
        <w:rPr>
          <w:rFonts w:hint="eastAsia" w:eastAsia="方正楷体_GBK"/>
          <w:color w:val="auto"/>
        </w:rPr>
        <w:t>（三）装修垃圾</w:t>
      </w:r>
    </w:p>
    <w:p w14:paraId="4EAE710A">
      <w:pPr>
        <w:ind w:firstLine="640"/>
        <w:rPr>
          <w:color w:val="auto"/>
          <w:lang w:eastAsia="zh-CN"/>
        </w:rPr>
      </w:pPr>
      <w:r>
        <w:rPr>
          <w:color w:val="auto"/>
          <w:lang w:eastAsia="zh-CN"/>
        </w:rPr>
        <w:t>1.</w:t>
      </w:r>
      <w:r>
        <w:rPr>
          <w:rFonts w:hint="eastAsia"/>
          <w:color w:val="auto"/>
          <w:lang w:eastAsia="zh-CN"/>
        </w:rPr>
        <w:t>完善前端装修垃圾收集点设置。</w:t>
      </w:r>
    </w:p>
    <w:p w14:paraId="3E025FEC">
      <w:pPr>
        <w:ind w:firstLine="640"/>
        <w:rPr>
          <w:color w:val="auto"/>
          <w:lang w:eastAsia="zh-CN"/>
        </w:rPr>
      </w:pPr>
      <w:r>
        <w:rPr>
          <w:color w:val="auto"/>
          <w:lang w:eastAsia="zh-CN"/>
        </w:rPr>
        <w:t>2.</w:t>
      </w:r>
      <w:r>
        <w:rPr>
          <w:rFonts w:hint="eastAsia"/>
          <w:color w:val="auto"/>
          <w:lang w:eastAsia="zh-CN"/>
        </w:rPr>
        <w:t>规划新增的建筑垃圾资源化利用设施，应具有装修垃圾处理能力，应用机械分选、智能分选等方式提高装修垃圾资源化利用水平减少填埋侵占土地。</w:t>
      </w:r>
    </w:p>
    <w:p w14:paraId="52126957">
      <w:pPr>
        <w:ind w:firstLine="640"/>
        <w:rPr>
          <w:color w:val="auto"/>
          <w:lang w:eastAsia="zh-CN"/>
        </w:rPr>
      </w:pPr>
      <w:r>
        <w:rPr>
          <w:color w:val="auto"/>
          <w:lang w:eastAsia="zh-CN"/>
        </w:rPr>
        <w:t>3.</w:t>
      </w:r>
      <w:r>
        <w:rPr>
          <w:rFonts w:hint="eastAsia"/>
          <w:color w:val="auto"/>
          <w:lang w:eastAsia="zh-CN"/>
        </w:rPr>
        <w:t>对分拣后无法进行再利用的部分，设置规范的渣土消纳场进行处置。</w:t>
      </w:r>
    </w:p>
    <w:p w14:paraId="6D2E9AEA">
      <w:pPr>
        <w:ind w:firstLine="640"/>
        <w:rPr>
          <w:color w:val="auto"/>
          <w:lang w:eastAsia="zh-CN"/>
        </w:rPr>
      </w:pPr>
      <w:r>
        <w:rPr>
          <w:color w:val="auto"/>
          <w:lang w:eastAsia="zh-CN"/>
        </w:rPr>
        <w:t>4.</w:t>
      </w:r>
      <w:r>
        <w:rPr>
          <w:rFonts w:hint="eastAsia"/>
          <w:color w:val="auto"/>
          <w:lang w:eastAsia="zh-CN"/>
        </w:rPr>
        <w:t>针对成本高的问题，</w:t>
      </w:r>
      <w:r>
        <w:rPr>
          <w:rFonts w:hint="eastAsia"/>
          <w:b/>
          <w:color w:val="auto"/>
          <w:lang w:eastAsia="zh-CN"/>
        </w:rPr>
        <w:t>一是</w:t>
      </w:r>
      <w:r>
        <w:rPr>
          <w:rFonts w:hint="eastAsia"/>
          <w:color w:val="auto"/>
          <w:lang w:eastAsia="zh-CN"/>
        </w:rPr>
        <w:t>完善装修垃圾处理收费制度，产生单位在缴纳装修垃圾清运费的同时还需承担处理费用；</w:t>
      </w:r>
      <w:r>
        <w:rPr>
          <w:rFonts w:hint="eastAsia"/>
          <w:b/>
          <w:color w:val="auto"/>
          <w:lang w:eastAsia="zh-CN"/>
        </w:rPr>
        <w:t>二是</w:t>
      </w:r>
      <w:r>
        <w:rPr>
          <w:rFonts w:hint="eastAsia"/>
          <w:color w:val="auto"/>
          <w:lang w:eastAsia="zh-CN"/>
        </w:rPr>
        <w:t>政府研究补贴机制，对处理企业按量补贴；</w:t>
      </w:r>
      <w:r>
        <w:rPr>
          <w:rFonts w:hint="eastAsia"/>
          <w:b/>
          <w:color w:val="auto"/>
          <w:lang w:eastAsia="zh-CN"/>
        </w:rPr>
        <w:t>三是</w:t>
      </w:r>
      <w:r>
        <w:rPr>
          <w:rFonts w:hint="eastAsia"/>
          <w:color w:val="auto"/>
          <w:lang w:eastAsia="zh-CN"/>
        </w:rPr>
        <w:t>由拆除垃圾和工程垃圾处理企业处理装修垃圾。通过拆除垃圾和工程垃圾的盈利来平衡装修垃圾的亏损。</w:t>
      </w:r>
    </w:p>
    <w:p w14:paraId="42B4D675">
      <w:pPr>
        <w:pStyle w:val="3"/>
        <w:spacing w:line="580" w:lineRule="exact"/>
        <w:ind w:firstLine="640"/>
        <w:rPr>
          <w:b w:val="0"/>
          <w:bCs/>
        </w:rPr>
      </w:pPr>
      <w:bookmarkStart w:id="53" w:name="_Toc175056382"/>
      <w:r>
        <w:rPr>
          <w:rFonts w:hint="eastAsia"/>
          <w:b w:val="0"/>
          <w:bCs/>
        </w:rPr>
        <w:t>第三节</w:t>
      </w:r>
      <w:r>
        <w:rPr>
          <w:b w:val="0"/>
          <w:bCs/>
        </w:rPr>
        <w:t xml:space="preserve"> </w:t>
      </w:r>
      <w:r>
        <w:rPr>
          <w:rFonts w:hint="eastAsia"/>
          <w:b w:val="0"/>
          <w:bCs/>
        </w:rPr>
        <w:t>建筑垃圾资源化利用设施规划</w:t>
      </w:r>
      <w:bookmarkEnd w:id="53"/>
    </w:p>
    <w:p w14:paraId="4F163276">
      <w:pPr>
        <w:ind w:firstLine="640"/>
        <w:rPr>
          <w:color w:val="auto"/>
          <w:lang w:eastAsia="zh-CN"/>
        </w:rPr>
      </w:pPr>
      <w:r>
        <w:rPr>
          <w:rFonts w:hint="eastAsia"/>
          <w:color w:val="auto"/>
          <w:lang w:eastAsia="zh-CN"/>
        </w:rPr>
        <w:t>安岳县建筑垃圾资源化利用厂用地位于安岳县文化镇板栗村，工程地质及水文地质条件相对较好；供水、供电方便，对周边环境影响较小，施工难度相对较小；交通便利。规划用地面积</w:t>
      </w:r>
      <w:r>
        <w:rPr>
          <w:color w:val="auto"/>
          <w:lang w:eastAsia="zh-CN"/>
        </w:rPr>
        <w:t>24</w:t>
      </w:r>
      <w:r>
        <w:rPr>
          <w:rFonts w:hint="eastAsia"/>
          <w:color w:val="auto"/>
          <w:lang w:eastAsia="zh-CN"/>
        </w:rPr>
        <w:t>亩，配套建设建筑垃圾分类及处理、转运调配、资源化利用等功能，近期建筑垃圾处理规模为</w:t>
      </w:r>
      <w:r>
        <w:rPr>
          <w:color w:val="auto"/>
          <w:lang w:eastAsia="zh-CN"/>
        </w:rPr>
        <w:t>30</w:t>
      </w:r>
      <w:r>
        <w:rPr>
          <w:rFonts w:hint="eastAsia"/>
          <w:color w:val="auto"/>
          <w:lang w:eastAsia="zh-CN"/>
        </w:rPr>
        <w:t>万吨</w:t>
      </w:r>
      <w:r>
        <w:rPr>
          <w:color w:val="auto"/>
          <w:lang w:eastAsia="zh-CN"/>
        </w:rPr>
        <w:t>/</w:t>
      </w:r>
      <w:r>
        <w:rPr>
          <w:rFonts w:hint="eastAsia"/>
          <w:color w:val="auto"/>
          <w:lang w:eastAsia="zh-CN"/>
        </w:rPr>
        <w:t>年；远期建筑垃圾处理规模达到</w:t>
      </w:r>
      <w:r>
        <w:rPr>
          <w:color w:val="auto"/>
          <w:lang w:eastAsia="zh-CN"/>
        </w:rPr>
        <w:t>32</w:t>
      </w:r>
      <w:r>
        <w:rPr>
          <w:rFonts w:hint="eastAsia"/>
          <w:color w:val="auto"/>
          <w:lang w:eastAsia="zh-CN"/>
        </w:rPr>
        <w:t>万吨</w:t>
      </w:r>
      <w:r>
        <w:rPr>
          <w:color w:val="auto"/>
          <w:lang w:eastAsia="zh-CN"/>
        </w:rPr>
        <w:t>/</w:t>
      </w:r>
      <w:r>
        <w:rPr>
          <w:rFonts w:hint="eastAsia"/>
          <w:color w:val="auto"/>
          <w:lang w:eastAsia="zh-CN"/>
        </w:rPr>
        <w:t>年。</w:t>
      </w:r>
    </w:p>
    <w:p w14:paraId="0450A380">
      <w:pPr>
        <w:pStyle w:val="3"/>
        <w:spacing w:line="580" w:lineRule="exact"/>
        <w:ind w:firstLine="640"/>
        <w:rPr>
          <w:b w:val="0"/>
          <w:bCs/>
        </w:rPr>
      </w:pPr>
      <w:bookmarkStart w:id="54" w:name="_Toc175056383"/>
      <w:r>
        <w:rPr>
          <w:rFonts w:hint="eastAsia"/>
          <w:b w:val="0"/>
          <w:bCs/>
        </w:rPr>
        <w:t>第四节</w:t>
      </w:r>
      <w:r>
        <w:rPr>
          <w:b w:val="0"/>
          <w:bCs/>
        </w:rPr>
        <w:t xml:space="preserve"> </w:t>
      </w:r>
      <w:r>
        <w:rPr>
          <w:rFonts w:hint="eastAsia"/>
          <w:b w:val="0"/>
          <w:bCs/>
        </w:rPr>
        <w:t>建筑垃圾渣土消纳设施规划</w:t>
      </w:r>
      <w:bookmarkEnd w:id="54"/>
    </w:p>
    <w:p w14:paraId="7B9B6465">
      <w:pPr>
        <w:ind w:firstLine="640"/>
        <w:rPr>
          <w:color w:val="auto"/>
          <w:lang w:eastAsia="zh-CN"/>
        </w:rPr>
      </w:pPr>
      <w:r>
        <w:rPr>
          <w:rFonts w:hint="eastAsia"/>
          <w:color w:val="auto"/>
          <w:lang w:eastAsia="zh-CN"/>
        </w:rPr>
        <w:t>安岳县渣土消纳设施位于安岳县岳城街道白石村，该场地建设条件较好，场地环境较为封闭，周围</w:t>
      </w:r>
      <w:r>
        <w:rPr>
          <w:color w:val="auto"/>
          <w:lang w:eastAsia="zh-CN"/>
        </w:rPr>
        <w:t xml:space="preserve"> 500m </w:t>
      </w:r>
      <w:r>
        <w:rPr>
          <w:rFonts w:hint="eastAsia"/>
          <w:color w:val="auto"/>
          <w:lang w:eastAsia="zh-CN"/>
        </w:rPr>
        <w:t>范围内无住户；周围无河流、湖泊、机场、军事基地等环境敏感点；场地用电可从</w:t>
      </w:r>
      <w:r>
        <w:rPr>
          <w:color w:val="auto"/>
          <w:lang w:eastAsia="zh-CN"/>
        </w:rPr>
        <w:t xml:space="preserve">10kV </w:t>
      </w:r>
      <w:r>
        <w:rPr>
          <w:rFonts w:hint="eastAsia"/>
          <w:color w:val="auto"/>
          <w:lang w:eastAsia="zh-CN"/>
        </w:rPr>
        <w:t>的电缆接入；场地用水可从临近的自来水管接入；规划渣土消纳场库容</w:t>
      </w:r>
      <w:r>
        <w:rPr>
          <w:color w:val="auto"/>
          <w:lang w:eastAsia="zh-CN"/>
        </w:rPr>
        <w:t>1500</w:t>
      </w:r>
      <w:r>
        <w:rPr>
          <w:rFonts w:hint="eastAsia"/>
          <w:color w:val="auto"/>
          <w:lang w:eastAsia="zh-CN"/>
        </w:rPr>
        <w:t>万</w:t>
      </w:r>
      <w:r>
        <w:rPr>
          <w:color w:val="auto"/>
          <w:lang w:eastAsia="zh-CN"/>
        </w:rPr>
        <w:t>m</w:t>
      </w:r>
      <w:r>
        <w:rPr>
          <w:rFonts w:ascii="宋体" w:hAnsi="宋体" w:eastAsia="宋体" w:cs="宋体"/>
          <w:color w:val="auto"/>
          <w:vertAlign w:val="superscript"/>
          <w:lang w:eastAsia="zh-CN"/>
        </w:rPr>
        <w:t>3</w:t>
      </w:r>
      <w:r>
        <w:rPr>
          <w:rFonts w:hint="eastAsia"/>
          <w:color w:val="auto"/>
          <w:lang w:eastAsia="zh-CN"/>
        </w:rPr>
        <w:t>。</w:t>
      </w:r>
    </w:p>
    <w:p w14:paraId="28406BC4">
      <w:pPr>
        <w:ind w:firstLine="640"/>
        <w:jc w:val="center"/>
        <w:rPr>
          <w:lang w:eastAsia="zh-CN"/>
        </w:rPr>
        <w:sectPr>
          <w:pgSz w:w="11907" w:h="16840"/>
          <w:pgMar w:top="2155" w:right="1531" w:bottom="1814" w:left="1531" w:header="851" w:footer="1588" w:gutter="0"/>
          <w:pgNumType w:fmt="numberInDash"/>
          <w:cols w:space="0" w:num="1"/>
          <w:docGrid w:linePitch="435" w:charSpace="0"/>
        </w:sectPr>
      </w:pPr>
      <w:bookmarkStart w:id="55" w:name="_Toc175056384"/>
    </w:p>
    <w:p w14:paraId="7A68CED3">
      <w:pPr>
        <w:ind w:firstLine="880"/>
        <w:jc w:val="center"/>
        <w:rPr>
          <w:rFonts w:eastAsia="方正小标宋_GBK"/>
          <w:sz w:val="44"/>
          <w:szCs w:val="44"/>
          <w:lang w:eastAsia="zh-CN"/>
        </w:rPr>
      </w:pPr>
      <w:r>
        <w:rPr>
          <w:rFonts w:hint="eastAsia" w:eastAsia="方正小标宋_GBK"/>
          <w:sz w:val="44"/>
          <w:szCs w:val="44"/>
          <w:lang w:eastAsia="zh-CN"/>
        </w:rPr>
        <w:t>第七章</w:t>
      </w:r>
      <w:r>
        <w:rPr>
          <w:rFonts w:eastAsia="方正小标宋_GBK"/>
          <w:sz w:val="44"/>
          <w:szCs w:val="44"/>
          <w:lang w:eastAsia="zh-CN"/>
        </w:rPr>
        <w:t xml:space="preserve"> </w:t>
      </w:r>
      <w:r>
        <w:rPr>
          <w:rFonts w:hint="eastAsia" w:eastAsia="方正小标宋_GBK"/>
          <w:sz w:val="44"/>
          <w:szCs w:val="44"/>
          <w:lang w:eastAsia="zh-CN"/>
        </w:rPr>
        <w:t>污染环境防治管控规划</w:t>
      </w:r>
      <w:bookmarkEnd w:id="55"/>
    </w:p>
    <w:p w14:paraId="5D765A18">
      <w:pPr>
        <w:spacing w:line="200" w:lineRule="exact"/>
        <w:ind w:firstLine="880"/>
        <w:jc w:val="center"/>
        <w:rPr>
          <w:rFonts w:eastAsia="方正小标宋_GBK"/>
          <w:sz w:val="44"/>
          <w:szCs w:val="44"/>
          <w:lang w:eastAsia="zh-CN"/>
        </w:rPr>
      </w:pPr>
    </w:p>
    <w:p w14:paraId="03591E47">
      <w:pPr>
        <w:pStyle w:val="3"/>
        <w:spacing w:line="580" w:lineRule="exact"/>
        <w:ind w:firstLine="640"/>
        <w:rPr>
          <w:b w:val="0"/>
          <w:bCs/>
        </w:rPr>
      </w:pPr>
      <w:bookmarkStart w:id="56" w:name="_Toc175056385"/>
      <w:r>
        <w:rPr>
          <w:rFonts w:hint="eastAsia"/>
          <w:b w:val="0"/>
          <w:bCs/>
        </w:rPr>
        <w:t>第一节</w:t>
      </w:r>
      <w:r>
        <w:rPr>
          <w:b w:val="0"/>
          <w:bCs/>
        </w:rPr>
        <w:t xml:space="preserve"> </w:t>
      </w:r>
      <w:r>
        <w:rPr>
          <w:rFonts w:hint="eastAsia"/>
          <w:b w:val="0"/>
          <w:bCs/>
        </w:rPr>
        <w:t>管控重点空间</w:t>
      </w:r>
      <w:bookmarkEnd w:id="56"/>
    </w:p>
    <w:p w14:paraId="31FAEFE3">
      <w:pPr>
        <w:ind w:firstLine="640"/>
        <w:rPr>
          <w:color w:val="auto"/>
          <w:lang w:eastAsia="zh-CN"/>
        </w:rPr>
      </w:pPr>
      <w:r>
        <w:rPr>
          <w:rFonts w:hint="eastAsia"/>
          <w:color w:val="auto"/>
          <w:lang w:eastAsia="zh-CN"/>
        </w:rPr>
        <w:t>根据《安岳县国土空间总体规划（</w:t>
      </w:r>
      <w:r>
        <w:rPr>
          <w:color w:val="auto"/>
          <w:lang w:eastAsia="zh-CN"/>
        </w:rPr>
        <w:t>2021—2035</w:t>
      </w:r>
      <w:r>
        <w:rPr>
          <w:rFonts w:hint="eastAsia"/>
          <w:color w:val="auto"/>
          <w:lang w:eastAsia="zh-CN"/>
        </w:rPr>
        <w:t>年）》“第</w:t>
      </w:r>
      <w:r>
        <w:rPr>
          <w:color w:val="auto"/>
          <w:lang w:eastAsia="zh-CN"/>
        </w:rPr>
        <w:t>134</w:t>
      </w:r>
      <w:r>
        <w:rPr>
          <w:rFonts w:hint="eastAsia"/>
          <w:color w:val="auto"/>
          <w:lang w:eastAsia="zh-CN"/>
        </w:rPr>
        <w:t>条</w:t>
      </w:r>
      <w:r>
        <w:rPr>
          <w:color w:val="auto"/>
          <w:lang w:eastAsia="zh-CN"/>
        </w:rPr>
        <w:t xml:space="preserve"> </w:t>
      </w:r>
      <w:r>
        <w:rPr>
          <w:rFonts w:hint="eastAsia"/>
          <w:color w:val="auto"/>
          <w:lang w:eastAsia="zh-CN"/>
        </w:rPr>
        <w:t>建设清洁循环的县域环卫设施”，固体废弃物处置场距</w:t>
      </w:r>
      <w:r>
        <w:rPr>
          <w:rFonts w:hint="eastAsia"/>
          <w:color w:val="auto"/>
          <w:spacing w:val="-6"/>
          <w:lang w:eastAsia="zh-CN"/>
        </w:rPr>
        <w:t>离农村居民点及人畜供水点不应小于</w:t>
      </w:r>
      <w:r>
        <w:rPr>
          <w:color w:val="auto"/>
          <w:spacing w:val="-6"/>
          <w:lang w:eastAsia="zh-CN"/>
        </w:rPr>
        <w:t xml:space="preserve"> 500 </w:t>
      </w:r>
      <w:r>
        <w:rPr>
          <w:rFonts w:hint="eastAsia"/>
          <w:color w:val="auto"/>
          <w:spacing w:val="-6"/>
          <w:lang w:eastAsia="zh-CN"/>
        </w:rPr>
        <w:t>米。环卫设施的布局应合理利用地下空间及绿化设置，消除邻避效应，提升环境品质。</w:t>
      </w:r>
      <w:r>
        <w:rPr>
          <w:rFonts w:hint="eastAsia"/>
          <w:color w:val="auto"/>
          <w:lang w:eastAsia="zh-CN"/>
        </w:rPr>
        <w:t>规划新增的建筑垃圾综合利用处理厂不涉及安岳县环境敏感区，项目空间布局总体合理。</w:t>
      </w:r>
    </w:p>
    <w:p w14:paraId="1A3DBF8E">
      <w:pPr>
        <w:ind w:firstLine="640"/>
        <w:rPr>
          <w:color w:val="auto"/>
          <w:lang w:eastAsia="zh-CN"/>
        </w:rPr>
      </w:pPr>
      <w:r>
        <w:rPr>
          <w:rFonts w:hint="eastAsia"/>
          <w:color w:val="auto"/>
          <w:lang w:eastAsia="zh-CN"/>
        </w:rPr>
        <w:t>对安岳县岳城街道白石村弃土消纳场相关设施进行完善。消纳场应严格按照《一般工业固体废物贮存和填埋污染控制标准》（</w:t>
      </w:r>
      <w:r>
        <w:rPr>
          <w:color w:val="auto"/>
          <w:lang w:eastAsia="zh-CN"/>
        </w:rPr>
        <w:t>GB18599-2020</w:t>
      </w:r>
      <w:r>
        <w:rPr>
          <w:rFonts w:hint="eastAsia"/>
          <w:color w:val="auto"/>
          <w:lang w:eastAsia="zh-CN"/>
        </w:rPr>
        <w:t>）、《建筑垃圾处理技术标准》（</w:t>
      </w:r>
      <w:r>
        <w:rPr>
          <w:color w:val="auto"/>
          <w:lang w:eastAsia="zh-CN"/>
        </w:rPr>
        <w:t>CJJ/T134-2019</w:t>
      </w:r>
      <w:r>
        <w:rPr>
          <w:rFonts w:hint="eastAsia"/>
          <w:color w:val="auto"/>
          <w:lang w:eastAsia="zh-CN"/>
        </w:rPr>
        <w:t>）等建设要求设计渗滤液及淋溶水集排水设施，建筑垃圾渗滤液、淋溶水主要成分为悬浮物，对区域土壤和地下水影响较小。</w:t>
      </w:r>
    </w:p>
    <w:p w14:paraId="40EFC70B">
      <w:pPr>
        <w:pStyle w:val="3"/>
        <w:spacing w:line="580" w:lineRule="exact"/>
        <w:ind w:firstLine="640"/>
        <w:rPr>
          <w:b w:val="0"/>
          <w:bCs/>
        </w:rPr>
      </w:pPr>
      <w:bookmarkStart w:id="57" w:name="_Toc175056386"/>
      <w:r>
        <w:rPr>
          <w:rFonts w:hint="eastAsia"/>
          <w:b w:val="0"/>
          <w:bCs/>
        </w:rPr>
        <w:t>第二节</w:t>
      </w:r>
      <w:r>
        <w:rPr>
          <w:b w:val="0"/>
          <w:bCs/>
        </w:rPr>
        <w:t xml:space="preserve"> </w:t>
      </w:r>
      <w:r>
        <w:rPr>
          <w:rFonts w:hint="eastAsia"/>
          <w:b w:val="0"/>
          <w:bCs/>
        </w:rPr>
        <w:t>管控措施</w:t>
      </w:r>
      <w:bookmarkEnd w:id="57"/>
    </w:p>
    <w:p w14:paraId="49CA3C1A">
      <w:pPr>
        <w:ind w:firstLine="640"/>
        <w:rPr>
          <w:color w:val="auto"/>
          <w:lang w:eastAsia="zh-CN"/>
        </w:rPr>
      </w:pPr>
      <w:r>
        <w:rPr>
          <w:rFonts w:hint="eastAsia"/>
          <w:color w:val="auto"/>
          <w:lang w:eastAsia="zh-CN"/>
        </w:rPr>
        <w:t>根据建筑垃圾处理设施的不同，分别对建筑垃圾消纳场、建筑垃圾综合利用厂从大气环境、水环境、声环境等方面进行管控。</w:t>
      </w:r>
    </w:p>
    <w:p w14:paraId="667AC545">
      <w:pPr>
        <w:pStyle w:val="4"/>
        <w:spacing w:line="580" w:lineRule="exact"/>
        <w:ind w:firstLine="643"/>
        <w:jc w:val="both"/>
        <w:rPr>
          <w:rFonts w:eastAsia="方正楷体_GBK"/>
          <w:color w:val="auto"/>
        </w:rPr>
      </w:pPr>
      <w:r>
        <w:rPr>
          <w:rFonts w:hint="eastAsia" w:eastAsia="方正楷体_GBK"/>
          <w:color w:val="auto"/>
        </w:rPr>
        <w:t>（一）大气环境影响减缓措施</w:t>
      </w:r>
    </w:p>
    <w:p w14:paraId="352BE516">
      <w:pPr>
        <w:ind w:firstLine="640"/>
        <w:rPr>
          <w:color w:val="auto"/>
          <w:lang w:eastAsia="zh-CN"/>
        </w:rPr>
      </w:pPr>
      <w:r>
        <w:rPr>
          <w:rFonts w:hint="eastAsia"/>
          <w:color w:val="auto"/>
          <w:lang w:eastAsia="zh-CN"/>
        </w:rPr>
        <w:t>建筑垃圾收运都应施行密闭化管控，避免建筑垃圾粉尘和异味产生及外溢；所有车辆均采用尾气排放达标产品，减少废气排放；建筑垃圾消纳场周围需设置围堰防风抑尘，同时对平台垃圾及时洒水碾压从而减少扬尘；建筑垃圾综合利用处理场应对破碎及筛分的设备均设置集气罩，并采取封闭型皮带传送系统输送物料，同时设置除尘器进行处理排放，排放应按现行国家标准《大气污染物综合排放标准》（</w:t>
      </w:r>
      <w:r>
        <w:rPr>
          <w:color w:val="auto"/>
          <w:lang w:eastAsia="zh-CN"/>
        </w:rPr>
        <w:t>GB 16297-1996</w:t>
      </w:r>
      <w:r>
        <w:rPr>
          <w:rFonts w:hint="eastAsia"/>
          <w:color w:val="auto"/>
          <w:lang w:eastAsia="zh-CN"/>
        </w:rPr>
        <w:t>）规定执行。</w:t>
      </w:r>
    </w:p>
    <w:p w14:paraId="56A32DAC">
      <w:pPr>
        <w:pStyle w:val="4"/>
        <w:spacing w:line="580" w:lineRule="exact"/>
        <w:ind w:firstLine="643"/>
        <w:jc w:val="both"/>
        <w:rPr>
          <w:rFonts w:eastAsia="方正楷体_GBK"/>
          <w:color w:val="auto"/>
        </w:rPr>
      </w:pPr>
      <w:r>
        <w:rPr>
          <w:rFonts w:hint="eastAsia" w:eastAsia="方正楷体_GBK"/>
          <w:color w:val="auto"/>
        </w:rPr>
        <w:t>（二）水环境影响减缓措施</w:t>
      </w:r>
    </w:p>
    <w:p w14:paraId="147414F1">
      <w:pPr>
        <w:ind w:firstLine="640"/>
        <w:rPr>
          <w:color w:val="auto"/>
          <w:lang w:eastAsia="zh-CN"/>
        </w:rPr>
      </w:pPr>
      <w:r>
        <w:rPr>
          <w:rFonts w:hint="eastAsia"/>
          <w:color w:val="auto"/>
          <w:lang w:eastAsia="zh-CN"/>
        </w:rPr>
        <w:t>建筑垃圾运输车辆清洗废水经达标处理后回用于填埋区、道路洒水抑尘。建筑垃圾消纳场应实行源头分类，禁止所有工业固废、有毒有害废弃物等入场或直接填埋，避免渗滤液下渗</w:t>
      </w:r>
      <w:r>
        <w:rPr>
          <w:rFonts w:hint="eastAsia"/>
          <w:color w:val="auto"/>
          <w:spacing w:val="-8"/>
          <w:lang w:eastAsia="zh-CN"/>
        </w:rPr>
        <w:t>污染环境；建筑垃圾综合利用处理场内生活污水预处理达标后，有条件可接入市政污水系统或回用于厂内绿化、道路洒水等。</w:t>
      </w:r>
    </w:p>
    <w:p w14:paraId="2E9FEDF3">
      <w:pPr>
        <w:pStyle w:val="4"/>
        <w:spacing w:line="580" w:lineRule="exact"/>
        <w:ind w:firstLine="643"/>
        <w:jc w:val="both"/>
        <w:rPr>
          <w:rFonts w:eastAsia="方正楷体_GBK"/>
          <w:color w:val="auto"/>
        </w:rPr>
      </w:pPr>
      <w:r>
        <w:rPr>
          <w:rFonts w:hint="eastAsia" w:eastAsia="方正楷体_GBK"/>
          <w:color w:val="auto"/>
        </w:rPr>
        <w:t>（三）声环境影响减缓措施</w:t>
      </w:r>
    </w:p>
    <w:p w14:paraId="2EFF2318">
      <w:pPr>
        <w:ind w:firstLine="640"/>
        <w:rPr>
          <w:lang w:eastAsia="zh-CN"/>
        </w:rPr>
        <w:sectPr>
          <w:pgSz w:w="11907" w:h="16840"/>
          <w:pgMar w:top="2155" w:right="1531" w:bottom="1814" w:left="1531" w:header="851" w:footer="1588" w:gutter="0"/>
          <w:pgNumType w:fmt="numberInDash"/>
          <w:cols w:space="0" w:num="1"/>
          <w:docGrid w:linePitch="435" w:charSpace="0"/>
        </w:sectPr>
      </w:pPr>
      <w:bookmarkStart w:id="58" w:name="_Hlk177585477"/>
      <w:r>
        <w:rPr>
          <w:rFonts w:hint="eastAsia"/>
          <w:lang w:eastAsia="zh-CN"/>
        </w:rPr>
        <w:t>所有建筑垃圾运输车辆的噪声控制均应满足国家相关标准要求。运输车辆宜安装消声器，禁用高音喇叭，规范操作并减少车辆鸣笛次数；建筑垃圾处置设施应采用低噪声设备以及合理设置绿化带来减少噪声影响。场（厂）界噪声应符合现行国家标准《工业企业厂界环境噪声排放标准》（</w:t>
      </w:r>
      <w:r>
        <w:rPr>
          <w:lang w:eastAsia="zh-CN"/>
        </w:rPr>
        <w:t>GB12348-2008</w:t>
      </w:r>
      <w:r>
        <w:rPr>
          <w:rFonts w:hint="eastAsia"/>
          <w:lang w:eastAsia="zh-CN"/>
        </w:rPr>
        <w:t>）的规定。</w:t>
      </w:r>
      <w:bookmarkEnd w:id="58"/>
      <w:bookmarkStart w:id="59" w:name="_Toc175056387"/>
    </w:p>
    <w:p w14:paraId="4224E52E">
      <w:pPr>
        <w:ind w:firstLine="880"/>
        <w:jc w:val="center"/>
        <w:rPr>
          <w:rFonts w:ascii="方正小标宋_GBK" w:eastAsia="方正小标宋_GBK" w:cs="黑体"/>
          <w:bCs/>
          <w:sz w:val="44"/>
          <w:szCs w:val="44"/>
          <w:lang w:eastAsia="zh-CN"/>
        </w:rPr>
      </w:pPr>
      <w:r>
        <w:rPr>
          <w:rFonts w:hint="eastAsia" w:ascii="方正小标宋_GBK" w:eastAsia="方正小标宋_GBK" w:cs="黑体"/>
          <w:bCs/>
          <w:sz w:val="44"/>
          <w:szCs w:val="44"/>
          <w:lang w:eastAsia="zh-CN"/>
        </w:rPr>
        <w:t>第八章</w:t>
      </w:r>
      <w:r>
        <w:rPr>
          <w:rFonts w:ascii="方正小标宋_GBK" w:eastAsia="方正小标宋_GBK" w:cs="黑体"/>
          <w:bCs/>
          <w:sz w:val="44"/>
          <w:szCs w:val="44"/>
          <w:lang w:eastAsia="zh-CN"/>
        </w:rPr>
        <w:t xml:space="preserve"> </w:t>
      </w:r>
      <w:r>
        <w:rPr>
          <w:rFonts w:hint="eastAsia" w:ascii="方正小标宋_GBK" w:eastAsia="方正小标宋_GBK" w:cs="黑体"/>
          <w:bCs/>
          <w:sz w:val="44"/>
          <w:szCs w:val="44"/>
          <w:lang w:eastAsia="zh-CN"/>
        </w:rPr>
        <w:t>管理体系规划</w:t>
      </w:r>
      <w:bookmarkEnd w:id="59"/>
    </w:p>
    <w:p w14:paraId="4C7A6BEE">
      <w:pPr>
        <w:spacing w:line="200" w:lineRule="exact"/>
        <w:ind w:firstLine="880"/>
        <w:jc w:val="center"/>
        <w:rPr>
          <w:rFonts w:ascii="方正小标宋_GBK" w:eastAsia="方正小标宋_GBK" w:cs="黑体"/>
          <w:bCs/>
          <w:sz w:val="44"/>
          <w:szCs w:val="44"/>
          <w:lang w:eastAsia="zh-CN"/>
        </w:rPr>
      </w:pPr>
    </w:p>
    <w:p w14:paraId="60ABBB93">
      <w:pPr>
        <w:pStyle w:val="3"/>
        <w:spacing w:line="580" w:lineRule="exact"/>
        <w:ind w:firstLine="640"/>
        <w:rPr>
          <w:b w:val="0"/>
          <w:bCs/>
        </w:rPr>
      </w:pPr>
      <w:bookmarkStart w:id="60" w:name="_Toc175056388"/>
      <w:r>
        <w:rPr>
          <w:rFonts w:hint="eastAsia"/>
          <w:b w:val="0"/>
          <w:bCs/>
        </w:rPr>
        <w:t>第一节</w:t>
      </w:r>
      <w:r>
        <w:rPr>
          <w:b w:val="0"/>
          <w:bCs/>
        </w:rPr>
        <w:t xml:space="preserve"> </w:t>
      </w:r>
      <w:r>
        <w:rPr>
          <w:rFonts w:hint="eastAsia"/>
          <w:b w:val="0"/>
          <w:bCs/>
        </w:rPr>
        <w:t>管理组织构架</w:t>
      </w:r>
      <w:bookmarkEnd w:id="60"/>
    </w:p>
    <w:p w14:paraId="6B943AB0">
      <w:pPr>
        <w:ind w:firstLine="640"/>
        <w:rPr>
          <w:color w:val="auto"/>
          <w:lang w:eastAsia="zh-CN"/>
        </w:rPr>
      </w:pPr>
      <w:r>
        <w:rPr>
          <w:rFonts w:hint="eastAsia"/>
          <w:color w:val="auto"/>
          <w:lang w:eastAsia="zh-CN"/>
        </w:rPr>
        <w:t>建筑垃圾管理部门负责组织协调安岳县建筑垃圾治理工作，统筹推进建筑垃圾处理项目建设、日常监管及综合利用。各乡镇（街道）也要设立相应管理机构，协调推进本地建筑垃圾管理及资源化利用工作。</w:t>
      </w:r>
    </w:p>
    <w:p w14:paraId="58AD0B84">
      <w:pPr>
        <w:ind w:firstLine="640"/>
        <w:rPr>
          <w:color w:val="auto"/>
          <w:lang w:eastAsia="zh-CN"/>
        </w:rPr>
      </w:pPr>
      <w:r>
        <w:rPr>
          <w:rFonts w:hint="eastAsia"/>
          <w:color w:val="auto"/>
          <w:lang w:eastAsia="zh-CN"/>
        </w:rPr>
        <w:t>安岳县建筑垃圾处置管理工作将实行职能部门联动，明确安岳县各单位分工，加强联合执法的工作原则。各职能部门分工如下：</w:t>
      </w:r>
    </w:p>
    <w:p w14:paraId="207BACE1">
      <w:pPr>
        <w:pStyle w:val="4"/>
        <w:spacing w:line="580" w:lineRule="exact"/>
        <w:ind w:firstLine="643"/>
        <w:jc w:val="both"/>
        <w:rPr>
          <w:rFonts w:eastAsia="方正楷体_GBK"/>
          <w:color w:val="auto"/>
        </w:rPr>
      </w:pPr>
      <w:r>
        <w:rPr>
          <w:rFonts w:hint="eastAsia" w:eastAsia="方正楷体_GBK"/>
          <w:color w:val="auto"/>
        </w:rPr>
        <w:t>（一）属地政府是本辖区范围内建筑垃圾处置工作主体和实施主体</w:t>
      </w:r>
    </w:p>
    <w:p w14:paraId="23BC9C5D">
      <w:pPr>
        <w:ind w:firstLine="640"/>
        <w:rPr>
          <w:color w:val="auto"/>
          <w:lang w:eastAsia="zh-CN"/>
        </w:rPr>
      </w:pPr>
      <w:r>
        <w:rPr>
          <w:rFonts w:hint="eastAsia"/>
          <w:color w:val="auto"/>
          <w:lang w:eastAsia="zh-CN"/>
        </w:rPr>
        <w:t>各乡镇（街道）人民政府（办事处）、各有关部门负责辖区内（含已入库储备土地）建筑垃圾排放、运输、消纳、综合利用等日常监督巡查管理，开展建筑垃圾处置过程的法律法规、政策宣传，联系行业主管部门、执法部门开展建筑垃圾处置过程综合防控等工作。</w:t>
      </w:r>
    </w:p>
    <w:p w14:paraId="2AEFC5A3">
      <w:pPr>
        <w:ind w:firstLine="640"/>
        <w:rPr>
          <w:color w:val="auto"/>
          <w:lang w:eastAsia="zh-CN"/>
        </w:rPr>
      </w:pPr>
      <w:r>
        <w:rPr>
          <w:rFonts w:hint="eastAsia"/>
          <w:color w:val="auto"/>
          <w:lang w:eastAsia="zh-CN"/>
        </w:rPr>
        <w:t>储备土地入库前由地块收储前期工作实施单位负责建筑垃圾排放的监督管理，已供待建地块（闲置土地）由地块竞得人负责建筑垃圾排放的监督管理。</w:t>
      </w:r>
    </w:p>
    <w:p w14:paraId="6ADA2DFE">
      <w:pPr>
        <w:pStyle w:val="4"/>
        <w:spacing w:line="580" w:lineRule="exact"/>
        <w:ind w:firstLine="643"/>
        <w:jc w:val="both"/>
        <w:rPr>
          <w:rFonts w:eastAsia="方正楷体_GBK"/>
          <w:color w:val="auto"/>
        </w:rPr>
      </w:pPr>
      <w:r>
        <w:rPr>
          <w:rFonts w:hint="eastAsia" w:eastAsia="方正楷体_GBK"/>
          <w:color w:val="auto"/>
        </w:rPr>
        <w:t>（二）县级部门负责分管行业建筑垃圾治理工作的监督管理和协调指导</w:t>
      </w:r>
    </w:p>
    <w:p w14:paraId="4FBE090C">
      <w:pPr>
        <w:ind w:firstLine="640"/>
        <w:rPr>
          <w:color w:val="auto"/>
          <w:lang w:eastAsia="zh-CN"/>
        </w:rPr>
      </w:pPr>
      <w:r>
        <w:rPr>
          <w:rFonts w:hint="eastAsia"/>
          <w:color w:val="auto"/>
          <w:lang w:eastAsia="zh-CN"/>
        </w:rPr>
        <w:t>县综合行政执法局负责全县建筑垃圾排放、运输、消纳、综合利用等管理工作的具体组织、协调、治理、监督检查、行政执法、考核工作。组织开展建筑垃圾治理专项行动。负责收集和报送全县建筑垃圾治理情况，完善工作制度，建立长效管理机制，以及市政、园林工地建筑垃圾排放的监督管理。</w:t>
      </w:r>
    </w:p>
    <w:p w14:paraId="23DF498D">
      <w:pPr>
        <w:ind w:firstLine="640"/>
        <w:rPr>
          <w:color w:val="auto"/>
          <w:lang w:eastAsia="zh-CN"/>
        </w:rPr>
      </w:pPr>
      <w:r>
        <w:rPr>
          <w:rFonts w:hint="eastAsia"/>
          <w:color w:val="auto"/>
          <w:lang w:eastAsia="zh-CN"/>
        </w:rPr>
        <w:t>县住房和城乡建设局负责加强房屋建筑、城市道路交通工地和房屋拆除工地建筑垃圾排放的监督管理；加强建筑工地、市政基础设施工地、老旧小区改造文明施工现场管理，推行源头减量和再生产品在住房和城乡建设领域推广应用工作，积极推行绿色施工。负责指导物业服务企业规范处置和运输房屋装修建筑垃圾。</w:t>
      </w:r>
    </w:p>
    <w:p w14:paraId="6398C885">
      <w:pPr>
        <w:ind w:firstLine="640"/>
        <w:rPr>
          <w:color w:val="auto"/>
          <w:lang w:eastAsia="zh-CN"/>
        </w:rPr>
      </w:pPr>
      <w:r>
        <w:rPr>
          <w:rFonts w:hint="eastAsia"/>
          <w:color w:val="auto"/>
          <w:lang w:eastAsia="zh-CN"/>
        </w:rPr>
        <w:t>县交通运输局按照相关要求实施普通货运企业和运输车辆的道路经营许可监督管理，依法查处建筑垃圾运输企业的道路运输经营违法行为。推行源头减量和再生产品在交通建设领域推广应用工作。</w:t>
      </w:r>
    </w:p>
    <w:p w14:paraId="3148BBE6">
      <w:pPr>
        <w:ind w:firstLine="640"/>
        <w:rPr>
          <w:color w:val="auto"/>
          <w:lang w:eastAsia="zh-CN"/>
        </w:rPr>
      </w:pPr>
      <w:r>
        <w:rPr>
          <w:rFonts w:hint="eastAsia"/>
          <w:color w:val="auto"/>
          <w:lang w:eastAsia="zh-CN"/>
        </w:rPr>
        <w:t>县公安局负责查处建筑垃圾运输过程中的违法行为。依法注册登记，明确车辆相关参数。合理规划城区建筑垃圾运输通道。规范建筑垃圾运输车辆道路通行秩序。</w:t>
      </w:r>
    </w:p>
    <w:p w14:paraId="660C2B1E">
      <w:pPr>
        <w:ind w:firstLine="640"/>
        <w:rPr>
          <w:color w:val="auto"/>
          <w:lang w:eastAsia="zh-CN"/>
        </w:rPr>
      </w:pPr>
      <w:r>
        <w:rPr>
          <w:rFonts w:hint="eastAsia"/>
          <w:color w:val="auto"/>
          <w:lang w:eastAsia="zh-CN"/>
        </w:rPr>
        <w:t>县自然资源和规划局负责配合综合行政执法、生态环境、住建、水务等行政主管部门编制建筑垃圾固定消纳场设置规划，确定建筑垃圾固定消纳场建设点位。做好符合规划的建筑垃圾消纳场资源化利用项目用地保障工作。</w:t>
      </w:r>
    </w:p>
    <w:p w14:paraId="146D5E36">
      <w:pPr>
        <w:ind w:firstLine="640"/>
        <w:rPr>
          <w:color w:val="auto"/>
          <w:lang w:eastAsia="zh-CN"/>
        </w:rPr>
      </w:pPr>
      <w:r>
        <w:rPr>
          <w:rFonts w:hint="eastAsia"/>
          <w:color w:val="auto"/>
          <w:lang w:eastAsia="zh-CN"/>
        </w:rPr>
        <w:t>县水务局负责水利工程等涉水工程的施工工地建筑垃圾排放的监督管理。</w:t>
      </w:r>
    </w:p>
    <w:p w14:paraId="09045048">
      <w:pPr>
        <w:ind w:firstLine="640"/>
        <w:rPr>
          <w:color w:val="auto"/>
          <w:lang w:eastAsia="zh-CN"/>
        </w:rPr>
      </w:pPr>
      <w:r>
        <w:rPr>
          <w:rFonts w:hint="eastAsia"/>
          <w:color w:val="auto"/>
          <w:lang w:eastAsia="zh-CN"/>
        </w:rPr>
        <w:t>资阳市安岳生态环境局负责对危险废物混入建筑垃圾以及造成建筑垃圾污染环境事故依法进行查处。</w:t>
      </w:r>
    </w:p>
    <w:p w14:paraId="41CB1EE5">
      <w:pPr>
        <w:ind w:firstLine="640"/>
        <w:rPr>
          <w:color w:val="auto"/>
          <w:lang w:eastAsia="zh-CN"/>
        </w:rPr>
      </w:pPr>
      <w:r>
        <w:rPr>
          <w:rFonts w:hint="eastAsia"/>
          <w:color w:val="auto"/>
          <w:lang w:eastAsia="zh-CN"/>
        </w:rPr>
        <w:t>建筑垃圾消纳场所业主单位负责所属的建筑垃圾消纳场所日常运行管理、维护、安全生产等工作。</w:t>
      </w:r>
    </w:p>
    <w:p w14:paraId="08F59817">
      <w:pPr>
        <w:pStyle w:val="3"/>
        <w:spacing w:line="580" w:lineRule="exact"/>
        <w:ind w:firstLine="640"/>
        <w:rPr>
          <w:b w:val="0"/>
          <w:bCs/>
        </w:rPr>
      </w:pPr>
      <w:bookmarkStart w:id="61" w:name="_Toc175056389"/>
      <w:r>
        <w:rPr>
          <w:rFonts w:hint="eastAsia"/>
          <w:b w:val="0"/>
          <w:bCs/>
        </w:rPr>
        <w:t>第二节</w:t>
      </w:r>
      <w:r>
        <w:rPr>
          <w:b w:val="0"/>
          <w:bCs/>
        </w:rPr>
        <w:t xml:space="preserve"> </w:t>
      </w:r>
      <w:r>
        <w:rPr>
          <w:rFonts w:hint="eastAsia"/>
          <w:b w:val="0"/>
          <w:bCs/>
        </w:rPr>
        <w:t>全过程管理体系建设</w:t>
      </w:r>
      <w:bookmarkEnd w:id="61"/>
    </w:p>
    <w:p w14:paraId="2543CBE2">
      <w:pPr>
        <w:pStyle w:val="4"/>
        <w:spacing w:line="580" w:lineRule="exact"/>
        <w:ind w:firstLine="643"/>
        <w:jc w:val="both"/>
        <w:rPr>
          <w:rFonts w:eastAsia="方正楷体_GBK"/>
          <w:color w:val="auto"/>
        </w:rPr>
      </w:pPr>
      <w:r>
        <w:rPr>
          <w:rFonts w:hint="eastAsia" w:eastAsia="方正楷体_GBK"/>
          <w:color w:val="auto"/>
        </w:rPr>
        <w:t>（一）联合执法制度</w:t>
      </w:r>
    </w:p>
    <w:p w14:paraId="701A1E60">
      <w:pPr>
        <w:ind w:firstLine="640"/>
        <w:rPr>
          <w:color w:val="auto"/>
          <w:lang w:eastAsia="zh-CN"/>
        </w:rPr>
      </w:pPr>
      <w:r>
        <w:rPr>
          <w:rFonts w:hint="eastAsia"/>
          <w:color w:val="auto"/>
          <w:lang w:eastAsia="zh-CN"/>
        </w:rPr>
        <w:t>各相关部门应全面落实联勤联动机制，在切实强化日常执法管理的基础上，定期和不定期开展联合执法整治。</w:t>
      </w:r>
    </w:p>
    <w:p w14:paraId="2113AEBE">
      <w:pPr>
        <w:pStyle w:val="4"/>
        <w:spacing w:line="580" w:lineRule="exact"/>
        <w:ind w:firstLine="643"/>
        <w:jc w:val="both"/>
        <w:rPr>
          <w:rFonts w:eastAsia="方正楷体_GBK"/>
          <w:color w:val="auto"/>
        </w:rPr>
      </w:pPr>
      <w:r>
        <w:rPr>
          <w:rFonts w:hint="eastAsia" w:eastAsia="方正楷体_GBK"/>
          <w:color w:val="auto"/>
        </w:rPr>
        <w:t>（二）建筑垃圾全过程监管制度</w:t>
      </w:r>
    </w:p>
    <w:p w14:paraId="511E9C6F">
      <w:pPr>
        <w:ind w:firstLine="640"/>
        <w:rPr>
          <w:color w:val="auto"/>
          <w:lang w:eastAsia="zh-CN"/>
        </w:rPr>
      </w:pPr>
      <w:r>
        <w:rPr>
          <w:rFonts w:hint="eastAsia"/>
          <w:color w:val="auto"/>
          <w:lang w:eastAsia="zh-CN"/>
        </w:rPr>
        <w:t>建设项目在规划设计阶段应同步编制建筑垃圾减量、分类和资源化利用等专项方案。同时，进一步加强建筑垃圾源头管理，工程建设单位要将建筑垃圾运输和处置费用纳入工程预算，保证运输和处置经费。工程施工单位应估测建筑垃圾产生量并编制处置方案。工程设计单位、施工单位应按有关规定，优化建筑设计，科学组织施工，合理利用建筑垃圾。</w:t>
      </w:r>
    </w:p>
    <w:p w14:paraId="1E53FFEF">
      <w:pPr>
        <w:pStyle w:val="4"/>
        <w:spacing w:line="580" w:lineRule="exact"/>
        <w:ind w:firstLine="643"/>
        <w:jc w:val="both"/>
        <w:rPr>
          <w:rFonts w:eastAsia="方正楷体_GBK"/>
          <w:color w:val="auto"/>
        </w:rPr>
      </w:pPr>
      <w:r>
        <w:rPr>
          <w:rFonts w:hint="eastAsia" w:eastAsia="方正楷体_GBK"/>
          <w:color w:val="auto"/>
        </w:rPr>
        <w:t>（三）建筑垃圾处置核准制度</w:t>
      </w:r>
    </w:p>
    <w:p w14:paraId="18568EF9">
      <w:pPr>
        <w:ind w:firstLine="640"/>
        <w:rPr>
          <w:color w:val="auto"/>
          <w:lang w:eastAsia="zh-CN"/>
        </w:rPr>
      </w:pPr>
      <w:r>
        <w:rPr>
          <w:rFonts w:hint="eastAsia"/>
          <w:color w:val="auto"/>
          <w:lang w:eastAsia="zh-CN"/>
        </w:rPr>
        <w:t>从事建筑垃圾处置活动的单位，应当向县综合行政执法局提出申请，办理建筑垃圾处置许可。工程施工单位应编制建筑垃圾处置方案，报县综合行政执法局备案。</w:t>
      </w:r>
    </w:p>
    <w:p w14:paraId="2D4804BE">
      <w:pPr>
        <w:pStyle w:val="4"/>
        <w:spacing w:line="580" w:lineRule="exact"/>
        <w:ind w:firstLine="643"/>
        <w:jc w:val="both"/>
        <w:rPr>
          <w:rFonts w:eastAsia="方正楷体_GBK"/>
          <w:color w:val="auto"/>
        </w:rPr>
      </w:pPr>
      <w:r>
        <w:rPr>
          <w:rFonts w:hint="eastAsia" w:eastAsia="方正楷体_GBK"/>
          <w:color w:val="auto"/>
        </w:rPr>
        <w:t>（四）特许经营制度</w:t>
      </w:r>
    </w:p>
    <w:p w14:paraId="4D6D0601">
      <w:pPr>
        <w:ind w:firstLine="640"/>
        <w:rPr>
          <w:color w:val="auto"/>
          <w:lang w:eastAsia="zh-CN"/>
        </w:rPr>
      </w:pPr>
      <w:r>
        <w:rPr>
          <w:rFonts w:hint="eastAsia"/>
          <w:color w:val="auto"/>
          <w:lang w:eastAsia="zh-CN"/>
        </w:rPr>
        <w:t>鼓励建筑垃圾资源化利用运输和生产企业进行特许经营，鼓励有实力的企业进入建筑垃圾资源化领域，由政府发放经营许可，间隔合适时间进行一次资质评估，规范市场监管。</w:t>
      </w:r>
    </w:p>
    <w:p w14:paraId="2C7188ED">
      <w:pPr>
        <w:pStyle w:val="4"/>
        <w:spacing w:line="580" w:lineRule="exact"/>
        <w:ind w:firstLine="643"/>
        <w:jc w:val="both"/>
        <w:rPr>
          <w:rFonts w:eastAsia="方正楷体_GBK"/>
          <w:color w:val="auto"/>
        </w:rPr>
      </w:pPr>
      <w:r>
        <w:rPr>
          <w:rFonts w:hint="eastAsia" w:eastAsia="方正楷体_GBK"/>
          <w:color w:val="auto"/>
        </w:rPr>
        <w:t>（五）绿色付费和政府补贴制度</w:t>
      </w:r>
    </w:p>
    <w:p w14:paraId="20EF4DE3">
      <w:pPr>
        <w:ind w:firstLine="640"/>
        <w:rPr>
          <w:color w:val="auto"/>
          <w:lang w:eastAsia="zh-CN"/>
        </w:rPr>
      </w:pPr>
      <w:r>
        <w:rPr>
          <w:rFonts w:hint="eastAsia"/>
          <w:color w:val="auto"/>
          <w:lang w:eastAsia="zh-CN"/>
        </w:rPr>
        <w:t>按照“谁产生谁治理、谁污染谁付费”的原则探索建立相关制度。</w:t>
      </w:r>
    </w:p>
    <w:p w14:paraId="7C3B4D00">
      <w:pPr>
        <w:pStyle w:val="4"/>
        <w:spacing w:line="580" w:lineRule="exact"/>
        <w:ind w:firstLine="643"/>
        <w:jc w:val="both"/>
        <w:rPr>
          <w:rFonts w:eastAsia="方正楷体_GBK"/>
          <w:color w:val="auto"/>
        </w:rPr>
      </w:pPr>
      <w:r>
        <w:rPr>
          <w:rFonts w:hint="eastAsia" w:eastAsia="方正楷体_GBK"/>
          <w:color w:val="auto"/>
        </w:rPr>
        <w:t>（六）新型智能建筑渣土车推广应用制度</w:t>
      </w:r>
    </w:p>
    <w:p w14:paraId="65B9EE30">
      <w:pPr>
        <w:ind w:firstLine="640"/>
        <w:rPr>
          <w:color w:val="auto"/>
          <w:lang w:eastAsia="zh-CN"/>
        </w:rPr>
      </w:pPr>
      <w:r>
        <w:rPr>
          <w:rFonts w:hint="eastAsia"/>
          <w:color w:val="auto"/>
          <w:lang w:eastAsia="zh-CN"/>
        </w:rPr>
        <w:t>研究出台建筑垃圾新型智能建筑渣土车应用推广政策，研究政府补贴和绿色审批，创新服务，加强监管，全面推广新型智能建筑渣土车的应用。</w:t>
      </w:r>
    </w:p>
    <w:p w14:paraId="15A94A96">
      <w:pPr>
        <w:pStyle w:val="4"/>
        <w:spacing w:line="580" w:lineRule="exact"/>
        <w:ind w:firstLine="643"/>
        <w:jc w:val="both"/>
        <w:rPr>
          <w:rFonts w:eastAsia="方正楷体_GBK"/>
          <w:color w:val="auto"/>
        </w:rPr>
      </w:pPr>
      <w:r>
        <w:rPr>
          <w:rFonts w:hint="eastAsia" w:eastAsia="方正楷体_GBK"/>
          <w:color w:val="auto"/>
        </w:rPr>
        <w:t>（七）激励制度</w:t>
      </w:r>
    </w:p>
    <w:p w14:paraId="6B3294E6">
      <w:pPr>
        <w:ind w:firstLine="640"/>
        <w:rPr>
          <w:lang w:eastAsia="zh-CN"/>
        </w:rPr>
        <w:sectPr>
          <w:pgSz w:w="11907" w:h="16840"/>
          <w:pgMar w:top="2155" w:right="1531" w:bottom="1814" w:left="1531" w:header="851" w:footer="1588" w:gutter="0"/>
          <w:pgNumType w:fmt="numberInDash"/>
          <w:cols w:space="0" w:num="1"/>
          <w:docGrid w:linePitch="435" w:charSpace="0"/>
        </w:sectPr>
      </w:pPr>
      <w:r>
        <w:rPr>
          <w:rFonts w:hint="eastAsia"/>
          <w:lang w:eastAsia="zh-CN"/>
        </w:rPr>
        <w:t>加快研究建筑垃圾资源化利用的财政补贴措施。将建筑垃圾资源化利用项目纳入政府相关资金扶持政策范围内。对符合国家资源化利用鼓励和扶持政策的企业，实行税收优惠政策。设立专门的投诉举报窗口或平台，鼓励群众对建筑垃圾偷倒乱排、违法运输等行为进行监督。</w:t>
      </w:r>
      <w:bookmarkStart w:id="62" w:name="_Toc175056390"/>
    </w:p>
    <w:p w14:paraId="59E4CC7A">
      <w:pPr>
        <w:ind w:firstLine="0" w:firstLineChars="0"/>
        <w:jc w:val="center"/>
        <w:rPr>
          <w:rFonts w:ascii="黑体" w:hAnsi="黑体" w:eastAsia="方正小标宋_GBK" w:cs="黑体"/>
          <w:bCs/>
          <w:sz w:val="44"/>
          <w:szCs w:val="44"/>
          <w:lang w:eastAsia="zh-CN"/>
        </w:rPr>
      </w:pPr>
      <w:r>
        <w:rPr>
          <w:rFonts w:hint="eastAsia" w:ascii="黑体" w:hAnsi="黑体" w:eastAsia="方正小标宋_GBK" w:cs="黑体"/>
          <w:bCs/>
          <w:sz w:val="44"/>
          <w:szCs w:val="44"/>
          <w:lang w:eastAsia="zh-CN"/>
        </w:rPr>
        <w:t>第九章</w:t>
      </w:r>
      <w:r>
        <w:rPr>
          <w:rFonts w:ascii="黑体" w:hAnsi="黑体" w:eastAsia="方正小标宋_GBK" w:cs="黑体"/>
          <w:bCs/>
          <w:sz w:val="44"/>
          <w:szCs w:val="44"/>
          <w:lang w:eastAsia="zh-CN"/>
        </w:rPr>
        <w:t xml:space="preserve"> </w:t>
      </w:r>
      <w:r>
        <w:rPr>
          <w:rFonts w:hint="eastAsia" w:ascii="黑体" w:hAnsi="黑体" w:eastAsia="方正小标宋_GBK" w:cs="黑体"/>
          <w:bCs/>
          <w:sz w:val="44"/>
          <w:szCs w:val="44"/>
          <w:lang w:eastAsia="zh-CN"/>
        </w:rPr>
        <w:t>近期建设规划</w:t>
      </w:r>
      <w:bookmarkEnd w:id="62"/>
    </w:p>
    <w:p w14:paraId="1AE797DE">
      <w:pPr>
        <w:spacing w:line="200" w:lineRule="exact"/>
        <w:ind w:firstLine="0" w:firstLineChars="0"/>
        <w:jc w:val="center"/>
        <w:rPr>
          <w:rFonts w:ascii="黑体" w:eastAsia="方正小标宋_GBK" w:cs="黑体"/>
          <w:bCs/>
          <w:sz w:val="44"/>
          <w:szCs w:val="44"/>
          <w:lang w:eastAsia="zh-CN"/>
        </w:rPr>
      </w:pPr>
    </w:p>
    <w:p w14:paraId="24A54DB9">
      <w:pPr>
        <w:pStyle w:val="3"/>
        <w:spacing w:line="580" w:lineRule="exact"/>
        <w:ind w:firstLine="640"/>
        <w:rPr>
          <w:b w:val="0"/>
          <w:bCs/>
        </w:rPr>
      </w:pPr>
      <w:bookmarkStart w:id="63" w:name="_Toc175056391"/>
      <w:r>
        <w:rPr>
          <w:rFonts w:hint="eastAsia"/>
          <w:b w:val="0"/>
          <w:bCs/>
        </w:rPr>
        <w:t>第一节近期建设目标</w:t>
      </w:r>
      <w:bookmarkEnd w:id="63"/>
    </w:p>
    <w:p w14:paraId="54ECFCBB">
      <w:pPr>
        <w:ind w:firstLine="640"/>
        <w:rPr>
          <w:color w:val="auto"/>
          <w:lang w:eastAsia="zh-CN"/>
        </w:rPr>
      </w:pPr>
      <w:r>
        <w:rPr>
          <w:rFonts w:hint="eastAsia"/>
          <w:color w:val="auto"/>
          <w:lang w:eastAsia="zh-CN"/>
        </w:rPr>
        <w:t>规划至</w:t>
      </w:r>
      <w:r>
        <w:rPr>
          <w:color w:val="auto"/>
          <w:lang w:eastAsia="zh-CN"/>
        </w:rPr>
        <w:t>2030</w:t>
      </w:r>
      <w:r>
        <w:rPr>
          <w:rFonts w:hint="eastAsia"/>
          <w:color w:val="auto"/>
          <w:lang w:eastAsia="zh-CN"/>
        </w:rPr>
        <w:t>年，在安岳县文化镇板栗村新建一座建筑垃圾综合利用厂，处理规模为</w:t>
      </w:r>
      <w:r>
        <w:rPr>
          <w:color w:val="auto"/>
          <w:lang w:eastAsia="zh-CN"/>
        </w:rPr>
        <w:t>30</w:t>
      </w:r>
      <w:r>
        <w:rPr>
          <w:rFonts w:hint="eastAsia"/>
          <w:color w:val="auto"/>
          <w:lang w:eastAsia="zh-CN"/>
        </w:rPr>
        <w:t>万吨</w:t>
      </w:r>
      <w:r>
        <w:rPr>
          <w:color w:val="auto"/>
          <w:lang w:eastAsia="zh-CN"/>
        </w:rPr>
        <w:t>/</w:t>
      </w:r>
      <w:r>
        <w:rPr>
          <w:rFonts w:hint="eastAsia"/>
          <w:color w:val="auto"/>
          <w:lang w:eastAsia="zh-CN"/>
        </w:rPr>
        <w:t>年，占地</w:t>
      </w:r>
      <w:r>
        <w:rPr>
          <w:color w:val="auto"/>
          <w:lang w:eastAsia="zh-CN"/>
        </w:rPr>
        <w:t>24</w:t>
      </w:r>
      <w:r>
        <w:rPr>
          <w:rFonts w:hint="eastAsia"/>
          <w:color w:val="auto"/>
          <w:lang w:eastAsia="zh-CN"/>
        </w:rPr>
        <w:t>亩，主要包括建筑垃圾分选、利用等功能。通过技术手段将建筑弃料再生产为建材产品，以减少建筑弃料堆放占用土地、取土烧砖、开山取石、破坏耕地等问题。</w:t>
      </w:r>
    </w:p>
    <w:p w14:paraId="127CF1D8">
      <w:pPr>
        <w:ind w:firstLine="640"/>
        <w:rPr>
          <w:color w:val="auto"/>
          <w:lang w:eastAsia="zh-CN"/>
        </w:rPr>
      </w:pPr>
      <w:r>
        <w:rPr>
          <w:rFonts w:hint="eastAsia"/>
          <w:color w:val="auto"/>
          <w:lang w:eastAsia="zh-CN"/>
        </w:rPr>
        <w:t>规划至</w:t>
      </w:r>
      <w:r>
        <w:rPr>
          <w:color w:val="auto"/>
          <w:lang w:eastAsia="zh-CN"/>
        </w:rPr>
        <w:t>2030</w:t>
      </w:r>
      <w:r>
        <w:rPr>
          <w:rFonts w:hint="eastAsia"/>
          <w:color w:val="auto"/>
          <w:lang w:eastAsia="zh-CN"/>
        </w:rPr>
        <w:t>年，完善安岳县岳城街道白石村建筑垃圾消纳场相关设施，库容量达到</w:t>
      </w:r>
      <w:r>
        <w:rPr>
          <w:color w:val="auto"/>
          <w:lang w:eastAsia="zh-CN"/>
        </w:rPr>
        <w:t>1500</w:t>
      </w:r>
      <w:r>
        <w:rPr>
          <w:rFonts w:hint="eastAsia"/>
          <w:color w:val="auto"/>
          <w:lang w:eastAsia="zh-CN"/>
        </w:rPr>
        <w:t>万</w:t>
      </w:r>
      <w:r>
        <w:rPr>
          <w:color w:val="auto"/>
          <w:lang w:eastAsia="zh-CN"/>
        </w:rPr>
        <w:t>m</w:t>
      </w:r>
      <w:r>
        <w:rPr>
          <w:rFonts w:ascii="宋体" w:hAnsi="宋体" w:eastAsia="宋体" w:cs="宋体"/>
          <w:color w:val="auto"/>
          <w:vertAlign w:val="superscript"/>
          <w:lang w:eastAsia="zh-CN"/>
        </w:rPr>
        <w:t>3</w:t>
      </w:r>
      <w:r>
        <w:rPr>
          <w:rFonts w:hint="eastAsia"/>
          <w:color w:val="auto"/>
          <w:lang w:eastAsia="zh-CN"/>
        </w:rPr>
        <w:t>。主要功能为建筑垃圾填埋、消纳等。</w:t>
      </w:r>
    </w:p>
    <w:p w14:paraId="0B0360DF">
      <w:pPr>
        <w:pStyle w:val="3"/>
        <w:spacing w:line="580" w:lineRule="exact"/>
        <w:ind w:firstLine="640"/>
        <w:rPr>
          <w:b w:val="0"/>
          <w:bCs/>
        </w:rPr>
      </w:pPr>
      <w:bookmarkStart w:id="64" w:name="_Toc175056392"/>
      <w:r>
        <w:rPr>
          <w:rFonts w:hint="eastAsia"/>
          <w:b w:val="0"/>
          <w:bCs/>
        </w:rPr>
        <w:t>第二节</w:t>
      </w:r>
      <w:r>
        <w:rPr>
          <w:b w:val="0"/>
          <w:bCs/>
        </w:rPr>
        <w:t xml:space="preserve"> </w:t>
      </w:r>
      <w:r>
        <w:rPr>
          <w:rFonts w:hint="eastAsia"/>
          <w:b w:val="0"/>
          <w:bCs/>
        </w:rPr>
        <w:t>存量治理</w:t>
      </w:r>
      <w:bookmarkEnd w:id="64"/>
    </w:p>
    <w:p w14:paraId="3D266B02">
      <w:pPr>
        <w:pStyle w:val="4"/>
        <w:spacing w:line="580" w:lineRule="exact"/>
        <w:ind w:firstLine="643"/>
        <w:jc w:val="both"/>
        <w:rPr>
          <w:rFonts w:eastAsia="方正楷体_GBK"/>
          <w:color w:val="auto"/>
        </w:rPr>
      </w:pPr>
      <w:r>
        <w:rPr>
          <w:rFonts w:hint="eastAsia" w:eastAsia="方正楷体_GBK"/>
          <w:color w:val="auto"/>
        </w:rPr>
        <w:t>（一）存量建筑垃圾现状分析</w:t>
      </w:r>
    </w:p>
    <w:p w14:paraId="23CCDDC7">
      <w:pPr>
        <w:ind w:firstLine="640"/>
        <w:rPr>
          <w:color w:val="auto"/>
          <w:lang w:eastAsia="zh-CN"/>
        </w:rPr>
      </w:pPr>
      <w:r>
        <w:rPr>
          <w:rFonts w:hint="eastAsia"/>
          <w:color w:val="auto"/>
          <w:lang w:eastAsia="zh-CN"/>
        </w:rPr>
        <w:t>近年来，安岳县在保持城市建设快速发展的同时，由于建筑垃圾领域治理监管、资源化利用等办法规范尚不健全，存在建筑垃圾乱扔乱弃等治理短板，对生态环境带来隐患。针对该问题，安岳县</w:t>
      </w:r>
      <w:r>
        <w:rPr>
          <w:color w:val="auto"/>
          <w:lang w:eastAsia="zh-CN"/>
        </w:rPr>
        <w:t xml:space="preserve">2024 </w:t>
      </w:r>
      <w:r>
        <w:rPr>
          <w:rFonts w:hint="eastAsia"/>
          <w:color w:val="auto"/>
          <w:lang w:eastAsia="zh-CN"/>
        </w:rPr>
        <w:t>年以“无废城市”建设为抓手，积极探索建筑垃圾减量化、资源化、无害化处置路径，辖区范围内存量建筑垃圾治理和资源化利用有序推进。</w:t>
      </w:r>
    </w:p>
    <w:p w14:paraId="09BDB29A">
      <w:pPr>
        <w:pStyle w:val="4"/>
        <w:spacing w:line="580" w:lineRule="exact"/>
        <w:ind w:firstLine="643"/>
        <w:jc w:val="both"/>
        <w:rPr>
          <w:rFonts w:eastAsia="方正楷体_GBK"/>
          <w:color w:val="auto"/>
        </w:rPr>
      </w:pPr>
      <w:r>
        <w:rPr>
          <w:rFonts w:hint="eastAsia" w:eastAsia="方正楷体_GBK"/>
          <w:color w:val="auto"/>
        </w:rPr>
        <w:t>（二）存量治理工作机制</w:t>
      </w:r>
    </w:p>
    <w:p w14:paraId="06A6DE14">
      <w:pPr>
        <w:ind w:firstLine="640"/>
        <w:rPr>
          <w:color w:val="auto"/>
          <w:lang w:eastAsia="zh-CN"/>
        </w:rPr>
      </w:pPr>
      <w:r>
        <w:rPr>
          <w:rFonts w:hint="eastAsia"/>
          <w:color w:val="auto"/>
          <w:lang w:eastAsia="zh-CN"/>
        </w:rPr>
        <w:t>全面推进存量建筑垃圾追根溯源，聚焦关键环节，全面做好摸底排查，建立健全长效治理监管机制，对发现问题及时记录、跟踪处置。按照“零容忍、严惩处、溯源头”原则，对违反建筑垃圾管理规定的单位和个人，应依法给予罚款、吊销许可证等处罚。建立健全跨部门协作机制，加强信息共享和资源整合，共同监管建筑垃圾排放和运输。鼓励公众参与建筑垃圾</w:t>
      </w:r>
      <w:r>
        <w:rPr>
          <w:rFonts w:hint="eastAsia"/>
          <w:color w:val="auto"/>
          <w:spacing w:val="-16"/>
          <w:lang w:eastAsia="zh-CN"/>
        </w:rPr>
        <w:t>存量治理监督，通过媒体宣传增强公众环保意识和资源节约意识。依托数字治理平台，完善垃圾处理智能化与数字化管控机制。</w:t>
      </w:r>
    </w:p>
    <w:p w14:paraId="2BF10185">
      <w:pPr>
        <w:pStyle w:val="4"/>
        <w:spacing w:line="580" w:lineRule="exact"/>
        <w:ind w:firstLine="643"/>
        <w:jc w:val="both"/>
        <w:rPr>
          <w:rFonts w:eastAsia="方正楷体_GBK"/>
          <w:color w:val="auto"/>
        </w:rPr>
      </w:pPr>
      <w:r>
        <w:rPr>
          <w:rFonts w:hint="eastAsia" w:eastAsia="方正楷体_GBK"/>
          <w:color w:val="auto"/>
        </w:rPr>
        <w:t>（三）存量治理计划</w:t>
      </w:r>
    </w:p>
    <w:p w14:paraId="71E86A1D">
      <w:pPr>
        <w:ind w:firstLine="640"/>
        <w:rPr>
          <w:color w:val="auto"/>
          <w:spacing w:val="-10"/>
          <w:lang w:eastAsia="zh-CN"/>
        </w:rPr>
      </w:pPr>
      <w:r>
        <w:rPr>
          <w:rFonts w:hint="eastAsia"/>
          <w:color w:val="auto"/>
          <w:lang w:eastAsia="zh-CN"/>
        </w:rPr>
        <w:t>全面梳理排查县域范围内存量建筑垃圾堆放情况，建立建筑垃圾堆放场所常态化监测机制，切实消除安全隐患。针对现有消纳场所存量建筑垃圾，加强制定减量计划，安全转移至建</w:t>
      </w:r>
      <w:r>
        <w:rPr>
          <w:rFonts w:hint="eastAsia"/>
          <w:color w:val="auto"/>
          <w:spacing w:val="-10"/>
          <w:lang w:eastAsia="zh-CN"/>
        </w:rPr>
        <w:t>筑垃圾资源化利用企业进行处理或用于其他资源化利用方式。对清理后尚剩余建筑垃圾残渣的堆放场地，及时开展生态修复。</w:t>
      </w:r>
    </w:p>
    <w:p w14:paraId="6D80427D">
      <w:pPr>
        <w:pStyle w:val="4"/>
        <w:spacing w:line="580" w:lineRule="exact"/>
        <w:ind w:firstLine="643"/>
        <w:jc w:val="both"/>
        <w:rPr>
          <w:rFonts w:eastAsia="方正楷体_GBK"/>
          <w:color w:val="auto"/>
        </w:rPr>
      </w:pPr>
      <w:r>
        <w:rPr>
          <w:rFonts w:hint="eastAsia" w:eastAsia="方正楷体_GBK"/>
          <w:color w:val="auto"/>
        </w:rPr>
        <w:t>（四）存量治理要求</w:t>
      </w:r>
    </w:p>
    <w:p w14:paraId="23B5685B">
      <w:pPr>
        <w:ind w:firstLine="640"/>
        <w:rPr>
          <w:color w:val="auto"/>
          <w:lang w:eastAsia="zh-CN"/>
        </w:rPr>
      </w:pPr>
      <w:r>
        <w:rPr>
          <w:rFonts w:hint="eastAsia"/>
          <w:color w:val="auto"/>
          <w:lang w:eastAsia="zh-CN"/>
        </w:rPr>
        <w:t>结合地区实际，通过“清存量、控增量”双管齐下，对县内存量建筑垃圾进行全面清理和规范管理：</w:t>
      </w:r>
    </w:p>
    <w:p w14:paraId="657CE783">
      <w:pPr>
        <w:ind w:firstLine="640"/>
        <w:rPr>
          <w:color w:val="auto"/>
          <w:lang w:eastAsia="zh-CN"/>
        </w:rPr>
      </w:pPr>
      <w:r>
        <w:rPr>
          <w:color w:val="auto"/>
          <w:lang w:eastAsia="zh-CN"/>
        </w:rPr>
        <w:t>1.</w:t>
      </w:r>
      <w:r>
        <w:rPr>
          <w:rFonts w:hint="eastAsia"/>
          <w:color w:val="auto"/>
          <w:lang w:eastAsia="zh-CN"/>
        </w:rPr>
        <w:t>加快对重点区域存量建筑垃圾摸排，采用网格划片实地排查、卫星遥感、航空遥感等方式，对每处存量建筑垃圾进行编号登记、形成台账。</w:t>
      </w:r>
    </w:p>
    <w:p w14:paraId="3B0A3340">
      <w:pPr>
        <w:ind w:firstLine="640"/>
        <w:rPr>
          <w:color w:val="auto"/>
          <w:lang w:eastAsia="zh-CN"/>
        </w:rPr>
      </w:pPr>
      <w:r>
        <w:rPr>
          <w:color w:val="auto"/>
          <w:lang w:eastAsia="zh-CN"/>
        </w:rPr>
        <w:t>2.</w:t>
      </w:r>
      <w:r>
        <w:rPr>
          <w:rFonts w:hint="eastAsia"/>
          <w:color w:val="auto"/>
          <w:lang w:eastAsia="zh-CN"/>
        </w:rPr>
        <w:t>根据普查结果，结合实际，制定“一场一策”整理工作方案，提出整改措施和整改期限。</w:t>
      </w:r>
    </w:p>
    <w:p w14:paraId="3A6574FD">
      <w:pPr>
        <w:ind w:firstLine="640"/>
        <w:rPr>
          <w:color w:val="auto"/>
          <w:lang w:eastAsia="zh-CN"/>
        </w:rPr>
      </w:pPr>
      <w:r>
        <w:rPr>
          <w:color w:val="auto"/>
          <w:lang w:eastAsia="zh-CN"/>
        </w:rPr>
        <w:t>3.</w:t>
      </w:r>
      <w:r>
        <w:rPr>
          <w:rFonts w:hint="eastAsia"/>
          <w:color w:val="auto"/>
          <w:lang w:eastAsia="zh-CN"/>
        </w:rPr>
        <w:t>严格控制增量，在产生环节督促建设单位落实建筑垃圾减量化首要责任，在运输环节督促运输单位按照指定建筑垃圾运输路线密闭运输，坚决遏制非法运输、倾倒建筑垃圾行为。</w:t>
      </w:r>
    </w:p>
    <w:p w14:paraId="34C9AABD">
      <w:pPr>
        <w:ind w:firstLine="640"/>
        <w:rPr>
          <w:lang w:eastAsia="zh-CN"/>
        </w:rPr>
      </w:pPr>
      <w:r>
        <w:rPr>
          <w:lang w:eastAsia="zh-CN"/>
        </w:rPr>
        <w:t>4.</w:t>
      </w:r>
      <w:r>
        <w:rPr>
          <w:rFonts w:hint="eastAsia"/>
          <w:lang w:eastAsia="zh-CN"/>
        </w:rPr>
        <w:t>借助信息化手段，大力推广智能化管理系统，对建筑垃圾的产生、运输、处置等过程进行实时监控和数据分析，提高治理效率和准确性。</w:t>
      </w:r>
    </w:p>
    <w:p w14:paraId="6B4F0219">
      <w:pPr>
        <w:pStyle w:val="3"/>
        <w:spacing w:line="580" w:lineRule="exact"/>
        <w:ind w:firstLine="640"/>
        <w:rPr>
          <w:b w:val="0"/>
          <w:bCs/>
        </w:rPr>
      </w:pPr>
      <w:bookmarkStart w:id="65" w:name="_Toc175056393"/>
      <w:r>
        <w:rPr>
          <w:rFonts w:hint="eastAsia"/>
          <w:b w:val="0"/>
          <w:bCs/>
        </w:rPr>
        <w:t>第三节收集运输设施建设</w:t>
      </w:r>
      <w:bookmarkEnd w:id="65"/>
    </w:p>
    <w:p w14:paraId="37AE18CE">
      <w:pPr>
        <w:ind w:firstLine="640"/>
        <w:rPr>
          <w:lang w:eastAsia="zh-CN"/>
        </w:rPr>
      </w:pPr>
      <w:r>
        <w:rPr>
          <w:rFonts w:hint="eastAsia"/>
          <w:lang w:eastAsia="zh-CN"/>
        </w:rPr>
        <w:t>规划到</w:t>
      </w:r>
      <w:r>
        <w:rPr>
          <w:lang w:eastAsia="zh-CN"/>
        </w:rPr>
        <w:t>2030</w:t>
      </w:r>
      <w:r>
        <w:rPr>
          <w:rFonts w:hint="eastAsia"/>
          <w:lang w:eastAsia="zh-CN"/>
        </w:rPr>
        <w:t>年，安岳县新增建筑垃圾密闭收运车辆</w:t>
      </w:r>
      <w:r>
        <w:rPr>
          <w:lang w:eastAsia="zh-CN"/>
        </w:rPr>
        <w:t>3</w:t>
      </w:r>
      <w:r>
        <w:rPr>
          <w:rFonts w:hint="eastAsia"/>
          <w:lang w:eastAsia="zh-CN"/>
        </w:rPr>
        <w:t>辆。龙台镇、石羊镇、周礼镇、驯龙镇、李家镇、通贤镇、兴隆镇</w:t>
      </w:r>
      <w:r>
        <w:rPr>
          <w:lang w:eastAsia="zh-CN"/>
        </w:rPr>
        <w:t>7</w:t>
      </w:r>
      <w:r>
        <w:rPr>
          <w:rFonts w:hint="eastAsia"/>
          <w:lang w:eastAsia="zh-CN"/>
        </w:rPr>
        <w:t>个中心镇各设置</w:t>
      </w:r>
      <w:r>
        <w:rPr>
          <w:lang w:eastAsia="zh-CN"/>
        </w:rPr>
        <w:t>2</w:t>
      </w:r>
      <w:r>
        <w:rPr>
          <w:rFonts w:hint="eastAsia"/>
          <w:lang w:eastAsia="zh-CN"/>
        </w:rPr>
        <w:t>个装修垃圾收集设施，中心城区设置</w:t>
      </w:r>
      <w:r>
        <w:rPr>
          <w:lang w:eastAsia="zh-CN"/>
        </w:rPr>
        <w:t>20</w:t>
      </w:r>
      <w:r>
        <w:rPr>
          <w:rFonts w:hint="eastAsia"/>
          <w:lang w:eastAsia="zh-CN"/>
        </w:rPr>
        <w:t>个装修垃圾收集设施，各个小区有条件设置装修垃圾收集点的设置收集点。详见表</w:t>
      </w:r>
      <w:r>
        <w:rPr>
          <w:lang w:eastAsia="zh-CN"/>
        </w:rPr>
        <w:t>9-1</w:t>
      </w:r>
      <w:r>
        <w:rPr>
          <w:rFonts w:hint="eastAsia"/>
          <w:lang w:eastAsia="zh-CN"/>
        </w:rPr>
        <w:t>。</w:t>
      </w:r>
    </w:p>
    <w:p w14:paraId="1C7848EB">
      <w:pPr>
        <w:ind w:firstLine="0" w:firstLineChars="0"/>
        <w:jc w:val="center"/>
        <w:rPr>
          <w:color w:val="auto"/>
          <w:lang w:eastAsia="zh-CN"/>
        </w:rPr>
      </w:pPr>
      <w:r>
        <w:rPr>
          <w:rFonts w:hint="eastAsia"/>
          <w:color w:val="auto"/>
          <w:lang w:eastAsia="zh-CN"/>
        </w:rPr>
        <w:t>表</w:t>
      </w:r>
      <w:r>
        <w:rPr>
          <w:color w:val="auto"/>
          <w:lang w:eastAsia="zh-CN"/>
        </w:rPr>
        <w:t xml:space="preserve">9-1 </w:t>
      </w:r>
      <w:r>
        <w:rPr>
          <w:rFonts w:hint="eastAsia"/>
          <w:color w:val="auto"/>
          <w:lang w:eastAsia="zh-CN"/>
        </w:rPr>
        <w:t>近期建设收集运输设施表</w:t>
      </w:r>
    </w:p>
    <w:p w14:paraId="52A609DF">
      <w:pPr>
        <w:spacing w:line="300" w:lineRule="exact"/>
        <w:ind w:firstLine="0" w:firstLineChars="0"/>
        <w:jc w:val="center"/>
        <w:rPr>
          <w:color w:val="auto"/>
          <w:lang w:eastAsia="zh-CN"/>
        </w:rPr>
      </w:pPr>
    </w:p>
    <w:tbl>
      <w:tblPr>
        <w:tblStyle w:val="14"/>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431"/>
        <w:gridCol w:w="2601"/>
        <w:gridCol w:w="904"/>
        <w:gridCol w:w="966"/>
        <w:gridCol w:w="1590"/>
        <w:gridCol w:w="1471"/>
      </w:tblGrid>
      <w:tr w14:paraId="2F26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8" w:type="dxa"/>
            <w:vAlign w:val="center"/>
          </w:tcPr>
          <w:p w14:paraId="0C97FCCA">
            <w:pPr>
              <w:spacing w:line="240" w:lineRule="auto"/>
              <w:ind w:firstLine="0" w:firstLineChars="0"/>
              <w:jc w:val="center"/>
              <w:rPr>
                <w:rFonts w:eastAsia="方正黑体_GBK"/>
                <w:bCs/>
                <w:color w:val="auto"/>
                <w:sz w:val="24"/>
                <w:szCs w:val="24"/>
                <w:lang w:eastAsia="zh-CN"/>
              </w:rPr>
            </w:pPr>
            <w:r>
              <w:rPr>
                <w:rFonts w:hint="eastAsia" w:eastAsia="方正黑体_GBK"/>
                <w:bCs/>
                <w:color w:val="auto"/>
                <w:sz w:val="24"/>
                <w:szCs w:val="24"/>
                <w:lang w:eastAsia="zh-CN"/>
              </w:rPr>
              <w:t>序号</w:t>
            </w:r>
          </w:p>
        </w:tc>
        <w:tc>
          <w:tcPr>
            <w:tcW w:w="1431" w:type="dxa"/>
            <w:vAlign w:val="center"/>
          </w:tcPr>
          <w:p w14:paraId="240D050B">
            <w:pPr>
              <w:spacing w:line="240" w:lineRule="auto"/>
              <w:ind w:firstLine="0" w:firstLineChars="0"/>
              <w:jc w:val="center"/>
              <w:rPr>
                <w:rFonts w:eastAsia="方正黑体_GBK"/>
                <w:bCs/>
                <w:color w:val="auto"/>
                <w:sz w:val="24"/>
                <w:szCs w:val="24"/>
                <w:lang w:eastAsia="zh-CN"/>
              </w:rPr>
            </w:pPr>
            <w:r>
              <w:rPr>
                <w:rFonts w:hint="eastAsia" w:eastAsia="方正黑体_GBK"/>
                <w:bCs/>
                <w:color w:val="auto"/>
                <w:sz w:val="24"/>
                <w:szCs w:val="24"/>
                <w:lang w:eastAsia="zh-CN"/>
              </w:rPr>
              <w:t>地点</w:t>
            </w:r>
          </w:p>
        </w:tc>
        <w:tc>
          <w:tcPr>
            <w:tcW w:w="2601" w:type="dxa"/>
            <w:vAlign w:val="center"/>
          </w:tcPr>
          <w:p w14:paraId="3378A212">
            <w:pPr>
              <w:spacing w:line="240" w:lineRule="auto"/>
              <w:ind w:firstLine="0" w:firstLineChars="0"/>
              <w:jc w:val="center"/>
              <w:rPr>
                <w:rFonts w:eastAsia="方正黑体_GBK"/>
                <w:bCs/>
                <w:color w:val="auto"/>
                <w:sz w:val="24"/>
                <w:szCs w:val="24"/>
                <w:lang w:eastAsia="zh-CN"/>
              </w:rPr>
            </w:pPr>
            <w:r>
              <w:rPr>
                <w:rFonts w:hint="eastAsia" w:eastAsia="方正黑体_GBK"/>
                <w:bCs/>
                <w:color w:val="auto"/>
                <w:sz w:val="24"/>
                <w:szCs w:val="24"/>
                <w:lang w:eastAsia="zh-CN"/>
              </w:rPr>
              <w:t>收集运输设施</w:t>
            </w:r>
          </w:p>
        </w:tc>
        <w:tc>
          <w:tcPr>
            <w:tcW w:w="904" w:type="dxa"/>
            <w:vAlign w:val="center"/>
          </w:tcPr>
          <w:p w14:paraId="6A136E11">
            <w:pPr>
              <w:spacing w:line="240" w:lineRule="auto"/>
              <w:ind w:firstLine="0" w:firstLineChars="0"/>
              <w:jc w:val="center"/>
              <w:rPr>
                <w:rFonts w:eastAsia="方正黑体_GBK"/>
                <w:bCs/>
                <w:color w:val="auto"/>
                <w:sz w:val="24"/>
                <w:szCs w:val="24"/>
                <w:lang w:eastAsia="zh-CN"/>
              </w:rPr>
            </w:pPr>
            <w:r>
              <w:rPr>
                <w:rFonts w:hint="eastAsia" w:eastAsia="方正黑体_GBK"/>
                <w:bCs/>
                <w:color w:val="auto"/>
                <w:sz w:val="24"/>
                <w:szCs w:val="24"/>
                <w:lang w:eastAsia="zh-CN"/>
              </w:rPr>
              <w:t>数量</w:t>
            </w:r>
          </w:p>
        </w:tc>
        <w:tc>
          <w:tcPr>
            <w:tcW w:w="965" w:type="dxa"/>
            <w:vAlign w:val="center"/>
          </w:tcPr>
          <w:p w14:paraId="37DA5A5D">
            <w:pPr>
              <w:spacing w:line="240" w:lineRule="auto"/>
              <w:ind w:firstLine="0" w:firstLineChars="0"/>
              <w:jc w:val="center"/>
              <w:rPr>
                <w:rFonts w:eastAsia="方正黑体_GBK"/>
                <w:bCs/>
                <w:color w:val="auto"/>
                <w:sz w:val="24"/>
                <w:szCs w:val="24"/>
                <w:lang w:eastAsia="zh-CN"/>
              </w:rPr>
            </w:pPr>
            <w:r>
              <w:rPr>
                <w:rFonts w:hint="eastAsia" w:eastAsia="方正黑体_GBK"/>
                <w:bCs/>
                <w:color w:val="auto"/>
                <w:sz w:val="24"/>
                <w:szCs w:val="24"/>
                <w:lang w:eastAsia="zh-CN"/>
              </w:rPr>
              <w:t>单位</w:t>
            </w:r>
          </w:p>
        </w:tc>
        <w:tc>
          <w:tcPr>
            <w:tcW w:w="1590" w:type="dxa"/>
            <w:vAlign w:val="center"/>
          </w:tcPr>
          <w:p w14:paraId="51343CE1">
            <w:pPr>
              <w:spacing w:line="240" w:lineRule="auto"/>
              <w:ind w:firstLine="0" w:firstLineChars="0"/>
              <w:jc w:val="center"/>
              <w:rPr>
                <w:rFonts w:eastAsia="方正黑体_GBK"/>
                <w:bCs/>
                <w:color w:val="auto"/>
                <w:sz w:val="24"/>
                <w:szCs w:val="24"/>
                <w:lang w:eastAsia="zh-CN"/>
              </w:rPr>
            </w:pPr>
            <w:r>
              <w:rPr>
                <w:rFonts w:hint="eastAsia" w:eastAsia="方正黑体_GBK"/>
                <w:bCs/>
                <w:color w:val="auto"/>
                <w:sz w:val="24"/>
                <w:szCs w:val="24"/>
                <w:lang w:eastAsia="zh-CN"/>
              </w:rPr>
              <w:t>估算投资（万元）</w:t>
            </w:r>
          </w:p>
        </w:tc>
        <w:tc>
          <w:tcPr>
            <w:tcW w:w="1471" w:type="dxa"/>
            <w:vAlign w:val="center"/>
          </w:tcPr>
          <w:p w14:paraId="3CE606A9">
            <w:pPr>
              <w:spacing w:line="240" w:lineRule="auto"/>
              <w:ind w:firstLine="0" w:firstLineChars="0"/>
              <w:jc w:val="center"/>
              <w:rPr>
                <w:rFonts w:eastAsia="方正黑体_GBK"/>
                <w:bCs/>
                <w:color w:val="auto"/>
                <w:sz w:val="24"/>
                <w:szCs w:val="24"/>
                <w:lang w:eastAsia="zh-CN"/>
              </w:rPr>
            </w:pPr>
            <w:r>
              <w:rPr>
                <w:rFonts w:hint="eastAsia" w:eastAsia="方正黑体_GBK"/>
                <w:bCs/>
                <w:color w:val="auto"/>
                <w:sz w:val="24"/>
                <w:szCs w:val="24"/>
                <w:lang w:eastAsia="zh-CN"/>
              </w:rPr>
              <w:t>规划</w:t>
            </w:r>
          </w:p>
          <w:p w14:paraId="03D8F181">
            <w:pPr>
              <w:spacing w:line="240" w:lineRule="auto"/>
              <w:ind w:firstLine="0" w:firstLineChars="0"/>
              <w:jc w:val="center"/>
              <w:rPr>
                <w:rFonts w:eastAsia="方正黑体_GBK"/>
                <w:bCs/>
                <w:color w:val="auto"/>
                <w:sz w:val="24"/>
                <w:szCs w:val="24"/>
                <w:lang w:eastAsia="zh-CN"/>
              </w:rPr>
            </w:pPr>
            <w:r>
              <w:rPr>
                <w:rFonts w:hint="eastAsia" w:eastAsia="方正黑体_GBK"/>
                <w:bCs/>
                <w:color w:val="auto"/>
                <w:sz w:val="24"/>
                <w:szCs w:val="24"/>
                <w:lang w:eastAsia="zh-CN"/>
              </w:rPr>
              <w:t>实施时间</w:t>
            </w:r>
          </w:p>
        </w:tc>
      </w:tr>
      <w:tr w14:paraId="1FCD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788" w:type="dxa"/>
            <w:vAlign w:val="center"/>
          </w:tcPr>
          <w:p w14:paraId="4C5F6DD3">
            <w:pPr>
              <w:spacing w:line="240" w:lineRule="auto"/>
              <w:ind w:firstLine="0" w:firstLineChars="0"/>
              <w:jc w:val="center"/>
              <w:rPr>
                <w:color w:val="auto"/>
                <w:sz w:val="24"/>
                <w:szCs w:val="24"/>
                <w:lang w:eastAsia="zh-CN"/>
              </w:rPr>
            </w:pPr>
            <w:r>
              <w:rPr>
                <w:color w:val="auto"/>
                <w:sz w:val="24"/>
                <w:szCs w:val="24"/>
                <w:lang w:eastAsia="zh-CN"/>
              </w:rPr>
              <w:t>1</w:t>
            </w:r>
          </w:p>
        </w:tc>
        <w:tc>
          <w:tcPr>
            <w:tcW w:w="1431" w:type="dxa"/>
            <w:vMerge w:val="restart"/>
            <w:vAlign w:val="center"/>
          </w:tcPr>
          <w:p w14:paraId="2FC0B7D0">
            <w:pPr>
              <w:spacing w:line="240" w:lineRule="auto"/>
              <w:ind w:firstLine="0" w:firstLineChars="0"/>
              <w:jc w:val="center"/>
              <w:rPr>
                <w:color w:val="auto"/>
                <w:sz w:val="24"/>
                <w:szCs w:val="24"/>
                <w:lang w:eastAsia="zh-CN"/>
              </w:rPr>
            </w:pPr>
            <w:r>
              <w:rPr>
                <w:rFonts w:hint="eastAsia"/>
                <w:color w:val="auto"/>
                <w:sz w:val="24"/>
                <w:szCs w:val="24"/>
                <w:lang w:eastAsia="zh-CN"/>
              </w:rPr>
              <w:t>中心城区及中心镇</w:t>
            </w:r>
          </w:p>
        </w:tc>
        <w:tc>
          <w:tcPr>
            <w:tcW w:w="2601" w:type="dxa"/>
            <w:vAlign w:val="center"/>
          </w:tcPr>
          <w:p w14:paraId="4FD642DB">
            <w:pPr>
              <w:spacing w:line="240" w:lineRule="auto"/>
              <w:ind w:firstLine="0" w:firstLineChars="0"/>
              <w:jc w:val="center"/>
              <w:rPr>
                <w:color w:val="auto"/>
                <w:sz w:val="24"/>
                <w:szCs w:val="24"/>
                <w:lang w:eastAsia="zh-CN"/>
              </w:rPr>
            </w:pPr>
            <w:r>
              <w:rPr>
                <w:rFonts w:hint="eastAsia"/>
                <w:color w:val="auto"/>
                <w:sz w:val="24"/>
                <w:szCs w:val="24"/>
                <w:lang w:eastAsia="zh-CN"/>
              </w:rPr>
              <w:t>建筑垃圾密闭收运车</w:t>
            </w:r>
          </w:p>
        </w:tc>
        <w:tc>
          <w:tcPr>
            <w:tcW w:w="904" w:type="dxa"/>
            <w:vAlign w:val="center"/>
          </w:tcPr>
          <w:p w14:paraId="53CE7798">
            <w:pPr>
              <w:spacing w:line="240" w:lineRule="auto"/>
              <w:ind w:firstLine="0" w:firstLineChars="0"/>
              <w:jc w:val="center"/>
              <w:rPr>
                <w:color w:val="auto"/>
                <w:sz w:val="24"/>
                <w:szCs w:val="24"/>
                <w:lang w:eastAsia="zh-CN"/>
              </w:rPr>
            </w:pPr>
            <w:r>
              <w:rPr>
                <w:color w:val="auto"/>
                <w:sz w:val="24"/>
                <w:szCs w:val="24"/>
                <w:lang w:eastAsia="zh-CN"/>
              </w:rPr>
              <w:t>3</w:t>
            </w:r>
          </w:p>
        </w:tc>
        <w:tc>
          <w:tcPr>
            <w:tcW w:w="965" w:type="dxa"/>
            <w:vAlign w:val="center"/>
          </w:tcPr>
          <w:p w14:paraId="3F5DD2EB">
            <w:pPr>
              <w:spacing w:line="240" w:lineRule="auto"/>
              <w:ind w:firstLine="0" w:firstLineChars="0"/>
              <w:jc w:val="center"/>
              <w:rPr>
                <w:color w:val="auto"/>
                <w:sz w:val="24"/>
                <w:szCs w:val="24"/>
                <w:lang w:eastAsia="zh-CN"/>
              </w:rPr>
            </w:pPr>
            <w:r>
              <w:rPr>
                <w:rFonts w:hint="eastAsia"/>
                <w:color w:val="auto"/>
                <w:sz w:val="24"/>
                <w:szCs w:val="24"/>
                <w:lang w:eastAsia="zh-CN"/>
              </w:rPr>
              <w:t>辆</w:t>
            </w:r>
          </w:p>
        </w:tc>
        <w:tc>
          <w:tcPr>
            <w:tcW w:w="1590" w:type="dxa"/>
            <w:vAlign w:val="center"/>
          </w:tcPr>
          <w:p w14:paraId="394325EF">
            <w:pPr>
              <w:spacing w:line="240" w:lineRule="auto"/>
              <w:ind w:firstLine="0" w:firstLineChars="0"/>
              <w:jc w:val="center"/>
              <w:rPr>
                <w:color w:val="auto"/>
                <w:sz w:val="24"/>
                <w:szCs w:val="24"/>
                <w:lang w:eastAsia="zh-CN"/>
              </w:rPr>
            </w:pPr>
            <w:r>
              <w:rPr>
                <w:color w:val="auto"/>
                <w:sz w:val="24"/>
                <w:szCs w:val="24"/>
                <w:lang w:eastAsia="zh-CN"/>
              </w:rPr>
              <w:t>90</w:t>
            </w:r>
          </w:p>
        </w:tc>
        <w:tc>
          <w:tcPr>
            <w:tcW w:w="1471" w:type="dxa"/>
            <w:vMerge w:val="restart"/>
            <w:vAlign w:val="center"/>
          </w:tcPr>
          <w:p w14:paraId="2456069D">
            <w:pPr>
              <w:spacing w:line="240" w:lineRule="auto"/>
              <w:ind w:firstLine="0" w:firstLineChars="0"/>
              <w:jc w:val="center"/>
              <w:rPr>
                <w:color w:val="auto"/>
                <w:sz w:val="24"/>
                <w:szCs w:val="24"/>
                <w:lang w:eastAsia="zh-CN"/>
              </w:rPr>
            </w:pPr>
            <w:r>
              <w:rPr>
                <w:rFonts w:hint="eastAsia"/>
                <w:color w:val="auto"/>
                <w:sz w:val="24"/>
                <w:szCs w:val="24"/>
                <w:lang w:eastAsia="zh-CN"/>
              </w:rPr>
              <w:t>近期</w:t>
            </w:r>
          </w:p>
        </w:tc>
      </w:tr>
      <w:tr w14:paraId="5C51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8" w:type="dxa"/>
            <w:vAlign w:val="center"/>
          </w:tcPr>
          <w:p w14:paraId="07C18E06">
            <w:pPr>
              <w:spacing w:line="240" w:lineRule="auto"/>
              <w:ind w:firstLine="0" w:firstLineChars="0"/>
              <w:jc w:val="center"/>
              <w:rPr>
                <w:color w:val="auto"/>
                <w:sz w:val="24"/>
                <w:szCs w:val="24"/>
                <w:lang w:eastAsia="zh-CN"/>
              </w:rPr>
            </w:pPr>
            <w:r>
              <w:rPr>
                <w:color w:val="auto"/>
                <w:sz w:val="24"/>
                <w:szCs w:val="24"/>
                <w:lang w:eastAsia="zh-CN"/>
              </w:rPr>
              <w:t>2</w:t>
            </w:r>
          </w:p>
        </w:tc>
        <w:tc>
          <w:tcPr>
            <w:tcW w:w="1431" w:type="dxa"/>
            <w:vMerge w:val="continue"/>
            <w:vAlign w:val="center"/>
          </w:tcPr>
          <w:p w14:paraId="2EFE14D5">
            <w:pPr>
              <w:spacing w:line="240" w:lineRule="auto"/>
              <w:ind w:firstLine="0" w:firstLineChars="0"/>
              <w:jc w:val="center"/>
              <w:rPr>
                <w:color w:val="auto"/>
                <w:sz w:val="24"/>
                <w:szCs w:val="24"/>
                <w:lang w:eastAsia="zh-CN"/>
              </w:rPr>
            </w:pPr>
          </w:p>
        </w:tc>
        <w:tc>
          <w:tcPr>
            <w:tcW w:w="2601" w:type="dxa"/>
            <w:vAlign w:val="center"/>
          </w:tcPr>
          <w:p w14:paraId="716C8CDF">
            <w:pPr>
              <w:spacing w:line="240" w:lineRule="auto"/>
              <w:ind w:firstLine="0" w:firstLineChars="0"/>
              <w:jc w:val="center"/>
              <w:rPr>
                <w:color w:val="auto"/>
                <w:sz w:val="24"/>
                <w:szCs w:val="24"/>
                <w:lang w:eastAsia="zh-CN"/>
              </w:rPr>
            </w:pPr>
            <w:r>
              <w:rPr>
                <w:rFonts w:hint="eastAsia"/>
                <w:color w:val="auto"/>
                <w:sz w:val="24"/>
                <w:szCs w:val="24"/>
                <w:lang w:eastAsia="zh-CN"/>
              </w:rPr>
              <w:t>装修垃圾收集设施</w:t>
            </w:r>
          </w:p>
        </w:tc>
        <w:tc>
          <w:tcPr>
            <w:tcW w:w="904" w:type="dxa"/>
            <w:vAlign w:val="center"/>
          </w:tcPr>
          <w:p w14:paraId="4C14C8AF">
            <w:pPr>
              <w:spacing w:line="240" w:lineRule="auto"/>
              <w:ind w:firstLine="0" w:firstLineChars="0"/>
              <w:jc w:val="center"/>
              <w:rPr>
                <w:color w:val="auto"/>
                <w:sz w:val="24"/>
                <w:szCs w:val="24"/>
                <w:lang w:eastAsia="zh-CN"/>
              </w:rPr>
            </w:pPr>
            <w:r>
              <w:rPr>
                <w:color w:val="auto"/>
                <w:sz w:val="24"/>
                <w:szCs w:val="24"/>
                <w:lang w:eastAsia="zh-CN"/>
              </w:rPr>
              <w:t>34</w:t>
            </w:r>
          </w:p>
        </w:tc>
        <w:tc>
          <w:tcPr>
            <w:tcW w:w="965" w:type="dxa"/>
            <w:vAlign w:val="center"/>
          </w:tcPr>
          <w:p w14:paraId="67372245">
            <w:pPr>
              <w:spacing w:line="240" w:lineRule="auto"/>
              <w:ind w:firstLine="0" w:firstLineChars="0"/>
              <w:jc w:val="center"/>
              <w:rPr>
                <w:color w:val="auto"/>
                <w:sz w:val="24"/>
                <w:szCs w:val="24"/>
                <w:lang w:eastAsia="zh-CN"/>
              </w:rPr>
            </w:pPr>
            <w:r>
              <w:rPr>
                <w:rFonts w:hint="eastAsia"/>
                <w:color w:val="auto"/>
                <w:sz w:val="24"/>
                <w:szCs w:val="24"/>
                <w:lang w:eastAsia="zh-CN"/>
              </w:rPr>
              <w:t>个</w:t>
            </w:r>
          </w:p>
        </w:tc>
        <w:tc>
          <w:tcPr>
            <w:tcW w:w="1590" w:type="dxa"/>
            <w:vAlign w:val="center"/>
          </w:tcPr>
          <w:p w14:paraId="7BE9790A">
            <w:pPr>
              <w:spacing w:line="240" w:lineRule="auto"/>
              <w:ind w:firstLine="0" w:firstLineChars="0"/>
              <w:jc w:val="center"/>
              <w:rPr>
                <w:color w:val="auto"/>
                <w:sz w:val="24"/>
                <w:szCs w:val="24"/>
                <w:lang w:eastAsia="zh-CN"/>
              </w:rPr>
            </w:pPr>
            <w:r>
              <w:rPr>
                <w:color w:val="auto"/>
                <w:sz w:val="24"/>
                <w:szCs w:val="24"/>
                <w:lang w:eastAsia="zh-CN"/>
              </w:rPr>
              <w:t>34</w:t>
            </w:r>
          </w:p>
        </w:tc>
        <w:tc>
          <w:tcPr>
            <w:tcW w:w="1471" w:type="dxa"/>
            <w:vMerge w:val="continue"/>
            <w:vAlign w:val="center"/>
          </w:tcPr>
          <w:p w14:paraId="5C2ACA13">
            <w:pPr>
              <w:spacing w:line="240" w:lineRule="auto"/>
              <w:ind w:firstLine="0" w:firstLineChars="0"/>
              <w:jc w:val="center"/>
              <w:rPr>
                <w:color w:val="auto"/>
                <w:sz w:val="24"/>
                <w:szCs w:val="24"/>
                <w:lang w:eastAsia="zh-CN"/>
              </w:rPr>
            </w:pPr>
          </w:p>
        </w:tc>
      </w:tr>
      <w:tr w14:paraId="3B11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690" w:type="dxa"/>
            <w:gridSpan w:val="5"/>
            <w:vAlign w:val="center"/>
          </w:tcPr>
          <w:p w14:paraId="49F6D0A0">
            <w:pPr>
              <w:spacing w:line="240" w:lineRule="auto"/>
              <w:ind w:firstLine="0" w:firstLineChars="0"/>
              <w:jc w:val="center"/>
              <w:rPr>
                <w:color w:val="auto"/>
                <w:sz w:val="24"/>
                <w:szCs w:val="24"/>
                <w:lang w:eastAsia="zh-CN"/>
              </w:rPr>
            </w:pPr>
            <w:r>
              <w:rPr>
                <w:rFonts w:hint="eastAsia"/>
                <w:color w:val="auto"/>
                <w:sz w:val="24"/>
                <w:szCs w:val="24"/>
                <w:lang w:eastAsia="zh-CN"/>
              </w:rPr>
              <w:t>合计</w:t>
            </w:r>
          </w:p>
        </w:tc>
        <w:tc>
          <w:tcPr>
            <w:tcW w:w="1590" w:type="dxa"/>
            <w:vAlign w:val="center"/>
          </w:tcPr>
          <w:p w14:paraId="44FBC68A">
            <w:pPr>
              <w:spacing w:line="240" w:lineRule="auto"/>
              <w:ind w:firstLine="0" w:firstLineChars="0"/>
              <w:jc w:val="center"/>
              <w:rPr>
                <w:color w:val="auto"/>
                <w:sz w:val="24"/>
                <w:szCs w:val="24"/>
                <w:lang w:eastAsia="zh-CN"/>
              </w:rPr>
            </w:pPr>
            <w:r>
              <w:rPr>
                <w:color w:val="auto"/>
                <w:sz w:val="24"/>
                <w:szCs w:val="24"/>
                <w:lang w:eastAsia="zh-CN"/>
              </w:rPr>
              <w:t>124</w:t>
            </w:r>
          </w:p>
        </w:tc>
        <w:tc>
          <w:tcPr>
            <w:tcW w:w="1471" w:type="dxa"/>
            <w:vMerge w:val="continue"/>
            <w:vAlign w:val="center"/>
          </w:tcPr>
          <w:p w14:paraId="09BA83E4">
            <w:pPr>
              <w:spacing w:line="240" w:lineRule="auto"/>
              <w:ind w:firstLine="0" w:firstLineChars="0"/>
              <w:jc w:val="center"/>
              <w:rPr>
                <w:color w:val="auto"/>
                <w:sz w:val="24"/>
                <w:szCs w:val="24"/>
                <w:lang w:eastAsia="zh-CN"/>
              </w:rPr>
            </w:pPr>
          </w:p>
        </w:tc>
      </w:tr>
    </w:tbl>
    <w:p w14:paraId="7A73E2F5">
      <w:pPr>
        <w:pStyle w:val="3"/>
        <w:spacing w:line="580" w:lineRule="exact"/>
        <w:ind w:firstLine="640"/>
        <w:rPr>
          <w:b w:val="0"/>
          <w:bCs/>
        </w:rPr>
      </w:pPr>
      <w:bookmarkStart w:id="66" w:name="_Toc175056394"/>
      <w:r>
        <w:rPr>
          <w:rFonts w:hint="eastAsia"/>
          <w:b w:val="0"/>
          <w:bCs/>
        </w:rPr>
        <w:t>第四节</w:t>
      </w:r>
      <w:r>
        <w:rPr>
          <w:b w:val="0"/>
          <w:bCs/>
        </w:rPr>
        <w:t xml:space="preserve"> </w:t>
      </w:r>
      <w:r>
        <w:rPr>
          <w:rFonts w:hint="eastAsia"/>
          <w:b w:val="0"/>
          <w:bCs/>
        </w:rPr>
        <w:t>处置利用设施建设</w:t>
      </w:r>
      <w:bookmarkEnd w:id="66"/>
    </w:p>
    <w:p w14:paraId="7113DF8E">
      <w:pPr>
        <w:ind w:firstLine="640"/>
        <w:rPr>
          <w:lang w:eastAsia="zh-CN"/>
        </w:rPr>
      </w:pPr>
      <w:r>
        <w:rPr>
          <w:rFonts w:hint="eastAsia"/>
          <w:lang w:eastAsia="zh-CN"/>
        </w:rPr>
        <w:t>规划至</w:t>
      </w:r>
      <w:r>
        <w:rPr>
          <w:lang w:eastAsia="zh-CN"/>
        </w:rPr>
        <w:t>2030</w:t>
      </w:r>
      <w:r>
        <w:rPr>
          <w:rFonts w:hint="eastAsia"/>
          <w:lang w:eastAsia="zh-CN"/>
        </w:rPr>
        <w:t>年，在安岳县文化镇板栗村新建一座建筑垃圾综合利用厂，处理规模为</w:t>
      </w:r>
      <w:r>
        <w:rPr>
          <w:lang w:eastAsia="zh-CN"/>
        </w:rPr>
        <w:t>30</w:t>
      </w:r>
      <w:r>
        <w:rPr>
          <w:rFonts w:hint="eastAsia"/>
          <w:lang w:eastAsia="zh-CN"/>
        </w:rPr>
        <w:t>万吨</w:t>
      </w:r>
      <w:r>
        <w:rPr>
          <w:lang w:eastAsia="zh-CN"/>
        </w:rPr>
        <w:t>/</w:t>
      </w:r>
      <w:r>
        <w:rPr>
          <w:rFonts w:hint="eastAsia"/>
          <w:lang w:eastAsia="zh-CN"/>
        </w:rPr>
        <w:t>年，占地</w:t>
      </w:r>
      <w:r>
        <w:rPr>
          <w:lang w:eastAsia="zh-CN"/>
        </w:rPr>
        <w:t>24</w:t>
      </w:r>
      <w:r>
        <w:rPr>
          <w:rFonts w:hint="eastAsia"/>
          <w:lang w:eastAsia="zh-CN"/>
        </w:rPr>
        <w:t>亩，主要包括建筑垃圾分选、利用等功能。通过技术手段将建筑弃料再生产为建材产品，以减少建筑弃料堆放占用土地、取土烧砖、开山取石、破坏耕地等问题。</w:t>
      </w:r>
    </w:p>
    <w:p w14:paraId="34DE44E7">
      <w:pPr>
        <w:ind w:firstLine="640"/>
        <w:rPr>
          <w:color w:val="auto"/>
          <w:lang w:eastAsia="zh-CN"/>
        </w:rPr>
      </w:pPr>
      <w:r>
        <w:rPr>
          <w:rFonts w:hint="eastAsia"/>
          <w:color w:val="auto"/>
          <w:lang w:eastAsia="zh-CN"/>
        </w:rPr>
        <w:t>规划至</w:t>
      </w:r>
      <w:r>
        <w:rPr>
          <w:color w:val="auto"/>
          <w:lang w:eastAsia="zh-CN"/>
        </w:rPr>
        <w:t>2030</w:t>
      </w:r>
      <w:r>
        <w:rPr>
          <w:rFonts w:hint="eastAsia"/>
          <w:color w:val="auto"/>
          <w:lang w:eastAsia="zh-CN"/>
        </w:rPr>
        <w:t>年，完善安岳县岳城街道白石村建筑垃圾消纳场相关设施，包括渣土场边坡稳定、环保设施升级改造等。库容量达到</w:t>
      </w:r>
      <w:r>
        <w:rPr>
          <w:color w:val="auto"/>
          <w:lang w:eastAsia="zh-CN"/>
        </w:rPr>
        <w:t>1500</w:t>
      </w:r>
      <w:r>
        <w:rPr>
          <w:rFonts w:hint="eastAsia"/>
          <w:color w:val="auto"/>
          <w:lang w:eastAsia="zh-CN"/>
        </w:rPr>
        <w:t>万</w:t>
      </w:r>
      <w:r>
        <w:rPr>
          <w:color w:val="auto"/>
          <w:lang w:eastAsia="zh-CN"/>
        </w:rPr>
        <w:t>m</w:t>
      </w:r>
      <w:r>
        <w:rPr>
          <w:rFonts w:ascii="宋体" w:hAnsi="宋体" w:eastAsia="宋体" w:cs="宋体"/>
          <w:color w:val="auto"/>
          <w:vertAlign w:val="superscript"/>
          <w:lang w:eastAsia="zh-CN"/>
        </w:rPr>
        <w:t>3</w:t>
      </w:r>
      <w:r>
        <w:rPr>
          <w:rFonts w:hint="eastAsia"/>
          <w:color w:val="auto"/>
          <w:lang w:eastAsia="zh-CN"/>
        </w:rPr>
        <w:t>。主要功能为建筑垃圾填埋、消纳等。详见下表</w:t>
      </w:r>
      <w:r>
        <w:rPr>
          <w:color w:val="auto"/>
          <w:lang w:eastAsia="zh-CN"/>
        </w:rPr>
        <w:t>9-2</w:t>
      </w:r>
      <w:r>
        <w:rPr>
          <w:rFonts w:hint="eastAsia"/>
          <w:color w:val="auto"/>
          <w:lang w:eastAsia="zh-CN"/>
        </w:rPr>
        <w:t>。</w:t>
      </w:r>
    </w:p>
    <w:p w14:paraId="7670121E">
      <w:pPr>
        <w:ind w:firstLine="0" w:firstLineChars="0"/>
        <w:jc w:val="center"/>
        <w:rPr>
          <w:color w:val="auto"/>
          <w:lang w:eastAsia="zh-CN"/>
        </w:rPr>
      </w:pPr>
      <w:r>
        <w:rPr>
          <w:rFonts w:hint="eastAsia"/>
          <w:color w:val="auto"/>
          <w:lang w:eastAsia="zh-CN"/>
        </w:rPr>
        <w:t>表</w:t>
      </w:r>
      <w:r>
        <w:rPr>
          <w:color w:val="auto"/>
          <w:lang w:eastAsia="zh-CN"/>
        </w:rPr>
        <w:t xml:space="preserve">9-2 </w:t>
      </w:r>
      <w:r>
        <w:rPr>
          <w:rFonts w:hint="eastAsia"/>
          <w:color w:val="auto"/>
          <w:lang w:eastAsia="zh-CN"/>
        </w:rPr>
        <w:t>近期处置利用设施建设表</w:t>
      </w:r>
      <w:r>
        <w:rPr>
          <w:color w:val="auto"/>
          <w:lang w:eastAsia="zh-CN"/>
        </w:rPr>
        <w:t xml:space="preserve"> </w:t>
      </w:r>
    </w:p>
    <w:p w14:paraId="6E298A7E">
      <w:pPr>
        <w:spacing w:line="300" w:lineRule="exact"/>
        <w:ind w:firstLine="0" w:firstLineChars="0"/>
        <w:jc w:val="center"/>
        <w:rPr>
          <w:color w:val="auto"/>
          <w:lang w:eastAsia="zh-CN"/>
        </w:rPr>
      </w:pPr>
    </w:p>
    <w:tbl>
      <w:tblPr>
        <w:tblStyle w:val="14"/>
        <w:tblpPr w:leftFromText="180" w:rightFromText="180" w:vertAnchor="text" w:horzAnchor="margin" w:tblpXSpec="center" w:tblpY="207"/>
        <w:tblOverlap w:val="never"/>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753"/>
        <w:gridCol w:w="869"/>
        <w:gridCol w:w="994"/>
        <w:gridCol w:w="1334"/>
        <w:gridCol w:w="2021"/>
      </w:tblGrid>
      <w:tr w14:paraId="0AB8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19" w:type="dxa"/>
            <w:vAlign w:val="center"/>
          </w:tcPr>
          <w:p w14:paraId="78E744F4">
            <w:pPr>
              <w:spacing w:line="240" w:lineRule="auto"/>
              <w:ind w:firstLine="0" w:firstLineChars="0"/>
              <w:jc w:val="center"/>
              <w:rPr>
                <w:rFonts w:ascii="方正黑体_GBK" w:eastAsia="方正黑体_GBK"/>
                <w:bCs/>
                <w:sz w:val="24"/>
                <w:szCs w:val="24"/>
              </w:rPr>
            </w:pPr>
            <w:r>
              <w:rPr>
                <w:rFonts w:hint="eastAsia" w:ascii="方正黑体_GBK" w:eastAsia="方正黑体_GBK"/>
                <w:bCs/>
                <w:sz w:val="24"/>
                <w:szCs w:val="24"/>
              </w:rPr>
              <w:t>序号</w:t>
            </w:r>
          </w:p>
        </w:tc>
        <w:tc>
          <w:tcPr>
            <w:tcW w:w="2752" w:type="dxa"/>
            <w:vAlign w:val="center"/>
          </w:tcPr>
          <w:p w14:paraId="2D11A46F">
            <w:pPr>
              <w:spacing w:line="240" w:lineRule="auto"/>
              <w:ind w:firstLine="0" w:firstLineChars="0"/>
              <w:jc w:val="center"/>
              <w:rPr>
                <w:rFonts w:ascii="方正黑体_GBK" w:eastAsia="方正黑体_GBK"/>
                <w:bCs/>
                <w:sz w:val="24"/>
                <w:szCs w:val="24"/>
              </w:rPr>
            </w:pPr>
            <w:r>
              <w:rPr>
                <w:rFonts w:hint="eastAsia" w:ascii="方正黑体_GBK" w:eastAsia="方正黑体_GBK"/>
                <w:bCs/>
                <w:sz w:val="24"/>
                <w:szCs w:val="24"/>
              </w:rPr>
              <w:t>名称</w:t>
            </w:r>
          </w:p>
        </w:tc>
        <w:tc>
          <w:tcPr>
            <w:tcW w:w="869" w:type="dxa"/>
            <w:vAlign w:val="center"/>
          </w:tcPr>
          <w:p w14:paraId="0EC75E52">
            <w:pPr>
              <w:spacing w:line="240" w:lineRule="auto"/>
              <w:ind w:firstLine="0" w:firstLineChars="0"/>
              <w:jc w:val="center"/>
              <w:rPr>
                <w:rFonts w:ascii="方正黑体_GBK" w:eastAsia="方正黑体_GBK"/>
                <w:bCs/>
                <w:sz w:val="24"/>
                <w:szCs w:val="24"/>
              </w:rPr>
            </w:pPr>
            <w:r>
              <w:rPr>
                <w:rFonts w:hint="eastAsia" w:ascii="方正黑体_GBK" w:eastAsia="方正黑体_GBK"/>
                <w:bCs/>
                <w:sz w:val="24"/>
                <w:szCs w:val="24"/>
              </w:rPr>
              <w:t>数量</w:t>
            </w:r>
          </w:p>
        </w:tc>
        <w:tc>
          <w:tcPr>
            <w:tcW w:w="994" w:type="dxa"/>
            <w:vAlign w:val="center"/>
          </w:tcPr>
          <w:p w14:paraId="757DF9CE">
            <w:pPr>
              <w:spacing w:line="240" w:lineRule="auto"/>
              <w:ind w:firstLine="0" w:firstLineChars="0"/>
              <w:jc w:val="center"/>
              <w:rPr>
                <w:rFonts w:ascii="方正黑体_GBK" w:eastAsia="方正黑体_GBK"/>
                <w:bCs/>
                <w:sz w:val="24"/>
                <w:szCs w:val="24"/>
              </w:rPr>
            </w:pPr>
            <w:r>
              <w:rPr>
                <w:rFonts w:hint="eastAsia" w:ascii="方正黑体_GBK" w:eastAsia="方正黑体_GBK"/>
                <w:bCs/>
                <w:sz w:val="24"/>
                <w:szCs w:val="24"/>
              </w:rPr>
              <w:t>单位</w:t>
            </w:r>
          </w:p>
        </w:tc>
        <w:tc>
          <w:tcPr>
            <w:tcW w:w="1334" w:type="dxa"/>
            <w:vAlign w:val="center"/>
          </w:tcPr>
          <w:p w14:paraId="6CA413DD">
            <w:pPr>
              <w:spacing w:line="240" w:lineRule="auto"/>
              <w:ind w:firstLine="0" w:firstLineChars="0"/>
              <w:jc w:val="center"/>
              <w:rPr>
                <w:rFonts w:ascii="方正黑体_GBK" w:eastAsia="方正黑体_GBK"/>
                <w:bCs/>
                <w:sz w:val="24"/>
                <w:szCs w:val="24"/>
              </w:rPr>
            </w:pPr>
            <w:r>
              <w:rPr>
                <w:rFonts w:hint="eastAsia" w:ascii="方正黑体_GBK" w:eastAsia="方正黑体_GBK"/>
                <w:bCs/>
                <w:sz w:val="24"/>
                <w:szCs w:val="24"/>
              </w:rPr>
              <w:t>近期规模</w:t>
            </w:r>
          </w:p>
        </w:tc>
        <w:tc>
          <w:tcPr>
            <w:tcW w:w="2021" w:type="dxa"/>
            <w:vAlign w:val="center"/>
          </w:tcPr>
          <w:p w14:paraId="325809F3">
            <w:pPr>
              <w:spacing w:line="240" w:lineRule="auto"/>
              <w:ind w:firstLine="0" w:firstLineChars="0"/>
              <w:jc w:val="center"/>
              <w:rPr>
                <w:rFonts w:ascii="方正黑体_GBK" w:eastAsia="方正黑体_GBK"/>
                <w:bCs/>
                <w:sz w:val="24"/>
                <w:szCs w:val="24"/>
                <w:lang w:eastAsia="zh-CN"/>
              </w:rPr>
            </w:pPr>
            <w:r>
              <w:rPr>
                <w:rFonts w:hint="eastAsia" w:ascii="方正黑体_GBK" w:eastAsia="方正黑体_GBK"/>
                <w:bCs/>
                <w:sz w:val="24"/>
                <w:szCs w:val="24"/>
                <w:lang w:eastAsia="zh-CN"/>
              </w:rPr>
              <w:t>近期估算投资（万元）</w:t>
            </w:r>
          </w:p>
        </w:tc>
      </w:tr>
      <w:tr w14:paraId="7364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719" w:type="dxa"/>
            <w:vAlign w:val="center"/>
          </w:tcPr>
          <w:p w14:paraId="0CDF8DE7">
            <w:pPr>
              <w:spacing w:line="240" w:lineRule="auto"/>
              <w:ind w:firstLine="0" w:firstLineChars="0"/>
              <w:jc w:val="center"/>
              <w:rPr>
                <w:sz w:val="24"/>
                <w:szCs w:val="24"/>
              </w:rPr>
            </w:pPr>
            <w:r>
              <w:rPr>
                <w:sz w:val="24"/>
                <w:szCs w:val="24"/>
              </w:rPr>
              <w:t>1</w:t>
            </w:r>
          </w:p>
        </w:tc>
        <w:tc>
          <w:tcPr>
            <w:tcW w:w="2752" w:type="dxa"/>
            <w:vAlign w:val="center"/>
          </w:tcPr>
          <w:p w14:paraId="79C5EE7A">
            <w:pPr>
              <w:spacing w:line="240" w:lineRule="auto"/>
              <w:ind w:firstLine="0" w:firstLineChars="0"/>
              <w:jc w:val="center"/>
              <w:rPr>
                <w:sz w:val="24"/>
                <w:szCs w:val="24"/>
              </w:rPr>
            </w:pPr>
            <w:r>
              <w:rPr>
                <w:rFonts w:hint="eastAsia"/>
                <w:sz w:val="24"/>
                <w:szCs w:val="24"/>
              </w:rPr>
              <w:t>建筑垃圾综合利用厂</w:t>
            </w:r>
          </w:p>
        </w:tc>
        <w:tc>
          <w:tcPr>
            <w:tcW w:w="869" w:type="dxa"/>
            <w:vAlign w:val="center"/>
          </w:tcPr>
          <w:p w14:paraId="6CDCEA3B">
            <w:pPr>
              <w:spacing w:line="240" w:lineRule="auto"/>
              <w:ind w:firstLine="0" w:firstLineChars="0"/>
              <w:jc w:val="center"/>
              <w:rPr>
                <w:sz w:val="24"/>
                <w:szCs w:val="24"/>
              </w:rPr>
            </w:pPr>
            <w:r>
              <w:rPr>
                <w:sz w:val="24"/>
                <w:szCs w:val="24"/>
              </w:rPr>
              <w:t>1</w:t>
            </w:r>
          </w:p>
        </w:tc>
        <w:tc>
          <w:tcPr>
            <w:tcW w:w="994" w:type="dxa"/>
            <w:vAlign w:val="center"/>
          </w:tcPr>
          <w:p w14:paraId="5D625215">
            <w:pPr>
              <w:spacing w:line="240" w:lineRule="auto"/>
              <w:ind w:firstLine="0" w:firstLineChars="0"/>
              <w:jc w:val="center"/>
              <w:rPr>
                <w:sz w:val="24"/>
                <w:szCs w:val="24"/>
              </w:rPr>
            </w:pPr>
            <w:r>
              <w:rPr>
                <w:rFonts w:hint="eastAsia"/>
                <w:sz w:val="24"/>
                <w:szCs w:val="24"/>
              </w:rPr>
              <w:t>座</w:t>
            </w:r>
          </w:p>
        </w:tc>
        <w:tc>
          <w:tcPr>
            <w:tcW w:w="1334" w:type="dxa"/>
            <w:vAlign w:val="center"/>
          </w:tcPr>
          <w:p w14:paraId="0D67EAC1">
            <w:pPr>
              <w:spacing w:line="240" w:lineRule="auto"/>
              <w:ind w:firstLine="0" w:firstLineChars="0"/>
              <w:jc w:val="center"/>
              <w:rPr>
                <w:sz w:val="24"/>
                <w:szCs w:val="24"/>
              </w:rPr>
            </w:pPr>
            <w:r>
              <w:rPr>
                <w:sz w:val="24"/>
                <w:szCs w:val="24"/>
              </w:rPr>
              <w:t>30</w:t>
            </w:r>
            <w:r>
              <w:rPr>
                <w:rFonts w:hint="eastAsia"/>
                <w:sz w:val="24"/>
                <w:szCs w:val="24"/>
              </w:rPr>
              <w:t>万吨</w:t>
            </w:r>
            <w:r>
              <w:rPr>
                <w:sz w:val="24"/>
                <w:szCs w:val="24"/>
              </w:rPr>
              <w:t>/</w:t>
            </w:r>
            <w:r>
              <w:rPr>
                <w:rFonts w:hint="eastAsia"/>
                <w:sz w:val="24"/>
                <w:szCs w:val="24"/>
              </w:rPr>
              <w:t>年</w:t>
            </w:r>
          </w:p>
        </w:tc>
        <w:tc>
          <w:tcPr>
            <w:tcW w:w="2021" w:type="dxa"/>
            <w:vAlign w:val="center"/>
          </w:tcPr>
          <w:p w14:paraId="594A8B47">
            <w:pPr>
              <w:spacing w:line="240" w:lineRule="auto"/>
              <w:ind w:firstLine="0" w:firstLineChars="0"/>
              <w:jc w:val="center"/>
              <w:rPr>
                <w:sz w:val="24"/>
                <w:szCs w:val="24"/>
              </w:rPr>
            </w:pPr>
            <w:r>
              <w:rPr>
                <w:sz w:val="24"/>
                <w:szCs w:val="24"/>
              </w:rPr>
              <w:t>4000</w:t>
            </w:r>
          </w:p>
        </w:tc>
      </w:tr>
      <w:tr w14:paraId="498B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719" w:type="dxa"/>
            <w:vAlign w:val="center"/>
          </w:tcPr>
          <w:p w14:paraId="66523469">
            <w:pPr>
              <w:spacing w:line="240" w:lineRule="auto"/>
              <w:ind w:firstLine="0" w:firstLineChars="0"/>
              <w:jc w:val="center"/>
              <w:rPr>
                <w:sz w:val="24"/>
                <w:szCs w:val="24"/>
              </w:rPr>
            </w:pPr>
            <w:r>
              <w:rPr>
                <w:sz w:val="24"/>
                <w:szCs w:val="24"/>
              </w:rPr>
              <w:t>2</w:t>
            </w:r>
          </w:p>
        </w:tc>
        <w:tc>
          <w:tcPr>
            <w:tcW w:w="2752" w:type="dxa"/>
            <w:vAlign w:val="center"/>
          </w:tcPr>
          <w:p w14:paraId="06DC7777">
            <w:pPr>
              <w:spacing w:line="240" w:lineRule="auto"/>
              <w:ind w:firstLine="0" w:firstLineChars="0"/>
              <w:jc w:val="center"/>
              <w:rPr>
                <w:sz w:val="24"/>
                <w:szCs w:val="24"/>
                <w:lang w:eastAsia="zh-CN"/>
              </w:rPr>
            </w:pPr>
            <w:r>
              <w:rPr>
                <w:rFonts w:hint="eastAsia"/>
                <w:sz w:val="24"/>
                <w:szCs w:val="24"/>
                <w:lang w:eastAsia="zh-CN"/>
              </w:rPr>
              <w:t>完善岳城街道白石村建筑垃圾消纳场</w:t>
            </w:r>
          </w:p>
        </w:tc>
        <w:tc>
          <w:tcPr>
            <w:tcW w:w="869" w:type="dxa"/>
            <w:vAlign w:val="center"/>
          </w:tcPr>
          <w:p w14:paraId="4E7111FD">
            <w:pPr>
              <w:spacing w:line="240" w:lineRule="auto"/>
              <w:ind w:firstLine="0" w:firstLineChars="0"/>
              <w:jc w:val="center"/>
              <w:rPr>
                <w:sz w:val="24"/>
                <w:szCs w:val="24"/>
              </w:rPr>
            </w:pPr>
            <w:r>
              <w:rPr>
                <w:sz w:val="24"/>
                <w:szCs w:val="24"/>
              </w:rPr>
              <w:t>1</w:t>
            </w:r>
          </w:p>
        </w:tc>
        <w:tc>
          <w:tcPr>
            <w:tcW w:w="994" w:type="dxa"/>
            <w:vAlign w:val="center"/>
          </w:tcPr>
          <w:p w14:paraId="53C1438C">
            <w:pPr>
              <w:spacing w:line="240" w:lineRule="auto"/>
              <w:ind w:firstLine="0" w:firstLineChars="0"/>
              <w:jc w:val="center"/>
              <w:rPr>
                <w:sz w:val="24"/>
                <w:szCs w:val="24"/>
              </w:rPr>
            </w:pPr>
            <w:r>
              <w:rPr>
                <w:rFonts w:hint="eastAsia"/>
                <w:sz w:val="24"/>
                <w:szCs w:val="24"/>
              </w:rPr>
              <w:t>座</w:t>
            </w:r>
          </w:p>
        </w:tc>
        <w:tc>
          <w:tcPr>
            <w:tcW w:w="1334" w:type="dxa"/>
            <w:vAlign w:val="center"/>
          </w:tcPr>
          <w:p w14:paraId="15BB6BE3">
            <w:pPr>
              <w:spacing w:line="240" w:lineRule="auto"/>
              <w:ind w:firstLine="0" w:firstLineChars="0"/>
              <w:jc w:val="center"/>
              <w:rPr>
                <w:sz w:val="24"/>
                <w:szCs w:val="24"/>
              </w:rPr>
            </w:pPr>
            <w:r>
              <w:rPr>
                <w:sz w:val="24"/>
                <w:szCs w:val="24"/>
              </w:rPr>
              <w:t>1500</w:t>
            </w:r>
            <w:r>
              <w:rPr>
                <w:rFonts w:hint="eastAsia"/>
                <w:sz w:val="24"/>
                <w:szCs w:val="24"/>
              </w:rPr>
              <w:t>万</w:t>
            </w:r>
            <w:r>
              <w:rPr>
                <w:sz w:val="24"/>
                <w:szCs w:val="24"/>
              </w:rPr>
              <w:t>m</w:t>
            </w:r>
            <w:r>
              <w:rPr>
                <w:rFonts w:cs="Cambria"/>
                <w:sz w:val="24"/>
                <w:szCs w:val="24"/>
              </w:rPr>
              <w:t>³</w:t>
            </w:r>
          </w:p>
        </w:tc>
        <w:tc>
          <w:tcPr>
            <w:tcW w:w="2021" w:type="dxa"/>
            <w:vAlign w:val="center"/>
          </w:tcPr>
          <w:p w14:paraId="72A69BBF">
            <w:pPr>
              <w:spacing w:line="240" w:lineRule="auto"/>
              <w:ind w:firstLine="0" w:firstLineChars="0"/>
              <w:jc w:val="center"/>
              <w:rPr>
                <w:sz w:val="24"/>
                <w:szCs w:val="24"/>
              </w:rPr>
            </w:pPr>
            <w:r>
              <w:rPr>
                <w:sz w:val="24"/>
                <w:szCs w:val="24"/>
              </w:rPr>
              <w:t>1000</w:t>
            </w:r>
          </w:p>
        </w:tc>
      </w:tr>
      <w:tr w14:paraId="0449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3472" w:type="dxa"/>
            <w:gridSpan w:val="2"/>
            <w:vAlign w:val="center"/>
          </w:tcPr>
          <w:p w14:paraId="78BC345E">
            <w:pPr>
              <w:spacing w:line="240" w:lineRule="auto"/>
              <w:ind w:firstLine="0" w:firstLineChars="0"/>
              <w:jc w:val="center"/>
              <w:rPr>
                <w:sz w:val="24"/>
                <w:szCs w:val="24"/>
              </w:rPr>
            </w:pPr>
            <w:r>
              <w:rPr>
                <w:rFonts w:hint="eastAsia"/>
                <w:sz w:val="24"/>
                <w:szCs w:val="24"/>
              </w:rPr>
              <w:t>合计</w:t>
            </w:r>
          </w:p>
        </w:tc>
        <w:tc>
          <w:tcPr>
            <w:tcW w:w="869" w:type="dxa"/>
            <w:vAlign w:val="center"/>
          </w:tcPr>
          <w:p w14:paraId="50C37B1F">
            <w:pPr>
              <w:spacing w:line="240" w:lineRule="auto"/>
              <w:ind w:firstLine="0" w:firstLineChars="0"/>
              <w:jc w:val="center"/>
              <w:rPr>
                <w:sz w:val="24"/>
                <w:szCs w:val="24"/>
              </w:rPr>
            </w:pPr>
          </w:p>
        </w:tc>
        <w:tc>
          <w:tcPr>
            <w:tcW w:w="994" w:type="dxa"/>
            <w:vAlign w:val="center"/>
          </w:tcPr>
          <w:p w14:paraId="24563998">
            <w:pPr>
              <w:spacing w:line="240" w:lineRule="auto"/>
              <w:ind w:firstLine="0" w:firstLineChars="0"/>
              <w:jc w:val="center"/>
              <w:rPr>
                <w:sz w:val="24"/>
                <w:szCs w:val="24"/>
              </w:rPr>
            </w:pPr>
          </w:p>
        </w:tc>
        <w:tc>
          <w:tcPr>
            <w:tcW w:w="1334" w:type="dxa"/>
            <w:vAlign w:val="center"/>
          </w:tcPr>
          <w:p w14:paraId="60FA4019">
            <w:pPr>
              <w:spacing w:line="240" w:lineRule="auto"/>
              <w:ind w:firstLine="0" w:firstLineChars="0"/>
              <w:jc w:val="center"/>
              <w:rPr>
                <w:sz w:val="24"/>
                <w:szCs w:val="24"/>
              </w:rPr>
            </w:pPr>
          </w:p>
        </w:tc>
        <w:tc>
          <w:tcPr>
            <w:tcW w:w="2021" w:type="dxa"/>
            <w:vAlign w:val="center"/>
          </w:tcPr>
          <w:p w14:paraId="4B0069DB">
            <w:pPr>
              <w:spacing w:line="240" w:lineRule="auto"/>
              <w:ind w:firstLine="0" w:firstLineChars="0"/>
              <w:jc w:val="center"/>
              <w:rPr>
                <w:sz w:val="24"/>
                <w:szCs w:val="24"/>
              </w:rPr>
            </w:pPr>
            <w:r>
              <w:rPr>
                <w:sz w:val="24"/>
                <w:szCs w:val="24"/>
              </w:rPr>
              <w:t>5000</w:t>
            </w:r>
          </w:p>
        </w:tc>
      </w:tr>
    </w:tbl>
    <w:p w14:paraId="577BEA62">
      <w:pPr>
        <w:pStyle w:val="29"/>
        <w:widowControl w:val="0"/>
        <w:spacing w:line="660" w:lineRule="exact"/>
        <w:ind w:left="640" w:firstLine="0" w:firstLineChars="0"/>
        <w:jc w:val="center"/>
        <w:rPr>
          <w:rFonts w:eastAsia="方正小标宋_GBK"/>
          <w:sz w:val="44"/>
          <w:szCs w:val="44"/>
        </w:rPr>
      </w:pPr>
      <w:r>
        <w:t xml:space="preserve"> </w:t>
      </w:r>
      <w:r>
        <w:br w:type="page"/>
      </w:r>
      <w:bookmarkStart w:id="67" w:name="_Toc8414"/>
      <w:bookmarkStart w:id="68" w:name="_Toc175056395"/>
      <w:bookmarkStart w:id="69" w:name="_Toc21677"/>
      <w:r>
        <w:rPr>
          <w:rFonts w:hint="eastAsia" w:eastAsia="方正小标宋_GBK"/>
          <w:sz w:val="44"/>
          <w:szCs w:val="44"/>
        </w:rPr>
        <w:t>第十章</w:t>
      </w:r>
      <w:r>
        <w:rPr>
          <w:rFonts w:eastAsia="方正小标宋_GBK"/>
          <w:sz w:val="44"/>
          <w:szCs w:val="44"/>
        </w:rPr>
        <w:t xml:space="preserve"> </w:t>
      </w:r>
      <w:r>
        <w:rPr>
          <w:rFonts w:hint="eastAsia" w:eastAsia="方正小标宋_GBK"/>
          <w:sz w:val="44"/>
          <w:szCs w:val="44"/>
        </w:rPr>
        <w:t>建筑垃圾产业规划</w:t>
      </w:r>
      <w:bookmarkEnd w:id="67"/>
      <w:bookmarkEnd w:id="68"/>
      <w:r>
        <w:rPr>
          <w:rFonts w:eastAsia="方正小标宋_GBK"/>
          <w:sz w:val="44"/>
          <w:szCs w:val="44"/>
        </w:rPr>
        <w:t xml:space="preserve"> </w:t>
      </w:r>
    </w:p>
    <w:p w14:paraId="7FBA6D09">
      <w:pPr>
        <w:pStyle w:val="29"/>
        <w:widowControl w:val="0"/>
        <w:spacing w:line="200" w:lineRule="exact"/>
        <w:ind w:left="640" w:firstLine="0" w:firstLineChars="0"/>
        <w:jc w:val="center"/>
        <w:rPr>
          <w:rFonts w:eastAsia="方正小标宋_GBK"/>
          <w:sz w:val="44"/>
          <w:szCs w:val="44"/>
        </w:rPr>
      </w:pPr>
    </w:p>
    <w:p w14:paraId="714092CB">
      <w:pPr>
        <w:pStyle w:val="3"/>
        <w:spacing w:line="580" w:lineRule="exact"/>
        <w:ind w:firstLine="640"/>
        <w:rPr>
          <w:b w:val="0"/>
          <w:bCs/>
        </w:rPr>
      </w:pPr>
      <w:bookmarkStart w:id="70" w:name="_Toc4522"/>
      <w:bookmarkStart w:id="71" w:name="_Toc175056396"/>
      <w:r>
        <w:rPr>
          <w:rFonts w:hint="eastAsia"/>
          <w:b w:val="0"/>
          <w:bCs/>
        </w:rPr>
        <w:t>第一节</w:t>
      </w:r>
      <w:r>
        <w:rPr>
          <w:b w:val="0"/>
          <w:bCs/>
        </w:rPr>
        <w:t xml:space="preserve"> </w:t>
      </w:r>
      <w:r>
        <w:rPr>
          <w:rFonts w:hint="eastAsia"/>
          <w:b w:val="0"/>
          <w:bCs/>
        </w:rPr>
        <w:t>建筑垃圾资源利用模式</w:t>
      </w:r>
      <w:bookmarkEnd w:id="70"/>
      <w:bookmarkEnd w:id="71"/>
    </w:p>
    <w:p w14:paraId="437FE571">
      <w:pPr>
        <w:ind w:firstLine="640"/>
        <w:rPr>
          <w:color w:val="auto"/>
          <w:lang w:eastAsia="zh-CN"/>
        </w:rPr>
      </w:pPr>
      <w:r>
        <w:rPr>
          <w:rFonts w:hint="eastAsia"/>
          <w:color w:val="auto"/>
          <w:lang w:eastAsia="zh-CN"/>
        </w:rPr>
        <w:t>建筑垃圾资源处理方式主要分为直接利用和资源化再生利用两种模式。建筑垃圾直接利用是指可以直接回收利用或通过简单的分拣就能直接回收利用的方式，包括分类回收、一般性回填等。建筑垃圾资源化再生利用是指将建筑垃圾通过加工处理转化为有用物质的利用方式，包括将建筑垃圾用于生产再生骨料、再生砖、再生砌块、再生景观石、再生混凝土、再生稳定碎石、再生预拌砂浆等。</w:t>
      </w:r>
    </w:p>
    <w:p w14:paraId="3E24A77A">
      <w:pPr>
        <w:pStyle w:val="3"/>
        <w:spacing w:line="580" w:lineRule="exact"/>
        <w:ind w:firstLine="640"/>
        <w:rPr>
          <w:b w:val="0"/>
          <w:bCs/>
        </w:rPr>
      </w:pPr>
      <w:bookmarkStart w:id="72" w:name="_Toc175056397"/>
      <w:bookmarkStart w:id="73" w:name="_Toc16735"/>
      <w:r>
        <w:rPr>
          <w:rFonts w:hint="eastAsia"/>
          <w:b w:val="0"/>
          <w:bCs/>
        </w:rPr>
        <w:t>第二节</w:t>
      </w:r>
      <w:r>
        <w:rPr>
          <w:b w:val="0"/>
          <w:bCs/>
        </w:rPr>
        <w:t xml:space="preserve"> </w:t>
      </w:r>
      <w:r>
        <w:rPr>
          <w:rFonts w:hint="eastAsia"/>
          <w:b w:val="0"/>
          <w:bCs/>
        </w:rPr>
        <w:t>再生产品利用总体要求</w:t>
      </w:r>
      <w:bookmarkEnd w:id="72"/>
      <w:bookmarkEnd w:id="73"/>
    </w:p>
    <w:p w14:paraId="0FE5952E">
      <w:pPr>
        <w:ind w:firstLine="643"/>
        <w:rPr>
          <w:color w:val="auto"/>
          <w:lang w:eastAsia="zh-CN"/>
        </w:rPr>
      </w:pPr>
      <w:r>
        <w:rPr>
          <w:rFonts w:hint="eastAsia" w:ascii="方正楷体_GBK" w:hAnsi="方正楷体_GBK" w:eastAsia="方正楷体_GBK" w:cs="方正楷体_GBK"/>
          <w:b/>
          <w:bCs/>
          <w:color w:val="auto"/>
          <w:lang w:eastAsia="zh-CN"/>
        </w:rPr>
        <w:t>（一）再生产品用于建设项目时应满足相关标准的规定，并遵循下列原则</w:t>
      </w:r>
      <w:r>
        <w:rPr>
          <w:rFonts w:hint="eastAsia"/>
          <w:color w:val="auto"/>
          <w:lang w:eastAsia="zh-CN"/>
        </w:rPr>
        <w:t>：</w:t>
      </w:r>
    </w:p>
    <w:p w14:paraId="5F35D6E5">
      <w:pPr>
        <w:ind w:firstLine="640"/>
        <w:rPr>
          <w:color w:val="auto"/>
          <w:lang w:eastAsia="zh-CN"/>
        </w:rPr>
      </w:pPr>
      <w:r>
        <w:rPr>
          <w:color w:val="auto"/>
          <w:lang w:eastAsia="zh-CN"/>
        </w:rPr>
        <w:t>1.</w:t>
      </w:r>
      <w:r>
        <w:rPr>
          <w:rFonts w:hint="eastAsia"/>
          <w:color w:val="auto"/>
          <w:lang w:eastAsia="zh-CN"/>
        </w:rPr>
        <w:t>产品同等性能条件下，鼓励优先采用再生产品。</w:t>
      </w:r>
    </w:p>
    <w:p w14:paraId="79EC7645">
      <w:pPr>
        <w:ind w:firstLine="640"/>
        <w:rPr>
          <w:color w:val="auto"/>
          <w:lang w:eastAsia="zh-CN"/>
        </w:rPr>
      </w:pPr>
      <w:r>
        <w:rPr>
          <w:color w:val="auto"/>
          <w:lang w:eastAsia="zh-CN"/>
        </w:rPr>
        <w:t>2.</w:t>
      </w:r>
      <w:r>
        <w:rPr>
          <w:rFonts w:hint="eastAsia"/>
          <w:color w:val="auto"/>
          <w:lang w:eastAsia="zh-CN"/>
        </w:rPr>
        <w:t>建设项目范围内的地面道路和停车场，鼓励优先采用再生产品。</w:t>
      </w:r>
    </w:p>
    <w:p w14:paraId="0726B7D2">
      <w:pPr>
        <w:ind w:firstLine="640"/>
        <w:rPr>
          <w:color w:val="auto"/>
          <w:lang w:eastAsia="zh-CN"/>
        </w:rPr>
      </w:pPr>
      <w:r>
        <w:rPr>
          <w:color w:val="auto"/>
          <w:lang w:eastAsia="zh-CN"/>
        </w:rPr>
        <w:t>3.</w:t>
      </w:r>
      <w:r>
        <w:rPr>
          <w:rFonts w:hint="eastAsia"/>
          <w:color w:val="auto"/>
          <w:lang w:eastAsia="zh-CN"/>
        </w:rPr>
        <w:t>建设项目的基础垫层、围墙、管井、管沟、挡土坡及市政道路的路基垫层等部位，可采用再生产品。</w:t>
      </w:r>
    </w:p>
    <w:p w14:paraId="6D7ABACE">
      <w:pPr>
        <w:ind w:firstLine="640"/>
        <w:rPr>
          <w:color w:val="auto"/>
          <w:lang w:eastAsia="zh-CN"/>
        </w:rPr>
      </w:pPr>
      <w:r>
        <w:rPr>
          <w:color w:val="auto"/>
          <w:lang w:eastAsia="zh-CN"/>
        </w:rPr>
        <w:t>4.</w:t>
      </w:r>
      <w:r>
        <w:rPr>
          <w:rFonts w:hint="eastAsia"/>
          <w:color w:val="auto"/>
          <w:lang w:eastAsia="zh-CN"/>
        </w:rPr>
        <w:t>政府投资的建设项目鼓励优先采用再生产品。</w:t>
      </w:r>
    </w:p>
    <w:p w14:paraId="594FECF2">
      <w:pPr>
        <w:ind w:firstLine="643"/>
        <w:rPr>
          <w:rFonts w:ascii="方正楷体_GBK" w:hAnsi="方正楷体_GBK" w:eastAsia="方正楷体_GBK" w:cs="方正楷体_GBK"/>
          <w:b/>
          <w:bCs/>
          <w:color w:val="auto"/>
          <w:lang w:eastAsia="zh-CN"/>
        </w:rPr>
      </w:pPr>
      <w:r>
        <w:rPr>
          <w:rFonts w:hint="eastAsia" w:ascii="方正楷体_GBK" w:hAnsi="方正楷体_GBK" w:eastAsia="方正楷体_GBK" w:cs="方正楷体_GBK"/>
          <w:b/>
          <w:bCs/>
          <w:color w:val="auto"/>
          <w:lang w:eastAsia="zh-CN"/>
        </w:rPr>
        <w:t>（二）再生材料的使用和管理，应符合下列规定：</w:t>
      </w:r>
    </w:p>
    <w:p w14:paraId="58DCCECA">
      <w:pPr>
        <w:ind w:firstLine="640"/>
        <w:rPr>
          <w:color w:val="auto"/>
          <w:lang w:eastAsia="zh-CN"/>
        </w:rPr>
      </w:pPr>
      <w:r>
        <w:rPr>
          <w:color w:val="auto"/>
          <w:lang w:eastAsia="zh-CN"/>
        </w:rPr>
        <w:t>1.</w:t>
      </w:r>
      <w:r>
        <w:rPr>
          <w:rFonts w:hint="eastAsia"/>
          <w:color w:val="auto"/>
          <w:lang w:eastAsia="zh-CN"/>
        </w:rPr>
        <w:t>不同类别、不同粒径的再生材料应分开运输和堆放。</w:t>
      </w:r>
    </w:p>
    <w:p w14:paraId="517703FE">
      <w:pPr>
        <w:ind w:firstLine="640"/>
        <w:rPr>
          <w:color w:val="auto"/>
          <w:lang w:eastAsia="zh-CN"/>
        </w:rPr>
      </w:pPr>
      <w:r>
        <w:rPr>
          <w:color w:val="auto"/>
          <w:lang w:eastAsia="zh-CN"/>
        </w:rPr>
        <w:t>2.</w:t>
      </w:r>
      <w:r>
        <w:rPr>
          <w:rFonts w:hint="eastAsia"/>
          <w:color w:val="auto"/>
          <w:lang w:eastAsia="zh-CN"/>
        </w:rPr>
        <w:t>再生材料和天然材料应分开堆放。</w:t>
      </w:r>
    </w:p>
    <w:p w14:paraId="6E9425E4">
      <w:pPr>
        <w:ind w:firstLine="620"/>
        <w:rPr>
          <w:color w:val="auto"/>
          <w:spacing w:val="-10"/>
          <w:lang w:eastAsia="zh-CN"/>
        </w:rPr>
      </w:pPr>
      <w:r>
        <w:rPr>
          <w:color w:val="auto"/>
          <w:spacing w:val="-10"/>
          <w:lang w:eastAsia="zh-CN"/>
        </w:rPr>
        <w:t>3.</w:t>
      </w:r>
      <w:r>
        <w:rPr>
          <w:rFonts w:hint="eastAsia"/>
          <w:color w:val="auto"/>
          <w:spacing w:val="-10"/>
          <w:lang w:eastAsia="zh-CN"/>
        </w:rPr>
        <w:t>再生材料的生产原料及使用情况等信息应加以规范记录。</w:t>
      </w:r>
    </w:p>
    <w:p w14:paraId="7CE190B2">
      <w:pPr>
        <w:ind w:firstLine="640"/>
        <w:rPr>
          <w:color w:val="auto"/>
          <w:lang w:eastAsia="zh-CN"/>
        </w:rPr>
      </w:pPr>
      <w:r>
        <w:rPr>
          <w:color w:val="auto"/>
          <w:lang w:eastAsia="zh-CN"/>
        </w:rPr>
        <w:t>4.</w:t>
      </w:r>
      <w:r>
        <w:rPr>
          <w:rFonts w:hint="eastAsia"/>
          <w:color w:val="auto"/>
          <w:lang w:eastAsia="zh-CN"/>
        </w:rPr>
        <w:t>再生制品应具有清晰的产品标识。</w:t>
      </w:r>
    </w:p>
    <w:p w14:paraId="29743CEF">
      <w:pPr>
        <w:pStyle w:val="3"/>
        <w:spacing w:line="580" w:lineRule="exact"/>
        <w:ind w:firstLine="640"/>
        <w:rPr>
          <w:b w:val="0"/>
          <w:bCs/>
        </w:rPr>
      </w:pPr>
      <w:bookmarkStart w:id="74" w:name="_Toc175056398"/>
      <w:bookmarkStart w:id="75" w:name="_Toc17824"/>
      <w:r>
        <w:rPr>
          <w:rFonts w:hint="eastAsia"/>
          <w:b w:val="0"/>
          <w:bCs/>
        </w:rPr>
        <w:t>第三节</w:t>
      </w:r>
      <w:r>
        <w:rPr>
          <w:b w:val="0"/>
          <w:bCs/>
        </w:rPr>
        <w:t xml:space="preserve"> </w:t>
      </w:r>
      <w:r>
        <w:rPr>
          <w:rFonts w:hint="eastAsia"/>
          <w:b w:val="0"/>
          <w:bCs/>
        </w:rPr>
        <w:t>再生材料应用要求</w:t>
      </w:r>
      <w:bookmarkEnd w:id="74"/>
      <w:bookmarkEnd w:id="75"/>
    </w:p>
    <w:p w14:paraId="35DF5D6C">
      <w:pPr>
        <w:ind w:firstLine="643"/>
        <w:rPr>
          <w:color w:val="auto"/>
          <w:lang w:eastAsia="zh-CN"/>
        </w:rPr>
      </w:pPr>
      <w:bookmarkStart w:id="76" w:name="_Hlk177585885"/>
      <w:r>
        <w:rPr>
          <w:rFonts w:hint="eastAsia" w:ascii="方正楷体_GBK" w:hAnsi="方正楷体_GBK" w:eastAsia="方正楷体_GBK" w:cs="方正楷体_GBK"/>
          <w:b/>
          <w:bCs/>
          <w:color w:val="auto"/>
          <w:lang w:eastAsia="zh-CN"/>
        </w:rPr>
        <w:t>（一）</w:t>
      </w:r>
      <w:r>
        <w:rPr>
          <w:rFonts w:hint="eastAsia"/>
          <w:color w:val="auto"/>
          <w:lang w:eastAsia="zh-CN"/>
        </w:rPr>
        <w:t>被污染或腐蚀的建筑垃圾不得用于制备再生材料，再生材料的放射性应符合现行国家标准《建筑材料放射性核素限量》（</w:t>
      </w:r>
      <w:r>
        <w:rPr>
          <w:color w:val="auto"/>
          <w:lang w:eastAsia="zh-CN"/>
        </w:rPr>
        <w:t>GB6566-2010</w:t>
      </w:r>
      <w:r>
        <w:rPr>
          <w:rFonts w:hint="eastAsia"/>
          <w:color w:val="auto"/>
          <w:lang w:eastAsia="zh-CN"/>
        </w:rPr>
        <w:t>）的规定。</w:t>
      </w:r>
    </w:p>
    <w:p w14:paraId="3DDC8555">
      <w:pPr>
        <w:ind w:firstLine="643"/>
        <w:rPr>
          <w:color w:val="auto"/>
          <w:lang w:eastAsia="zh-CN"/>
        </w:rPr>
      </w:pPr>
      <w:r>
        <w:rPr>
          <w:rFonts w:hint="eastAsia" w:ascii="方正楷体_GBK" w:hAnsi="方正楷体_GBK" w:eastAsia="方正楷体_GBK" w:cs="方正楷体_GBK"/>
          <w:b/>
          <w:bCs/>
          <w:color w:val="auto"/>
          <w:lang w:eastAsia="zh-CN"/>
        </w:rPr>
        <w:t>（二）</w:t>
      </w:r>
      <w:r>
        <w:rPr>
          <w:rFonts w:hint="eastAsia"/>
          <w:color w:val="auto"/>
          <w:lang w:eastAsia="zh-CN"/>
        </w:rPr>
        <w:t>用于生产混凝土的再生粗骨料，其颗粒级配、性能指标应符合现行国家标准《混凝土用再生粗骨料》（</w:t>
      </w:r>
      <w:r>
        <w:rPr>
          <w:color w:val="auto"/>
          <w:lang w:eastAsia="zh-CN"/>
        </w:rPr>
        <w:t>GB/T25177-2010</w:t>
      </w:r>
      <w:r>
        <w:rPr>
          <w:rFonts w:hint="eastAsia"/>
          <w:color w:val="auto"/>
          <w:lang w:eastAsia="zh-CN"/>
        </w:rPr>
        <w:t>）的规定。</w:t>
      </w:r>
    </w:p>
    <w:p w14:paraId="1BB29525">
      <w:pPr>
        <w:ind w:firstLine="643"/>
        <w:rPr>
          <w:color w:val="auto"/>
          <w:lang w:eastAsia="zh-CN"/>
        </w:rPr>
      </w:pPr>
      <w:r>
        <w:rPr>
          <w:rFonts w:hint="eastAsia" w:ascii="方正楷体_GBK" w:hAnsi="方正楷体_GBK" w:eastAsia="方正楷体_GBK" w:cs="方正楷体_GBK"/>
          <w:b/>
          <w:bCs/>
          <w:color w:val="auto"/>
          <w:lang w:eastAsia="zh-CN"/>
        </w:rPr>
        <w:t>（三）</w:t>
      </w:r>
      <w:r>
        <w:rPr>
          <w:rFonts w:hint="eastAsia"/>
          <w:color w:val="auto"/>
          <w:lang w:eastAsia="zh-CN"/>
        </w:rPr>
        <w:t>用于生产混凝土和砂浆的再生细骨料，其颗粒级配、性能指标应符合现行国家标准《混凝土和砂浆用再生细骨料》（</w:t>
      </w:r>
      <w:r>
        <w:rPr>
          <w:color w:val="auto"/>
          <w:lang w:eastAsia="zh-CN"/>
        </w:rPr>
        <w:t>GB/T25176-2010</w:t>
      </w:r>
      <w:r>
        <w:rPr>
          <w:rFonts w:hint="eastAsia"/>
          <w:color w:val="auto"/>
          <w:lang w:eastAsia="zh-CN"/>
        </w:rPr>
        <w:t>）</w:t>
      </w:r>
      <w:r>
        <w:rPr>
          <w:color w:val="auto"/>
          <w:lang w:eastAsia="zh-CN"/>
        </w:rPr>
        <w:t xml:space="preserve"> </w:t>
      </w:r>
      <w:r>
        <w:rPr>
          <w:rFonts w:hint="eastAsia"/>
          <w:color w:val="auto"/>
          <w:lang w:eastAsia="zh-CN"/>
        </w:rPr>
        <w:t>的规定。</w:t>
      </w:r>
    </w:p>
    <w:p w14:paraId="4C283F16">
      <w:pPr>
        <w:ind w:firstLine="643"/>
        <w:rPr>
          <w:color w:val="auto"/>
          <w:lang w:eastAsia="zh-CN"/>
        </w:rPr>
      </w:pPr>
      <w:r>
        <w:rPr>
          <w:rFonts w:hint="eastAsia" w:ascii="方正楷体_GBK" w:hAnsi="方正楷体_GBK" w:eastAsia="方正楷体_GBK" w:cs="方正楷体_GBK"/>
          <w:b/>
          <w:bCs/>
          <w:color w:val="auto"/>
          <w:lang w:eastAsia="zh-CN"/>
        </w:rPr>
        <w:t>（四）</w:t>
      </w:r>
      <w:r>
        <w:rPr>
          <w:rFonts w:hint="eastAsia"/>
          <w:color w:val="auto"/>
          <w:lang w:eastAsia="zh-CN"/>
        </w:rPr>
        <w:t>用于生产沥青混合料和道路用无机混合料的再生骨料，其颗粒级配、性能指标应符合国家现行标准《再生沥青混凝土》（</w:t>
      </w:r>
      <w:r>
        <w:rPr>
          <w:color w:val="auto"/>
          <w:lang w:eastAsia="zh-CN"/>
        </w:rPr>
        <w:t>GB/T25033-2010</w:t>
      </w:r>
      <w:r>
        <w:rPr>
          <w:rFonts w:hint="eastAsia"/>
          <w:color w:val="auto"/>
          <w:lang w:eastAsia="zh-CN"/>
        </w:rPr>
        <w:t>）、《道路用建筑垃圾再生骨料无机混合料》（</w:t>
      </w:r>
      <w:r>
        <w:rPr>
          <w:color w:val="auto"/>
          <w:lang w:eastAsia="zh-CN"/>
        </w:rPr>
        <w:t>JC/T2281-2014</w:t>
      </w:r>
      <w:r>
        <w:rPr>
          <w:rFonts w:hint="eastAsia"/>
          <w:color w:val="auto"/>
          <w:lang w:eastAsia="zh-CN"/>
        </w:rPr>
        <w:t>）的规定。</w:t>
      </w:r>
    </w:p>
    <w:p w14:paraId="2A373EDB">
      <w:pPr>
        <w:ind w:firstLine="643"/>
        <w:rPr>
          <w:color w:val="auto"/>
          <w:lang w:eastAsia="zh-CN"/>
        </w:rPr>
      </w:pPr>
      <w:r>
        <w:rPr>
          <w:rFonts w:hint="eastAsia" w:ascii="方正楷体_GBK" w:hAnsi="方正楷体_GBK" w:eastAsia="方正楷体_GBK" w:cs="方正楷体_GBK"/>
          <w:b/>
          <w:bCs/>
          <w:color w:val="auto"/>
          <w:lang w:eastAsia="zh-CN"/>
        </w:rPr>
        <w:t>（五）</w:t>
      </w:r>
      <w:r>
        <w:rPr>
          <w:rFonts w:hint="eastAsia"/>
          <w:color w:val="auto"/>
          <w:lang w:eastAsia="zh-CN"/>
        </w:rPr>
        <w:t>用作混凝土掺合料的活性再生粉料，其性能指标应符合现行行业标准《废混凝土再生技术规范》（</w:t>
      </w:r>
      <w:r>
        <w:rPr>
          <w:color w:val="auto"/>
          <w:lang w:eastAsia="zh-CN"/>
        </w:rPr>
        <w:t>SB/T11177-2016</w:t>
      </w:r>
      <w:r>
        <w:rPr>
          <w:rFonts w:hint="eastAsia"/>
          <w:color w:val="auto"/>
          <w:lang w:eastAsia="zh-CN"/>
        </w:rPr>
        <w:t>）的规定。</w:t>
      </w:r>
    </w:p>
    <w:p w14:paraId="641179A8">
      <w:pPr>
        <w:ind w:firstLine="643"/>
        <w:rPr>
          <w:color w:val="auto"/>
          <w:lang w:eastAsia="zh-CN"/>
        </w:rPr>
      </w:pPr>
      <w:r>
        <w:rPr>
          <w:rFonts w:hint="eastAsia" w:ascii="方正楷体_GBK" w:hAnsi="方正楷体_GBK" w:eastAsia="方正楷体_GBK" w:cs="方正楷体_GBK"/>
          <w:b/>
          <w:bCs/>
          <w:color w:val="auto"/>
          <w:lang w:eastAsia="zh-CN"/>
        </w:rPr>
        <w:t>（六）</w:t>
      </w:r>
      <w:r>
        <w:rPr>
          <w:rFonts w:hint="eastAsia"/>
          <w:color w:val="auto"/>
          <w:lang w:eastAsia="zh-CN"/>
        </w:rPr>
        <w:t>再生骨料可用于生产预拌混凝土、砂浆、砌块、砖、混凝土预制构件等，并应符合现行行业标准《再生骨料应用技术规程》（</w:t>
      </w:r>
      <w:r>
        <w:rPr>
          <w:color w:val="auto"/>
          <w:lang w:eastAsia="zh-CN"/>
        </w:rPr>
        <w:t>JGJ/T 240-2011</w:t>
      </w:r>
      <w:r>
        <w:rPr>
          <w:rFonts w:hint="eastAsia"/>
          <w:color w:val="auto"/>
          <w:lang w:eastAsia="zh-CN"/>
        </w:rPr>
        <w:t>）的规定。</w:t>
      </w:r>
    </w:p>
    <w:p w14:paraId="43141E84">
      <w:pPr>
        <w:ind w:firstLine="643"/>
        <w:rPr>
          <w:color w:val="auto"/>
          <w:lang w:eastAsia="zh-CN"/>
        </w:rPr>
      </w:pPr>
      <w:r>
        <w:rPr>
          <w:rFonts w:hint="eastAsia" w:ascii="方正楷体_GBK" w:hAnsi="方正楷体_GBK" w:eastAsia="方正楷体_GBK" w:cs="方正楷体_GBK"/>
          <w:b/>
          <w:bCs/>
          <w:color w:val="auto"/>
          <w:lang w:eastAsia="zh-CN"/>
        </w:rPr>
        <w:t>（七）</w:t>
      </w:r>
      <w:r>
        <w:rPr>
          <w:rFonts w:hint="eastAsia"/>
          <w:color w:val="auto"/>
          <w:lang w:eastAsia="zh-CN"/>
        </w:rPr>
        <w:t>再生骨料用作混凝土梁、板、柱、剪力墙、楼梯的原材料时，其性能指标应符合国家现行标准《混凝土结构设计标准》（</w:t>
      </w:r>
      <w:r>
        <w:rPr>
          <w:color w:val="auto"/>
          <w:lang w:eastAsia="zh-CN"/>
        </w:rPr>
        <w:t>GB/T 50010-2010[2024</w:t>
      </w:r>
      <w:r>
        <w:rPr>
          <w:rFonts w:hint="eastAsia"/>
          <w:color w:val="auto"/>
          <w:lang w:eastAsia="zh-CN"/>
        </w:rPr>
        <w:t>年版</w:t>
      </w:r>
      <w:r>
        <w:rPr>
          <w:color w:val="auto"/>
          <w:lang w:eastAsia="zh-CN"/>
        </w:rPr>
        <w:t>]</w:t>
      </w:r>
      <w:r>
        <w:rPr>
          <w:rFonts w:hint="eastAsia"/>
          <w:color w:val="auto"/>
          <w:lang w:eastAsia="zh-CN"/>
        </w:rPr>
        <w:t>）、《混凝土结构耐久性设计标准》（</w:t>
      </w:r>
      <w:r>
        <w:rPr>
          <w:color w:val="auto"/>
          <w:lang w:eastAsia="zh-CN"/>
        </w:rPr>
        <w:t>GB/T 50476-2019</w:t>
      </w:r>
      <w:r>
        <w:rPr>
          <w:rFonts w:hint="eastAsia"/>
          <w:color w:val="auto"/>
          <w:lang w:eastAsia="zh-CN"/>
        </w:rPr>
        <w:t>）和《普通混凝土配合比设计规程》（</w:t>
      </w:r>
      <w:r>
        <w:rPr>
          <w:color w:val="auto"/>
          <w:lang w:eastAsia="zh-CN"/>
        </w:rPr>
        <w:t>JGJ55-2011</w:t>
      </w:r>
      <w:r>
        <w:rPr>
          <w:rFonts w:hint="eastAsia"/>
          <w:color w:val="auto"/>
          <w:lang w:eastAsia="zh-CN"/>
        </w:rPr>
        <w:t>）、《再生骨料混凝土耐久性控制技术规程》（</w:t>
      </w:r>
      <w:r>
        <w:rPr>
          <w:color w:val="auto"/>
          <w:lang w:eastAsia="zh-CN"/>
        </w:rPr>
        <w:t>CECS385-2014</w:t>
      </w:r>
      <w:r>
        <w:rPr>
          <w:rFonts w:hint="eastAsia"/>
          <w:color w:val="auto"/>
          <w:lang w:eastAsia="zh-CN"/>
        </w:rPr>
        <w:t>）等的规定。</w:t>
      </w:r>
    </w:p>
    <w:p w14:paraId="41C76C86">
      <w:pPr>
        <w:ind w:firstLine="643"/>
        <w:rPr>
          <w:color w:val="auto"/>
          <w:lang w:eastAsia="zh-CN"/>
        </w:rPr>
      </w:pPr>
      <w:r>
        <w:rPr>
          <w:rFonts w:hint="eastAsia" w:ascii="方正楷体_GBK" w:hAnsi="方正楷体_GBK" w:eastAsia="方正楷体_GBK" w:cs="方正楷体_GBK"/>
          <w:b/>
          <w:bCs/>
          <w:color w:val="auto"/>
          <w:lang w:eastAsia="zh-CN"/>
        </w:rPr>
        <w:t>（八）</w:t>
      </w:r>
      <w:r>
        <w:rPr>
          <w:rFonts w:hint="eastAsia"/>
          <w:color w:val="auto"/>
          <w:lang w:eastAsia="zh-CN"/>
        </w:rPr>
        <w:t>再生骨料用作城市透水路面、停车场等透水混凝土的原材料时，其性能指标应符合现行行业标准《再生骨料透水混凝土应用技术规程》（</w:t>
      </w:r>
      <w:r>
        <w:rPr>
          <w:color w:val="auto"/>
          <w:lang w:eastAsia="zh-CN"/>
        </w:rPr>
        <w:t>CJJ/T253-2016</w:t>
      </w:r>
      <w:r>
        <w:rPr>
          <w:rFonts w:hint="eastAsia"/>
          <w:color w:val="auto"/>
          <w:lang w:eastAsia="zh-CN"/>
        </w:rPr>
        <w:t>）的规定。</w:t>
      </w:r>
    </w:p>
    <w:bookmarkEnd w:id="76"/>
    <w:p w14:paraId="01D4EC90">
      <w:pPr>
        <w:pStyle w:val="3"/>
        <w:spacing w:line="580" w:lineRule="exact"/>
        <w:ind w:firstLine="640"/>
        <w:rPr>
          <w:b w:val="0"/>
          <w:bCs/>
        </w:rPr>
      </w:pPr>
      <w:bookmarkStart w:id="77" w:name="_Toc175056399"/>
      <w:bookmarkStart w:id="78" w:name="_Toc29101"/>
      <w:r>
        <w:rPr>
          <w:rFonts w:hint="eastAsia"/>
          <w:b w:val="0"/>
          <w:bCs/>
        </w:rPr>
        <w:t>第四节</w:t>
      </w:r>
      <w:r>
        <w:rPr>
          <w:b w:val="0"/>
          <w:bCs/>
        </w:rPr>
        <w:t xml:space="preserve"> </w:t>
      </w:r>
      <w:r>
        <w:rPr>
          <w:rFonts w:hint="eastAsia"/>
          <w:b w:val="0"/>
          <w:bCs/>
        </w:rPr>
        <w:t>再生制品应用要求</w:t>
      </w:r>
      <w:bookmarkEnd w:id="77"/>
      <w:bookmarkEnd w:id="78"/>
    </w:p>
    <w:p w14:paraId="45CDA569">
      <w:pPr>
        <w:ind w:firstLine="643"/>
        <w:rPr>
          <w:color w:val="auto"/>
          <w:lang w:eastAsia="zh-CN"/>
        </w:rPr>
      </w:pPr>
      <w:bookmarkStart w:id="79" w:name="_Hlk177585915"/>
      <w:r>
        <w:rPr>
          <w:rFonts w:hint="eastAsia" w:ascii="方正楷体_GBK" w:hAnsi="方正楷体_GBK" w:eastAsia="方正楷体_GBK" w:cs="方正楷体_GBK"/>
          <w:b/>
          <w:bCs/>
          <w:color w:val="auto"/>
          <w:lang w:eastAsia="zh-CN"/>
        </w:rPr>
        <w:t>（一）</w:t>
      </w:r>
      <w:r>
        <w:rPr>
          <w:rFonts w:hint="eastAsia"/>
          <w:color w:val="auto"/>
          <w:lang w:eastAsia="zh-CN"/>
        </w:rPr>
        <w:t>再生骨料混凝土应用于工程结构时，应满足国家现行标准《工程施工废弃物再生利用技术规范》（</w:t>
      </w:r>
      <w:r>
        <w:rPr>
          <w:color w:val="auto"/>
          <w:lang w:eastAsia="zh-CN"/>
        </w:rPr>
        <w:t>GB/T50743-2012</w:t>
      </w:r>
      <w:r>
        <w:rPr>
          <w:rFonts w:hint="eastAsia"/>
          <w:color w:val="auto"/>
          <w:lang w:eastAsia="zh-CN"/>
        </w:rPr>
        <w:t>）、《再生骨料应用技术规程》（</w:t>
      </w:r>
      <w:r>
        <w:rPr>
          <w:color w:val="auto"/>
          <w:lang w:eastAsia="zh-CN"/>
        </w:rPr>
        <w:t>JGJ/T 240-2011</w:t>
      </w:r>
      <w:r>
        <w:rPr>
          <w:rFonts w:hint="eastAsia"/>
          <w:color w:val="auto"/>
          <w:lang w:eastAsia="zh-CN"/>
        </w:rPr>
        <w:t>）的相关规定。</w:t>
      </w:r>
    </w:p>
    <w:p w14:paraId="0E0A9633">
      <w:pPr>
        <w:ind w:firstLine="643"/>
        <w:rPr>
          <w:color w:val="auto"/>
          <w:lang w:eastAsia="zh-CN"/>
        </w:rPr>
      </w:pPr>
      <w:r>
        <w:rPr>
          <w:rFonts w:hint="eastAsia" w:ascii="方正楷体_GBK" w:hAnsi="方正楷体_GBK" w:eastAsia="方正楷体_GBK" w:cs="方正楷体_GBK"/>
          <w:b/>
          <w:bCs/>
          <w:color w:val="auto"/>
          <w:lang w:eastAsia="zh-CN"/>
        </w:rPr>
        <w:t>（二）</w:t>
      </w:r>
      <w:r>
        <w:rPr>
          <w:rFonts w:hint="eastAsia"/>
          <w:color w:val="auto"/>
          <w:lang w:eastAsia="zh-CN"/>
        </w:rPr>
        <w:t>再生混合料应用于城镇道路时，应满足现行行业标准《城镇道路沥青路面再生利用技术规程》（</w:t>
      </w:r>
      <w:r>
        <w:rPr>
          <w:color w:val="auto"/>
          <w:lang w:eastAsia="zh-CN"/>
        </w:rPr>
        <w:t>CJJ/T 43-2014</w:t>
      </w:r>
      <w:r>
        <w:rPr>
          <w:rFonts w:hint="eastAsia"/>
          <w:color w:val="auto"/>
          <w:lang w:eastAsia="zh-CN"/>
        </w:rPr>
        <w:t>）、《城镇道路工程施工与质量验收规范》（</w:t>
      </w:r>
      <w:r>
        <w:rPr>
          <w:color w:val="auto"/>
          <w:lang w:eastAsia="zh-CN"/>
        </w:rPr>
        <w:t>CJJ1-2008</w:t>
      </w:r>
      <w:r>
        <w:rPr>
          <w:rFonts w:hint="eastAsia"/>
          <w:color w:val="auto"/>
          <w:lang w:eastAsia="zh-CN"/>
        </w:rPr>
        <w:t>）的规定。</w:t>
      </w:r>
    </w:p>
    <w:p w14:paraId="6568F9E3">
      <w:pPr>
        <w:ind w:firstLine="643"/>
        <w:rPr>
          <w:color w:val="auto"/>
          <w:lang w:eastAsia="zh-CN"/>
        </w:rPr>
      </w:pPr>
      <w:r>
        <w:rPr>
          <w:rFonts w:hint="eastAsia" w:ascii="方正楷体_GBK" w:hAnsi="方正楷体_GBK" w:eastAsia="方正楷体_GBK" w:cs="方正楷体_GBK"/>
          <w:b/>
          <w:bCs/>
          <w:color w:val="auto"/>
          <w:lang w:eastAsia="zh-CN"/>
        </w:rPr>
        <w:t>（三）</w:t>
      </w:r>
      <w:r>
        <w:rPr>
          <w:rFonts w:hint="eastAsia"/>
          <w:color w:val="auto"/>
          <w:lang w:eastAsia="zh-CN"/>
        </w:rPr>
        <w:t>非烧结再生制品，包括混凝土实心砖、混凝土多孔砖、混凝土空心砖、普通混凝土小型空心砌块、透水路面砖和透水路面板等，其工程应用应符合下列规定：</w:t>
      </w:r>
    </w:p>
    <w:p w14:paraId="5808BCB1">
      <w:pPr>
        <w:ind w:firstLine="640"/>
        <w:rPr>
          <w:color w:val="auto"/>
          <w:lang w:eastAsia="zh-CN"/>
        </w:rPr>
      </w:pPr>
      <w:r>
        <w:rPr>
          <w:color w:val="auto"/>
          <w:lang w:eastAsia="zh-CN"/>
        </w:rPr>
        <w:t>1.</w:t>
      </w:r>
      <w:r>
        <w:rPr>
          <w:rFonts w:hint="eastAsia"/>
          <w:color w:val="auto"/>
          <w:lang w:eastAsia="zh-CN"/>
        </w:rPr>
        <w:t>用于园林景观道路、非重载道路或广场时，其产品性能应分别符合国家现行标准《混凝土实心砖》（</w:t>
      </w:r>
      <w:r>
        <w:rPr>
          <w:color w:val="auto"/>
          <w:lang w:eastAsia="zh-CN"/>
        </w:rPr>
        <w:t>GB/T 21144-2023</w:t>
      </w:r>
      <w:r>
        <w:rPr>
          <w:rFonts w:hint="eastAsia"/>
          <w:color w:val="auto"/>
          <w:lang w:eastAsia="zh-CN"/>
        </w:rPr>
        <w:t>）、《承重混凝土多孔砖》（</w:t>
      </w:r>
      <w:r>
        <w:rPr>
          <w:color w:val="auto"/>
          <w:lang w:eastAsia="zh-CN"/>
        </w:rPr>
        <w:t>GB/T 25779-2010</w:t>
      </w:r>
      <w:r>
        <w:rPr>
          <w:rFonts w:hint="eastAsia"/>
          <w:color w:val="auto"/>
          <w:lang w:eastAsia="zh-CN"/>
        </w:rPr>
        <w:t>）、《非承重混凝土空心砖》（</w:t>
      </w:r>
      <w:r>
        <w:rPr>
          <w:color w:val="auto"/>
          <w:lang w:eastAsia="zh-CN"/>
        </w:rPr>
        <w:t>GB/T 24492-2009</w:t>
      </w:r>
      <w:r>
        <w:rPr>
          <w:rFonts w:hint="eastAsia"/>
          <w:color w:val="auto"/>
          <w:lang w:eastAsia="zh-CN"/>
        </w:rPr>
        <w:t>）、《普通混凝土小型砌块》（</w:t>
      </w:r>
      <w:r>
        <w:rPr>
          <w:color w:val="auto"/>
          <w:lang w:eastAsia="zh-CN"/>
        </w:rPr>
        <w:t>GB/T 8239-2014</w:t>
      </w:r>
      <w:r>
        <w:rPr>
          <w:rFonts w:hint="eastAsia"/>
          <w:color w:val="auto"/>
          <w:lang w:eastAsia="zh-CN"/>
        </w:rPr>
        <w:t>）、《透水路面砖和透水路面板》（</w:t>
      </w:r>
      <w:r>
        <w:rPr>
          <w:color w:val="auto"/>
          <w:lang w:eastAsia="zh-CN"/>
        </w:rPr>
        <w:t>GB/T25993-2023</w:t>
      </w:r>
      <w:r>
        <w:rPr>
          <w:rFonts w:hint="eastAsia"/>
          <w:color w:val="auto"/>
          <w:lang w:eastAsia="zh-CN"/>
        </w:rPr>
        <w:t>）等的规定。</w:t>
      </w:r>
      <w:r>
        <w:rPr>
          <w:color w:val="auto"/>
          <w:lang w:eastAsia="zh-CN"/>
        </w:rPr>
        <w:t xml:space="preserve"> </w:t>
      </w:r>
    </w:p>
    <w:p w14:paraId="62472A50">
      <w:pPr>
        <w:ind w:firstLine="640"/>
        <w:rPr>
          <w:color w:val="auto"/>
          <w:lang w:eastAsia="zh-CN"/>
        </w:rPr>
      </w:pPr>
      <w:r>
        <w:rPr>
          <w:color w:val="auto"/>
          <w:lang w:eastAsia="zh-CN"/>
        </w:rPr>
        <w:t>2.</w:t>
      </w:r>
      <w:r>
        <w:rPr>
          <w:rFonts w:hint="eastAsia"/>
          <w:color w:val="auto"/>
          <w:lang w:eastAsia="zh-CN"/>
        </w:rPr>
        <w:t>非烧结再生制品用于墙体时，其产品性能还应符合国</w:t>
      </w:r>
      <w:r>
        <w:rPr>
          <w:rFonts w:hint="eastAsia"/>
          <w:color w:val="auto"/>
          <w:spacing w:val="-8"/>
          <w:lang w:eastAsia="zh-CN"/>
        </w:rPr>
        <w:t>家现行标准《混凝土小型空心砌块建筑技术规程》（</w:t>
      </w:r>
      <w:r>
        <w:rPr>
          <w:color w:val="auto"/>
          <w:spacing w:val="-8"/>
          <w:lang w:eastAsia="zh-CN"/>
        </w:rPr>
        <w:t>JGJ/T 14-2011</w:t>
      </w:r>
      <w:r>
        <w:rPr>
          <w:rFonts w:hint="eastAsia"/>
          <w:color w:val="auto"/>
          <w:spacing w:val="-8"/>
          <w:lang w:eastAsia="zh-CN"/>
        </w:rPr>
        <w:t>）、《混凝土砖建筑技术规范》（</w:t>
      </w:r>
      <w:r>
        <w:rPr>
          <w:color w:val="auto"/>
          <w:spacing w:val="-8"/>
          <w:lang w:eastAsia="zh-CN"/>
        </w:rPr>
        <w:t>CECS257-2009</w:t>
      </w:r>
      <w:r>
        <w:rPr>
          <w:rFonts w:hint="eastAsia"/>
          <w:color w:val="auto"/>
          <w:spacing w:val="-8"/>
          <w:lang w:eastAsia="zh-CN"/>
        </w:rPr>
        <w:t>）的规定。</w:t>
      </w:r>
      <w:r>
        <w:rPr>
          <w:color w:val="auto"/>
          <w:spacing w:val="-8"/>
          <w:lang w:eastAsia="zh-CN"/>
        </w:rPr>
        <w:t xml:space="preserve"> </w:t>
      </w:r>
    </w:p>
    <w:p w14:paraId="49FFEC30">
      <w:pPr>
        <w:ind w:firstLine="643"/>
        <w:rPr>
          <w:color w:val="auto"/>
          <w:spacing w:val="-22"/>
          <w:lang w:eastAsia="zh-CN"/>
        </w:rPr>
      </w:pPr>
      <w:r>
        <w:rPr>
          <w:rFonts w:hint="eastAsia" w:ascii="方正楷体_GBK" w:hAnsi="方正楷体_GBK" w:eastAsia="方正楷体_GBK" w:cs="方正楷体_GBK"/>
          <w:b/>
          <w:bCs/>
          <w:color w:val="auto"/>
          <w:lang w:eastAsia="zh-CN"/>
        </w:rPr>
        <w:t>（四）</w:t>
      </w:r>
      <w:r>
        <w:rPr>
          <w:rFonts w:hint="eastAsia"/>
          <w:color w:val="auto"/>
          <w:lang w:eastAsia="zh-CN"/>
        </w:rPr>
        <w:t>烧结再生砖和砌块可用于非承重墙体，其产品性能</w:t>
      </w:r>
      <w:r>
        <w:rPr>
          <w:rFonts w:hint="eastAsia"/>
          <w:color w:val="auto"/>
          <w:spacing w:val="-22"/>
          <w:lang w:eastAsia="zh-CN"/>
        </w:rPr>
        <w:t>应符合现行国家标准《烧结多孔砖和多孔砌块》（</w:t>
      </w:r>
      <w:r>
        <w:rPr>
          <w:color w:val="auto"/>
          <w:spacing w:val="-22"/>
          <w:lang w:eastAsia="zh-CN"/>
        </w:rPr>
        <w:t>GB/T 13544-2011</w:t>
      </w:r>
      <w:r>
        <w:rPr>
          <w:rFonts w:hint="eastAsia"/>
          <w:color w:val="auto"/>
          <w:spacing w:val="-22"/>
          <w:lang w:eastAsia="zh-CN"/>
        </w:rPr>
        <w:t>）、《烧结空心砖和空心砌块》（</w:t>
      </w:r>
      <w:r>
        <w:rPr>
          <w:color w:val="auto"/>
          <w:spacing w:val="-22"/>
          <w:lang w:eastAsia="zh-CN"/>
        </w:rPr>
        <w:t>GB/T 13545-2014</w:t>
      </w:r>
      <w:r>
        <w:rPr>
          <w:rFonts w:hint="eastAsia"/>
          <w:color w:val="auto"/>
          <w:spacing w:val="-22"/>
          <w:lang w:eastAsia="zh-CN"/>
        </w:rPr>
        <w:t>）的规定。</w:t>
      </w:r>
      <w:r>
        <w:rPr>
          <w:color w:val="auto"/>
          <w:spacing w:val="-22"/>
          <w:lang w:eastAsia="zh-CN"/>
        </w:rPr>
        <w:t xml:space="preserve"> </w:t>
      </w:r>
    </w:p>
    <w:p w14:paraId="3759BD76">
      <w:pPr>
        <w:ind w:firstLine="643"/>
        <w:rPr>
          <w:color w:val="auto"/>
          <w:lang w:eastAsia="zh-CN"/>
        </w:rPr>
      </w:pPr>
      <w:r>
        <w:rPr>
          <w:rFonts w:hint="eastAsia" w:ascii="方正楷体_GBK" w:hAnsi="方正楷体_GBK" w:eastAsia="方正楷体_GBK" w:cs="方正楷体_GBK"/>
          <w:b/>
          <w:bCs/>
          <w:color w:val="auto"/>
          <w:lang w:eastAsia="zh-CN"/>
        </w:rPr>
        <w:t>（五）</w:t>
      </w:r>
      <w:r>
        <w:rPr>
          <w:rFonts w:hint="eastAsia"/>
          <w:color w:val="auto"/>
          <w:lang w:eastAsia="zh-CN"/>
        </w:rPr>
        <w:t>再生陶粒和陶砂可用于园林绿化。用于填充墙和建筑墙体、楼（屋）面隔热保温层的原材料时，其质量及性能应符合现行国家标准《轻集料及其试验方法</w:t>
      </w:r>
      <w:r>
        <w:rPr>
          <w:color w:val="auto"/>
          <w:lang w:eastAsia="zh-CN"/>
        </w:rPr>
        <w:t xml:space="preserve"> </w:t>
      </w:r>
      <w:r>
        <w:rPr>
          <w:rFonts w:hint="eastAsia"/>
          <w:color w:val="auto"/>
          <w:lang w:eastAsia="zh-CN"/>
        </w:rPr>
        <w:t>第</w:t>
      </w:r>
      <w:r>
        <w:rPr>
          <w:color w:val="auto"/>
          <w:lang w:eastAsia="zh-CN"/>
        </w:rPr>
        <w:t>1</w:t>
      </w:r>
      <w:r>
        <w:rPr>
          <w:rFonts w:hint="eastAsia"/>
          <w:color w:val="auto"/>
          <w:lang w:eastAsia="zh-CN"/>
        </w:rPr>
        <w:t>部分：轻集料》（</w:t>
      </w:r>
      <w:r>
        <w:rPr>
          <w:color w:val="auto"/>
          <w:lang w:eastAsia="zh-CN"/>
        </w:rPr>
        <w:t>GB/T 17431.1-2010</w:t>
      </w:r>
      <w:r>
        <w:rPr>
          <w:rFonts w:hint="eastAsia"/>
          <w:color w:val="auto"/>
          <w:lang w:eastAsia="zh-CN"/>
        </w:rPr>
        <w:t>）的规定。</w:t>
      </w:r>
      <w:r>
        <w:rPr>
          <w:color w:val="auto"/>
          <w:lang w:eastAsia="zh-CN"/>
        </w:rPr>
        <w:t xml:space="preserve"> </w:t>
      </w:r>
    </w:p>
    <w:p w14:paraId="6AFD3A94">
      <w:pPr>
        <w:ind w:firstLine="597"/>
        <w:rPr>
          <w:color w:val="auto"/>
          <w:spacing w:val="-23"/>
          <w:lang w:eastAsia="zh-CN"/>
        </w:rPr>
      </w:pPr>
      <w:r>
        <w:rPr>
          <w:rFonts w:hint="eastAsia" w:ascii="方正楷体_GBK" w:hAnsi="方正楷体_GBK" w:eastAsia="方正楷体_GBK" w:cs="方正楷体_GBK"/>
          <w:b/>
          <w:bCs/>
          <w:color w:val="auto"/>
          <w:spacing w:val="-23"/>
          <w:lang w:eastAsia="zh-CN"/>
        </w:rPr>
        <w:t>（六）</w:t>
      </w:r>
      <w:r>
        <w:rPr>
          <w:rFonts w:hint="eastAsia"/>
          <w:color w:val="auto"/>
          <w:spacing w:val="-23"/>
          <w:lang w:eastAsia="zh-CN"/>
        </w:rPr>
        <w:t>再生园林种植土可用于通用种植土和草坪土，其质量应符合现行行业标准《绿化种植土壤》（</w:t>
      </w:r>
      <w:r>
        <w:rPr>
          <w:color w:val="auto"/>
          <w:spacing w:val="-23"/>
          <w:lang w:eastAsia="zh-CN"/>
        </w:rPr>
        <w:t>CJ/T340-2016</w:t>
      </w:r>
      <w:r>
        <w:rPr>
          <w:rFonts w:hint="eastAsia"/>
          <w:color w:val="auto"/>
          <w:spacing w:val="-23"/>
          <w:lang w:eastAsia="zh-CN"/>
        </w:rPr>
        <w:t>）的规定。</w:t>
      </w:r>
      <w:r>
        <w:rPr>
          <w:color w:val="auto"/>
          <w:spacing w:val="-23"/>
          <w:lang w:eastAsia="zh-CN"/>
        </w:rPr>
        <w:t xml:space="preserve"> </w:t>
      </w:r>
    </w:p>
    <w:bookmarkEnd w:id="79"/>
    <w:p w14:paraId="3578B755">
      <w:pPr>
        <w:pStyle w:val="3"/>
        <w:spacing w:line="580" w:lineRule="exact"/>
        <w:ind w:firstLine="640"/>
        <w:rPr>
          <w:b w:val="0"/>
          <w:bCs/>
        </w:rPr>
      </w:pPr>
      <w:bookmarkStart w:id="80" w:name="_Toc10822"/>
      <w:bookmarkStart w:id="81" w:name="_Toc175056400"/>
      <w:r>
        <w:rPr>
          <w:rFonts w:hint="eastAsia"/>
          <w:b w:val="0"/>
          <w:bCs/>
        </w:rPr>
        <w:t>第五节</w:t>
      </w:r>
      <w:r>
        <w:rPr>
          <w:b w:val="0"/>
          <w:bCs/>
        </w:rPr>
        <w:t xml:space="preserve"> </w:t>
      </w:r>
      <w:r>
        <w:rPr>
          <w:rFonts w:hint="eastAsia"/>
          <w:b w:val="0"/>
          <w:bCs/>
        </w:rPr>
        <w:t>建筑垃圾产业化运营及管理</w:t>
      </w:r>
      <w:bookmarkEnd w:id="80"/>
      <w:bookmarkEnd w:id="81"/>
      <w:r>
        <w:rPr>
          <w:b w:val="0"/>
          <w:bCs/>
        </w:rPr>
        <w:t xml:space="preserve"> </w:t>
      </w:r>
    </w:p>
    <w:p w14:paraId="054586CE">
      <w:pPr>
        <w:ind w:firstLine="640"/>
        <w:rPr>
          <w:color w:val="auto"/>
          <w:lang w:eastAsia="zh-CN"/>
        </w:rPr>
      </w:pPr>
      <w:r>
        <w:rPr>
          <w:rFonts w:hint="eastAsia"/>
          <w:color w:val="auto"/>
          <w:lang w:eastAsia="zh-CN"/>
        </w:rPr>
        <w:t>县建筑垃圾产业化运营的方法可采用市场化运作、政府补偿扶持；可采用</w:t>
      </w:r>
      <w:r>
        <w:rPr>
          <w:color w:val="auto"/>
          <w:lang w:eastAsia="zh-CN"/>
        </w:rPr>
        <w:t>BOT</w:t>
      </w:r>
      <w:r>
        <w:rPr>
          <w:rFonts w:hint="eastAsia"/>
          <w:color w:val="auto"/>
          <w:lang w:eastAsia="zh-CN"/>
        </w:rPr>
        <w:t>、</w:t>
      </w:r>
      <w:r>
        <w:rPr>
          <w:color w:val="auto"/>
          <w:lang w:eastAsia="zh-CN"/>
        </w:rPr>
        <w:t>TOT</w:t>
      </w:r>
      <w:r>
        <w:rPr>
          <w:rFonts w:hint="eastAsia"/>
          <w:color w:val="auto"/>
          <w:lang w:eastAsia="zh-CN"/>
        </w:rPr>
        <w:t>、</w:t>
      </w:r>
      <w:r>
        <w:rPr>
          <w:color w:val="auto"/>
          <w:lang w:eastAsia="zh-CN"/>
        </w:rPr>
        <w:t>PPP</w:t>
      </w:r>
      <w:r>
        <w:rPr>
          <w:rFonts w:hint="eastAsia"/>
          <w:color w:val="auto"/>
          <w:lang w:eastAsia="zh-CN"/>
        </w:rPr>
        <w:t>等模式进行建筑垃圾处置设施的建设和运营。</w:t>
      </w:r>
    </w:p>
    <w:p w14:paraId="62A9257D">
      <w:pPr>
        <w:ind w:firstLine="640"/>
        <w:rPr>
          <w:rFonts w:eastAsia="黑体"/>
          <w:lang w:eastAsia="zh-CN"/>
        </w:rPr>
        <w:sectPr>
          <w:pgSz w:w="11907" w:h="16840"/>
          <w:pgMar w:top="2155" w:right="1531" w:bottom="1814" w:left="1531" w:header="851" w:footer="1588" w:gutter="0"/>
          <w:pgNumType w:fmt="numberInDash"/>
          <w:cols w:space="0" w:num="1"/>
          <w:docGrid w:linePitch="435" w:charSpace="0"/>
        </w:sectPr>
      </w:pPr>
      <w:bookmarkStart w:id="82" w:name="_Toc175056401"/>
    </w:p>
    <w:p w14:paraId="36EB32BA">
      <w:pPr>
        <w:ind w:firstLine="0" w:firstLineChars="0"/>
        <w:rPr>
          <w:rFonts w:eastAsia="方正小标宋_GBK"/>
          <w:sz w:val="44"/>
          <w:szCs w:val="44"/>
          <w:lang w:eastAsia="zh-CN"/>
        </w:rPr>
      </w:pPr>
      <w:r>
        <w:rPr>
          <w:rFonts w:hint="eastAsia" w:eastAsia="方正小标宋_GBK"/>
          <w:sz w:val="44"/>
          <w:szCs w:val="44"/>
          <w:lang w:eastAsia="zh-CN"/>
        </w:rPr>
        <w:t>第十一章</w:t>
      </w:r>
      <w:r>
        <w:rPr>
          <w:rFonts w:eastAsia="方正小标宋_GBK"/>
          <w:sz w:val="44"/>
          <w:szCs w:val="44"/>
          <w:lang w:eastAsia="zh-CN"/>
        </w:rPr>
        <w:t xml:space="preserve"> </w:t>
      </w:r>
      <w:r>
        <w:rPr>
          <w:rFonts w:hint="eastAsia" w:eastAsia="方正小标宋_GBK"/>
          <w:sz w:val="44"/>
          <w:szCs w:val="44"/>
          <w:lang w:eastAsia="zh-CN"/>
        </w:rPr>
        <w:t>建筑垃圾的全过程信息化管理规划</w:t>
      </w:r>
      <w:bookmarkEnd w:id="69"/>
      <w:bookmarkEnd w:id="82"/>
      <w:bookmarkStart w:id="83" w:name="_Toc31127"/>
      <w:bookmarkStart w:id="84" w:name="_Toc175056402"/>
    </w:p>
    <w:p w14:paraId="4F56C017">
      <w:pPr>
        <w:spacing w:line="200" w:lineRule="exact"/>
        <w:ind w:firstLine="0" w:firstLineChars="0"/>
        <w:rPr>
          <w:bCs/>
          <w:lang w:eastAsia="zh-CN"/>
        </w:rPr>
      </w:pPr>
    </w:p>
    <w:p w14:paraId="00ABFD62">
      <w:pPr>
        <w:pStyle w:val="3"/>
        <w:spacing w:line="580" w:lineRule="exact"/>
        <w:ind w:firstLine="640"/>
      </w:pPr>
      <w:r>
        <w:rPr>
          <w:rFonts w:hint="eastAsia"/>
          <w:b w:val="0"/>
          <w:bCs/>
        </w:rPr>
        <w:t>第一节</w:t>
      </w:r>
      <w:r>
        <w:rPr>
          <w:b w:val="0"/>
          <w:bCs/>
        </w:rPr>
        <w:t xml:space="preserve"> </w:t>
      </w:r>
      <w:r>
        <w:rPr>
          <w:rFonts w:hint="eastAsia"/>
          <w:b w:val="0"/>
          <w:bCs/>
        </w:rPr>
        <w:t>建筑垃圾全过程信息化管理平台构建目标</w:t>
      </w:r>
      <w:bookmarkEnd w:id="83"/>
      <w:bookmarkEnd w:id="84"/>
    </w:p>
    <w:p w14:paraId="100013F3">
      <w:pPr>
        <w:pStyle w:val="4"/>
        <w:spacing w:line="580" w:lineRule="exact"/>
        <w:ind w:firstLine="643"/>
        <w:jc w:val="both"/>
        <w:rPr>
          <w:rFonts w:eastAsia="方正楷体_GBK"/>
        </w:rPr>
      </w:pPr>
      <w:r>
        <w:rPr>
          <w:rFonts w:hint="eastAsia" w:eastAsia="方正楷体_GBK"/>
        </w:rPr>
        <w:t>（一）县域平台构建目标</w:t>
      </w:r>
    </w:p>
    <w:p w14:paraId="73EA151D">
      <w:pPr>
        <w:ind w:firstLine="640"/>
        <w:rPr>
          <w:color w:val="auto"/>
          <w:lang w:eastAsia="zh-CN"/>
        </w:rPr>
      </w:pPr>
      <w:r>
        <w:rPr>
          <w:rFonts w:hint="eastAsia"/>
          <w:color w:val="auto"/>
          <w:lang w:eastAsia="zh-CN"/>
        </w:rPr>
        <w:t>县域各乡镇利用“互联网</w:t>
      </w:r>
      <w:r>
        <w:rPr>
          <w:color w:val="auto"/>
          <w:lang w:eastAsia="zh-CN"/>
        </w:rPr>
        <w:t>+</w:t>
      </w:r>
      <w:r>
        <w:rPr>
          <w:rFonts w:hint="eastAsia"/>
          <w:color w:val="auto"/>
          <w:lang w:eastAsia="zh-CN"/>
        </w:rPr>
        <w:t>”技术，建设统一的建筑垃圾监管平台，初步实现从建筑垃圾的产生、收集、运输、处理的全过程闭合式监控管理，实现跨职能部门的联审联批，并构建市、县两级监管，实时数据上报的联动机制，同时提供地方政策法规、行业资讯、技术应用的发布和管理。</w:t>
      </w:r>
    </w:p>
    <w:p w14:paraId="6FCFBE1A">
      <w:pPr>
        <w:pStyle w:val="4"/>
        <w:spacing w:line="580" w:lineRule="exact"/>
        <w:ind w:firstLine="643"/>
        <w:jc w:val="both"/>
        <w:rPr>
          <w:rFonts w:eastAsia="方正楷体_GBK"/>
          <w:b w:val="0"/>
          <w:bCs w:val="0"/>
          <w:color w:val="auto"/>
        </w:rPr>
      </w:pPr>
      <w:r>
        <w:rPr>
          <w:rFonts w:hint="eastAsia" w:eastAsia="方正楷体_GBK"/>
          <w:color w:val="auto"/>
        </w:rPr>
        <w:t>（二）平台</w:t>
      </w:r>
      <w:r>
        <w:rPr>
          <w:rFonts w:hint="eastAsia" w:eastAsia="方正楷体_GBK"/>
        </w:rPr>
        <w:t>构建</w:t>
      </w:r>
      <w:r>
        <w:rPr>
          <w:rFonts w:hint="eastAsia" w:eastAsia="方正楷体_GBK"/>
          <w:color w:val="auto"/>
        </w:rPr>
        <w:t>目标</w:t>
      </w:r>
    </w:p>
    <w:p w14:paraId="005EB4DD">
      <w:pPr>
        <w:ind w:firstLine="640"/>
        <w:rPr>
          <w:color w:val="auto"/>
          <w:lang w:eastAsia="zh-CN"/>
        </w:rPr>
      </w:pPr>
      <w:r>
        <w:rPr>
          <w:rFonts w:hint="eastAsia"/>
          <w:color w:val="auto"/>
          <w:lang w:eastAsia="zh-CN"/>
        </w:rPr>
        <w:t>利用“互联网</w:t>
      </w:r>
      <w:r>
        <w:rPr>
          <w:color w:val="auto"/>
          <w:lang w:eastAsia="zh-CN"/>
        </w:rPr>
        <w:t>+</w:t>
      </w:r>
      <w:r>
        <w:rPr>
          <w:rFonts w:hint="eastAsia"/>
          <w:color w:val="auto"/>
          <w:lang w:eastAsia="zh-CN"/>
        </w:rPr>
        <w:t>”技术，构建面向建筑垃圾全产业链的互联网化、智能化、数字化和可视化综合解决平台，实现建筑垃圾产生、收集、运输、处理的全过程闭合式监控管理，实现跨职能部门联审联批，实现市、县两级监管，实时数据上报的联动机制，同时实现地方政策法规、行业资讯、技术应用的发布和管理。</w:t>
      </w:r>
    </w:p>
    <w:p w14:paraId="5AA7D721">
      <w:pPr>
        <w:pStyle w:val="3"/>
        <w:spacing w:line="580" w:lineRule="exact"/>
        <w:ind w:firstLine="640"/>
        <w:rPr>
          <w:b w:val="0"/>
          <w:bCs/>
        </w:rPr>
      </w:pPr>
      <w:bookmarkStart w:id="85" w:name="_Toc31851"/>
      <w:bookmarkStart w:id="86" w:name="_Toc175056403"/>
      <w:r>
        <w:rPr>
          <w:rFonts w:hint="eastAsia"/>
          <w:b w:val="0"/>
          <w:bCs/>
        </w:rPr>
        <w:t>第二节</w:t>
      </w:r>
      <w:r>
        <w:rPr>
          <w:b w:val="0"/>
          <w:bCs/>
        </w:rPr>
        <w:t xml:space="preserve"> </w:t>
      </w:r>
      <w:r>
        <w:rPr>
          <w:rFonts w:hint="eastAsia"/>
          <w:b w:val="0"/>
          <w:bCs/>
        </w:rPr>
        <w:t>建筑垃圾全过程信息化管理模式规划</w:t>
      </w:r>
      <w:bookmarkEnd w:id="85"/>
      <w:bookmarkEnd w:id="86"/>
    </w:p>
    <w:p w14:paraId="32626E01">
      <w:pPr>
        <w:ind w:firstLine="640"/>
        <w:rPr>
          <w:color w:val="auto"/>
          <w:lang w:eastAsia="zh-CN"/>
        </w:rPr>
      </w:pPr>
      <w:r>
        <w:rPr>
          <w:rFonts w:hint="eastAsia"/>
          <w:color w:val="auto"/>
          <w:lang w:eastAsia="zh-CN"/>
        </w:rPr>
        <w:t>建筑垃圾全过程信息化管理系统需要建立综合管理与循环利用信息共享平台，平台内包含多个不同功能的信息管理子系统，同时平台具有信息收集（建筑垃圾多源头信息汇总）、信息管理（建筑垃圾各类信息管理、维护和发布）、信息共享（建筑垃圾信息阅览与展示）等功能，使相关部门、从业企业、相关人员和车辆等能够根据不同的访问权限、等级了解到不同的信息，从而及时且准确地作出相应行动，这些信息管理子系统包括：建筑垃圾源头信息管理系统、建筑垃圾减量调配信息系统、建筑垃圾分类处置信息管理系统、建筑垃圾运输信息管理系统、建筑垃圾资源化利用信息管理系统和建筑垃圾处置场所信息管理系统。</w:t>
      </w:r>
    </w:p>
    <w:p w14:paraId="1B032F25">
      <w:pPr>
        <w:pStyle w:val="3"/>
        <w:spacing w:line="580" w:lineRule="exact"/>
        <w:ind w:firstLine="640"/>
        <w:rPr>
          <w:b w:val="0"/>
          <w:bCs/>
        </w:rPr>
      </w:pPr>
      <w:bookmarkStart w:id="87" w:name="_Toc175056404"/>
      <w:bookmarkStart w:id="88" w:name="_Toc17765"/>
      <w:r>
        <w:rPr>
          <w:rFonts w:hint="eastAsia"/>
          <w:b w:val="0"/>
          <w:bCs/>
        </w:rPr>
        <w:t>第三节</w:t>
      </w:r>
      <w:r>
        <w:rPr>
          <w:b w:val="0"/>
          <w:bCs/>
        </w:rPr>
        <w:t xml:space="preserve"> </w:t>
      </w:r>
      <w:r>
        <w:rPr>
          <w:rFonts w:hint="eastAsia"/>
          <w:b w:val="0"/>
          <w:bCs/>
        </w:rPr>
        <w:t>建筑垃圾的全过程信息化管理空间规划</w:t>
      </w:r>
      <w:bookmarkEnd w:id="87"/>
      <w:bookmarkEnd w:id="88"/>
    </w:p>
    <w:p w14:paraId="25133978">
      <w:pPr>
        <w:ind w:firstLine="640"/>
        <w:rPr>
          <w:color w:val="auto"/>
          <w:lang w:eastAsia="zh-CN"/>
        </w:rPr>
      </w:pPr>
      <w:r>
        <w:rPr>
          <w:rFonts w:hint="eastAsia"/>
          <w:color w:val="auto"/>
          <w:lang w:eastAsia="zh-CN"/>
        </w:rPr>
        <w:t>为确保建筑垃圾全过程信息化管理能更加贴合实际，更便于实施，本规划根据安岳县建筑垃圾治理实际情况，在县域范围内根据不同服务区、不同功能和所处的不同治理阶段等，以及结合处置厂、消纳场等规划布置，建设了不同等级和不同功能的信息化管理系统，详细规划如下。</w:t>
      </w:r>
    </w:p>
    <w:p w14:paraId="024910FB">
      <w:pPr>
        <w:ind w:firstLine="640"/>
        <w:rPr>
          <w:color w:val="auto"/>
          <w:lang w:eastAsia="zh-CN"/>
        </w:rPr>
      </w:pPr>
      <w:r>
        <w:rPr>
          <w:rFonts w:hint="eastAsia"/>
          <w:color w:val="auto"/>
          <w:lang w:eastAsia="zh-CN"/>
        </w:rPr>
        <w:t>综合管理服务中心位于安岳县综合行政执法局，主要负责对全县建筑垃圾治理的相关数据进行统计和管理，并上报上</w:t>
      </w:r>
    </w:p>
    <w:p w14:paraId="3AF975C7">
      <w:pPr>
        <w:ind w:firstLine="640"/>
        <w:rPr>
          <w:color w:val="auto"/>
          <w:lang w:eastAsia="zh-CN"/>
        </w:rPr>
      </w:pPr>
      <w:r>
        <w:rPr>
          <w:rFonts w:hint="eastAsia"/>
          <w:color w:val="auto"/>
          <w:lang w:eastAsia="zh-CN"/>
        </w:rPr>
        <w:t>一级管理系统，同时提供相关的信息服务。</w:t>
      </w:r>
    </w:p>
    <w:p w14:paraId="56D2E9C8">
      <w:pPr>
        <w:ind w:firstLine="640"/>
        <w:rPr>
          <w:color w:val="auto"/>
          <w:lang w:eastAsia="zh-CN"/>
        </w:rPr>
      </w:pPr>
      <w:r>
        <w:rPr>
          <w:rFonts w:hint="eastAsia"/>
          <w:color w:val="auto"/>
          <w:lang w:eastAsia="zh-CN"/>
        </w:rPr>
        <w:t>资源化利用信息服务中心主要负责对服务区域内建筑垃圾治理的相关数据进行统计和管理，并上报上一级管理系统，同时提供相关的信息服务。</w:t>
      </w:r>
    </w:p>
    <w:p w14:paraId="793D837B">
      <w:pPr>
        <w:ind w:firstLine="640"/>
        <w:rPr>
          <w:color w:val="auto"/>
          <w:lang w:eastAsia="zh-CN"/>
        </w:rPr>
      </w:pPr>
      <w:r>
        <w:rPr>
          <w:rFonts w:hint="eastAsia"/>
          <w:color w:val="auto"/>
          <w:lang w:eastAsia="zh-CN"/>
        </w:rPr>
        <w:t>转运调配信息终端主要负责对本服务区域内建筑垃圾转运调配的相关数据进行统计和管理，并上报上一级管理系统，同时提供相关的信息服务。</w:t>
      </w:r>
    </w:p>
    <w:p w14:paraId="7150DC2F">
      <w:pPr>
        <w:ind w:firstLine="640"/>
        <w:rPr>
          <w:color w:val="auto"/>
          <w:lang w:eastAsia="zh-CN"/>
        </w:rPr>
      </w:pPr>
      <w:r>
        <w:rPr>
          <w:rFonts w:hint="eastAsia"/>
          <w:color w:val="auto"/>
          <w:lang w:eastAsia="zh-CN"/>
        </w:rPr>
        <w:t>渣土消纳场管理服务终端主要负责对渣土消纳场内建筑垃圾填埋处理情况的相关数据进行统计和管理，并上报上一级管理系统，同时提供相关的信息服务。</w:t>
      </w:r>
    </w:p>
    <w:p w14:paraId="5E2996D6">
      <w:pPr>
        <w:ind w:firstLine="594"/>
        <w:rPr>
          <w:color w:val="auto"/>
          <w:spacing w:val="-23"/>
          <w:lang w:eastAsia="zh-CN"/>
        </w:rPr>
      </w:pPr>
      <w:r>
        <w:rPr>
          <w:rFonts w:hint="eastAsia"/>
          <w:color w:val="auto"/>
          <w:spacing w:val="-23"/>
          <w:lang w:eastAsia="zh-CN"/>
        </w:rPr>
        <w:t>重点监控区域：渣土消纳场周边，防止污染或其他事故出现。</w:t>
      </w:r>
      <w:bookmarkStart w:id="89" w:name="_Hlk177586281"/>
      <w:r>
        <w:rPr>
          <w:rFonts w:hint="eastAsia"/>
          <w:color w:val="auto"/>
          <w:lang w:eastAsia="zh-CN"/>
        </w:rPr>
        <w:t>重点监控路线：建筑垃圾运输车辆应在规定路线上运输，规划范围内居民主要居住区禁止建筑垃圾运输车辆夜间作业。</w:t>
      </w:r>
    </w:p>
    <w:bookmarkEnd w:id="89"/>
    <w:p w14:paraId="07E4A43E">
      <w:pPr>
        <w:ind w:firstLine="640"/>
        <w:jc w:val="center"/>
        <w:rPr>
          <w:rFonts w:ascii="方正小标宋_GBK" w:hAnsi="方正小标宋_GBK" w:eastAsia="方正小标宋_GBK" w:cs="方正小标宋_GBK"/>
          <w:color w:val="auto"/>
          <w:sz w:val="44"/>
          <w:szCs w:val="44"/>
          <w:lang w:eastAsia="zh-CN"/>
        </w:rPr>
      </w:pPr>
      <w:r>
        <w:rPr>
          <w:rFonts w:ascii="黑体" w:eastAsia="黑体" w:cs="黑体"/>
          <w:color w:val="auto"/>
          <w:lang w:eastAsia="zh-CN"/>
        </w:rPr>
        <w:br w:type="page"/>
      </w:r>
      <w:bookmarkStart w:id="90" w:name="_Toc175056405"/>
      <w:r>
        <w:rPr>
          <w:rFonts w:hint="eastAsia" w:ascii="方正小标宋_GBK" w:hAnsi="方正小标宋_GBK" w:eastAsia="方正小标宋_GBK" w:cs="方正小标宋_GBK"/>
          <w:color w:val="auto"/>
          <w:sz w:val="44"/>
          <w:szCs w:val="44"/>
          <w:lang w:eastAsia="zh-CN"/>
        </w:rPr>
        <w:t>第十二章</w:t>
      </w:r>
      <w:r>
        <w:rPr>
          <w:rFonts w:ascii="方正小标宋_GBK" w:hAnsi="方正小标宋_GBK" w:eastAsia="方正小标宋_GBK" w:cs="方正小标宋_GBK"/>
          <w:color w:val="auto"/>
          <w:sz w:val="44"/>
          <w:szCs w:val="44"/>
          <w:lang w:eastAsia="zh-CN"/>
        </w:rPr>
        <w:t xml:space="preserve"> </w:t>
      </w:r>
      <w:r>
        <w:rPr>
          <w:rFonts w:hint="eastAsia" w:ascii="方正小标宋_GBK" w:hAnsi="方正小标宋_GBK" w:eastAsia="方正小标宋_GBK" w:cs="方正小标宋_GBK"/>
          <w:color w:val="auto"/>
          <w:sz w:val="44"/>
          <w:szCs w:val="44"/>
          <w:lang w:eastAsia="zh-CN"/>
        </w:rPr>
        <w:t>保障措施</w:t>
      </w:r>
      <w:bookmarkEnd w:id="90"/>
    </w:p>
    <w:p w14:paraId="0169987F">
      <w:pPr>
        <w:spacing w:line="200" w:lineRule="exact"/>
        <w:ind w:firstLine="880"/>
        <w:jc w:val="center"/>
        <w:rPr>
          <w:rFonts w:ascii="方正小标宋_GBK" w:hAnsi="方正小标宋_GBK" w:eastAsia="方正小标宋_GBK" w:cs="方正小标宋_GBK"/>
          <w:color w:val="auto"/>
          <w:sz w:val="44"/>
          <w:szCs w:val="44"/>
          <w:lang w:eastAsia="zh-CN"/>
        </w:rPr>
      </w:pPr>
    </w:p>
    <w:p w14:paraId="501C99C4">
      <w:pPr>
        <w:pStyle w:val="3"/>
        <w:spacing w:line="580" w:lineRule="exact"/>
        <w:ind w:firstLine="640"/>
        <w:rPr>
          <w:b w:val="0"/>
          <w:bCs/>
        </w:rPr>
      </w:pPr>
      <w:bookmarkStart w:id="91" w:name="_Toc175056406"/>
      <w:r>
        <w:rPr>
          <w:rFonts w:hint="eastAsia"/>
          <w:b w:val="0"/>
          <w:bCs/>
        </w:rPr>
        <w:t>第一节</w:t>
      </w:r>
      <w:r>
        <w:rPr>
          <w:b w:val="0"/>
          <w:bCs/>
        </w:rPr>
        <w:t xml:space="preserve"> </w:t>
      </w:r>
      <w:r>
        <w:rPr>
          <w:rFonts w:hint="eastAsia"/>
          <w:b w:val="0"/>
          <w:bCs/>
        </w:rPr>
        <w:t>建立工作机制</w:t>
      </w:r>
      <w:bookmarkEnd w:id="91"/>
    </w:p>
    <w:p w14:paraId="33F86DAA">
      <w:pPr>
        <w:ind w:firstLine="640"/>
        <w:rPr>
          <w:color w:val="auto"/>
          <w:lang w:eastAsia="zh-CN"/>
        </w:rPr>
      </w:pPr>
      <w:r>
        <w:rPr>
          <w:rFonts w:hint="eastAsia"/>
          <w:color w:val="auto"/>
          <w:lang w:eastAsia="zh-CN"/>
        </w:rPr>
        <w:t>各行政管理部门有机结合，开展常态化检查及联合执法，加大对非法处置建筑垃圾行为的执法力度，并形成常态化工作机制。建立联席会议制度，定期通报工作进展情况，协调解决问题。</w:t>
      </w:r>
    </w:p>
    <w:p w14:paraId="32F68202">
      <w:pPr>
        <w:ind w:firstLine="640"/>
        <w:rPr>
          <w:color w:val="auto"/>
          <w:lang w:eastAsia="zh-CN"/>
        </w:rPr>
      </w:pPr>
      <w:r>
        <w:rPr>
          <w:rFonts w:hint="eastAsia"/>
          <w:color w:val="auto"/>
          <w:lang w:eastAsia="zh-CN"/>
        </w:rPr>
        <w:t>近期到</w:t>
      </w:r>
      <w:r>
        <w:rPr>
          <w:color w:val="auto"/>
          <w:lang w:eastAsia="zh-CN"/>
        </w:rPr>
        <w:t>2030</w:t>
      </w:r>
      <w:r>
        <w:rPr>
          <w:rFonts w:hint="eastAsia"/>
          <w:color w:val="auto"/>
          <w:lang w:eastAsia="zh-CN"/>
        </w:rPr>
        <w:t>年，围绕完善建筑垃圾收运系统和管理机制，持续深化推进源头减量、分类管理、综合利用、场所布局建设，强化部门协同监管、全过程数字化治理等工作，实现从源头到处置全过程管控，稳步提升资源化利用水平。</w:t>
      </w:r>
    </w:p>
    <w:p w14:paraId="72A1F0A5">
      <w:pPr>
        <w:pStyle w:val="3"/>
        <w:spacing w:line="580" w:lineRule="exact"/>
        <w:ind w:firstLine="640"/>
        <w:rPr>
          <w:b w:val="0"/>
          <w:bCs/>
        </w:rPr>
      </w:pPr>
      <w:bookmarkStart w:id="92" w:name="_Toc175056407"/>
      <w:r>
        <w:rPr>
          <w:rFonts w:hint="eastAsia"/>
          <w:b w:val="0"/>
          <w:bCs/>
        </w:rPr>
        <w:t>第二节</w:t>
      </w:r>
      <w:r>
        <w:rPr>
          <w:b w:val="0"/>
          <w:bCs/>
        </w:rPr>
        <w:t xml:space="preserve"> </w:t>
      </w:r>
      <w:r>
        <w:rPr>
          <w:rFonts w:hint="eastAsia"/>
          <w:b w:val="0"/>
          <w:bCs/>
        </w:rPr>
        <w:t>加强政策扶持</w:t>
      </w:r>
      <w:bookmarkEnd w:id="92"/>
    </w:p>
    <w:p w14:paraId="69A649C4">
      <w:pPr>
        <w:ind w:firstLine="640"/>
        <w:rPr>
          <w:color w:val="auto"/>
          <w:lang w:eastAsia="zh-CN"/>
        </w:rPr>
      </w:pPr>
      <w:r>
        <w:rPr>
          <w:rFonts w:hint="eastAsia"/>
          <w:color w:val="auto"/>
          <w:lang w:eastAsia="zh-CN"/>
        </w:rPr>
        <w:t>完善建筑垃圾资源化制度，强化源头治理、运输监控等机制。支持开展再生产品市场推广，探索源头减量、资源再生利用等产业激励政策。</w:t>
      </w:r>
    </w:p>
    <w:p w14:paraId="1DA5F0E7">
      <w:pPr>
        <w:ind w:firstLine="640"/>
        <w:rPr>
          <w:color w:val="auto"/>
          <w:lang w:eastAsia="zh-CN"/>
        </w:rPr>
      </w:pPr>
      <w:r>
        <w:rPr>
          <w:rFonts w:hint="eastAsia"/>
          <w:color w:val="auto"/>
          <w:lang w:eastAsia="zh-CN"/>
        </w:rPr>
        <w:t>加强建筑垃圾资源化利用项目用地保障，及时纳入分区规划。建筑垃圾资源化利用产品的生产和销售可按照国家相关规定享受税收优惠政策。</w:t>
      </w:r>
    </w:p>
    <w:p w14:paraId="70EA5FCF">
      <w:pPr>
        <w:pStyle w:val="3"/>
        <w:spacing w:line="580" w:lineRule="exact"/>
        <w:ind w:firstLine="640"/>
        <w:rPr>
          <w:b w:val="0"/>
          <w:bCs/>
        </w:rPr>
      </w:pPr>
      <w:bookmarkStart w:id="93" w:name="_Toc175056408"/>
      <w:r>
        <w:rPr>
          <w:rFonts w:hint="eastAsia"/>
          <w:b w:val="0"/>
          <w:bCs/>
        </w:rPr>
        <w:t>第三节</w:t>
      </w:r>
      <w:r>
        <w:rPr>
          <w:b w:val="0"/>
          <w:bCs/>
        </w:rPr>
        <w:t xml:space="preserve"> </w:t>
      </w:r>
      <w:r>
        <w:rPr>
          <w:rFonts w:hint="eastAsia"/>
          <w:b w:val="0"/>
          <w:bCs/>
        </w:rPr>
        <w:t>加强要素保障</w:t>
      </w:r>
      <w:bookmarkEnd w:id="93"/>
    </w:p>
    <w:p w14:paraId="763168F1">
      <w:pPr>
        <w:ind w:firstLine="640"/>
        <w:rPr>
          <w:color w:val="auto"/>
          <w:lang w:eastAsia="zh-CN"/>
        </w:rPr>
      </w:pPr>
      <w:r>
        <w:rPr>
          <w:rFonts w:hint="eastAsia"/>
          <w:color w:val="auto"/>
          <w:lang w:eastAsia="zh-CN"/>
        </w:rPr>
        <w:t>加强建筑垃圾资源化利用项目用地保障，并纳入自然资源国土空间规划。将本规划建设实施所需经费列入各级财政年度预算，各乡镇（街道）给予相应资金保障。合理制定建筑垃圾处置过程中的相关价格，充分发挥市场的调节作用。加强专业队伍建设，由县综合行政执法局负责，组建建筑垃圾管理执法专业队伍，配备满足日常管理需求的建筑垃圾专业化队伍，加强建筑垃圾排放备案、运输、收纳处置、监管执法。</w:t>
      </w:r>
    </w:p>
    <w:p w14:paraId="43290C70">
      <w:pPr>
        <w:pStyle w:val="3"/>
        <w:spacing w:line="580" w:lineRule="exact"/>
        <w:ind w:firstLine="640"/>
        <w:rPr>
          <w:b w:val="0"/>
          <w:bCs/>
        </w:rPr>
      </w:pPr>
      <w:bookmarkStart w:id="94" w:name="_Toc175056409"/>
      <w:r>
        <w:rPr>
          <w:rFonts w:hint="eastAsia"/>
          <w:b w:val="0"/>
          <w:bCs/>
        </w:rPr>
        <w:t>第四节</w:t>
      </w:r>
      <w:r>
        <w:rPr>
          <w:b w:val="0"/>
          <w:bCs/>
        </w:rPr>
        <w:t xml:space="preserve"> </w:t>
      </w:r>
      <w:r>
        <w:rPr>
          <w:rFonts w:hint="eastAsia"/>
          <w:b w:val="0"/>
          <w:bCs/>
        </w:rPr>
        <w:t>建立监管机制</w:t>
      </w:r>
      <w:bookmarkEnd w:id="94"/>
    </w:p>
    <w:p w14:paraId="2306F365">
      <w:pPr>
        <w:ind w:firstLineChars="0"/>
        <w:rPr>
          <w:lang w:eastAsia="zh-CN"/>
        </w:rPr>
        <w:sectPr>
          <w:pgSz w:w="11907" w:h="16840"/>
          <w:pgMar w:top="2155" w:right="1531" w:bottom="1814" w:left="1531" w:header="851" w:footer="1588" w:gutter="0"/>
          <w:pgNumType w:fmt="numberInDash"/>
          <w:cols w:space="0" w:num="1"/>
          <w:docGrid w:linePitch="435" w:charSpace="0"/>
        </w:sectPr>
      </w:pPr>
      <w:r>
        <w:rPr>
          <w:rFonts w:hint="eastAsia"/>
          <w:lang w:eastAsia="zh-CN"/>
        </w:rPr>
        <w:t>健全各项对内、对外管理制度，严格执行和监督，实行定期督办，保障并促进建筑垃圾治理各项工作有效落实；同时将建筑垃圾治理纳入城市提升行动计划；将建筑垃圾治理情况作为城市环境建设工作的一项重要指标纳入考核。</w:t>
      </w:r>
      <w:bookmarkStart w:id="95" w:name="_Toc175056410"/>
    </w:p>
    <w:p w14:paraId="57959687">
      <w:pPr>
        <w:ind w:firstLine="0" w:firstLineChars="0"/>
        <w:jc w:val="center"/>
        <w:rPr>
          <w:rFonts w:ascii="黑体" w:hAnsi="黑体" w:eastAsia="方正小标宋_GBK" w:cs="黑体"/>
          <w:sz w:val="44"/>
          <w:szCs w:val="44"/>
          <w:lang w:eastAsia="zh-CN"/>
        </w:rPr>
      </w:pPr>
      <w:r>
        <w:rPr>
          <w:rFonts w:hint="eastAsia" w:ascii="黑体" w:hAnsi="黑体" w:eastAsia="方正小标宋_GBK" w:cs="黑体"/>
          <w:sz w:val="44"/>
          <w:szCs w:val="44"/>
          <w:lang w:eastAsia="zh-CN"/>
        </w:rPr>
        <w:t>附</w:t>
      </w:r>
      <w:r>
        <w:rPr>
          <w:rFonts w:ascii="黑体" w:hAnsi="黑体" w:eastAsia="方正小标宋_GBK" w:cs="黑体"/>
          <w:sz w:val="44"/>
          <w:szCs w:val="44"/>
          <w:lang w:eastAsia="zh-CN"/>
        </w:rPr>
        <w:t xml:space="preserve">  </w:t>
      </w:r>
      <w:r>
        <w:rPr>
          <w:rFonts w:hint="eastAsia" w:ascii="黑体" w:hAnsi="黑体" w:eastAsia="方正小标宋_GBK" w:cs="黑体"/>
          <w:sz w:val="44"/>
          <w:szCs w:val="44"/>
          <w:lang w:eastAsia="zh-CN"/>
        </w:rPr>
        <w:t>图</w:t>
      </w:r>
      <w:bookmarkEnd w:id="95"/>
    </w:p>
    <w:p w14:paraId="503DECF3">
      <w:pPr>
        <w:ind w:firstLine="0" w:firstLineChars="0"/>
        <w:jc w:val="center"/>
        <w:rPr>
          <w:rFonts w:ascii="黑体" w:eastAsia="方正小标宋_GBK" w:cs="黑体"/>
          <w:sz w:val="44"/>
          <w:szCs w:val="44"/>
          <w:lang w:eastAsia="zh-CN"/>
        </w:rPr>
      </w:pPr>
    </w:p>
    <w:p w14:paraId="0DEF28D5">
      <w:pPr>
        <w:ind w:firstLine="640"/>
        <w:rPr>
          <w:color w:val="auto"/>
          <w:lang w:eastAsia="zh-CN"/>
        </w:rPr>
      </w:pPr>
      <w:r>
        <w:rPr>
          <w:color w:val="auto"/>
          <w:lang w:eastAsia="zh-CN"/>
        </w:rPr>
        <w:t>1</w:t>
      </w:r>
      <w:r>
        <w:rPr>
          <w:rFonts w:hint="eastAsia"/>
          <w:color w:val="auto"/>
          <w:lang w:eastAsia="zh-CN"/>
        </w:rPr>
        <w:t>、区位分析图</w:t>
      </w:r>
    </w:p>
    <w:p w14:paraId="5E7DA476">
      <w:pPr>
        <w:ind w:firstLine="640"/>
        <w:rPr>
          <w:color w:val="auto"/>
          <w:lang w:eastAsia="zh-CN"/>
        </w:rPr>
      </w:pPr>
      <w:r>
        <w:rPr>
          <w:color w:val="auto"/>
          <w:lang w:eastAsia="zh-CN"/>
        </w:rPr>
        <w:t>2</w:t>
      </w:r>
      <w:r>
        <w:rPr>
          <w:rFonts w:hint="eastAsia"/>
          <w:color w:val="auto"/>
          <w:lang w:eastAsia="zh-CN"/>
        </w:rPr>
        <w:t>、县域城市建筑垃圾设施现状图</w:t>
      </w:r>
    </w:p>
    <w:p w14:paraId="6926076A">
      <w:pPr>
        <w:ind w:firstLine="640"/>
        <w:rPr>
          <w:color w:val="auto"/>
          <w:lang w:eastAsia="zh-CN"/>
        </w:rPr>
      </w:pPr>
      <w:r>
        <w:rPr>
          <w:color w:val="auto"/>
          <w:lang w:eastAsia="zh-CN"/>
        </w:rPr>
        <w:t>3</w:t>
      </w:r>
      <w:r>
        <w:rPr>
          <w:rFonts w:hint="eastAsia"/>
          <w:color w:val="auto"/>
          <w:lang w:eastAsia="zh-CN"/>
        </w:rPr>
        <w:t>、建筑垃圾收集处理设施规划图（近期）</w:t>
      </w:r>
    </w:p>
    <w:p w14:paraId="7096430A">
      <w:pPr>
        <w:ind w:firstLine="640"/>
        <w:rPr>
          <w:color w:val="auto"/>
          <w:lang w:eastAsia="zh-CN"/>
        </w:rPr>
      </w:pPr>
      <w:r>
        <w:rPr>
          <w:color w:val="auto"/>
          <w:lang w:eastAsia="zh-CN"/>
        </w:rPr>
        <w:t>4</w:t>
      </w:r>
      <w:r>
        <w:rPr>
          <w:rFonts w:hint="eastAsia"/>
          <w:color w:val="auto"/>
          <w:lang w:eastAsia="zh-CN"/>
        </w:rPr>
        <w:t>、建筑垃圾收集处理设施规划图（远期）</w:t>
      </w:r>
    </w:p>
    <w:p w14:paraId="4FEFFC1F">
      <w:pPr>
        <w:ind w:firstLine="640"/>
        <w:rPr>
          <w:color w:val="auto"/>
          <w:lang w:eastAsia="zh-CN"/>
        </w:rPr>
      </w:pPr>
      <w:r>
        <w:rPr>
          <w:color w:val="auto"/>
          <w:lang w:eastAsia="zh-CN"/>
        </w:rPr>
        <w:t>5</w:t>
      </w:r>
      <w:r>
        <w:rPr>
          <w:rFonts w:hint="eastAsia"/>
          <w:color w:val="auto"/>
          <w:lang w:eastAsia="zh-CN"/>
        </w:rPr>
        <w:t>、建筑垃圾城区主要运输线路图</w:t>
      </w:r>
    </w:p>
    <w:p w14:paraId="2C816E62">
      <w:pPr>
        <w:ind w:firstLine="640"/>
        <w:rPr>
          <w:color w:val="auto"/>
          <w:lang w:eastAsia="zh-CN"/>
        </w:rPr>
      </w:pPr>
      <w:r>
        <w:rPr>
          <w:color w:val="auto"/>
          <w:lang w:eastAsia="zh-CN"/>
        </w:rPr>
        <w:t>6</w:t>
      </w:r>
      <w:r>
        <w:rPr>
          <w:rFonts w:hint="eastAsia"/>
          <w:color w:val="auto"/>
          <w:lang w:eastAsia="zh-CN"/>
        </w:rPr>
        <w:t>、治理体系规划图</w:t>
      </w:r>
    </w:p>
    <w:p w14:paraId="7D81FE1B">
      <w:pPr>
        <w:ind w:firstLine="640"/>
        <w:rPr>
          <w:lang w:eastAsia="zh-CN"/>
        </w:rPr>
      </w:pPr>
      <w:r>
        <w:rPr>
          <w:color w:val="auto"/>
          <w:lang w:eastAsia="zh-CN"/>
        </w:rPr>
        <w:t>7</w:t>
      </w:r>
      <w:r>
        <w:rPr>
          <w:rFonts w:hint="eastAsia"/>
          <w:color w:val="auto"/>
          <w:lang w:eastAsia="zh-CN"/>
        </w:rPr>
        <w:t>、建筑垃圾综合利用厂规划地块</w:t>
      </w:r>
      <w:r>
        <w:rPr>
          <w:lang w:eastAsia="zh-CN"/>
        </w:rPr>
        <w:tab/>
      </w:r>
    </w:p>
    <w:p w14:paraId="3E4D8430">
      <w:pPr>
        <w:ind w:firstLine="640"/>
        <w:rPr>
          <w:lang w:eastAsia="zh-CN"/>
        </w:rPr>
      </w:pPr>
    </w:p>
    <w:p w14:paraId="521AF738">
      <w:pPr>
        <w:ind w:firstLine="640"/>
        <w:rPr>
          <w:lang w:eastAsia="zh-CN"/>
        </w:rPr>
      </w:pPr>
    </w:p>
    <w:p w14:paraId="531F4375">
      <w:pPr>
        <w:ind w:firstLine="640"/>
        <w:rPr>
          <w:lang w:eastAsia="zh-CN"/>
        </w:rPr>
      </w:pPr>
    </w:p>
    <w:p w14:paraId="3DD768D5">
      <w:pPr>
        <w:ind w:firstLine="640"/>
        <w:rPr>
          <w:lang w:eastAsia="zh-CN"/>
        </w:rPr>
      </w:pPr>
    </w:p>
    <w:p w14:paraId="53FCBA1B">
      <w:pPr>
        <w:ind w:firstLine="640"/>
        <w:rPr>
          <w:lang w:eastAsia="zh-CN"/>
        </w:rPr>
      </w:pPr>
    </w:p>
    <w:p w14:paraId="2FC3931B">
      <w:pPr>
        <w:ind w:firstLine="640"/>
        <w:rPr>
          <w:lang w:eastAsia="zh-CN"/>
        </w:rPr>
      </w:pPr>
    </w:p>
    <w:p w14:paraId="3EE928B1">
      <w:pPr>
        <w:ind w:firstLine="640"/>
        <w:rPr>
          <w:lang w:eastAsia="zh-CN"/>
        </w:rPr>
      </w:pPr>
    </w:p>
    <w:p w14:paraId="7BEE2234">
      <w:pPr>
        <w:ind w:firstLine="640"/>
        <w:rPr>
          <w:lang w:eastAsia="zh-CN"/>
        </w:rPr>
      </w:pPr>
    </w:p>
    <w:p w14:paraId="51976E65">
      <w:pPr>
        <w:ind w:firstLine="0" w:firstLineChars="0"/>
        <w:rPr>
          <w:lang w:eastAsia="zh-CN"/>
        </w:rPr>
      </w:pPr>
    </w:p>
    <w:p w14:paraId="6B477E0D">
      <w:pPr>
        <w:ind w:firstLine="640"/>
        <w:rPr>
          <w:lang w:eastAsia="zh-CN"/>
        </w:rPr>
      </w:pPr>
    </w:p>
    <w:p w14:paraId="248BCD49">
      <w:pPr>
        <w:ind w:firstLine="640"/>
        <w:rPr>
          <w:lang w:eastAsia="zh-CN"/>
        </w:rPr>
      </w:pPr>
    </w:p>
    <w:p w14:paraId="5AC70C07">
      <w:pPr>
        <w:ind w:firstLine="640"/>
        <w:rPr>
          <w:lang w:eastAsia="zh-CN"/>
        </w:rPr>
        <w:sectPr>
          <w:pgSz w:w="11907" w:h="16840"/>
          <w:pgMar w:top="2155" w:right="1531" w:bottom="1814" w:left="1531" w:header="851" w:footer="1588" w:gutter="0"/>
          <w:pgNumType w:fmt="numberInDash"/>
          <w:cols w:space="0" w:num="1"/>
          <w:docGrid w:linePitch="435" w:charSpace="0"/>
        </w:sectPr>
      </w:pPr>
    </w:p>
    <w:p w14:paraId="28FD58DE">
      <w:pPr>
        <w:spacing w:line="240" w:lineRule="auto"/>
        <w:ind w:firstLine="640"/>
        <w:rPr>
          <w:lang w:eastAsia="zh-CN"/>
        </w:rPr>
      </w:pPr>
      <w:r>
        <w:rPr>
          <w:lang w:eastAsia="zh-CN"/>
        </w:rPr>
        <w:pict>
          <v:shape id="_x0000_s1029" o:spid="_x0000_s1029" o:spt="75" alt="SKM_80824093011530_0001" type="#_x0000_t75" style="position:absolute;left:0pt;margin-left:72pt;margin-top:9.25pt;height:411pt;width:580.5pt;z-index:251660288;mso-width-relative:page;mso-height-relative:page;" filled="f" o:preferrelative="t" stroked="f" coordsize="21600,21600">
            <v:path/>
            <v:fill on="f" focussize="0,0"/>
            <v:stroke on="f" joinstyle="miter"/>
            <v:imagedata r:id="rId18" o:title=""/>
            <o:lock v:ext="edit" aspectratio="t"/>
          </v:shape>
        </w:pict>
      </w:r>
    </w:p>
    <w:p w14:paraId="7CC007D6">
      <w:pPr>
        <w:spacing w:line="240" w:lineRule="auto"/>
        <w:ind w:firstLine="640"/>
        <w:rPr>
          <w:lang w:eastAsia="zh-CN"/>
        </w:rPr>
      </w:pPr>
    </w:p>
    <w:p w14:paraId="2F743589">
      <w:pPr>
        <w:spacing w:line="240" w:lineRule="auto"/>
        <w:ind w:firstLine="640"/>
        <w:rPr>
          <w:lang w:eastAsia="zh-CN"/>
        </w:rPr>
      </w:pPr>
    </w:p>
    <w:p w14:paraId="611CA138">
      <w:pPr>
        <w:spacing w:line="240" w:lineRule="auto"/>
        <w:ind w:firstLine="640"/>
        <w:rPr>
          <w:lang w:eastAsia="zh-CN"/>
        </w:rPr>
      </w:pPr>
    </w:p>
    <w:p w14:paraId="594530BA">
      <w:pPr>
        <w:spacing w:line="240" w:lineRule="auto"/>
        <w:ind w:firstLine="640"/>
        <w:rPr>
          <w:lang w:eastAsia="zh-CN"/>
        </w:rPr>
      </w:pPr>
    </w:p>
    <w:p w14:paraId="155308DF">
      <w:pPr>
        <w:spacing w:line="240" w:lineRule="auto"/>
        <w:ind w:firstLine="640"/>
        <w:rPr>
          <w:lang w:eastAsia="zh-CN"/>
        </w:rPr>
      </w:pPr>
    </w:p>
    <w:p w14:paraId="579E5F95">
      <w:pPr>
        <w:spacing w:line="240" w:lineRule="auto"/>
        <w:ind w:firstLine="640"/>
        <w:rPr>
          <w:lang w:eastAsia="zh-CN"/>
        </w:rPr>
      </w:pPr>
    </w:p>
    <w:p w14:paraId="75BBAAB6">
      <w:pPr>
        <w:spacing w:line="240" w:lineRule="auto"/>
        <w:ind w:firstLine="640"/>
        <w:rPr>
          <w:lang w:eastAsia="zh-CN"/>
        </w:rPr>
      </w:pPr>
    </w:p>
    <w:p w14:paraId="7DDCE5A2">
      <w:pPr>
        <w:spacing w:line="240" w:lineRule="auto"/>
        <w:ind w:firstLine="640"/>
        <w:rPr>
          <w:lang w:eastAsia="zh-CN"/>
        </w:rPr>
      </w:pPr>
    </w:p>
    <w:p w14:paraId="07066FCF">
      <w:pPr>
        <w:spacing w:line="240" w:lineRule="auto"/>
        <w:ind w:firstLine="640"/>
        <w:rPr>
          <w:lang w:eastAsia="zh-CN"/>
        </w:rPr>
      </w:pPr>
    </w:p>
    <w:p w14:paraId="7BEA7D70">
      <w:pPr>
        <w:spacing w:line="240" w:lineRule="auto"/>
        <w:ind w:firstLine="640"/>
        <w:rPr>
          <w:lang w:eastAsia="zh-CN"/>
        </w:rPr>
      </w:pPr>
    </w:p>
    <w:p w14:paraId="05758499">
      <w:pPr>
        <w:spacing w:line="240" w:lineRule="auto"/>
        <w:ind w:firstLine="640"/>
        <w:rPr>
          <w:lang w:eastAsia="zh-CN"/>
        </w:rPr>
      </w:pPr>
    </w:p>
    <w:p w14:paraId="3CAD2A4D">
      <w:pPr>
        <w:spacing w:line="240" w:lineRule="auto"/>
        <w:ind w:firstLine="640"/>
        <w:rPr>
          <w:lang w:eastAsia="zh-CN"/>
        </w:rPr>
      </w:pPr>
    </w:p>
    <w:p w14:paraId="183CCE6A">
      <w:pPr>
        <w:spacing w:line="240" w:lineRule="auto"/>
        <w:ind w:firstLine="640"/>
        <w:rPr>
          <w:lang w:eastAsia="zh-CN"/>
        </w:rPr>
      </w:pPr>
    </w:p>
    <w:p w14:paraId="692A742E">
      <w:pPr>
        <w:spacing w:line="240" w:lineRule="auto"/>
        <w:ind w:firstLine="640"/>
        <w:rPr>
          <w:lang w:eastAsia="zh-CN"/>
        </w:rPr>
      </w:pPr>
    </w:p>
    <w:p w14:paraId="149CB805">
      <w:pPr>
        <w:spacing w:line="240" w:lineRule="auto"/>
        <w:ind w:firstLine="640"/>
        <w:rPr>
          <w:lang w:eastAsia="zh-CN"/>
        </w:rPr>
      </w:pPr>
    </w:p>
    <w:p w14:paraId="258E8337">
      <w:pPr>
        <w:spacing w:line="240" w:lineRule="auto"/>
        <w:ind w:firstLine="640"/>
        <w:rPr>
          <w:lang w:eastAsia="zh-CN"/>
        </w:rPr>
      </w:pPr>
    </w:p>
    <w:p w14:paraId="26C92DD8">
      <w:pPr>
        <w:spacing w:line="240" w:lineRule="auto"/>
        <w:ind w:firstLine="640"/>
        <w:rPr>
          <w:lang w:eastAsia="zh-CN"/>
        </w:rPr>
      </w:pPr>
    </w:p>
    <w:p w14:paraId="31DE122B">
      <w:pPr>
        <w:spacing w:line="240" w:lineRule="auto"/>
        <w:ind w:firstLine="640"/>
        <w:rPr>
          <w:lang w:eastAsia="zh-CN"/>
        </w:rPr>
      </w:pPr>
    </w:p>
    <w:p w14:paraId="2D64C039">
      <w:pPr>
        <w:spacing w:line="240" w:lineRule="auto"/>
        <w:ind w:firstLine="640"/>
        <w:rPr>
          <w:lang w:eastAsia="zh-CN"/>
        </w:rPr>
      </w:pPr>
    </w:p>
    <w:p w14:paraId="6B66AFE1">
      <w:pPr>
        <w:spacing w:line="240" w:lineRule="auto"/>
        <w:ind w:firstLine="640"/>
        <w:rPr>
          <w:lang w:eastAsia="zh-CN"/>
        </w:rPr>
      </w:pPr>
    </w:p>
    <w:p w14:paraId="28FD810C">
      <w:pPr>
        <w:spacing w:line="240" w:lineRule="auto"/>
        <w:ind w:firstLine="640"/>
        <w:rPr>
          <w:lang w:eastAsia="zh-CN"/>
        </w:rPr>
      </w:pPr>
    </w:p>
    <w:p w14:paraId="47135B90">
      <w:pPr>
        <w:spacing w:line="240" w:lineRule="auto"/>
        <w:ind w:firstLine="640"/>
        <w:rPr>
          <w:lang w:eastAsia="zh-CN"/>
        </w:rPr>
      </w:pPr>
      <w:r>
        <w:rPr>
          <w:lang w:eastAsia="zh-CN"/>
        </w:rPr>
        <w:pict>
          <v:shape id="_x0000_s1030" o:spid="_x0000_s1030" o:spt="75" alt="SKM_80824093011530_0002" type="#_x0000_t75" style="position:absolute;left:0pt;margin-left:63pt;margin-top:-12.85pt;height:411pt;width:580.5pt;z-index:251661312;mso-width-relative:page;mso-height-relative:page;" filled="f" o:preferrelative="t" stroked="f" coordsize="21600,21600">
            <v:path/>
            <v:fill on="f" focussize="0,0"/>
            <v:stroke on="f" joinstyle="miter"/>
            <v:imagedata r:id="rId19" o:title=""/>
            <o:lock v:ext="edit" aspectratio="t"/>
          </v:shape>
        </w:pict>
      </w:r>
    </w:p>
    <w:p w14:paraId="4CB009FF">
      <w:pPr>
        <w:spacing w:line="240" w:lineRule="auto"/>
        <w:ind w:firstLine="640"/>
        <w:rPr>
          <w:lang w:eastAsia="zh-CN"/>
        </w:rPr>
      </w:pPr>
    </w:p>
    <w:p w14:paraId="2EAE48D5">
      <w:pPr>
        <w:spacing w:line="240" w:lineRule="auto"/>
        <w:ind w:firstLine="640"/>
        <w:rPr>
          <w:lang w:eastAsia="zh-CN"/>
        </w:rPr>
      </w:pPr>
    </w:p>
    <w:p w14:paraId="290661F4">
      <w:pPr>
        <w:spacing w:line="240" w:lineRule="auto"/>
        <w:ind w:firstLine="640"/>
        <w:rPr>
          <w:lang w:eastAsia="zh-CN"/>
        </w:rPr>
      </w:pPr>
    </w:p>
    <w:p w14:paraId="6203F23F">
      <w:pPr>
        <w:spacing w:line="240" w:lineRule="auto"/>
        <w:ind w:firstLine="640"/>
        <w:rPr>
          <w:lang w:eastAsia="zh-CN"/>
        </w:rPr>
      </w:pPr>
    </w:p>
    <w:p w14:paraId="5F5BCDAE">
      <w:pPr>
        <w:spacing w:line="240" w:lineRule="auto"/>
        <w:ind w:firstLine="640"/>
        <w:rPr>
          <w:lang w:eastAsia="zh-CN"/>
        </w:rPr>
      </w:pPr>
    </w:p>
    <w:p w14:paraId="2DC7C6BC">
      <w:pPr>
        <w:spacing w:line="240" w:lineRule="auto"/>
        <w:ind w:firstLine="640"/>
        <w:rPr>
          <w:lang w:eastAsia="zh-CN"/>
        </w:rPr>
      </w:pPr>
    </w:p>
    <w:p w14:paraId="55F8E918">
      <w:pPr>
        <w:spacing w:line="240" w:lineRule="auto"/>
        <w:ind w:firstLine="640"/>
        <w:rPr>
          <w:lang w:eastAsia="zh-CN"/>
        </w:rPr>
      </w:pPr>
    </w:p>
    <w:p w14:paraId="5295F335">
      <w:pPr>
        <w:spacing w:line="240" w:lineRule="auto"/>
        <w:ind w:firstLine="640"/>
        <w:rPr>
          <w:lang w:eastAsia="zh-CN"/>
        </w:rPr>
      </w:pPr>
    </w:p>
    <w:p w14:paraId="165DC3CF">
      <w:pPr>
        <w:spacing w:line="240" w:lineRule="auto"/>
        <w:ind w:firstLine="640"/>
        <w:rPr>
          <w:lang w:eastAsia="zh-CN"/>
        </w:rPr>
      </w:pPr>
    </w:p>
    <w:p w14:paraId="47BF4195">
      <w:pPr>
        <w:spacing w:line="240" w:lineRule="auto"/>
        <w:ind w:firstLine="640"/>
        <w:rPr>
          <w:lang w:eastAsia="zh-CN"/>
        </w:rPr>
      </w:pPr>
    </w:p>
    <w:p w14:paraId="380C0473">
      <w:pPr>
        <w:spacing w:line="240" w:lineRule="auto"/>
        <w:ind w:firstLine="640"/>
        <w:rPr>
          <w:lang w:eastAsia="zh-CN"/>
        </w:rPr>
      </w:pPr>
    </w:p>
    <w:p w14:paraId="2514504F">
      <w:pPr>
        <w:spacing w:line="240" w:lineRule="auto"/>
        <w:ind w:firstLine="640"/>
        <w:rPr>
          <w:lang w:eastAsia="zh-CN"/>
        </w:rPr>
      </w:pPr>
    </w:p>
    <w:p w14:paraId="57442214">
      <w:pPr>
        <w:spacing w:line="240" w:lineRule="auto"/>
        <w:ind w:firstLine="640"/>
        <w:rPr>
          <w:lang w:eastAsia="zh-CN"/>
        </w:rPr>
      </w:pPr>
    </w:p>
    <w:p w14:paraId="5AAAC1C7">
      <w:pPr>
        <w:spacing w:line="240" w:lineRule="auto"/>
        <w:ind w:firstLine="640"/>
        <w:rPr>
          <w:lang w:eastAsia="zh-CN"/>
        </w:rPr>
      </w:pPr>
    </w:p>
    <w:p w14:paraId="0907E499">
      <w:pPr>
        <w:spacing w:line="240" w:lineRule="auto"/>
        <w:ind w:firstLine="640"/>
        <w:rPr>
          <w:lang w:eastAsia="zh-CN"/>
        </w:rPr>
      </w:pPr>
    </w:p>
    <w:p w14:paraId="53D0433C">
      <w:pPr>
        <w:spacing w:line="240" w:lineRule="auto"/>
        <w:ind w:firstLine="640"/>
        <w:rPr>
          <w:lang w:eastAsia="zh-CN"/>
        </w:rPr>
      </w:pPr>
    </w:p>
    <w:p w14:paraId="0D083565">
      <w:pPr>
        <w:spacing w:line="240" w:lineRule="auto"/>
        <w:ind w:firstLine="640"/>
        <w:rPr>
          <w:lang w:eastAsia="zh-CN"/>
        </w:rPr>
      </w:pPr>
    </w:p>
    <w:p w14:paraId="506C580D">
      <w:pPr>
        <w:spacing w:line="240" w:lineRule="auto"/>
        <w:ind w:firstLine="640"/>
        <w:rPr>
          <w:lang w:eastAsia="zh-CN"/>
        </w:rPr>
      </w:pPr>
    </w:p>
    <w:p w14:paraId="01EC21AE">
      <w:pPr>
        <w:spacing w:line="240" w:lineRule="auto"/>
        <w:ind w:firstLine="640"/>
        <w:rPr>
          <w:lang w:eastAsia="zh-CN"/>
        </w:rPr>
      </w:pPr>
    </w:p>
    <w:p w14:paraId="3AB8B9F3">
      <w:pPr>
        <w:spacing w:line="240" w:lineRule="auto"/>
        <w:ind w:firstLine="640"/>
        <w:rPr>
          <w:lang w:eastAsia="zh-CN"/>
        </w:rPr>
      </w:pPr>
    </w:p>
    <w:p w14:paraId="54E8E17F">
      <w:pPr>
        <w:spacing w:line="240" w:lineRule="auto"/>
        <w:ind w:firstLine="640"/>
        <w:rPr>
          <w:lang w:eastAsia="zh-CN"/>
        </w:rPr>
      </w:pPr>
    </w:p>
    <w:p w14:paraId="1DA1B19B">
      <w:pPr>
        <w:spacing w:line="240" w:lineRule="auto"/>
        <w:ind w:firstLine="640"/>
        <w:rPr>
          <w:lang w:eastAsia="zh-CN"/>
        </w:rPr>
      </w:pPr>
      <w:r>
        <w:rPr>
          <w:lang w:eastAsia="zh-CN"/>
        </w:rPr>
        <w:pict>
          <v:shape id="_x0000_s1031" o:spid="_x0000_s1031" o:spt="75" alt="SKM_80824093011530_0003" type="#_x0000_t75" style="position:absolute;left:0pt;margin-left:54pt;margin-top:-1.8pt;height:411pt;width:580.5pt;z-index:251663360;mso-width-relative:page;mso-height-relative:page;" filled="f" o:preferrelative="t" stroked="f" coordsize="21600,21600">
            <v:path/>
            <v:fill on="f" focussize="0,0"/>
            <v:stroke on="f" joinstyle="miter"/>
            <v:imagedata r:id="rId20" o:title=""/>
            <o:lock v:ext="edit" aspectratio="t"/>
          </v:shape>
        </w:pict>
      </w:r>
    </w:p>
    <w:p w14:paraId="38A02F60">
      <w:pPr>
        <w:spacing w:line="240" w:lineRule="auto"/>
        <w:ind w:firstLine="640"/>
        <w:rPr>
          <w:lang w:eastAsia="zh-CN"/>
        </w:rPr>
      </w:pPr>
    </w:p>
    <w:p w14:paraId="24A95F58">
      <w:pPr>
        <w:spacing w:line="240" w:lineRule="auto"/>
        <w:ind w:firstLine="640"/>
        <w:rPr>
          <w:lang w:eastAsia="zh-CN"/>
        </w:rPr>
      </w:pPr>
    </w:p>
    <w:p w14:paraId="48B41A93">
      <w:pPr>
        <w:spacing w:line="240" w:lineRule="auto"/>
        <w:ind w:firstLine="640"/>
        <w:rPr>
          <w:lang w:eastAsia="zh-CN"/>
        </w:rPr>
      </w:pPr>
    </w:p>
    <w:p w14:paraId="0C7C1703">
      <w:pPr>
        <w:spacing w:line="240" w:lineRule="auto"/>
        <w:ind w:firstLine="640"/>
        <w:rPr>
          <w:lang w:eastAsia="zh-CN"/>
        </w:rPr>
      </w:pPr>
    </w:p>
    <w:p w14:paraId="1D60DAEE">
      <w:pPr>
        <w:spacing w:line="240" w:lineRule="auto"/>
        <w:ind w:firstLine="640"/>
        <w:rPr>
          <w:lang w:eastAsia="zh-CN"/>
        </w:rPr>
      </w:pPr>
    </w:p>
    <w:p w14:paraId="3BAB23BD">
      <w:pPr>
        <w:spacing w:line="240" w:lineRule="auto"/>
        <w:ind w:firstLine="640"/>
        <w:rPr>
          <w:lang w:eastAsia="zh-CN"/>
        </w:rPr>
      </w:pPr>
    </w:p>
    <w:p w14:paraId="24FD6EA2">
      <w:pPr>
        <w:spacing w:line="240" w:lineRule="auto"/>
        <w:ind w:firstLine="640"/>
        <w:rPr>
          <w:lang w:eastAsia="zh-CN"/>
        </w:rPr>
      </w:pPr>
    </w:p>
    <w:p w14:paraId="75728472">
      <w:pPr>
        <w:spacing w:line="240" w:lineRule="auto"/>
        <w:ind w:firstLine="640"/>
        <w:rPr>
          <w:lang w:eastAsia="zh-CN"/>
        </w:rPr>
      </w:pPr>
    </w:p>
    <w:p w14:paraId="51FB55AA">
      <w:pPr>
        <w:spacing w:line="240" w:lineRule="auto"/>
        <w:ind w:firstLine="640"/>
        <w:rPr>
          <w:lang w:eastAsia="zh-CN"/>
        </w:rPr>
      </w:pPr>
    </w:p>
    <w:p w14:paraId="4B7F7F9E">
      <w:pPr>
        <w:spacing w:line="240" w:lineRule="auto"/>
        <w:ind w:firstLine="640"/>
        <w:rPr>
          <w:lang w:eastAsia="zh-CN"/>
        </w:rPr>
      </w:pPr>
    </w:p>
    <w:p w14:paraId="4B49076D">
      <w:pPr>
        <w:spacing w:line="240" w:lineRule="auto"/>
        <w:ind w:firstLine="640"/>
        <w:rPr>
          <w:lang w:eastAsia="zh-CN"/>
        </w:rPr>
      </w:pPr>
    </w:p>
    <w:p w14:paraId="1DF25332">
      <w:pPr>
        <w:spacing w:line="240" w:lineRule="auto"/>
        <w:ind w:firstLine="640"/>
        <w:rPr>
          <w:lang w:eastAsia="zh-CN"/>
        </w:rPr>
      </w:pPr>
    </w:p>
    <w:p w14:paraId="5E7881AA">
      <w:pPr>
        <w:spacing w:line="240" w:lineRule="auto"/>
        <w:ind w:firstLine="640"/>
        <w:rPr>
          <w:lang w:eastAsia="zh-CN"/>
        </w:rPr>
      </w:pPr>
    </w:p>
    <w:p w14:paraId="759F4C7F">
      <w:pPr>
        <w:spacing w:line="240" w:lineRule="auto"/>
        <w:ind w:firstLine="640"/>
        <w:rPr>
          <w:lang w:eastAsia="zh-CN"/>
        </w:rPr>
      </w:pPr>
    </w:p>
    <w:p w14:paraId="6A1A9879">
      <w:pPr>
        <w:spacing w:line="240" w:lineRule="auto"/>
        <w:ind w:firstLine="640"/>
        <w:rPr>
          <w:lang w:eastAsia="zh-CN"/>
        </w:rPr>
      </w:pPr>
    </w:p>
    <w:p w14:paraId="1AD6FCF4">
      <w:pPr>
        <w:spacing w:line="240" w:lineRule="auto"/>
        <w:ind w:firstLine="640"/>
        <w:rPr>
          <w:lang w:eastAsia="zh-CN"/>
        </w:rPr>
      </w:pPr>
      <w:r>
        <w:rPr>
          <w:lang w:eastAsia="zh-CN"/>
        </w:rPr>
        <w:pict>
          <v:shape id="_x0000_s1032" o:spid="_x0000_s1032" o:spt="75" alt="SKM_80824093011530_0004" type="#_x0000_t75" style="position:absolute;left:0pt;margin-left:74pt;margin-top:3.25pt;height:411pt;width:580.5pt;z-index:251662336;mso-width-relative:page;mso-height-relative:page;" filled="f" o:preferrelative="t" stroked="f" coordsize="21600,21600">
            <v:path/>
            <v:fill on="f" focussize="0,0"/>
            <v:stroke on="f" joinstyle="miter"/>
            <v:imagedata r:id="rId21" o:title=""/>
            <o:lock v:ext="edit" aspectratio="t"/>
          </v:shape>
        </w:pict>
      </w:r>
      <w:r>
        <w:rPr>
          <w:lang w:eastAsia="zh-CN"/>
        </w:rPr>
        <w:pict>
          <v:shape id="_x0000_i1025" o:spt="75" type="#_x0000_t75" style="height:404.25pt;width:579pt;" filled="f" o:preferrelative="t" stroked="f" coordsize="21600,21600">
            <v:path/>
            <v:fill on="f" focussize="0,0"/>
            <v:stroke on="f" joinstyle="miter"/>
            <v:imagedata r:id="rId22" croptop="-65521f" cropbottom="65521f" o:title=""/>
            <o:lock v:ext="edit" aspectratio="t"/>
            <w10:wrap type="none"/>
            <w10:anchorlock/>
          </v:shape>
        </w:pict>
      </w:r>
    </w:p>
    <w:p w14:paraId="29C958A8">
      <w:pPr>
        <w:ind w:firstLine="640"/>
        <w:rPr>
          <w:lang w:eastAsia="zh-CN"/>
        </w:rPr>
      </w:pPr>
      <w:r>
        <w:rPr>
          <w:lang w:eastAsia="zh-CN"/>
        </w:rPr>
        <w:pict>
          <v:shape id="_x0000_s1033" o:spid="_x0000_s1033" o:spt="75" alt="SKM_80824093011530_0005" type="#_x0000_t75" style="position:absolute;left:0pt;margin-left:81pt;margin-top:-1.8pt;height:411pt;width:580.5pt;z-index:251664384;mso-width-relative:page;mso-height-relative:page;" filled="f" o:preferrelative="t" stroked="f" coordsize="21600,21600">
            <v:path/>
            <v:fill on="f" focussize="0,0"/>
            <v:stroke on="f" joinstyle="miter"/>
            <v:imagedata r:id="rId23" o:title=""/>
            <o:lock v:ext="edit" aspectratio="t"/>
          </v:shape>
        </w:pict>
      </w:r>
    </w:p>
    <w:p w14:paraId="669F51EF">
      <w:pPr>
        <w:ind w:firstLine="640"/>
        <w:rPr>
          <w:lang w:eastAsia="zh-CN"/>
        </w:rPr>
      </w:pPr>
    </w:p>
    <w:p w14:paraId="34962CBB">
      <w:pPr>
        <w:ind w:firstLine="640"/>
        <w:rPr>
          <w:lang w:eastAsia="zh-CN"/>
        </w:rPr>
      </w:pPr>
    </w:p>
    <w:p w14:paraId="162BFBA2">
      <w:pPr>
        <w:ind w:firstLine="640"/>
        <w:rPr>
          <w:lang w:eastAsia="zh-CN"/>
        </w:rPr>
      </w:pPr>
    </w:p>
    <w:p w14:paraId="30C4D3DF">
      <w:pPr>
        <w:ind w:firstLine="640"/>
        <w:rPr>
          <w:lang w:eastAsia="zh-CN"/>
        </w:rPr>
      </w:pPr>
    </w:p>
    <w:p w14:paraId="103FB7A6">
      <w:pPr>
        <w:ind w:firstLine="640"/>
        <w:rPr>
          <w:lang w:eastAsia="zh-CN"/>
        </w:rPr>
      </w:pPr>
    </w:p>
    <w:p w14:paraId="6C018EDA">
      <w:pPr>
        <w:ind w:firstLine="640"/>
        <w:rPr>
          <w:lang w:eastAsia="zh-CN"/>
        </w:rPr>
      </w:pPr>
    </w:p>
    <w:p w14:paraId="61753AE0">
      <w:pPr>
        <w:ind w:firstLine="640"/>
        <w:rPr>
          <w:lang w:eastAsia="zh-CN"/>
        </w:rPr>
      </w:pPr>
    </w:p>
    <w:p w14:paraId="10329012">
      <w:pPr>
        <w:ind w:firstLine="640"/>
        <w:rPr>
          <w:lang w:eastAsia="zh-CN"/>
        </w:rPr>
      </w:pPr>
    </w:p>
    <w:p w14:paraId="74095426">
      <w:pPr>
        <w:ind w:firstLine="640"/>
        <w:rPr>
          <w:lang w:eastAsia="zh-CN"/>
        </w:rPr>
      </w:pPr>
    </w:p>
    <w:p w14:paraId="1BAFCB5E">
      <w:pPr>
        <w:ind w:firstLine="640"/>
        <w:rPr>
          <w:lang w:eastAsia="zh-CN"/>
        </w:rPr>
      </w:pPr>
    </w:p>
    <w:p w14:paraId="0AA4F560">
      <w:pPr>
        <w:ind w:firstLine="640"/>
        <w:rPr>
          <w:lang w:eastAsia="zh-CN"/>
        </w:rPr>
      </w:pPr>
    </w:p>
    <w:p w14:paraId="554E1A84">
      <w:pPr>
        <w:ind w:firstLine="640"/>
        <w:rPr>
          <w:lang w:eastAsia="zh-CN"/>
        </w:rPr>
      </w:pPr>
    </w:p>
    <w:p w14:paraId="1C10D4A7">
      <w:pPr>
        <w:ind w:firstLine="640"/>
        <w:rPr>
          <w:lang w:eastAsia="zh-CN"/>
        </w:rPr>
      </w:pPr>
    </w:p>
    <w:p w14:paraId="2E42DD64">
      <w:pPr>
        <w:ind w:firstLine="640"/>
        <w:rPr>
          <w:lang w:eastAsia="zh-CN"/>
        </w:rPr>
      </w:pPr>
      <w:r>
        <w:rPr>
          <w:lang w:eastAsia="zh-CN"/>
        </w:rPr>
        <w:pict>
          <v:shape id="_x0000_s1034" o:spid="_x0000_s1034" o:spt="75" alt="SKM_80824093011530_0006" type="#_x0000_t75" style="position:absolute;left:0pt;margin-left:81pt;margin-top:1.1pt;height:411pt;width:580.5pt;z-index:251665408;mso-width-relative:page;mso-height-relative:page;" filled="f" o:preferrelative="t" stroked="f" coordsize="21600,21600">
            <v:path/>
            <v:fill on="f" focussize="0,0"/>
            <v:stroke on="f" joinstyle="miter"/>
            <v:imagedata r:id="rId24" o:title=""/>
            <o:lock v:ext="edit" aspectratio="t"/>
          </v:shape>
        </w:pict>
      </w:r>
    </w:p>
    <w:p w14:paraId="176856A8">
      <w:pPr>
        <w:ind w:firstLine="640"/>
        <w:rPr>
          <w:lang w:eastAsia="zh-CN"/>
        </w:rPr>
      </w:pPr>
    </w:p>
    <w:p w14:paraId="69A13069">
      <w:pPr>
        <w:ind w:firstLine="640"/>
        <w:rPr>
          <w:lang w:eastAsia="zh-CN"/>
        </w:rPr>
      </w:pPr>
    </w:p>
    <w:p w14:paraId="5C993ECE">
      <w:pPr>
        <w:ind w:firstLine="640"/>
        <w:rPr>
          <w:lang w:eastAsia="zh-CN"/>
        </w:rPr>
      </w:pPr>
    </w:p>
    <w:p w14:paraId="65105411">
      <w:pPr>
        <w:ind w:firstLine="640"/>
        <w:rPr>
          <w:lang w:eastAsia="zh-CN"/>
        </w:rPr>
      </w:pPr>
    </w:p>
    <w:p w14:paraId="77E4E415">
      <w:pPr>
        <w:ind w:firstLine="640"/>
        <w:rPr>
          <w:lang w:eastAsia="zh-CN"/>
        </w:rPr>
      </w:pPr>
    </w:p>
    <w:p w14:paraId="4A94D42B">
      <w:pPr>
        <w:ind w:firstLine="640"/>
        <w:rPr>
          <w:lang w:eastAsia="zh-CN"/>
        </w:rPr>
      </w:pPr>
    </w:p>
    <w:p w14:paraId="5914A082">
      <w:pPr>
        <w:ind w:firstLine="640"/>
        <w:rPr>
          <w:lang w:eastAsia="zh-CN"/>
        </w:rPr>
      </w:pPr>
    </w:p>
    <w:p w14:paraId="33A3E127">
      <w:pPr>
        <w:ind w:firstLine="640"/>
        <w:rPr>
          <w:lang w:eastAsia="zh-CN"/>
        </w:rPr>
      </w:pPr>
    </w:p>
    <w:p w14:paraId="3643FFB3">
      <w:pPr>
        <w:ind w:firstLine="640"/>
        <w:rPr>
          <w:lang w:eastAsia="zh-CN"/>
        </w:rPr>
      </w:pPr>
    </w:p>
    <w:p w14:paraId="19F14678">
      <w:pPr>
        <w:ind w:firstLine="640"/>
        <w:rPr>
          <w:lang w:eastAsia="zh-CN"/>
        </w:rPr>
      </w:pPr>
    </w:p>
    <w:p w14:paraId="2FABDA47">
      <w:pPr>
        <w:ind w:firstLine="640"/>
        <w:rPr>
          <w:lang w:eastAsia="zh-CN"/>
        </w:rPr>
      </w:pPr>
    </w:p>
    <w:p w14:paraId="128B4C50">
      <w:pPr>
        <w:ind w:firstLine="640"/>
        <w:rPr>
          <w:lang w:eastAsia="zh-CN"/>
        </w:rPr>
      </w:pPr>
    </w:p>
    <w:p w14:paraId="30AD8AFB">
      <w:pPr>
        <w:ind w:firstLine="640"/>
        <w:rPr>
          <w:lang w:eastAsia="zh-CN"/>
        </w:rPr>
      </w:pPr>
    </w:p>
    <w:p w14:paraId="02124DF3">
      <w:pPr>
        <w:ind w:firstLine="640"/>
        <w:rPr>
          <w:lang w:eastAsia="zh-CN"/>
        </w:rPr>
      </w:pPr>
      <w:r>
        <w:rPr>
          <w:lang w:eastAsia="zh-CN"/>
        </w:rPr>
        <w:pict>
          <v:shape id="_x0000_s1035" o:spid="_x0000_s1035" o:spt="75" alt="SKM_80824093011530_0007" type="#_x0000_t75" style="position:absolute;left:0pt;margin-left:49pt;margin-top:-1.8pt;height:411pt;width:580.5pt;mso-position-horizontal-relative:char;mso-position-vertical-relative:line;z-index:251659264;mso-width-relative:page;mso-height-relative:page;" filled="f" o:preferrelative="t" stroked="f" coordsize="21600,21600">
            <v:path/>
            <v:fill on="f" focussize="0,0"/>
            <v:stroke on="f" joinstyle="miter"/>
            <v:imagedata r:id="rId25" o:title=""/>
            <o:lock v:ext="edit" aspectratio="t"/>
          </v:shape>
        </w:pict>
      </w:r>
    </w:p>
    <w:p w14:paraId="3A06FA48">
      <w:pPr>
        <w:ind w:firstLine="640"/>
        <w:rPr>
          <w:lang w:eastAsia="zh-CN"/>
        </w:rPr>
      </w:pPr>
    </w:p>
    <w:p w14:paraId="559A53A1">
      <w:pPr>
        <w:ind w:firstLine="640"/>
        <w:rPr>
          <w:lang w:eastAsia="zh-CN"/>
        </w:rPr>
      </w:pPr>
    </w:p>
    <w:p w14:paraId="029E1AC1">
      <w:pPr>
        <w:ind w:firstLine="640"/>
        <w:rPr>
          <w:lang w:eastAsia="zh-CN"/>
        </w:rPr>
      </w:pPr>
    </w:p>
    <w:p w14:paraId="5A1F9A43">
      <w:pPr>
        <w:ind w:firstLine="640"/>
        <w:rPr>
          <w:lang w:eastAsia="zh-CN"/>
        </w:rPr>
      </w:pPr>
    </w:p>
    <w:p w14:paraId="018375B6">
      <w:pPr>
        <w:ind w:firstLine="640"/>
        <w:rPr>
          <w:lang w:eastAsia="zh-CN"/>
        </w:rPr>
      </w:pPr>
    </w:p>
    <w:p w14:paraId="067ACD28">
      <w:pPr>
        <w:ind w:firstLine="640"/>
        <w:rPr>
          <w:lang w:eastAsia="zh-CN"/>
        </w:rPr>
      </w:pPr>
    </w:p>
    <w:p w14:paraId="5B839F37">
      <w:pPr>
        <w:ind w:firstLine="640"/>
        <w:rPr>
          <w:lang w:eastAsia="zh-CN"/>
        </w:rPr>
      </w:pPr>
    </w:p>
    <w:p w14:paraId="7B3894C2">
      <w:pPr>
        <w:ind w:firstLine="640"/>
        <w:rPr>
          <w:lang w:eastAsia="zh-CN"/>
        </w:rPr>
      </w:pPr>
    </w:p>
    <w:p w14:paraId="7DEC6729">
      <w:pPr>
        <w:ind w:firstLine="640"/>
        <w:rPr>
          <w:lang w:eastAsia="zh-CN"/>
        </w:rPr>
      </w:pPr>
    </w:p>
    <w:p w14:paraId="58EE4C61">
      <w:pPr>
        <w:ind w:firstLine="640"/>
        <w:rPr>
          <w:lang w:eastAsia="zh-CN"/>
        </w:rPr>
      </w:pPr>
    </w:p>
    <w:p w14:paraId="1620FAD0">
      <w:pPr>
        <w:ind w:firstLine="640"/>
        <w:rPr>
          <w:lang w:eastAsia="zh-CN"/>
        </w:rPr>
      </w:pPr>
    </w:p>
    <w:p w14:paraId="7046F796">
      <w:pPr>
        <w:ind w:firstLine="640"/>
        <w:rPr>
          <w:lang w:eastAsia="zh-CN"/>
        </w:rPr>
      </w:pPr>
    </w:p>
    <w:p w14:paraId="1143BBC8">
      <w:pPr>
        <w:ind w:firstLine="640"/>
        <w:rPr>
          <w:lang w:eastAsia="zh-CN"/>
        </w:rPr>
      </w:pPr>
    </w:p>
    <w:sectPr>
      <w:headerReference r:id="rId15" w:type="default"/>
      <w:footerReference r:id="rId1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C81D">
    <w:pPr>
      <w:pStyle w:val="8"/>
      <w:framePr w:wrap="around" w:vAnchor="text" w:hAnchor="margin" w:xAlign="outside" w:y="1"/>
      <w:ind w:firstLine="198" w:firstLineChars="71"/>
      <w:rPr>
        <w:rStyle w:val="18"/>
        <w:sz w:val="28"/>
        <w:szCs w:val="28"/>
      </w:rPr>
    </w:pPr>
    <w:r>
      <w:rPr>
        <w:rStyle w:val="18"/>
        <w:sz w:val="28"/>
        <w:szCs w:val="28"/>
      </w:rPr>
      <w:fldChar w:fldCharType="begin"/>
    </w:r>
    <w:r>
      <w:rPr>
        <w:rStyle w:val="18"/>
        <w:sz w:val="28"/>
        <w:szCs w:val="28"/>
      </w:rPr>
      <w:instrText xml:space="preserve">PAGE  </w:instrText>
    </w:r>
    <w:r>
      <w:rPr>
        <w:rStyle w:val="18"/>
        <w:sz w:val="28"/>
        <w:szCs w:val="28"/>
      </w:rPr>
      <w:fldChar w:fldCharType="separate"/>
    </w:r>
    <w:r>
      <w:rPr>
        <w:rStyle w:val="18"/>
        <w:sz w:val="28"/>
        <w:szCs w:val="28"/>
      </w:rPr>
      <w:t>- 1 -</w:t>
    </w:r>
    <w:r>
      <w:rPr>
        <w:rStyle w:val="18"/>
        <w:sz w:val="28"/>
        <w:szCs w:val="28"/>
      </w:rPr>
      <w:fldChar w:fldCharType="end"/>
    </w:r>
  </w:p>
  <w:p w14:paraId="671F388A">
    <w:pPr>
      <w:ind w:right="360" w:firstLine="360" w:firstLineChars="0"/>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E5356">
    <w:pPr>
      <w:pStyle w:val="8"/>
      <w:framePr w:wrap="around" w:vAnchor="text" w:hAnchor="margin" w:xAlign="center" w:y="1"/>
      <w:ind w:firstLine="360"/>
      <w:rPr>
        <w:rStyle w:val="18"/>
        <w:rFonts w:cs="Arial"/>
      </w:rPr>
    </w:pPr>
    <w:r>
      <w:rPr>
        <w:rStyle w:val="18"/>
        <w:rFonts w:cs="Arial"/>
      </w:rPr>
      <w:fldChar w:fldCharType="begin"/>
    </w:r>
    <w:r>
      <w:rPr>
        <w:rStyle w:val="18"/>
        <w:rFonts w:cs="Arial"/>
      </w:rPr>
      <w:instrText xml:space="preserve">PAGE  </w:instrText>
    </w:r>
    <w:r>
      <w:rPr>
        <w:rStyle w:val="18"/>
        <w:rFonts w:cs="Arial"/>
      </w:rPr>
      <w:fldChar w:fldCharType="end"/>
    </w:r>
  </w:p>
  <w:p w14:paraId="32703AE5">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772F8">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F1C17">
    <w:pPr>
      <w:ind w:right="360" w:firstLine="360" w:firstLineChars="0"/>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2D54D">
    <w:pPr>
      <w:pStyle w:val="8"/>
      <w:ind w:firstLine="360"/>
      <w:jc w:val="center"/>
      <w:rPr>
        <w:color w:val="auto"/>
      </w:rPr>
    </w:pPr>
    <w:r>
      <w:rPr>
        <w:color w:val="auto"/>
      </w:rPr>
      <w:fldChar w:fldCharType="begin"/>
    </w:r>
    <w:r>
      <w:rPr>
        <w:color w:val="auto"/>
      </w:rPr>
      <w:instrText xml:space="preserve">PAGE  \* ROMAN  \* MERGEFORMAT</w:instrText>
    </w:r>
    <w:r>
      <w:rPr>
        <w:color w:val="auto"/>
      </w:rPr>
      <w:fldChar w:fldCharType="separate"/>
    </w:r>
    <w:r>
      <w:rPr>
        <w:color w:val="auto"/>
        <w:sz w:val="28"/>
        <w:szCs w:val="28"/>
        <w:lang w:val="zh-CN" w:eastAsia="zh-CN"/>
      </w:rPr>
      <w:t>III</w:t>
    </w:r>
    <w:r>
      <w:rPr>
        <w:color w:val="auto"/>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BAE96">
    <w:pPr>
      <w:pStyle w:val="8"/>
      <w:framePr w:wrap="around" w:vAnchor="text" w:hAnchor="margin" w:xAlign="outside" w:y="1"/>
      <w:ind w:firstLine="0" w:firstLineChars="0"/>
      <w:rPr>
        <w:rStyle w:val="18"/>
        <w:sz w:val="28"/>
        <w:szCs w:val="28"/>
      </w:rPr>
    </w:pPr>
    <w:r>
      <w:rPr>
        <w:rStyle w:val="18"/>
        <w:sz w:val="28"/>
        <w:szCs w:val="28"/>
      </w:rPr>
      <w:fldChar w:fldCharType="begin"/>
    </w:r>
    <w:r>
      <w:rPr>
        <w:rStyle w:val="18"/>
        <w:sz w:val="28"/>
        <w:szCs w:val="28"/>
      </w:rPr>
      <w:instrText xml:space="preserve">PAGE  </w:instrText>
    </w:r>
    <w:r>
      <w:rPr>
        <w:rStyle w:val="18"/>
        <w:sz w:val="28"/>
        <w:szCs w:val="28"/>
      </w:rPr>
      <w:fldChar w:fldCharType="separate"/>
    </w:r>
    <w:r>
      <w:rPr>
        <w:rStyle w:val="18"/>
        <w:sz w:val="28"/>
        <w:szCs w:val="28"/>
      </w:rPr>
      <w:t>- 46 -</w:t>
    </w:r>
    <w:r>
      <w:rPr>
        <w:rStyle w:val="18"/>
        <w:sz w:val="28"/>
        <w:szCs w:val="28"/>
      </w:rPr>
      <w:fldChar w:fldCharType="end"/>
    </w:r>
  </w:p>
  <w:p w14:paraId="0B9F61F8">
    <w:pPr>
      <w:ind w:right="360" w:firstLine="360" w:firstLineChars="0"/>
      <w:rPr>
        <w:lang w:eastAsia="zh-C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98E04">
    <w:pPr>
      <w:pStyle w:val="8"/>
      <w:framePr w:wrap="around" w:vAnchor="text" w:hAnchor="margin" w:xAlign="center" w:y="1"/>
      <w:ind w:firstLine="560"/>
      <w:rPr>
        <w:rStyle w:val="18"/>
        <w:sz w:val="28"/>
        <w:szCs w:val="28"/>
      </w:rPr>
    </w:pPr>
    <w:r>
      <w:rPr>
        <w:rStyle w:val="18"/>
        <w:sz w:val="28"/>
        <w:szCs w:val="28"/>
      </w:rPr>
      <w:fldChar w:fldCharType="begin"/>
    </w:r>
    <w:r>
      <w:rPr>
        <w:rStyle w:val="18"/>
        <w:sz w:val="28"/>
        <w:szCs w:val="28"/>
      </w:rPr>
      <w:instrText xml:space="preserve">PAGE  </w:instrText>
    </w:r>
    <w:r>
      <w:rPr>
        <w:rStyle w:val="18"/>
        <w:sz w:val="28"/>
        <w:szCs w:val="28"/>
      </w:rPr>
      <w:fldChar w:fldCharType="separate"/>
    </w:r>
    <w:r>
      <w:rPr>
        <w:rStyle w:val="18"/>
        <w:sz w:val="28"/>
        <w:szCs w:val="28"/>
      </w:rPr>
      <w:t>- 53 -</w:t>
    </w:r>
    <w:r>
      <w:rPr>
        <w:rStyle w:val="18"/>
        <w:sz w:val="28"/>
        <w:szCs w:val="28"/>
      </w:rPr>
      <w:fldChar w:fldCharType="end"/>
    </w:r>
  </w:p>
  <w:p w14:paraId="3F50C1A7">
    <w:pPr>
      <w:pStyle w:val="8"/>
      <w:ind w:firstLine="0" w:firstLineChars="0"/>
      <w:rPr>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5BFD5">
    <w:pPr>
      <w:pStyle w:val="9"/>
      <w:pBdr>
        <w:top w:val="none" w:color="auto" w:sz="0" w:space="0"/>
        <w:left w:val="none" w:color="auto" w:sz="0" w:space="0"/>
        <w:bottom w:val="none" w:color="auto" w:sz="0" w:space="0"/>
        <w:right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F69F2">
    <w:pPr>
      <w:pStyle w:val="9"/>
      <w:pBdr>
        <w:top w:val="none" w:color="auto" w:sz="0" w:space="0"/>
        <w:left w:val="none" w:color="auto" w:sz="0" w:space="0"/>
        <w:bottom w:val="none" w:color="auto" w:sz="0" w:space="0"/>
        <w:right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40614">
    <w:pPr>
      <w:pStyle w:val="9"/>
      <w:pBdr>
        <w:top w:val="none" w:color="auto" w:sz="0" w:space="0"/>
        <w:left w:val="none" w:color="auto" w:sz="0" w:space="0"/>
        <w:bottom w:val="none" w:color="auto" w:sz="0" w:space="0"/>
        <w:right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17056">
    <w:pPr>
      <w:pBdr>
        <w:bottom w:val="single" w:color="auto" w:sz="4" w:space="1"/>
      </w:pBdr>
      <w:spacing w:line="240" w:lineRule="auto"/>
      <w:ind w:firstLine="700" w:firstLineChars="250"/>
      <w:outlineLvl w:val="0"/>
      <w:rPr>
        <w:sz w:val="28"/>
        <w:szCs w:val="28"/>
        <w:lang w:eastAsia="zh-CN"/>
      </w:rPr>
    </w:pPr>
    <w:r>
      <w:rPr>
        <w:rFonts w:hint="eastAsia" w:cs="黑体"/>
        <w:color w:val="auto"/>
        <w:sz w:val="28"/>
        <w:szCs w:val="28"/>
        <w:lang w:eastAsia="zh-CN"/>
      </w:rPr>
      <w:t>安岳县建筑垃圾污染环境防治专项规划（</w:t>
    </w:r>
    <w:r>
      <w:rPr>
        <w:rFonts w:cs="黑体"/>
        <w:color w:val="auto"/>
        <w:sz w:val="28"/>
        <w:szCs w:val="28"/>
        <w:lang w:eastAsia="zh-CN"/>
      </w:rPr>
      <w:t>2024—2035</w:t>
    </w:r>
    <w:r>
      <w:rPr>
        <w:rFonts w:hint="eastAsia" w:cs="黑体"/>
        <w:color w:val="auto"/>
        <w:sz w:val="28"/>
        <w:szCs w:val="28"/>
        <w:lang w:eastAsia="zh-CN"/>
      </w:rPr>
      <w:t>年）</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FBB6B">
    <w:pPr>
      <w:pBdr>
        <w:bottom w:val="single" w:color="auto" w:sz="4" w:space="1"/>
      </w:pBdr>
      <w:spacing w:line="240" w:lineRule="auto"/>
      <w:ind w:firstLine="700" w:firstLineChars="250"/>
      <w:outlineLvl w:val="0"/>
      <w:rPr>
        <w:sz w:val="28"/>
        <w:szCs w:val="28"/>
        <w:lang w:eastAsia="zh-CN"/>
      </w:rPr>
    </w:pPr>
    <w:r>
      <w:rPr>
        <w:rFonts w:hint="eastAsia" w:cs="黑体"/>
        <w:color w:val="auto"/>
        <w:sz w:val="28"/>
        <w:szCs w:val="28"/>
        <w:lang w:eastAsia="zh-CN"/>
      </w:rPr>
      <w:t>安岳县建筑垃圾污染环境防治专项规划（</w:t>
    </w:r>
    <w:r>
      <w:rPr>
        <w:rFonts w:cs="黑体"/>
        <w:color w:val="auto"/>
        <w:sz w:val="28"/>
        <w:szCs w:val="28"/>
        <w:lang w:eastAsia="zh-CN"/>
      </w:rPr>
      <w:t>2024—2035</w:t>
    </w:r>
    <w:r>
      <w:rPr>
        <w:rFonts w:hint="eastAsia" w:cs="黑体"/>
        <w:color w:val="auto"/>
        <w:sz w:val="28"/>
        <w:szCs w:val="28"/>
        <w:lang w:eastAsia="zh-CN"/>
      </w:rPr>
      <w:t>年）</w:t>
    </w:r>
  </w:p>
  <w:p w14:paraId="2D9F5648">
    <w:pPr>
      <w:tabs>
        <w:tab w:val="left" w:pos="1506"/>
      </w:tabs>
      <w:spacing w:line="240" w:lineRule="auto"/>
      <w:ind w:firstLine="700" w:firstLineChars="250"/>
      <w:outlineLvl w:val="0"/>
      <w:rPr>
        <w:sz w:val="28"/>
        <w:szCs w:val="2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B3187B"/>
    <w:multiLevelType w:val="singleLevel"/>
    <w:tmpl w:val="82B3187B"/>
    <w:lvl w:ilvl="0" w:tentative="0">
      <w:start w:val="5"/>
      <w:numFmt w:val="chineseCounting"/>
      <w:suff w:val="space"/>
      <w:lvlText w:val="第%1节"/>
      <w:lvlJc w:val="left"/>
      <w:rPr>
        <w:rFonts w:hint="eastAsia" w:cs="Times New Roman"/>
        <w:b w:val="0"/>
      </w:rPr>
    </w:lvl>
  </w:abstractNum>
  <w:abstractNum w:abstractNumId="1">
    <w:nsid w:val="B133605E"/>
    <w:multiLevelType w:val="singleLevel"/>
    <w:tmpl w:val="B133605E"/>
    <w:lvl w:ilvl="0" w:tentative="0">
      <w:start w:val="1"/>
      <w:numFmt w:val="chineseCounting"/>
      <w:suff w:val="space"/>
      <w:lvlText w:val="第%1节"/>
      <w:lvlJc w:val="left"/>
      <w:rPr>
        <w:rFonts w:hint="eastAsia" w:cs="Times New Roman"/>
      </w:rPr>
    </w:lvl>
  </w:abstractNum>
  <w:abstractNum w:abstractNumId="2">
    <w:nsid w:val="121C78FC"/>
    <w:multiLevelType w:val="multilevel"/>
    <w:tmpl w:val="121C78FC"/>
    <w:lvl w:ilvl="0" w:tentative="0">
      <w:start w:val="1"/>
      <w:numFmt w:val="japaneseCounting"/>
      <w:lvlText w:val="第%1章"/>
      <w:lvlJc w:val="left"/>
      <w:pPr>
        <w:tabs>
          <w:tab w:val="left" w:pos="1440"/>
        </w:tabs>
        <w:ind w:left="1440" w:hanging="144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221"/>
  <w:displayVerticalDrawingGridEvery w:val="2"/>
  <w:noPunctuationKerning w:val="1"/>
  <w:characterSpacingControl w:val="doNotCompress"/>
  <w:noLineBreaksAfter w:lang="zh-CN" w:val="$([{£¥·‘“〈《「『【〔〖〝﹙﹛﹝＄（．［｛￡￥"/>
  <w:noLineBreaksBefore w:lang="zh-CN" w:val="!%),.:;&gt;?]}¢¨°·ˇˉ―‖’”…‰′″›℃∶、。〃〉》」』】〕〗〞︶︺︾﹀﹄﹚﹜﹞！＂％＇），．：；？］｀｜｝～￠"/>
  <w:footnotePr>
    <w:footnote w:id="0"/>
    <w:footnote w:id="1"/>
  </w:footnotePr>
  <w:endnotePr>
    <w:endnote w:id="0"/>
    <w:endnote w:id="1"/>
  </w:endnotePr>
  <w:compat>
    <w:spaceForUL/>
    <w:ulTrailSpac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DU3NTI3ZGQzNGI5YzdjMTg0YTYzZDFiZmZiYTdlZWUifQ=="/>
  </w:docVars>
  <w:rsids>
    <w:rsidRoot w:val="00A143FA"/>
    <w:rsid w:val="000144D0"/>
    <w:rsid w:val="00015AB7"/>
    <w:rsid w:val="00016D58"/>
    <w:rsid w:val="00023440"/>
    <w:rsid w:val="00025877"/>
    <w:rsid w:val="0003247B"/>
    <w:rsid w:val="00034548"/>
    <w:rsid w:val="00057AFB"/>
    <w:rsid w:val="00063BFD"/>
    <w:rsid w:val="0009200C"/>
    <w:rsid w:val="000931ED"/>
    <w:rsid w:val="000A2742"/>
    <w:rsid w:val="000B014E"/>
    <w:rsid w:val="000C6973"/>
    <w:rsid w:val="0010507C"/>
    <w:rsid w:val="0010764D"/>
    <w:rsid w:val="001109B7"/>
    <w:rsid w:val="0012739B"/>
    <w:rsid w:val="00132F38"/>
    <w:rsid w:val="0013355A"/>
    <w:rsid w:val="001342B7"/>
    <w:rsid w:val="00134827"/>
    <w:rsid w:val="0014199E"/>
    <w:rsid w:val="00145885"/>
    <w:rsid w:val="00154E5F"/>
    <w:rsid w:val="001603E3"/>
    <w:rsid w:val="00162343"/>
    <w:rsid w:val="00184AFE"/>
    <w:rsid w:val="001976CF"/>
    <w:rsid w:val="001A045A"/>
    <w:rsid w:val="001A0CE0"/>
    <w:rsid w:val="001B74F6"/>
    <w:rsid w:val="001C1433"/>
    <w:rsid w:val="001D1CCE"/>
    <w:rsid w:val="001D578D"/>
    <w:rsid w:val="001E23F9"/>
    <w:rsid w:val="001E697F"/>
    <w:rsid w:val="001E7F84"/>
    <w:rsid w:val="00200105"/>
    <w:rsid w:val="00203F22"/>
    <w:rsid w:val="00216B4B"/>
    <w:rsid w:val="002251BB"/>
    <w:rsid w:val="002300D5"/>
    <w:rsid w:val="00236455"/>
    <w:rsid w:val="0024540C"/>
    <w:rsid w:val="0024719A"/>
    <w:rsid w:val="00267B96"/>
    <w:rsid w:val="00274702"/>
    <w:rsid w:val="00276394"/>
    <w:rsid w:val="00281033"/>
    <w:rsid w:val="00286ABF"/>
    <w:rsid w:val="00290BA2"/>
    <w:rsid w:val="002B00F5"/>
    <w:rsid w:val="002B2E78"/>
    <w:rsid w:val="002B7F3C"/>
    <w:rsid w:val="002C22EB"/>
    <w:rsid w:val="002F3E1C"/>
    <w:rsid w:val="003051D1"/>
    <w:rsid w:val="0031063F"/>
    <w:rsid w:val="003526A5"/>
    <w:rsid w:val="003545E7"/>
    <w:rsid w:val="003718AA"/>
    <w:rsid w:val="003720B3"/>
    <w:rsid w:val="00375161"/>
    <w:rsid w:val="003758C7"/>
    <w:rsid w:val="00376F47"/>
    <w:rsid w:val="00380AD9"/>
    <w:rsid w:val="00382B15"/>
    <w:rsid w:val="0039770D"/>
    <w:rsid w:val="003B0FDD"/>
    <w:rsid w:val="003B3DF9"/>
    <w:rsid w:val="003F50C3"/>
    <w:rsid w:val="0040159B"/>
    <w:rsid w:val="0041649A"/>
    <w:rsid w:val="00420782"/>
    <w:rsid w:val="0042291E"/>
    <w:rsid w:val="00431538"/>
    <w:rsid w:val="00432AF9"/>
    <w:rsid w:val="00435227"/>
    <w:rsid w:val="004420D6"/>
    <w:rsid w:val="0045745B"/>
    <w:rsid w:val="00463DFE"/>
    <w:rsid w:val="00484C53"/>
    <w:rsid w:val="004A173C"/>
    <w:rsid w:val="004B2B84"/>
    <w:rsid w:val="004C38B5"/>
    <w:rsid w:val="004C5F30"/>
    <w:rsid w:val="004D0C7E"/>
    <w:rsid w:val="004E2C23"/>
    <w:rsid w:val="00504B50"/>
    <w:rsid w:val="005076BF"/>
    <w:rsid w:val="005122A2"/>
    <w:rsid w:val="00515015"/>
    <w:rsid w:val="00517BAC"/>
    <w:rsid w:val="00524270"/>
    <w:rsid w:val="00532DF5"/>
    <w:rsid w:val="005377A8"/>
    <w:rsid w:val="00555D90"/>
    <w:rsid w:val="00556CA6"/>
    <w:rsid w:val="005720EA"/>
    <w:rsid w:val="00573B3B"/>
    <w:rsid w:val="00577CE3"/>
    <w:rsid w:val="00585EE2"/>
    <w:rsid w:val="00590B1E"/>
    <w:rsid w:val="005B0D7C"/>
    <w:rsid w:val="005B1519"/>
    <w:rsid w:val="005D3829"/>
    <w:rsid w:val="005F276F"/>
    <w:rsid w:val="005F27D5"/>
    <w:rsid w:val="005F2C0E"/>
    <w:rsid w:val="00612882"/>
    <w:rsid w:val="006317B2"/>
    <w:rsid w:val="00651426"/>
    <w:rsid w:val="00694833"/>
    <w:rsid w:val="006A46E4"/>
    <w:rsid w:val="006B0D6D"/>
    <w:rsid w:val="006B357E"/>
    <w:rsid w:val="006B5348"/>
    <w:rsid w:val="006C1B39"/>
    <w:rsid w:val="006C1DAD"/>
    <w:rsid w:val="006D53F2"/>
    <w:rsid w:val="006E1053"/>
    <w:rsid w:val="00705DA5"/>
    <w:rsid w:val="007062A1"/>
    <w:rsid w:val="00724EA3"/>
    <w:rsid w:val="00742DFC"/>
    <w:rsid w:val="0074699C"/>
    <w:rsid w:val="00753AF9"/>
    <w:rsid w:val="007619DB"/>
    <w:rsid w:val="007774E0"/>
    <w:rsid w:val="0078280A"/>
    <w:rsid w:val="00784C3D"/>
    <w:rsid w:val="007D2DA4"/>
    <w:rsid w:val="00811DE8"/>
    <w:rsid w:val="00823BF1"/>
    <w:rsid w:val="00830D15"/>
    <w:rsid w:val="00840AFC"/>
    <w:rsid w:val="008450FA"/>
    <w:rsid w:val="008506C4"/>
    <w:rsid w:val="0086040A"/>
    <w:rsid w:val="00865D11"/>
    <w:rsid w:val="0087316E"/>
    <w:rsid w:val="0087328C"/>
    <w:rsid w:val="00877537"/>
    <w:rsid w:val="008839E1"/>
    <w:rsid w:val="008B03DB"/>
    <w:rsid w:val="008B5BA2"/>
    <w:rsid w:val="008C264B"/>
    <w:rsid w:val="008C54C5"/>
    <w:rsid w:val="008C6DE1"/>
    <w:rsid w:val="008C73F1"/>
    <w:rsid w:val="008D266B"/>
    <w:rsid w:val="008F00FF"/>
    <w:rsid w:val="008F45E2"/>
    <w:rsid w:val="009151BB"/>
    <w:rsid w:val="00921B04"/>
    <w:rsid w:val="00932844"/>
    <w:rsid w:val="00950FD6"/>
    <w:rsid w:val="0096462A"/>
    <w:rsid w:val="00983C03"/>
    <w:rsid w:val="009B40FE"/>
    <w:rsid w:val="009B5FB6"/>
    <w:rsid w:val="009D224F"/>
    <w:rsid w:val="009E765C"/>
    <w:rsid w:val="00A0622D"/>
    <w:rsid w:val="00A06415"/>
    <w:rsid w:val="00A143FA"/>
    <w:rsid w:val="00A22194"/>
    <w:rsid w:val="00A23DD8"/>
    <w:rsid w:val="00A26681"/>
    <w:rsid w:val="00A42370"/>
    <w:rsid w:val="00A4297F"/>
    <w:rsid w:val="00A64553"/>
    <w:rsid w:val="00A957ED"/>
    <w:rsid w:val="00AC3E5C"/>
    <w:rsid w:val="00AC6031"/>
    <w:rsid w:val="00AD5541"/>
    <w:rsid w:val="00B049D0"/>
    <w:rsid w:val="00B0589E"/>
    <w:rsid w:val="00B17FA4"/>
    <w:rsid w:val="00B2282D"/>
    <w:rsid w:val="00B234C4"/>
    <w:rsid w:val="00B27BA8"/>
    <w:rsid w:val="00B47175"/>
    <w:rsid w:val="00B65F26"/>
    <w:rsid w:val="00B725E9"/>
    <w:rsid w:val="00B73C6B"/>
    <w:rsid w:val="00B74C15"/>
    <w:rsid w:val="00B75259"/>
    <w:rsid w:val="00B7630F"/>
    <w:rsid w:val="00B833F0"/>
    <w:rsid w:val="00B862EF"/>
    <w:rsid w:val="00B93D60"/>
    <w:rsid w:val="00B96CDB"/>
    <w:rsid w:val="00BD0D35"/>
    <w:rsid w:val="00BD0F6A"/>
    <w:rsid w:val="00BE18FB"/>
    <w:rsid w:val="00BE23B9"/>
    <w:rsid w:val="00BE5F2F"/>
    <w:rsid w:val="00BF137D"/>
    <w:rsid w:val="00C00B63"/>
    <w:rsid w:val="00C01149"/>
    <w:rsid w:val="00C026AA"/>
    <w:rsid w:val="00C12E60"/>
    <w:rsid w:val="00C21A4C"/>
    <w:rsid w:val="00C24531"/>
    <w:rsid w:val="00C37890"/>
    <w:rsid w:val="00C53E1B"/>
    <w:rsid w:val="00C73333"/>
    <w:rsid w:val="00C74CB7"/>
    <w:rsid w:val="00C76B8E"/>
    <w:rsid w:val="00C90D23"/>
    <w:rsid w:val="00C95ACA"/>
    <w:rsid w:val="00CA7EEF"/>
    <w:rsid w:val="00CB3D63"/>
    <w:rsid w:val="00CB488C"/>
    <w:rsid w:val="00CC0334"/>
    <w:rsid w:val="00CC6ADE"/>
    <w:rsid w:val="00D00E3B"/>
    <w:rsid w:val="00D2317D"/>
    <w:rsid w:val="00D26D0D"/>
    <w:rsid w:val="00D30BDF"/>
    <w:rsid w:val="00D52420"/>
    <w:rsid w:val="00D52C51"/>
    <w:rsid w:val="00D552C3"/>
    <w:rsid w:val="00D80B23"/>
    <w:rsid w:val="00D85116"/>
    <w:rsid w:val="00D8600A"/>
    <w:rsid w:val="00DB2AA3"/>
    <w:rsid w:val="00DC0FCA"/>
    <w:rsid w:val="00DC2110"/>
    <w:rsid w:val="00DF5645"/>
    <w:rsid w:val="00DF67D0"/>
    <w:rsid w:val="00E02DE9"/>
    <w:rsid w:val="00E0521B"/>
    <w:rsid w:val="00E10FCC"/>
    <w:rsid w:val="00E46E88"/>
    <w:rsid w:val="00E50A81"/>
    <w:rsid w:val="00E61990"/>
    <w:rsid w:val="00E66471"/>
    <w:rsid w:val="00E67456"/>
    <w:rsid w:val="00E7194A"/>
    <w:rsid w:val="00E744AB"/>
    <w:rsid w:val="00E762C9"/>
    <w:rsid w:val="00E87B17"/>
    <w:rsid w:val="00EA1D22"/>
    <w:rsid w:val="00EA2611"/>
    <w:rsid w:val="00EA3502"/>
    <w:rsid w:val="00EA3E7C"/>
    <w:rsid w:val="00EA4923"/>
    <w:rsid w:val="00EB306B"/>
    <w:rsid w:val="00EC34B1"/>
    <w:rsid w:val="00ED2E75"/>
    <w:rsid w:val="00ED3845"/>
    <w:rsid w:val="00EE0BE7"/>
    <w:rsid w:val="00EE7226"/>
    <w:rsid w:val="00EE7C49"/>
    <w:rsid w:val="00EF0EC3"/>
    <w:rsid w:val="00EF0EFC"/>
    <w:rsid w:val="00EF1216"/>
    <w:rsid w:val="00F22102"/>
    <w:rsid w:val="00F2520F"/>
    <w:rsid w:val="00F30A05"/>
    <w:rsid w:val="00F36527"/>
    <w:rsid w:val="00F47EA7"/>
    <w:rsid w:val="00F72F62"/>
    <w:rsid w:val="00F82BF2"/>
    <w:rsid w:val="00F92390"/>
    <w:rsid w:val="00F94AC3"/>
    <w:rsid w:val="00FB00E1"/>
    <w:rsid w:val="00FC55FF"/>
    <w:rsid w:val="00FC5C61"/>
    <w:rsid w:val="00FD3975"/>
    <w:rsid w:val="00FE0F06"/>
    <w:rsid w:val="00FF4BE7"/>
    <w:rsid w:val="011E7F37"/>
    <w:rsid w:val="01550B94"/>
    <w:rsid w:val="022950E4"/>
    <w:rsid w:val="02987B74"/>
    <w:rsid w:val="02FD4C5E"/>
    <w:rsid w:val="03125AF4"/>
    <w:rsid w:val="031C3A79"/>
    <w:rsid w:val="034824D3"/>
    <w:rsid w:val="034F024B"/>
    <w:rsid w:val="03CF4DF1"/>
    <w:rsid w:val="03D50B20"/>
    <w:rsid w:val="0473288B"/>
    <w:rsid w:val="04D34B87"/>
    <w:rsid w:val="055E48FF"/>
    <w:rsid w:val="056F1060"/>
    <w:rsid w:val="05C500F9"/>
    <w:rsid w:val="05EF3F4F"/>
    <w:rsid w:val="06B65B10"/>
    <w:rsid w:val="06E164C8"/>
    <w:rsid w:val="06ED1310"/>
    <w:rsid w:val="074D2288"/>
    <w:rsid w:val="078679DD"/>
    <w:rsid w:val="07A35D27"/>
    <w:rsid w:val="07CE0252"/>
    <w:rsid w:val="07FA20DE"/>
    <w:rsid w:val="08C72E70"/>
    <w:rsid w:val="08F655F4"/>
    <w:rsid w:val="0955726C"/>
    <w:rsid w:val="096D1C24"/>
    <w:rsid w:val="09F8688F"/>
    <w:rsid w:val="0A8215AE"/>
    <w:rsid w:val="0AD83397"/>
    <w:rsid w:val="0CEB5675"/>
    <w:rsid w:val="0D472C9E"/>
    <w:rsid w:val="0E7D4D8C"/>
    <w:rsid w:val="0E971BCA"/>
    <w:rsid w:val="0EC57F43"/>
    <w:rsid w:val="0F2A53EB"/>
    <w:rsid w:val="0F44562E"/>
    <w:rsid w:val="0F516D14"/>
    <w:rsid w:val="0FD03739"/>
    <w:rsid w:val="0FD41F8C"/>
    <w:rsid w:val="0FE7556F"/>
    <w:rsid w:val="0FFC77D5"/>
    <w:rsid w:val="100603BB"/>
    <w:rsid w:val="105813F2"/>
    <w:rsid w:val="105F7F23"/>
    <w:rsid w:val="10CC6FA1"/>
    <w:rsid w:val="10DB3A4D"/>
    <w:rsid w:val="10DE5045"/>
    <w:rsid w:val="111C2229"/>
    <w:rsid w:val="11393B8F"/>
    <w:rsid w:val="114E109E"/>
    <w:rsid w:val="11A647E3"/>
    <w:rsid w:val="11AE1162"/>
    <w:rsid w:val="121A2075"/>
    <w:rsid w:val="12486F7F"/>
    <w:rsid w:val="13EB1A0B"/>
    <w:rsid w:val="14471976"/>
    <w:rsid w:val="147F1240"/>
    <w:rsid w:val="14C4364E"/>
    <w:rsid w:val="14EC07A3"/>
    <w:rsid w:val="1535527F"/>
    <w:rsid w:val="15BD5E8D"/>
    <w:rsid w:val="15F67BEF"/>
    <w:rsid w:val="15FB249C"/>
    <w:rsid w:val="167E4C03"/>
    <w:rsid w:val="16892BAB"/>
    <w:rsid w:val="175615D9"/>
    <w:rsid w:val="17825FC8"/>
    <w:rsid w:val="17B75204"/>
    <w:rsid w:val="18020307"/>
    <w:rsid w:val="18024F65"/>
    <w:rsid w:val="181920DF"/>
    <w:rsid w:val="18B21EA4"/>
    <w:rsid w:val="19297320"/>
    <w:rsid w:val="193C34F7"/>
    <w:rsid w:val="1A812238"/>
    <w:rsid w:val="1ACB4284"/>
    <w:rsid w:val="1ACD26DA"/>
    <w:rsid w:val="1C0F7166"/>
    <w:rsid w:val="1C982BAD"/>
    <w:rsid w:val="1D0B7468"/>
    <w:rsid w:val="1DB530CD"/>
    <w:rsid w:val="1DEB1826"/>
    <w:rsid w:val="1E8E4B87"/>
    <w:rsid w:val="1F5B44A3"/>
    <w:rsid w:val="1F6E4CA1"/>
    <w:rsid w:val="1F780DC2"/>
    <w:rsid w:val="21BA3AC3"/>
    <w:rsid w:val="22330422"/>
    <w:rsid w:val="240211E5"/>
    <w:rsid w:val="24047A39"/>
    <w:rsid w:val="249812C5"/>
    <w:rsid w:val="24B72134"/>
    <w:rsid w:val="24F24B76"/>
    <w:rsid w:val="25494FD2"/>
    <w:rsid w:val="25660998"/>
    <w:rsid w:val="257D2EF7"/>
    <w:rsid w:val="26492DAF"/>
    <w:rsid w:val="26B7240F"/>
    <w:rsid w:val="27993C4F"/>
    <w:rsid w:val="27F56311"/>
    <w:rsid w:val="280B6CCE"/>
    <w:rsid w:val="281F28D7"/>
    <w:rsid w:val="286A507E"/>
    <w:rsid w:val="286C5CD1"/>
    <w:rsid w:val="28731E99"/>
    <w:rsid w:val="296B4F15"/>
    <w:rsid w:val="29D03B03"/>
    <w:rsid w:val="2A314286"/>
    <w:rsid w:val="2AB2028A"/>
    <w:rsid w:val="2ACF7D27"/>
    <w:rsid w:val="2BD4136D"/>
    <w:rsid w:val="2C423F20"/>
    <w:rsid w:val="2CB03B88"/>
    <w:rsid w:val="2D382AE6"/>
    <w:rsid w:val="2D4E3625"/>
    <w:rsid w:val="2D58628E"/>
    <w:rsid w:val="2D80549A"/>
    <w:rsid w:val="2E4B1DBB"/>
    <w:rsid w:val="2E8C075A"/>
    <w:rsid w:val="2F1D4217"/>
    <w:rsid w:val="2F526EC2"/>
    <w:rsid w:val="2FAD43AF"/>
    <w:rsid w:val="2FBA331B"/>
    <w:rsid w:val="311A5EE6"/>
    <w:rsid w:val="321D581C"/>
    <w:rsid w:val="32335040"/>
    <w:rsid w:val="32974F27"/>
    <w:rsid w:val="32FE0260"/>
    <w:rsid w:val="333472C1"/>
    <w:rsid w:val="34332301"/>
    <w:rsid w:val="34CC6FAD"/>
    <w:rsid w:val="34E65F7C"/>
    <w:rsid w:val="36C705DF"/>
    <w:rsid w:val="36F60C8E"/>
    <w:rsid w:val="3833502D"/>
    <w:rsid w:val="386236E1"/>
    <w:rsid w:val="38875A04"/>
    <w:rsid w:val="38B37E7B"/>
    <w:rsid w:val="39EE7A9E"/>
    <w:rsid w:val="3A520673"/>
    <w:rsid w:val="3A8758CB"/>
    <w:rsid w:val="3AD44EE6"/>
    <w:rsid w:val="3BB0027F"/>
    <w:rsid w:val="3C4936B2"/>
    <w:rsid w:val="3C9935E9"/>
    <w:rsid w:val="3D3D7B51"/>
    <w:rsid w:val="3E1D6391"/>
    <w:rsid w:val="3E7013C9"/>
    <w:rsid w:val="3E881719"/>
    <w:rsid w:val="3EA01752"/>
    <w:rsid w:val="40304648"/>
    <w:rsid w:val="40364F60"/>
    <w:rsid w:val="41791EDC"/>
    <w:rsid w:val="417E3333"/>
    <w:rsid w:val="41DB754D"/>
    <w:rsid w:val="42E75262"/>
    <w:rsid w:val="43010842"/>
    <w:rsid w:val="43192944"/>
    <w:rsid w:val="432C1345"/>
    <w:rsid w:val="43346AE4"/>
    <w:rsid w:val="439B5565"/>
    <w:rsid w:val="441647C1"/>
    <w:rsid w:val="443773EC"/>
    <w:rsid w:val="447E4455"/>
    <w:rsid w:val="4504461A"/>
    <w:rsid w:val="4511217C"/>
    <w:rsid w:val="458235FF"/>
    <w:rsid w:val="46355B85"/>
    <w:rsid w:val="46A165C4"/>
    <w:rsid w:val="46AA102F"/>
    <w:rsid w:val="46BD54E2"/>
    <w:rsid w:val="46E02D59"/>
    <w:rsid w:val="46ED049D"/>
    <w:rsid w:val="46EF7145"/>
    <w:rsid w:val="4779309D"/>
    <w:rsid w:val="477C3F09"/>
    <w:rsid w:val="482113C3"/>
    <w:rsid w:val="48234F5D"/>
    <w:rsid w:val="488E2B78"/>
    <w:rsid w:val="493952FF"/>
    <w:rsid w:val="4AC035F0"/>
    <w:rsid w:val="4BCC5870"/>
    <w:rsid w:val="4BEC7EE1"/>
    <w:rsid w:val="4BF473F5"/>
    <w:rsid w:val="4C787DC7"/>
    <w:rsid w:val="4CD945DE"/>
    <w:rsid w:val="4D45451F"/>
    <w:rsid w:val="4D4B23C0"/>
    <w:rsid w:val="4D4C4DB0"/>
    <w:rsid w:val="4D6E22B8"/>
    <w:rsid w:val="4E0404F4"/>
    <w:rsid w:val="4E406E58"/>
    <w:rsid w:val="4ECC1479"/>
    <w:rsid w:val="4ED30AF9"/>
    <w:rsid w:val="4F065F7C"/>
    <w:rsid w:val="4F3557D2"/>
    <w:rsid w:val="4F4C553B"/>
    <w:rsid w:val="4F8612AD"/>
    <w:rsid w:val="4FAE4A52"/>
    <w:rsid w:val="51142B93"/>
    <w:rsid w:val="52350508"/>
    <w:rsid w:val="52C8312A"/>
    <w:rsid w:val="53701191"/>
    <w:rsid w:val="53A91F63"/>
    <w:rsid w:val="540262EE"/>
    <w:rsid w:val="54070703"/>
    <w:rsid w:val="550E1801"/>
    <w:rsid w:val="558114A9"/>
    <w:rsid w:val="575F5238"/>
    <w:rsid w:val="57FB0F33"/>
    <w:rsid w:val="580F6F59"/>
    <w:rsid w:val="588D4BFA"/>
    <w:rsid w:val="58A9608C"/>
    <w:rsid w:val="58DD435D"/>
    <w:rsid w:val="5B0E7B48"/>
    <w:rsid w:val="5B5B778F"/>
    <w:rsid w:val="5C2A2760"/>
    <w:rsid w:val="5C3929A3"/>
    <w:rsid w:val="5C717C28"/>
    <w:rsid w:val="5CCF758E"/>
    <w:rsid w:val="5D290F87"/>
    <w:rsid w:val="5D46139D"/>
    <w:rsid w:val="5D641F1C"/>
    <w:rsid w:val="5DF03535"/>
    <w:rsid w:val="5DF833AF"/>
    <w:rsid w:val="5E2D4D5B"/>
    <w:rsid w:val="5E455888"/>
    <w:rsid w:val="5EFF179C"/>
    <w:rsid w:val="5F2B056D"/>
    <w:rsid w:val="5F511622"/>
    <w:rsid w:val="60145C01"/>
    <w:rsid w:val="60163727"/>
    <w:rsid w:val="61A759F3"/>
    <w:rsid w:val="61BD0140"/>
    <w:rsid w:val="629628FD"/>
    <w:rsid w:val="62F33AF1"/>
    <w:rsid w:val="635F6DF4"/>
    <w:rsid w:val="63846496"/>
    <w:rsid w:val="638D2AFB"/>
    <w:rsid w:val="6399310A"/>
    <w:rsid w:val="63A0223E"/>
    <w:rsid w:val="63C46DD6"/>
    <w:rsid w:val="64FA78C8"/>
    <w:rsid w:val="6508598C"/>
    <w:rsid w:val="655D232E"/>
    <w:rsid w:val="659E2C3B"/>
    <w:rsid w:val="65F77F50"/>
    <w:rsid w:val="66D165FA"/>
    <w:rsid w:val="675A59D8"/>
    <w:rsid w:val="67801DCE"/>
    <w:rsid w:val="67FE1265"/>
    <w:rsid w:val="680E2769"/>
    <w:rsid w:val="689F118D"/>
    <w:rsid w:val="68F630DC"/>
    <w:rsid w:val="69AD7001"/>
    <w:rsid w:val="6A0C577D"/>
    <w:rsid w:val="6A0C7D24"/>
    <w:rsid w:val="6A9F2FFC"/>
    <w:rsid w:val="6ACF2DE9"/>
    <w:rsid w:val="6B2172BF"/>
    <w:rsid w:val="6B653CE2"/>
    <w:rsid w:val="6C2E5F2B"/>
    <w:rsid w:val="6CC83C25"/>
    <w:rsid w:val="6D413DAD"/>
    <w:rsid w:val="6F151769"/>
    <w:rsid w:val="6FE32EFA"/>
    <w:rsid w:val="70003A0E"/>
    <w:rsid w:val="70304E3D"/>
    <w:rsid w:val="726F4F19"/>
    <w:rsid w:val="730B30A4"/>
    <w:rsid w:val="734039B2"/>
    <w:rsid w:val="73577E87"/>
    <w:rsid w:val="74091FB6"/>
    <w:rsid w:val="74147B26"/>
    <w:rsid w:val="754504AA"/>
    <w:rsid w:val="75585D17"/>
    <w:rsid w:val="76051C5E"/>
    <w:rsid w:val="762B24BE"/>
    <w:rsid w:val="7806674B"/>
    <w:rsid w:val="78BC1C20"/>
    <w:rsid w:val="79FF3378"/>
    <w:rsid w:val="7A837898"/>
    <w:rsid w:val="7BED2E7E"/>
    <w:rsid w:val="7BF776F8"/>
    <w:rsid w:val="7C2C37A3"/>
    <w:rsid w:val="7C4275E9"/>
    <w:rsid w:val="7C8F102F"/>
    <w:rsid w:val="7CAA5B44"/>
    <w:rsid w:val="7DBF0280"/>
    <w:rsid w:val="7EF41035"/>
    <w:rsid w:val="7F4B41EC"/>
    <w:rsid w:val="7FAA7590"/>
    <w:rsid w:val="AF6F8869"/>
    <w:rsid w:val="EFEE2B47"/>
    <w:rsid w:val="F6DFE70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99" w:semiHidden="0" w:name="toc 1"/>
    <w:lsdException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unhideWhenUsed="0" w:uiPriority="99" w:semiHidden="0" w:name="header"/>
    <w:lsdException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nhideWhenUsed="0" w:uiPriority="99" w:name="Default Paragraph Font"/>
    <w:lsdException w:unhideWhenUsed="0" w:uiPriority="99" w:name="Body Text"/>
    <w:lsdException w:unhideWhenUsed="0" w:uiPriority="99" w:semiHidden="0"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nhideWhenUsed="0" w:uiPriority="99" w:semiHidden="0" w:name="Salutation"/>
    <w:lsdException w:uiPriority="99" w:name="Date" w:locked="1"/>
    <w:lsdException w:uiPriority="99" w:name="Body Text First Indent" w:locked="1"/>
    <w:lsdException w:unhideWhenUsed="0" w:uiPriority="99" w:semiHidden="0"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nhideWhenUsed="0" w:uiPriority="99" w:semiHidden="0" w:name="Hyperlink"/>
    <w:lsdException w:uiPriority="99" w:name="FollowedHyperlink" w:locked="1"/>
    <w:lsdException w:qFormat="1" w:unhideWhenUsed="0" w:uiPriority="99"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spacing w:line="580" w:lineRule="exact"/>
      <w:ind w:firstLine="200" w:firstLineChars="200"/>
      <w:jc w:val="both"/>
      <w:textAlignment w:val="baseline"/>
    </w:pPr>
    <w:rPr>
      <w:rFonts w:ascii="Times New Roman" w:hAnsi="Times New Roman" w:eastAsia="方正仿宋_GBK" w:cs="Arial"/>
      <w:color w:val="000000"/>
      <w:kern w:val="0"/>
      <w:sz w:val="32"/>
      <w:szCs w:val="30"/>
      <w:lang w:val="en-US" w:eastAsia="en-US" w:bidi="ar-SA"/>
    </w:rPr>
  </w:style>
  <w:style w:type="paragraph" w:styleId="2">
    <w:name w:val="heading 1"/>
    <w:basedOn w:val="1"/>
    <w:next w:val="1"/>
    <w:link w:val="20"/>
    <w:qFormat/>
    <w:uiPriority w:val="99"/>
    <w:pPr>
      <w:spacing w:line="660" w:lineRule="exact"/>
      <w:ind w:firstLine="0" w:firstLineChars="0"/>
      <w:jc w:val="center"/>
      <w:outlineLvl w:val="0"/>
    </w:pPr>
    <w:rPr>
      <w:rFonts w:eastAsia="方正小标宋_GBK" w:cs="Times New Roman"/>
      <w:b/>
      <w:bCs/>
      <w:kern w:val="44"/>
      <w:sz w:val="44"/>
      <w:szCs w:val="36"/>
    </w:rPr>
  </w:style>
  <w:style w:type="paragraph" w:styleId="3">
    <w:name w:val="heading 2"/>
    <w:basedOn w:val="1"/>
    <w:next w:val="1"/>
    <w:link w:val="21"/>
    <w:qFormat/>
    <w:uiPriority w:val="99"/>
    <w:pPr>
      <w:spacing w:line="660" w:lineRule="exact"/>
      <w:ind w:firstLine="643"/>
      <w:outlineLvl w:val="1"/>
    </w:pPr>
    <w:rPr>
      <w:rFonts w:eastAsia="方正黑体_GBK"/>
      <w:b/>
      <w:lang w:eastAsia="zh-CN"/>
    </w:rPr>
  </w:style>
  <w:style w:type="paragraph" w:styleId="4">
    <w:name w:val="heading 3"/>
    <w:basedOn w:val="1"/>
    <w:next w:val="1"/>
    <w:link w:val="22"/>
    <w:qFormat/>
    <w:uiPriority w:val="99"/>
    <w:pPr>
      <w:spacing w:line="660" w:lineRule="exact"/>
      <w:jc w:val="left"/>
      <w:outlineLvl w:val="2"/>
    </w:pPr>
    <w:rPr>
      <w:b/>
      <w:bCs/>
      <w:szCs w:val="32"/>
      <w:lang w:eastAsia="zh-CN"/>
    </w:rPr>
  </w:style>
  <w:style w:type="character" w:default="1" w:styleId="16">
    <w:name w:val="Default Paragraph Font"/>
    <w:semiHidden/>
    <w:uiPriority w:val="99"/>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Salutation"/>
    <w:basedOn w:val="1"/>
    <w:next w:val="1"/>
    <w:link w:val="23"/>
    <w:uiPriority w:val="99"/>
    <w:pPr>
      <w:spacing w:line="578" w:lineRule="exact"/>
      <w:ind w:firstLine="796"/>
      <w:jc w:val="left"/>
    </w:pPr>
    <w:rPr>
      <w:rFonts w:ascii="宋体" w:hAnsi="宋体"/>
      <w:szCs w:val="21"/>
    </w:rPr>
  </w:style>
  <w:style w:type="paragraph" w:styleId="6">
    <w:name w:val="Body Text"/>
    <w:basedOn w:val="1"/>
    <w:link w:val="24"/>
    <w:semiHidden/>
    <w:uiPriority w:val="99"/>
    <w:rPr>
      <w:rFonts w:ascii="Arial" w:hAnsi="Arial" w:eastAsia="宋体"/>
      <w:sz w:val="21"/>
      <w:szCs w:val="21"/>
    </w:rPr>
  </w:style>
  <w:style w:type="paragraph" w:styleId="7">
    <w:name w:val="Body Text Indent"/>
    <w:basedOn w:val="1"/>
    <w:link w:val="25"/>
    <w:locked/>
    <w:uiPriority w:val="99"/>
    <w:pPr>
      <w:spacing w:after="120"/>
      <w:ind w:left="420" w:leftChars="200"/>
    </w:pPr>
  </w:style>
  <w:style w:type="paragraph" w:styleId="8">
    <w:name w:val="footer"/>
    <w:basedOn w:val="1"/>
    <w:link w:val="26"/>
    <w:uiPriority w:val="99"/>
    <w:pPr>
      <w:tabs>
        <w:tab w:val="center" w:pos="4153"/>
        <w:tab w:val="right" w:pos="8306"/>
      </w:tabs>
    </w:pPr>
    <w:rPr>
      <w:sz w:val="18"/>
    </w:rPr>
  </w:style>
  <w:style w:type="paragraph" w:styleId="9">
    <w:name w:val="header"/>
    <w:basedOn w:val="1"/>
    <w:link w:val="27"/>
    <w:uiPriority w:val="99"/>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0">
    <w:name w:val="toc 1"/>
    <w:basedOn w:val="1"/>
    <w:next w:val="1"/>
    <w:uiPriority w:val="99"/>
  </w:style>
  <w:style w:type="paragraph" w:styleId="11">
    <w:name w:val="toc 2"/>
    <w:basedOn w:val="1"/>
    <w:next w:val="1"/>
    <w:uiPriority w:val="99"/>
    <w:pPr>
      <w:ind w:left="420" w:leftChars="200"/>
    </w:pPr>
  </w:style>
  <w:style w:type="paragraph" w:styleId="12">
    <w:name w:val="Normal (Web)"/>
    <w:basedOn w:val="1"/>
    <w:uiPriority w:val="99"/>
    <w:rPr>
      <w:rFonts w:cs="Times New Roman"/>
      <w:sz w:val="24"/>
      <w:szCs w:val="24"/>
    </w:rPr>
  </w:style>
  <w:style w:type="paragraph" w:styleId="13">
    <w:name w:val="Body Text First Indent 2"/>
    <w:basedOn w:val="7"/>
    <w:link w:val="28"/>
    <w:locked/>
    <w:uiPriority w:val="99"/>
    <w:pPr>
      <w:autoSpaceDE/>
      <w:autoSpaceDN/>
      <w:adjustRightInd/>
      <w:snapToGrid/>
      <w:spacing w:line="240" w:lineRule="auto"/>
      <w:ind w:firstLine="420"/>
      <w:textAlignment w:val="auto"/>
    </w:pPr>
    <w:rPr>
      <w:rFonts w:ascii="Calibri" w:hAnsi="Calibri" w:eastAsia="宋体" w:cs="Times New Roman"/>
      <w:color w:val="auto"/>
      <w:kern w:val="2"/>
      <w:sz w:val="21"/>
      <w:szCs w:val="24"/>
      <w:lang w:eastAsia="zh-CN"/>
    </w:rPr>
  </w:style>
  <w:style w:type="table" w:styleId="15">
    <w:name w:val="Table Grid"/>
    <w:basedOn w:val="14"/>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99"/>
    <w:rPr>
      <w:rFonts w:cs="Times New Roman"/>
      <w:b/>
    </w:rPr>
  </w:style>
  <w:style w:type="character" w:styleId="18">
    <w:name w:val="page number"/>
    <w:basedOn w:val="16"/>
    <w:locked/>
    <w:uiPriority w:val="99"/>
    <w:rPr>
      <w:rFonts w:cs="Times New Roman"/>
    </w:rPr>
  </w:style>
  <w:style w:type="character" w:styleId="19">
    <w:name w:val="Hyperlink"/>
    <w:basedOn w:val="16"/>
    <w:uiPriority w:val="99"/>
    <w:rPr>
      <w:rFonts w:cs="Times New Roman"/>
      <w:color w:val="0000FF"/>
      <w:u w:val="single"/>
    </w:rPr>
  </w:style>
  <w:style w:type="character" w:customStyle="1" w:styleId="20">
    <w:name w:val="Heading 1 Char"/>
    <w:basedOn w:val="16"/>
    <w:link w:val="2"/>
    <w:locked/>
    <w:uiPriority w:val="99"/>
    <w:rPr>
      <w:rFonts w:eastAsia="方正仿宋_GBK" w:cs="Arial"/>
      <w:b/>
      <w:bCs/>
      <w:color w:val="000000"/>
      <w:kern w:val="44"/>
      <w:sz w:val="44"/>
      <w:szCs w:val="44"/>
      <w:lang w:eastAsia="en-US"/>
    </w:rPr>
  </w:style>
  <w:style w:type="character" w:customStyle="1" w:styleId="21">
    <w:name w:val="Heading 2 Char"/>
    <w:basedOn w:val="16"/>
    <w:link w:val="3"/>
    <w:semiHidden/>
    <w:locked/>
    <w:uiPriority w:val="99"/>
    <w:rPr>
      <w:rFonts w:ascii="Cambria" w:hAnsi="Cambria" w:eastAsia="宋体" w:cs="Times New Roman"/>
      <w:b/>
      <w:bCs/>
      <w:color w:val="000000"/>
      <w:kern w:val="0"/>
      <w:sz w:val="32"/>
      <w:szCs w:val="32"/>
      <w:lang w:eastAsia="en-US"/>
    </w:rPr>
  </w:style>
  <w:style w:type="character" w:customStyle="1" w:styleId="22">
    <w:name w:val="Heading 3 Char"/>
    <w:basedOn w:val="16"/>
    <w:link w:val="4"/>
    <w:locked/>
    <w:uiPriority w:val="99"/>
    <w:rPr>
      <w:rFonts w:eastAsia="方正仿宋_GBK" w:cs="Arial"/>
      <w:b/>
      <w:bCs/>
      <w:snapToGrid w:val="0"/>
      <w:color w:val="000000"/>
      <w:sz w:val="32"/>
      <w:szCs w:val="32"/>
    </w:rPr>
  </w:style>
  <w:style w:type="character" w:customStyle="1" w:styleId="23">
    <w:name w:val="Salutation Char"/>
    <w:basedOn w:val="16"/>
    <w:link w:val="5"/>
    <w:semiHidden/>
    <w:locked/>
    <w:uiPriority w:val="99"/>
    <w:rPr>
      <w:rFonts w:eastAsia="方正仿宋_GBK" w:cs="Arial"/>
      <w:color w:val="000000"/>
      <w:kern w:val="0"/>
      <w:sz w:val="30"/>
      <w:szCs w:val="30"/>
      <w:lang w:eastAsia="en-US"/>
    </w:rPr>
  </w:style>
  <w:style w:type="character" w:customStyle="1" w:styleId="24">
    <w:name w:val="Body Text Char"/>
    <w:basedOn w:val="16"/>
    <w:link w:val="6"/>
    <w:semiHidden/>
    <w:locked/>
    <w:uiPriority w:val="99"/>
    <w:rPr>
      <w:rFonts w:eastAsia="方正仿宋_GBK" w:cs="Arial"/>
      <w:color w:val="000000"/>
      <w:kern w:val="0"/>
      <w:sz w:val="30"/>
      <w:szCs w:val="30"/>
      <w:lang w:eastAsia="en-US"/>
    </w:rPr>
  </w:style>
  <w:style w:type="character" w:customStyle="1" w:styleId="25">
    <w:name w:val="Body Text Indent Char"/>
    <w:basedOn w:val="16"/>
    <w:link w:val="7"/>
    <w:semiHidden/>
    <w:locked/>
    <w:uiPriority w:val="99"/>
    <w:rPr>
      <w:rFonts w:eastAsia="方正仿宋_GBK" w:cs="Arial"/>
      <w:color w:val="000000"/>
      <w:kern w:val="0"/>
      <w:sz w:val="30"/>
      <w:szCs w:val="30"/>
      <w:lang w:eastAsia="en-US"/>
    </w:rPr>
  </w:style>
  <w:style w:type="character" w:customStyle="1" w:styleId="26">
    <w:name w:val="Footer Char"/>
    <w:basedOn w:val="16"/>
    <w:link w:val="8"/>
    <w:semiHidden/>
    <w:locked/>
    <w:uiPriority w:val="99"/>
    <w:rPr>
      <w:rFonts w:eastAsia="方正仿宋_GBK" w:cs="Arial"/>
      <w:color w:val="000000"/>
      <w:kern w:val="0"/>
      <w:sz w:val="18"/>
      <w:szCs w:val="18"/>
      <w:lang w:eastAsia="en-US"/>
    </w:rPr>
  </w:style>
  <w:style w:type="character" w:customStyle="1" w:styleId="27">
    <w:name w:val="Header Char"/>
    <w:basedOn w:val="16"/>
    <w:link w:val="9"/>
    <w:semiHidden/>
    <w:locked/>
    <w:uiPriority w:val="99"/>
    <w:rPr>
      <w:rFonts w:eastAsia="方正仿宋_GBK" w:cs="Arial"/>
      <w:color w:val="000000"/>
      <w:kern w:val="0"/>
      <w:sz w:val="18"/>
      <w:szCs w:val="18"/>
      <w:lang w:eastAsia="en-US"/>
    </w:rPr>
  </w:style>
  <w:style w:type="character" w:customStyle="1" w:styleId="28">
    <w:name w:val="Body Text First Indent 2 Char"/>
    <w:basedOn w:val="25"/>
    <w:link w:val="13"/>
    <w:semiHidden/>
    <w:locked/>
    <w:uiPriority w:val="99"/>
  </w:style>
  <w:style w:type="paragraph" w:customStyle="1" w:styleId="29">
    <w:name w:val="BodyTextIndent2"/>
    <w:uiPriority w:val="99"/>
    <w:pPr>
      <w:autoSpaceDE w:val="0"/>
      <w:autoSpaceDN w:val="0"/>
      <w:adjustRightInd w:val="0"/>
      <w:snapToGrid w:val="0"/>
      <w:spacing w:after="120" w:line="480" w:lineRule="auto"/>
      <w:ind w:left="420" w:leftChars="200" w:firstLine="723" w:firstLineChars="200"/>
      <w:jc w:val="both"/>
      <w:textAlignment w:val="baseline"/>
    </w:pPr>
    <w:rPr>
      <w:rFonts w:ascii="Calibri" w:hAnsi="Calibri" w:eastAsia="宋体" w:cs="Arial"/>
      <w:color w:val="000000"/>
      <w:kern w:val="2"/>
      <w:sz w:val="21"/>
      <w:szCs w:val="20"/>
      <w:lang w:val="en-US" w:eastAsia="zh-CN" w:bidi="ar-SA"/>
    </w:rPr>
  </w:style>
  <w:style w:type="paragraph" w:styleId="30">
    <w:name w:val="List Paragraph"/>
    <w:basedOn w:val="1"/>
    <w:qFormat/>
    <w:uiPriority w:val="99"/>
    <w:pPr>
      <w:ind w:firstLine="420"/>
    </w:pPr>
  </w:style>
  <w:style w:type="table" w:customStyle="1" w:styleId="31">
    <w:name w:val="Table Normal1"/>
    <w:semiHidden/>
    <w:uiPriority w:val="99"/>
    <w:rPr>
      <w:kern w:val="0"/>
      <w:sz w:val="20"/>
      <w:szCs w:val="20"/>
    </w:rPr>
    <w:tblPr>
      <w:tblCellMar>
        <w:top w:w="0" w:type="dxa"/>
        <w:left w:w="0" w:type="dxa"/>
        <w:bottom w:w="0" w:type="dxa"/>
        <w:right w:w="0" w:type="dxa"/>
      </w:tblCellMar>
    </w:tblPr>
  </w:style>
  <w:style w:type="paragraph" w:customStyle="1" w:styleId="32">
    <w:name w:val="WPSOffice手动目录 1"/>
    <w:uiPriority w:val="99"/>
    <w:rPr>
      <w:rFonts w:ascii="Times New Roman" w:hAnsi="Times New Roman" w:eastAsia="宋体" w:cs="Times New Roman"/>
      <w:kern w:val="0"/>
      <w:sz w:val="20"/>
      <w:szCs w:val="20"/>
      <w:lang w:val="en-US" w:eastAsia="zh-CN" w:bidi="ar-SA"/>
    </w:rPr>
  </w:style>
  <w:style w:type="paragraph" w:customStyle="1" w:styleId="33">
    <w:name w:val="WPSOffice手动目录 2"/>
    <w:uiPriority w:val="99"/>
    <w:pPr>
      <w:ind w:left="200" w:leftChars="200"/>
    </w:pPr>
    <w:rPr>
      <w:rFonts w:ascii="Times New Roman" w:hAnsi="Times New Roman" w:eastAsia="宋体" w:cs="Times New Roman"/>
      <w:kern w:val="0"/>
      <w:sz w:val="20"/>
      <w:szCs w:val="20"/>
      <w:lang w:val="en-US" w:eastAsia="zh-CN" w:bidi="ar-SA"/>
    </w:rPr>
  </w:style>
  <w:style w:type="paragraph" w:customStyle="1" w:styleId="34">
    <w:name w:val="Table Text"/>
    <w:basedOn w:val="1"/>
    <w:semiHidden/>
    <w:uiPriority w:val="99"/>
    <w:rPr>
      <w:rFonts w:eastAsia="宋体" w:cs="Times New Roman"/>
      <w:sz w:val="24"/>
      <w:szCs w:val="24"/>
    </w:rPr>
  </w:style>
  <w:style w:type="character" w:customStyle="1" w:styleId="35">
    <w:name w:val="font51"/>
    <w:basedOn w:val="16"/>
    <w:uiPriority w:val="99"/>
    <w:rPr>
      <w:rFonts w:ascii="宋体" w:hAnsi="宋体" w:eastAsia="宋体" w:cs="宋体"/>
      <w:color w:val="0000FF"/>
      <w:sz w:val="30"/>
      <w:szCs w:val="30"/>
      <w:u w:val="none"/>
    </w:rPr>
  </w:style>
  <w:style w:type="paragraph" w:customStyle="1" w:styleId="36">
    <w:name w:val="TOC 标题1"/>
    <w:basedOn w:val="2"/>
    <w:next w:val="1"/>
    <w:uiPriority w:val="99"/>
    <w:pPr>
      <w:autoSpaceDE/>
      <w:autoSpaceDN/>
      <w:adjustRightInd/>
      <w:snapToGrid/>
      <w:spacing w:before="240" w:line="259" w:lineRule="auto"/>
      <w:textAlignment w:val="auto"/>
      <w:outlineLvl w:val="9"/>
    </w:pPr>
    <w:rPr>
      <w:rFonts w:ascii="Cambria" w:hAnsi="Cambria" w:eastAsia="宋体"/>
      <w:b w:val="0"/>
      <w:bCs w:val="0"/>
      <w:color w:val="365F91"/>
      <w:kern w:val="0"/>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wmf"/><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57</Pages>
  <Words>18506</Words>
  <Characters>19793</Characters>
  <Lines>0</Lines>
  <Paragraphs>0</Paragraphs>
  <TotalTime>77</TotalTime>
  <ScaleCrop>false</ScaleCrop>
  <LinksUpToDate>false</LinksUpToDate>
  <CharactersWithSpaces>20343</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2024-09-30T01:54:00Z</dcterms:created>
  <dc:creator>橢秋</dc:creator>
  <cp:lastModifiedBy>Administrator</cp:lastModifiedBy>
  <cp:lastPrinted>2024-09-30T09:23:00Z</cp:lastPrinted>
  <dcterms:modified xsi:type="dcterms:W3CDTF">2024-10-23T03:39:50Z</dcterms:modified>
  <dc:title>安岳县人民政府办公室</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KSOProductBuildVer">
    <vt:lpwstr>2052-12.1.0.18166</vt:lpwstr>
  </property>
  <property fmtid="{D5CDD505-2E9C-101B-9397-08002B2CF9AE}" pid="4" name="ICV">
    <vt:lpwstr>40644F0DEF7F27829015F566D6D3C604</vt:lpwstr>
  </property>
</Properties>
</file>