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C1396C">
      <w:pPr>
        <w:spacing w:line="780" w:lineRule="exact"/>
        <w:ind w:firstLine="880"/>
        <w:jc w:val="right"/>
        <w:rPr>
          <w:rFonts w:ascii="Times New Roman" w:hAnsi="Times New Roman" w:eastAsia="微软雅黑"/>
          <w:sz w:val="44"/>
          <w:szCs w:val="44"/>
          <w:lang w:bidi="he-IL"/>
        </w:rPr>
      </w:pPr>
    </w:p>
    <w:p w14:paraId="58772F79">
      <w:pPr>
        <w:wordWrap w:val="0"/>
        <w:spacing w:line="620" w:lineRule="exact"/>
        <w:ind w:firstLine="640"/>
        <w:jc w:val="right"/>
        <w:rPr>
          <w:rFonts w:ascii="Times New Roman" w:hAnsi="Times New Roman" w:eastAsia="方正仿宋_GBK"/>
          <w:sz w:val="32"/>
          <w:szCs w:val="32"/>
          <w:lang w:bidi="he-IL"/>
        </w:rPr>
      </w:pPr>
      <w:r>
        <w:rPr>
          <w:rFonts w:hint="eastAsia" w:ascii="Times New Roman" w:hAnsi="Times New Roman" w:eastAsia="方正仿宋_GBK"/>
          <w:sz w:val="32"/>
          <w:szCs w:val="32"/>
          <w:lang w:bidi="he-IL"/>
        </w:rPr>
        <w:t>安府函〔</w:t>
      </w:r>
      <w:r>
        <w:rPr>
          <w:rFonts w:ascii="Times New Roman" w:hAnsi="Times New Roman" w:eastAsia="方正仿宋_GBK"/>
          <w:sz w:val="32"/>
          <w:szCs w:val="32"/>
          <w:lang w:bidi="he-IL"/>
        </w:rPr>
        <w:t>2024</w:t>
      </w:r>
      <w:r>
        <w:rPr>
          <w:rFonts w:hint="eastAsia" w:ascii="Times New Roman" w:hAnsi="Times New Roman" w:eastAsia="方正仿宋_GBK"/>
          <w:sz w:val="32"/>
          <w:szCs w:val="32"/>
          <w:lang w:bidi="he-IL"/>
        </w:rPr>
        <w:t>〕</w:t>
      </w:r>
      <w:r>
        <w:rPr>
          <w:rFonts w:ascii="Times New Roman" w:hAnsi="Times New Roman" w:eastAsia="方正仿宋_GBK"/>
          <w:sz w:val="32"/>
          <w:szCs w:val="32"/>
          <w:lang w:bidi="he-IL"/>
        </w:rPr>
        <w:t>32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 w:bidi="he-IL"/>
        </w:rPr>
        <w:t>5</w:t>
      </w:r>
      <w:r>
        <w:rPr>
          <w:rFonts w:hint="eastAsia" w:ascii="Times New Roman" w:hAnsi="Times New Roman" w:eastAsia="方正仿宋_GBK"/>
          <w:sz w:val="32"/>
          <w:szCs w:val="32"/>
          <w:lang w:bidi="he-IL"/>
        </w:rPr>
        <w:t>号</w:t>
      </w:r>
    </w:p>
    <w:p w14:paraId="701C6558">
      <w:pPr>
        <w:spacing w:line="800" w:lineRule="exact"/>
        <w:ind w:firstLine="879"/>
        <w:jc w:val="right"/>
        <w:rPr>
          <w:rFonts w:ascii="Times New Roman" w:hAnsi="Times New Roman" w:eastAsia="微软雅黑"/>
          <w:sz w:val="44"/>
          <w:szCs w:val="44"/>
          <w:lang w:bidi="he-IL"/>
        </w:rPr>
      </w:pPr>
    </w:p>
    <w:p w14:paraId="164249F0">
      <w:pPr>
        <w:spacing w:line="66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安岳县人民政府</w:t>
      </w:r>
    </w:p>
    <w:p w14:paraId="795DD2ED">
      <w:pPr>
        <w:spacing w:line="66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000000"/>
          <w:kern w:val="0"/>
          <w:sz w:val="44"/>
          <w:szCs w:val="44"/>
        </w:rPr>
        <w:t>关于白塔寺乡2024年第1批农村村民住宅用地农用地转用建设的批复</w:t>
      </w:r>
    </w:p>
    <w:p w14:paraId="5B6170E7">
      <w:pPr>
        <w:spacing w:line="580" w:lineRule="exact"/>
        <w:ind w:firstLine="880" w:firstLineChars="200"/>
        <w:rPr>
          <w:rFonts w:ascii="Times New Roman" w:hAnsi="Times New Roman" w:eastAsia="微软雅黑" w:cs="微软雅黑"/>
          <w:color w:val="000000"/>
          <w:kern w:val="0"/>
          <w:sz w:val="44"/>
          <w:szCs w:val="44"/>
        </w:rPr>
      </w:pPr>
    </w:p>
    <w:p w14:paraId="323F43E8">
      <w:pPr>
        <w:spacing w:line="580" w:lineRule="exact"/>
        <w:rPr>
          <w:rFonts w:ascii="Times New Roman" w:hAnsi="Times New Roman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白塔寺乡人民政府：</w:t>
      </w:r>
    </w:p>
    <w:p w14:paraId="590FCBA7">
      <w:pPr>
        <w:spacing w:line="580" w:lineRule="exact"/>
        <w:ind w:firstLine="620" w:firstLineChars="200"/>
        <w:rPr>
          <w:rFonts w:ascii="Times New Roman" w:hAnsi="Times New Roman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《关于安岳县白塔寺乡</w:t>
      </w:r>
      <w:r>
        <w:rPr>
          <w:rFonts w:ascii="Times New Roman" w:hAnsi="Times New Roman"/>
          <w:color w:val="000000"/>
          <w:kern w:val="0"/>
          <w:sz w:val="31"/>
          <w:szCs w:val="31"/>
        </w:rPr>
        <w:t>2024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年第</w:t>
      </w:r>
      <w:r>
        <w:rPr>
          <w:rFonts w:ascii="Times New Roman" w:hAnsi="Times New Roman"/>
          <w:color w:val="000000"/>
          <w:kern w:val="0"/>
          <w:sz w:val="31"/>
          <w:szCs w:val="31"/>
        </w:rPr>
        <w:t>1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批农村村民住宅用地农用地转用的请示》（安白塔府〔</w:t>
      </w:r>
      <w:r>
        <w:rPr>
          <w:rFonts w:ascii="Times New Roman" w:hAnsi="Times New Roman"/>
          <w:color w:val="000000"/>
          <w:kern w:val="0"/>
          <w:sz w:val="31"/>
          <w:szCs w:val="31"/>
        </w:rPr>
        <w:t>2024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〕</w:t>
      </w:r>
      <w:r>
        <w:rPr>
          <w:rFonts w:ascii="Times New Roman" w:hAnsi="Times New Roman"/>
          <w:color w:val="000000"/>
          <w:kern w:val="0"/>
          <w:sz w:val="31"/>
          <w:szCs w:val="31"/>
        </w:rPr>
        <w:t>83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号）收悉。受省政府委托，根据安岳县自然资源和规划局《关于白塔寺乡</w:t>
      </w:r>
      <w:r>
        <w:rPr>
          <w:rFonts w:ascii="Times New Roman" w:hAnsi="Times New Roman"/>
          <w:color w:val="000000"/>
          <w:kern w:val="0"/>
          <w:sz w:val="31"/>
          <w:szCs w:val="31"/>
        </w:rPr>
        <w:t>2024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年第</w:t>
      </w:r>
      <w:r>
        <w:rPr>
          <w:rFonts w:ascii="Times New Roman" w:hAnsi="Times New Roman"/>
          <w:color w:val="000000"/>
          <w:kern w:val="0"/>
          <w:sz w:val="31"/>
          <w:szCs w:val="31"/>
        </w:rPr>
        <w:t>1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批农村村民住宅用地农用地转用的审查报告》（安自然资〔</w:t>
      </w:r>
      <w:r>
        <w:rPr>
          <w:rFonts w:ascii="Times New Roman" w:hAnsi="Times New Roman"/>
          <w:color w:val="000000"/>
          <w:kern w:val="0"/>
          <w:sz w:val="31"/>
          <w:szCs w:val="31"/>
        </w:rPr>
        <w:t>2</w:t>
      </w:r>
      <w:bookmarkStart w:id="0" w:name="_GoBack"/>
      <w:bookmarkEnd w:id="0"/>
      <w:r>
        <w:rPr>
          <w:rFonts w:ascii="Times New Roman" w:hAnsi="Times New Roman"/>
          <w:color w:val="000000"/>
          <w:kern w:val="0"/>
          <w:sz w:val="31"/>
          <w:szCs w:val="31"/>
        </w:rPr>
        <w:t>024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〕</w:t>
      </w:r>
      <w:r>
        <w:rPr>
          <w:rFonts w:ascii="Times New Roman" w:hAnsi="Times New Roman"/>
          <w:color w:val="000000"/>
          <w:kern w:val="0"/>
          <w:sz w:val="31"/>
          <w:szCs w:val="31"/>
        </w:rPr>
        <w:t>450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号），现批复如下。</w:t>
      </w:r>
    </w:p>
    <w:p w14:paraId="32A8F70F">
      <w:pPr>
        <w:spacing w:line="580" w:lineRule="exact"/>
        <w:ind w:firstLine="620" w:firstLineChars="200"/>
        <w:rPr>
          <w:rFonts w:ascii="Times New Roman" w:hAnsi="Times New Roman"/>
        </w:rPr>
      </w:pPr>
      <w:r>
        <w:rPr>
          <w:rFonts w:hint="eastAsia" w:ascii="Times New Roman" w:hAnsi="Times New Roman" w:eastAsia="方正黑体_GBK" w:cs="方正黑体_GBK"/>
          <w:color w:val="000000"/>
          <w:kern w:val="0"/>
          <w:sz w:val="31"/>
          <w:szCs w:val="31"/>
        </w:rPr>
        <w:t>一、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原则同意农用地转用方案。</w:t>
      </w:r>
    </w:p>
    <w:p w14:paraId="57BD71A9">
      <w:pPr>
        <w:spacing w:line="580" w:lineRule="exact"/>
        <w:ind w:firstLine="620" w:firstLineChars="200"/>
        <w:rPr>
          <w:rFonts w:ascii="Times New Roman" w:hAnsi="Times New Roman"/>
        </w:rPr>
      </w:pPr>
      <w:r>
        <w:rPr>
          <w:rFonts w:hint="eastAsia" w:ascii="Times New Roman" w:hAnsi="Times New Roman" w:eastAsia="方正黑体_GBK" w:cs="方正黑体_GBK"/>
          <w:color w:val="000000"/>
          <w:kern w:val="0"/>
          <w:sz w:val="31"/>
          <w:szCs w:val="31"/>
        </w:rPr>
        <w:t>二、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同意将你乡</w:t>
      </w:r>
      <w:r>
        <w:rPr>
          <w:rFonts w:ascii="Times New Roman" w:hAnsi="Times New Roman"/>
          <w:color w:val="000000"/>
          <w:kern w:val="0"/>
          <w:sz w:val="31"/>
          <w:szCs w:val="31"/>
        </w:rPr>
        <w:t>0.6300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公顷集体农用地（其中：非永久基本农田耕地</w:t>
      </w:r>
      <w:r>
        <w:rPr>
          <w:rFonts w:ascii="Times New Roman" w:hAnsi="Times New Roman"/>
          <w:color w:val="000000"/>
          <w:kern w:val="0"/>
          <w:sz w:val="31"/>
          <w:szCs w:val="31"/>
        </w:rPr>
        <w:t>0.6300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公顷，园地</w:t>
      </w:r>
      <w:r>
        <w:rPr>
          <w:rFonts w:ascii="Times New Roman" w:hAnsi="Times New Roman"/>
          <w:color w:val="000000"/>
          <w:kern w:val="0"/>
          <w:sz w:val="31"/>
          <w:szCs w:val="31"/>
        </w:rPr>
        <w:t>0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公顷，林地</w:t>
      </w:r>
      <w:r>
        <w:rPr>
          <w:rFonts w:ascii="Times New Roman" w:hAnsi="Times New Roman"/>
          <w:color w:val="000000"/>
          <w:kern w:val="0"/>
          <w:sz w:val="31"/>
          <w:szCs w:val="31"/>
        </w:rPr>
        <w:t>0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公顷，草地</w:t>
      </w:r>
      <w:r>
        <w:rPr>
          <w:rFonts w:ascii="Times New Roman" w:hAnsi="Times New Roman"/>
          <w:color w:val="000000"/>
          <w:kern w:val="0"/>
          <w:sz w:val="31"/>
          <w:szCs w:val="31"/>
        </w:rPr>
        <w:t>0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公顷，</w:t>
      </w:r>
      <w:r>
        <w:rPr>
          <w:rFonts w:hint="eastAsia" w:ascii="Times New Roman" w:hAnsi="Times New Roman" w:eastAsia="方正仿宋_GBK" w:cs="方正仿宋_GBK"/>
          <w:color w:val="000000"/>
          <w:spacing w:val="-6"/>
          <w:kern w:val="0"/>
          <w:sz w:val="31"/>
          <w:szCs w:val="31"/>
        </w:rPr>
        <w:t>其他农用地</w:t>
      </w:r>
      <w:r>
        <w:rPr>
          <w:rFonts w:ascii="Times New Roman" w:hAnsi="Times New Roman"/>
          <w:color w:val="000000"/>
          <w:spacing w:val="-6"/>
          <w:kern w:val="0"/>
          <w:sz w:val="31"/>
          <w:szCs w:val="31"/>
        </w:rPr>
        <w:t>0</w:t>
      </w:r>
      <w:r>
        <w:rPr>
          <w:rFonts w:hint="eastAsia" w:ascii="Times New Roman" w:hAnsi="Times New Roman" w:eastAsia="方正仿宋_GBK" w:cs="方正仿宋_GBK"/>
          <w:color w:val="000000"/>
          <w:spacing w:val="-6"/>
          <w:kern w:val="0"/>
          <w:sz w:val="31"/>
          <w:szCs w:val="31"/>
        </w:rPr>
        <w:t>公顷）、</w:t>
      </w:r>
      <w:r>
        <w:rPr>
          <w:rFonts w:ascii="Times New Roman" w:hAnsi="Times New Roman"/>
          <w:color w:val="000000"/>
          <w:spacing w:val="-6"/>
          <w:kern w:val="0"/>
          <w:sz w:val="31"/>
          <w:szCs w:val="31"/>
        </w:rPr>
        <w:t>0</w:t>
      </w:r>
      <w:r>
        <w:rPr>
          <w:rFonts w:hint="eastAsia" w:ascii="Times New Roman" w:hAnsi="Times New Roman" w:eastAsia="方正仿宋_GBK" w:cs="方正仿宋_GBK"/>
          <w:color w:val="000000"/>
          <w:spacing w:val="-6"/>
          <w:kern w:val="0"/>
          <w:sz w:val="31"/>
          <w:szCs w:val="31"/>
        </w:rPr>
        <w:t>公顷集体未利用地，合计</w:t>
      </w:r>
      <w:r>
        <w:rPr>
          <w:rFonts w:ascii="Times New Roman" w:hAnsi="Times New Roman"/>
          <w:color w:val="000000"/>
          <w:spacing w:val="-6"/>
          <w:kern w:val="0"/>
          <w:sz w:val="31"/>
          <w:szCs w:val="31"/>
        </w:rPr>
        <w:t>0.6300</w:t>
      </w:r>
      <w:r>
        <w:rPr>
          <w:rFonts w:hint="eastAsia" w:ascii="Times New Roman" w:hAnsi="Times New Roman" w:eastAsia="方正仿宋_GBK" w:cs="方正仿宋_GBK"/>
          <w:color w:val="000000"/>
          <w:spacing w:val="-6"/>
          <w:kern w:val="0"/>
          <w:sz w:val="31"/>
          <w:szCs w:val="31"/>
        </w:rPr>
        <w:t>公顷土地转为建设用地，作为白塔寺乡</w:t>
      </w:r>
      <w:r>
        <w:rPr>
          <w:rFonts w:ascii="Times New Roman" w:hAnsi="Times New Roman"/>
          <w:color w:val="000000"/>
          <w:spacing w:val="-6"/>
          <w:kern w:val="0"/>
          <w:sz w:val="31"/>
          <w:szCs w:val="31"/>
        </w:rPr>
        <w:t>2024</w:t>
      </w:r>
      <w:r>
        <w:rPr>
          <w:rFonts w:hint="eastAsia" w:ascii="Times New Roman" w:hAnsi="Times New Roman" w:eastAsia="方正仿宋_GBK" w:cs="方正仿宋_GBK"/>
          <w:color w:val="000000"/>
          <w:spacing w:val="-6"/>
          <w:kern w:val="0"/>
          <w:sz w:val="31"/>
          <w:szCs w:val="31"/>
        </w:rPr>
        <w:t>年第</w:t>
      </w:r>
      <w:r>
        <w:rPr>
          <w:rFonts w:ascii="Times New Roman" w:hAnsi="Times New Roman"/>
          <w:color w:val="000000"/>
          <w:spacing w:val="-6"/>
          <w:kern w:val="0"/>
          <w:sz w:val="31"/>
          <w:szCs w:val="31"/>
        </w:rPr>
        <w:t>1</w:t>
      </w:r>
      <w:r>
        <w:rPr>
          <w:rFonts w:hint="eastAsia" w:ascii="Times New Roman" w:hAnsi="Times New Roman" w:eastAsia="方正仿宋_GBK" w:cs="方正仿宋_GBK"/>
          <w:color w:val="000000"/>
          <w:spacing w:val="-6"/>
          <w:kern w:val="0"/>
          <w:sz w:val="31"/>
          <w:szCs w:val="31"/>
        </w:rPr>
        <w:t>批农村村民住宅建设用地。</w:t>
      </w:r>
    </w:p>
    <w:p w14:paraId="181504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20" w:firstLineChars="200"/>
        <w:textAlignment w:val="auto"/>
        <w:rPr>
          <w:rFonts w:ascii="Times New Roman" w:hAnsi="Times New Roman" w:eastAsia="方正仿宋_GBK" w:cs="方正仿宋_GBK"/>
          <w:color w:val="000000"/>
          <w:kern w:val="0"/>
          <w:sz w:val="31"/>
          <w:szCs w:val="31"/>
        </w:rPr>
      </w:pPr>
      <w:r>
        <w:rPr>
          <w:rFonts w:hint="eastAsia" w:ascii="Times New Roman" w:hAnsi="Times New Roman" w:eastAsia="方正黑体_GBK" w:cs="方正黑体_GBK"/>
          <w:color w:val="000000"/>
          <w:kern w:val="0"/>
          <w:sz w:val="31"/>
          <w:szCs w:val="31"/>
        </w:rPr>
        <w:t>三、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农用地转用批准后，专项用于农村村民住宅建设，由你乡按照国家和省有关规定办理农村宅基地审批手续。相关部门应加强对农村村民住宅建设用地审批、使用的全程监管，确保农村村民住宅合法合规建设，保障农村村民住宅的合法权益。</w:t>
      </w:r>
    </w:p>
    <w:p w14:paraId="7442AA5F">
      <w:pPr>
        <w:spacing w:line="580" w:lineRule="exact"/>
        <w:ind w:firstLine="620" w:firstLineChars="200"/>
        <w:rPr>
          <w:rFonts w:ascii="Times New Roman" w:hAnsi="Times New Roman" w:eastAsia="方正仿宋_GBK" w:cs="方正仿宋_GBK"/>
          <w:color w:val="000000"/>
          <w:kern w:val="0"/>
          <w:sz w:val="31"/>
          <w:szCs w:val="31"/>
        </w:rPr>
        <w:sectPr>
          <w:footerReference r:id="rId3" w:type="default"/>
          <w:footerReference r:id="rId4" w:type="even"/>
          <w:pgSz w:w="11906" w:h="16838"/>
          <w:pgMar w:top="2154" w:right="1474" w:bottom="1134" w:left="1588" w:header="851" w:footer="992" w:gutter="0"/>
          <w:paperSrc/>
          <w:pgNumType w:fmt="numberInDash"/>
          <w:cols w:space="0" w:num="1"/>
          <w:rtlGutter w:val="0"/>
          <w:docGrid w:type="lines" w:linePitch="312" w:charSpace="0"/>
        </w:sectPr>
      </w:pPr>
    </w:p>
    <w:p w14:paraId="03E715AD">
      <w:pPr>
        <w:spacing w:line="580" w:lineRule="exact"/>
        <w:ind w:firstLine="620" w:firstLineChars="200"/>
        <w:rPr>
          <w:rFonts w:ascii="Times New Roman" w:hAnsi="Times New Roman" w:eastAsia="方正仿宋_GBK" w:cs="方正仿宋_GBK"/>
          <w:color w:val="000000"/>
          <w:kern w:val="0"/>
          <w:sz w:val="31"/>
          <w:szCs w:val="31"/>
        </w:rPr>
      </w:pPr>
      <w:r>
        <w:rPr>
          <w:rFonts w:hint="eastAsia" w:ascii="Times New Roman" w:hAnsi="Times New Roman" w:eastAsia="方正黑体_GBK" w:cs="方正仿宋_GBK"/>
          <w:color w:val="000000"/>
          <w:kern w:val="0"/>
          <w:sz w:val="31"/>
          <w:szCs w:val="31"/>
        </w:rPr>
        <w:t>四、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安府函〔</w:t>
      </w:r>
      <w:r>
        <w:rPr>
          <w:rFonts w:ascii="Times New Roman" w:hAnsi="Times New Roman"/>
          <w:color w:val="000000"/>
          <w:kern w:val="0"/>
          <w:sz w:val="31"/>
          <w:szCs w:val="31"/>
        </w:rPr>
        <w:t>2024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〕</w:t>
      </w:r>
      <w:r>
        <w:rPr>
          <w:rFonts w:ascii="Times New Roman" w:hAnsi="Times New Roman"/>
          <w:color w:val="000000"/>
          <w:kern w:val="0"/>
          <w:sz w:val="31"/>
          <w:szCs w:val="31"/>
        </w:rPr>
        <w:t>145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号作废。</w:t>
      </w:r>
    </w:p>
    <w:p w14:paraId="1D9F4586">
      <w:pPr>
        <w:spacing w:line="580" w:lineRule="exact"/>
        <w:ind w:firstLine="620" w:firstLineChars="200"/>
        <w:rPr>
          <w:rFonts w:ascii="Times New Roman" w:hAnsi="Times New Roman" w:eastAsia="方正仿宋_GBK" w:cs="方正仿宋_GBK"/>
          <w:color w:val="000000"/>
          <w:kern w:val="0"/>
          <w:sz w:val="31"/>
          <w:szCs w:val="31"/>
        </w:rPr>
      </w:pPr>
    </w:p>
    <w:p w14:paraId="285A2CA7">
      <w:pPr>
        <w:spacing w:line="580" w:lineRule="exact"/>
        <w:ind w:left="1552" w:leftChars="296" w:hanging="930" w:hangingChars="300"/>
        <w:rPr>
          <w:rFonts w:ascii="Times New Roman" w:hAnsi="Times New Roman" w:eastAsia="方正仿宋_GBK" w:cs="方正仿宋_GBK"/>
          <w:color w:val="000000"/>
          <w:kern w:val="0"/>
          <w:sz w:val="31"/>
          <w:szCs w:val="31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附件：白塔寺乡</w:t>
      </w:r>
      <w:r>
        <w:rPr>
          <w:rFonts w:ascii="Times New Roman" w:hAnsi="Times New Roman"/>
          <w:color w:val="000000"/>
          <w:kern w:val="0"/>
          <w:sz w:val="31"/>
          <w:szCs w:val="31"/>
        </w:rPr>
        <w:t>2024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年第</w:t>
      </w:r>
      <w:r>
        <w:rPr>
          <w:rFonts w:ascii="Times New Roman" w:hAnsi="Times New Roman"/>
          <w:color w:val="000000"/>
          <w:kern w:val="0"/>
          <w:sz w:val="31"/>
          <w:szCs w:val="31"/>
        </w:rPr>
        <w:t>1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批农村村民住宅建设用地情况明细表</w:t>
      </w:r>
    </w:p>
    <w:p w14:paraId="51F6891C">
      <w:pPr>
        <w:spacing w:line="580" w:lineRule="exact"/>
        <w:ind w:firstLine="620" w:firstLineChars="200"/>
        <w:rPr>
          <w:rFonts w:ascii="Times New Roman" w:hAnsi="Times New Roman" w:eastAsia="方正仿宋_GBK" w:cs="方正仿宋_GBK"/>
          <w:color w:val="000000"/>
          <w:kern w:val="0"/>
          <w:sz w:val="31"/>
          <w:szCs w:val="31"/>
        </w:rPr>
      </w:pPr>
    </w:p>
    <w:p w14:paraId="5D99603C">
      <w:pPr>
        <w:spacing w:line="580" w:lineRule="exact"/>
        <w:ind w:firstLine="620" w:firstLineChars="200"/>
        <w:rPr>
          <w:rFonts w:ascii="Times New Roman" w:hAnsi="Times New Roman" w:eastAsia="方正仿宋_GBK" w:cs="方正仿宋_GBK"/>
          <w:color w:val="000000"/>
          <w:kern w:val="0"/>
          <w:sz w:val="31"/>
          <w:szCs w:val="31"/>
        </w:rPr>
      </w:pPr>
    </w:p>
    <w:p w14:paraId="43C6BDFD">
      <w:pPr>
        <w:spacing w:line="580" w:lineRule="exact"/>
        <w:ind w:firstLine="5735" w:firstLineChars="1850"/>
        <w:rPr>
          <w:rFonts w:ascii="Times New Roman" w:hAnsi="Times New Roman"/>
        </w:rPr>
      </w:pP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安岳县人民政府</w:t>
      </w:r>
    </w:p>
    <w:p w14:paraId="2038BDB5">
      <w:pPr>
        <w:spacing w:line="580" w:lineRule="exact"/>
        <w:ind w:firstLine="5735" w:firstLineChars="1850"/>
        <w:rPr>
          <w:rFonts w:ascii="Times New Roman" w:hAnsi="Times New Roman"/>
        </w:rPr>
      </w:pPr>
      <w:r>
        <w:rPr>
          <w:rFonts w:ascii="Times New Roman" w:hAnsi="Times New Roman"/>
          <w:color w:val="000000"/>
          <w:kern w:val="0"/>
          <w:sz w:val="31"/>
          <w:szCs w:val="31"/>
        </w:rPr>
        <w:t>2024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年</w:t>
      </w:r>
      <w:r>
        <w:rPr>
          <w:rFonts w:ascii="Times New Roman" w:hAnsi="Times New Roman"/>
          <w:color w:val="000000"/>
          <w:kern w:val="0"/>
          <w:sz w:val="31"/>
          <w:szCs w:val="31"/>
        </w:rPr>
        <w:t>10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月</w:t>
      </w:r>
      <w:r>
        <w:rPr>
          <w:rFonts w:hint="eastAsia" w:ascii="Times New Roman" w:hAnsi="Times New Roman" w:eastAsia="方正仿宋_GBK"/>
          <w:color w:val="000000"/>
          <w:kern w:val="0"/>
          <w:sz w:val="31"/>
          <w:szCs w:val="31"/>
          <w:lang w:val="en-US" w:eastAsia="zh-CN"/>
        </w:rPr>
        <w:t>15</w:t>
      </w:r>
      <w:r>
        <w:rPr>
          <w:rFonts w:hint="eastAsia" w:ascii="Times New Roman" w:hAnsi="Times New Roman" w:eastAsia="方正仿宋_GBK" w:cs="方正仿宋_GBK"/>
          <w:color w:val="000000"/>
          <w:kern w:val="0"/>
          <w:sz w:val="31"/>
          <w:szCs w:val="31"/>
        </w:rPr>
        <w:t>日</w:t>
      </w:r>
    </w:p>
    <w:p w14:paraId="3183084B">
      <w:pPr>
        <w:spacing w:line="580" w:lineRule="exact"/>
        <w:ind w:firstLine="420" w:firstLineChars="200"/>
        <w:rPr>
          <w:rFonts w:ascii="Times New Roman" w:hAnsi="Times New Roman"/>
        </w:rPr>
        <w:sectPr>
          <w:footerReference r:id="rId5" w:type="default"/>
          <w:pgSz w:w="11907" w:h="16840"/>
          <w:pgMar w:top="2155" w:right="1474" w:bottom="1814" w:left="1588" w:header="851" w:footer="992" w:gutter="0"/>
          <w:pgNumType w:fmt="numberInDash"/>
          <w:cols w:space="425" w:num="1"/>
          <w:docGrid w:linePitch="312" w:charSpace="0"/>
        </w:sectPr>
      </w:pPr>
    </w:p>
    <w:p w14:paraId="03C67F18">
      <w:pPr>
        <w:outlineLvl w:val="0"/>
        <w:rPr>
          <w:rFonts w:ascii="Times New Roman" w:hAnsi="Times New Roman" w:eastAsia="方正黑体_GBK" w:cs="方正小标宋_GBK"/>
          <w:sz w:val="32"/>
          <w:szCs w:val="32"/>
        </w:rPr>
      </w:pPr>
      <w:r>
        <w:rPr>
          <w:rFonts w:hint="eastAsia" w:ascii="Times New Roman" w:hAnsi="Times New Roman" w:eastAsia="方正黑体_GBK" w:cs="方正黑体_GBK"/>
          <w:kern w:val="0"/>
          <w:sz w:val="32"/>
          <w:szCs w:val="32"/>
        </w:rPr>
        <w:t>附件</w:t>
      </w:r>
    </w:p>
    <w:p w14:paraId="4B4F6B76">
      <w:pPr>
        <w:pStyle w:val="2"/>
        <w:kinsoku w:val="0"/>
        <w:overflowPunct w:val="0"/>
        <w:spacing w:after="0" w:line="660" w:lineRule="exact"/>
        <w:jc w:val="center"/>
        <w:rPr>
          <w:rFonts w:ascii="Times New Roman" w:hAnsi="Times New Roman" w:eastAsia="方正小标宋_GBK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</w:rPr>
        <w:t>白塔寺乡</w:t>
      </w:r>
      <w:r>
        <w:rPr>
          <w:rFonts w:ascii="Times New Roman" w:hAnsi="Times New Roman" w:eastAsia="微软雅黑" w:cs="微软雅黑"/>
          <w:color w:val="000000"/>
          <w:kern w:val="0"/>
          <w:sz w:val="44"/>
          <w:szCs w:val="44"/>
        </w:rPr>
        <w:t>2024</w:t>
      </w:r>
      <w:r>
        <w:rPr>
          <w:rFonts w:hint="eastAsia" w:ascii="Times New Roman" w:hAnsi="Times New Roman" w:eastAsia="微软雅黑" w:cs="微软雅黑"/>
          <w:color w:val="000000"/>
          <w:kern w:val="0"/>
          <w:sz w:val="44"/>
          <w:szCs w:val="44"/>
        </w:rPr>
        <w:t>年第</w:t>
      </w:r>
      <w:r>
        <w:rPr>
          <w:rFonts w:ascii="Times New Roman" w:hAnsi="Times New Roman" w:eastAsia="微软雅黑" w:cs="微软雅黑"/>
          <w:color w:val="000000"/>
          <w:kern w:val="0"/>
          <w:sz w:val="44"/>
          <w:szCs w:val="44"/>
        </w:rPr>
        <w:t>1</w:t>
      </w:r>
      <w:r>
        <w:rPr>
          <w:rFonts w:hint="eastAsia" w:ascii="Times New Roman" w:hAnsi="Times New Roman" w:eastAsia="方正小标宋_GBK" w:cs="方正小标宋_GBK"/>
          <w:sz w:val="44"/>
          <w:szCs w:val="44"/>
        </w:rPr>
        <w:t>批农村村民住宅农用地转用建设情况明细表</w:t>
      </w:r>
    </w:p>
    <w:p w14:paraId="0A957666">
      <w:pPr>
        <w:pStyle w:val="2"/>
        <w:kinsoku w:val="0"/>
        <w:overflowPunct w:val="0"/>
        <w:jc w:val="center"/>
        <w:rPr>
          <w:rFonts w:ascii="Times New Roman" w:hAnsi="Times New Roman" w:eastAsia="方正仿宋_GBK"/>
          <w:sz w:val="24"/>
        </w:rPr>
      </w:pPr>
      <w:r>
        <w:rPr>
          <w:rFonts w:ascii="Times New Roman" w:hAnsi="Times New Roman" w:eastAsia="方正仿宋_GBK"/>
          <w:sz w:val="32"/>
          <w:szCs w:val="32"/>
        </w:rPr>
        <w:t xml:space="preserve">                                                                      </w:t>
      </w:r>
      <w:r>
        <w:rPr>
          <w:rFonts w:hint="eastAsia" w:ascii="Times New Roman" w:hAnsi="Times New Roman" w:eastAsia="方正仿宋_GBK" w:cs="方正仿宋_GBK"/>
          <w:sz w:val="24"/>
        </w:rPr>
        <w:t>单位：公顷</w:t>
      </w:r>
    </w:p>
    <w:tbl>
      <w:tblPr>
        <w:tblStyle w:val="5"/>
        <w:tblW w:w="4781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4" w:space="0"/>
          <w:insideV w:val="non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9"/>
        <w:gridCol w:w="1749"/>
        <w:gridCol w:w="1286"/>
        <w:gridCol w:w="1170"/>
        <w:gridCol w:w="927"/>
        <w:gridCol w:w="943"/>
        <w:gridCol w:w="1138"/>
        <w:gridCol w:w="1122"/>
        <w:gridCol w:w="923"/>
        <w:gridCol w:w="1009"/>
        <w:gridCol w:w="1009"/>
        <w:gridCol w:w="806"/>
      </w:tblGrid>
      <w:tr w14:paraId="29255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tblHeader/>
          <w:jc w:val="center"/>
        </w:trPr>
        <w:tc>
          <w:tcPr>
            <w:tcW w:w="485" w:type="pct"/>
            <w:vMerge w:val="restart"/>
            <w:tcBorders>
              <w:top w:val="single" w:color="auto" w:sz="4" w:space="0"/>
              <w:bottom w:val="single" w:color="5B5B5B" w:sz="8" w:space="0"/>
              <w:right w:val="single" w:color="5B5B5B" w:sz="8" w:space="0"/>
            </w:tcBorders>
            <w:vAlign w:val="center"/>
          </w:tcPr>
          <w:p w14:paraId="36E3E9C8"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楷体_GBK"/>
                <w:bCs/>
                <w:color w:val="000000"/>
                <w:szCs w:val="21"/>
              </w:rPr>
            </w:pPr>
            <w:r>
              <w:rPr>
                <w:rFonts w:hint="eastAsia" w:ascii="Times New Roman" w:hAnsi="Times New Roman" w:eastAsia="方正黑体_GBK" w:cs="方正楷体_GBK"/>
                <w:bCs/>
                <w:color w:val="000000"/>
                <w:szCs w:val="21"/>
              </w:rPr>
              <w:t>姓</w:t>
            </w:r>
            <w:r>
              <w:rPr>
                <w:rFonts w:ascii="Times New Roman" w:hAnsi="Times New Roman" w:eastAsia="方正黑体_GBK" w:cs="方正楷体_GBK"/>
                <w:bCs/>
                <w:color w:val="000000"/>
                <w:szCs w:val="21"/>
              </w:rPr>
              <w:t xml:space="preserve">  </w:t>
            </w:r>
            <w:r>
              <w:rPr>
                <w:rFonts w:hint="eastAsia" w:ascii="Times New Roman" w:hAnsi="Times New Roman" w:eastAsia="方正黑体_GBK" w:cs="方正楷体_GBK"/>
                <w:bCs/>
                <w:color w:val="000000"/>
                <w:szCs w:val="21"/>
              </w:rPr>
              <w:t>名</w:t>
            </w:r>
          </w:p>
        </w:tc>
        <w:tc>
          <w:tcPr>
            <w:tcW w:w="652" w:type="pct"/>
            <w:vMerge w:val="restart"/>
            <w:tcBorders>
              <w:top w:val="single" w:color="auto" w:sz="4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vAlign w:val="center"/>
          </w:tcPr>
          <w:p w14:paraId="67EFC03E">
            <w:pPr>
              <w:widowControl/>
              <w:spacing w:line="240" w:lineRule="exact"/>
              <w:jc w:val="center"/>
              <w:rPr>
                <w:rFonts w:ascii="Times New Roman" w:hAnsi="Times New Roman" w:eastAsia="方正黑体_GBK"/>
                <w:bCs/>
                <w:color w:val="000000"/>
                <w:szCs w:val="21"/>
              </w:rPr>
            </w:pPr>
            <w:r>
              <w:rPr>
                <w:rFonts w:hint="eastAsia" w:ascii="Times New Roman" w:hAnsi="Times New Roman" w:eastAsia="方正黑体_GBK"/>
                <w:bCs/>
                <w:color w:val="000000"/>
                <w:szCs w:val="21"/>
              </w:rPr>
              <w:t>位</w:t>
            </w:r>
            <w:r>
              <w:rPr>
                <w:rFonts w:ascii="Times New Roman" w:hAnsi="Times New Roman" w:eastAsia="方正黑体_GBK"/>
                <w:bCs/>
                <w:color w:val="000000"/>
                <w:szCs w:val="21"/>
              </w:rPr>
              <w:t xml:space="preserve">  </w:t>
            </w:r>
            <w:r>
              <w:rPr>
                <w:rFonts w:hint="eastAsia" w:ascii="Times New Roman" w:hAnsi="Times New Roman" w:eastAsia="方正黑体_GBK"/>
                <w:bCs/>
                <w:color w:val="000000"/>
                <w:szCs w:val="21"/>
              </w:rPr>
              <w:t>置</w:t>
            </w:r>
          </w:p>
        </w:tc>
        <w:tc>
          <w:tcPr>
            <w:tcW w:w="480" w:type="pct"/>
            <w:vMerge w:val="restart"/>
            <w:tcBorders>
              <w:top w:val="single" w:color="auto" w:sz="4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vAlign w:val="center"/>
          </w:tcPr>
          <w:p w14:paraId="763247E2">
            <w:pPr>
              <w:widowControl/>
              <w:spacing w:line="240" w:lineRule="exact"/>
              <w:jc w:val="center"/>
              <w:rPr>
                <w:rFonts w:ascii="Times New Roman" w:hAnsi="Times New Roman" w:eastAsia="方正黑体_GBK"/>
                <w:bCs/>
                <w:color w:val="000000"/>
                <w:szCs w:val="21"/>
              </w:rPr>
            </w:pPr>
            <w:r>
              <w:rPr>
                <w:rFonts w:hint="eastAsia" w:ascii="Times New Roman" w:hAnsi="Times New Roman" w:eastAsia="方正黑体_GBK" w:cs="方正楷体_GBK"/>
                <w:bCs/>
                <w:color w:val="000000"/>
                <w:szCs w:val="21"/>
              </w:rPr>
              <w:t>总面积</w:t>
            </w:r>
          </w:p>
        </w:tc>
        <w:tc>
          <w:tcPr>
            <w:tcW w:w="2701" w:type="pct"/>
            <w:gridSpan w:val="7"/>
            <w:tcBorders>
              <w:top w:val="single" w:color="auto" w:sz="4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vAlign w:val="center"/>
          </w:tcPr>
          <w:p w14:paraId="3DBDC0F4">
            <w:pPr>
              <w:widowControl/>
              <w:spacing w:line="240" w:lineRule="exact"/>
              <w:jc w:val="center"/>
              <w:rPr>
                <w:rFonts w:ascii="Times New Roman" w:hAnsi="Times New Roman" w:eastAsia="方正黑体_GBK"/>
                <w:bCs/>
                <w:color w:val="000000"/>
                <w:szCs w:val="21"/>
              </w:rPr>
            </w:pPr>
            <w:r>
              <w:rPr>
                <w:rFonts w:hint="eastAsia" w:ascii="Times New Roman" w:hAnsi="Times New Roman" w:eastAsia="方正黑体_GBK" w:cs="方正楷体_GBK"/>
                <w:bCs/>
                <w:color w:val="000000"/>
                <w:szCs w:val="21"/>
              </w:rPr>
              <w:t>农用地</w:t>
            </w:r>
          </w:p>
        </w:tc>
        <w:tc>
          <w:tcPr>
            <w:tcW w:w="377" w:type="pct"/>
            <w:vMerge w:val="restart"/>
            <w:tcBorders>
              <w:top w:val="single" w:color="auto" w:sz="4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vAlign w:val="center"/>
          </w:tcPr>
          <w:p w14:paraId="60DA87F7">
            <w:pPr>
              <w:widowControl/>
              <w:spacing w:line="240" w:lineRule="exact"/>
              <w:jc w:val="center"/>
              <w:rPr>
                <w:rFonts w:ascii="Times New Roman" w:hAnsi="Times New Roman" w:eastAsia="方正黑体_GBK" w:cs="方正楷体_GBK"/>
                <w:bCs/>
                <w:color w:val="000000"/>
                <w:szCs w:val="21"/>
              </w:rPr>
            </w:pPr>
            <w:r>
              <w:rPr>
                <w:rFonts w:hint="eastAsia" w:ascii="Times New Roman" w:hAnsi="Times New Roman" w:eastAsia="方正黑体_GBK" w:cs="方正楷体_GBK"/>
                <w:bCs/>
                <w:color w:val="000000"/>
                <w:szCs w:val="21"/>
              </w:rPr>
              <w:t>建设</w:t>
            </w:r>
          </w:p>
          <w:p w14:paraId="3B9FB385">
            <w:pPr>
              <w:widowControl/>
              <w:spacing w:line="240" w:lineRule="exact"/>
              <w:jc w:val="center"/>
              <w:rPr>
                <w:rFonts w:ascii="Times New Roman" w:hAnsi="Times New Roman" w:eastAsia="方正黑体_GBK"/>
                <w:bCs/>
                <w:color w:val="000000"/>
                <w:szCs w:val="21"/>
              </w:rPr>
            </w:pPr>
            <w:r>
              <w:rPr>
                <w:rFonts w:hint="eastAsia" w:ascii="Times New Roman" w:hAnsi="Times New Roman" w:eastAsia="方正黑体_GBK" w:cs="方正楷体_GBK"/>
                <w:bCs/>
                <w:color w:val="000000"/>
                <w:szCs w:val="21"/>
              </w:rPr>
              <w:t>用地</w:t>
            </w:r>
          </w:p>
        </w:tc>
        <w:tc>
          <w:tcPr>
            <w:tcW w:w="301" w:type="pct"/>
            <w:vMerge w:val="restart"/>
            <w:tcBorders>
              <w:top w:val="single" w:color="auto" w:sz="4" w:space="0"/>
              <w:left w:val="single" w:color="5B5B5B" w:sz="8" w:space="0"/>
              <w:bottom w:val="single" w:color="5B5B5B" w:sz="8" w:space="0"/>
            </w:tcBorders>
            <w:vAlign w:val="center"/>
          </w:tcPr>
          <w:p w14:paraId="4DF06E64">
            <w:pPr>
              <w:widowControl/>
              <w:spacing w:line="240" w:lineRule="exact"/>
              <w:jc w:val="center"/>
              <w:rPr>
                <w:rFonts w:ascii="Times New Roman" w:hAnsi="Times New Roman" w:eastAsia="方正黑体_GBK"/>
                <w:bCs/>
                <w:color w:val="000000"/>
                <w:szCs w:val="21"/>
              </w:rPr>
            </w:pPr>
            <w:r>
              <w:rPr>
                <w:rFonts w:hint="eastAsia" w:ascii="Times New Roman" w:hAnsi="Times New Roman" w:eastAsia="方正黑体_GBK" w:cs="方正楷体_GBK"/>
                <w:bCs/>
                <w:color w:val="000000"/>
                <w:szCs w:val="21"/>
              </w:rPr>
              <w:t>未利用地</w:t>
            </w:r>
          </w:p>
        </w:tc>
      </w:tr>
      <w:tr w14:paraId="27BD3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  <w:tblHeader/>
          <w:jc w:val="center"/>
        </w:trPr>
        <w:tc>
          <w:tcPr>
            <w:tcW w:w="485" w:type="pct"/>
            <w:vMerge w:val="continue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vAlign w:val="center"/>
          </w:tcPr>
          <w:p w14:paraId="625D7DA2">
            <w:pPr>
              <w:widowControl/>
              <w:spacing w:line="240" w:lineRule="exact"/>
              <w:jc w:val="center"/>
              <w:rPr>
                <w:rFonts w:ascii="Times New Roman" w:hAnsi="Times New Roman" w:eastAsia="方正仿宋_GBK"/>
                <w:b/>
                <w:bCs/>
                <w:color w:val="000000"/>
                <w:szCs w:val="21"/>
              </w:rPr>
            </w:pPr>
          </w:p>
        </w:tc>
        <w:tc>
          <w:tcPr>
            <w:tcW w:w="652" w:type="pct"/>
            <w:vMerge w:val="continue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vAlign w:val="center"/>
          </w:tcPr>
          <w:p w14:paraId="1429729D">
            <w:pPr>
              <w:widowControl/>
              <w:spacing w:line="240" w:lineRule="exact"/>
              <w:jc w:val="center"/>
              <w:rPr>
                <w:rFonts w:ascii="Times New Roman" w:hAnsi="Times New Roman" w:eastAsia="方正仿宋_GBK"/>
                <w:b/>
                <w:bCs/>
                <w:color w:val="000000"/>
                <w:szCs w:val="21"/>
              </w:rPr>
            </w:pPr>
          </w:p>
        </w:tc>
        <w:tc>
          <w:tcPr>
            <w:tcW w:w="480" w:type="pct"/>
            <w:vMerge w:val="continue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vAlign w:val="center"/>
          </w:tcPr>
          <w:p w14:paraId="01691E20">
            <w:pPr>
              <w:widowControl/>
              <w:spacing w:line="240" w:lineRule="exact"/>
              <w:jc w:val="center"/>
              <w:rPr>
                <w:rFonts w:ascii="Times New Roman" w:hAnsi="Times New Roman" w:eastAsia="方正仿宋_GBK"/>
                <w:b/>
                <w:bCs/>
                <w:color w:val="000000"/>
                <w:szCs w:val="21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vAlign w:val="center"/>
          </w:tcPr>
          <w:p w14:paraId="33F1FD53">
            <w:pPr>
              <w:widowControl/>
              <w:spacing w:line="240" w:lineRule="exact"/>
              <w:jc w:val="center"/>
              <w:rPr>
                <w:rFonts w:ascii="方正黑体_GBK" w:hAnsi="Times New Roman" w:eastAsia="方正黑体_GBK"/>
                <w:bCs/>
                <w:color w:val="000000"/>
                <w:szCs w:val="21"/>
              </w:rPr>
            </w:pPr>
            <w:r>
              <w:rPr>
                <w:rFonts w:hint="eastAsia" w:ascii="方正黑体_GBK" w:hAnsi="Times New Roman" w:eastAsia="方正黑体_GBK" w:cs="方正楷体_GBK"/>
                <w:bCs/>
                <w:color w:val="000000"/>
                <w:szCs w:val="21"/>
              </w:rPr>
              <w:t>小</w:t>
            </w:r>
            <w:r>
              <w:rPr>
                <w:rFonts w:ascii="方正黑体_GBK" w:hAnsi="Times New Roman" w:eastAsia="方正黑体_GBK" w:cs="方正楷体_GBK"/>
                <w:bCs/>
                <w:color w:val="000000"/>
                <w:szCs w:val="21"/>
              </w:rPr>
              <w:t xml:space="preserve">  </w:t>
            </w:r>
            <w:r>
              <w:rPr>
                <w:rFonts w:hint="eastAsia" w:ascii="方正黑体_GBK" w:hAnsi="Times New Roman" w:eastAsia="方正黑体_GBK" w:cs="方正楷体_GBK"/>
                <w:bCs/>
                <w:color w:val="000000"/>
                <w:szCs w:val="21"/>
              </w:rPr>
              <w:t>计</w:t>
            </w: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vAlign w:val="center"/>
          </w:tcPr>
          <w:p w14:paraId="3B52DF95">
            <w:pPr>
              <w:widowControl/>
              <w:spacing w:line="240" w:lineRule="exact"/>
              <w:jc w:val="center"/>
              <w:rPr>
                <w:rFonts w:ascii="方正黑体_GBK" w:hAnsi="Times New Roman" w:eastAsia="方正黑体_GBK"/>
                <w:bCs/>
                <w:color w:val="000000"/>
                <w:szCs w:val="21"/>
              </w:rPr>
            </w:pPr>
            <w:r>
              <w:rPr>
                <w:rFonts w:hint="eastAsia" w:ascii="方正黑体_GBK" w:hAnsi="Times New Roman" w:eastAsia="方正黑体_GBK" w:cs="方正楷体_GBK"/>
                <w:bCs/>
                <w:color w:val="000000"/>
                <w:szCs w:val="21"/>
              </w:rPr>
              <w:t>其中可调整</w:t>
            </w:r>
            <w:r>
              <w:rPr>
                <w:rFonts w:ascii="方正黑体_GBK" w:hAnsi="Times New Roman" w:eastAsia="方正黑体_GBK"/>
                <w:bCs/>
                <w:color w:val="000000"/>
                <w:szCs w:val="21"/>
              </w:rPr>
              <w:t>**</w:t>
            </w: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vAlign w:val="center"/>
          </w:tcPr>
          <w:p w14:paraId="49F60F7E">
            <w:pPr>
              <w:widowControl/>
              <w:spacing w:line="240" w:lineRule="exact"/>
              <w:jc w:val="center"/>
              <w:rPr>
                <w:rFonts w:ascii="方正黑体_GBK" w:hAnsi="Times New Roman" w:eastAsia="方正黑体_GBK"/>
                <w:bCs/>
                <w:color w:val="000000"/>
                <w:szCs w:val="21"/>
              </w:rPr>
            </w:pPr>
            <w:r>
              <w:rPr>
                <w:rFonts w:hint="eastAsia" w:ascii="方正黑体_GBK" w:hAnsi="Times New Roman" w:eastAsia="方正黑体_GBK" w:cs="方正楷体_GBK"/>
                <w:bCs/>
                <w:color w:val="000000"/>
                <w:szCs w:val="21"/>
              </w:rPr>
              <w:t>耕</w:t>
            </w:r>
            <w:r>
              <w:rPr>
                <w:rFonts w:ascii="方正黑体_GBK" w:hAnsi="Times New Roman" w:eastAsia="方正黑体_GBK" w:cs="方正楷体_GBK"/>
                <w:bCs/>
                <w:color w:val="000000"/>
                <w:szCs w:val="21"/>
              </w:rPr>
              <w:t xml:space="preserve">  </w:t>
            </w:r>
            <w:r>
              <w:rPr>
                <w:rFonts w:hint="eastAsia" w:ascii="方正黑体_GBK" w:hAnsi="Times New Roman" w:eastAsia="方正黑体_GBK" w:cs="方正楷体_GBK"/>
                <w:bCs/>
                <w:color w:val="000000"/>
                <w:szCs w:val="21"/>
              </w:rPr>
              <w:t>地</w:t>
            </w: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vAlign w:val="center"/>
          </w:tcPr>
          <w:p w14:paraId="5A69AB11">
            <w:pPr>
              <w:widowControl/>
              <w:spacing w:line="240" w:lineRule="exact"/>
              <w:jc w:val="center"/>
              <w:rPr>
                <w:rFonts w:ascii="方正黑体_GBK" w:hAnsi="Times New Roman" w:eastAsia="方正黑体_GBK"/>
                <w:bCs/>
                <w:color w:val="000000"/>
                <w:szCs w:val="21"/>
              </w:rPr>
            </w:pPr>
            <w:r>
              <w:rPr>
                <w:rFonts w:hint="eastAsia" w:ascii="方正黑体_GBK" w:hAnsi="Times New Roman" w:eastAsia="方正黑体_GBK" w:cs="方正楷体_GBK"/>
                <w:bCs/>
                <w:color w:val="000000"/>
                <w:szCs w:val="21"/>
              </w:rPr>
              <w:t>园</w:t>
            </w:r>
            <w:r>
              <w:rPr>
                <w:rFonts w:ascii="方正黑体_GBK" w:hAnsi="Times New Roman" w:eastAsia="方正黑体_GBK" w:cs="方正楷体_GBK"/>
                <w:bCs/>
                <w:color w:val="000000"/>
                <w:szCs w:val="21"/>
              </w:rPr>
              <w:t xml:space="preserve">  </w:t>
            </w:r>
            <w:r>
              <w:rPr>
                <w:rFonts w:hint="eastAsia" w:ascii="方正黑体_GBK" w:hAnsi="Times New Roman" w:eastAsia="方正黑体_GBK" w:cs="方正楷体_GBK"/>
                <w:bCs/>
                <w:color w:val="000000"/>
                <w:szCs w:val="21"/>
              </w:rPr>
              <w:t>地</w:t>
            </w: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vAlign w:val="center"/>
          </w:tcPr>
          <w:p w14:paraId="5BF2D88D">
            <w:pPr>
              <w:widowControl/>
              <w:spacing w:line="240" w:lineRule="exact"/>
              <w:jc w:val="center"/>
              <w:rPr>
                <w:rFonts w:ascii="方正黑体_GBK" w:hAnsi="Times New Roman" w:eastAsia="方正黑体_GBK"/>
                <w:bCs/>
                <w:color w:val="000000"/>
                <w:szCs w:val="21"/>
              </w:rPr>
            </w:pPr>
            <w:r>
              <w:rPr>
                <w:rFonts w:hint="eastAsia" w:ascii="方正黑体_GBK" w:hAnsi="Times New Roman" w:eastAsia="方正黑体_GBK" w:cs="方正楷体_GBK"/>
                <w:bCs/>
                <w:color w:val="000000"/>
                <w:szCs w:val="21"/>
              </w:rPr>
              <w:t>林</w:t>
            </w:r>
            <w:r>
              <w:rPr>
                <w:rFonts w:ascii="方正黑体_GBK" w:hAnsi="Times New Roman" w:eastAsia="方正黑体_GBK" w:cs="方正楷体_GBK"/>
                <w:bCs/>
                <w:color w:val="000000"/>
                <w:szCs w:val="21"/>
              </w:rPr>
              <w:t xml:space="preserve">  </w:t>
            </w:r>
            <w:r>
              <w:rPr>
                <w:rFonts w:hint="eastAsia" w:ascii="方正黑体_GBK" w:hAnsi="Times New Roman" w:eastAsia="方正黑体_GBK" w:cs="方正楷体_GBK"/>
                <w:bCs/>
                <w:color w:val="000000"/>
                <w:szCs w:val="21"/>
              </w:rPr>
              <w:t>地</w:t>
            </w: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vAlign w:val="center"/>
          </w:tcPr>
          <w:p w14:paraId="15738937">
            <w:pPr>
              <w:widowControl/>
              <w:spacing w:line="240" w:lineRule="exact"/>
              <w:jc w:val="center"/>
              <w:rPr>
                <w:rFonts w:ascii="方正黑体_GBK" w:hAnsi="Times New Roman" w:eastAsia="方正黑体_GBK"/>
                <w:bCs/>
                <w:color w:val="000000"/>
                <w:szCs w:val="21"/>
              </w:rPr>
            </w:pPr>
            <w:r>
              <w:rPr>
                <w:rFonts w:hint="eastAsia" w:ascii="方正黑体_GBK" w:hAnsi="Times New Roman" w:eastAsia="方正黑体_GBK" w:cs="方正楷体_GBK"/>
                <w:bCs/>
                <w:color w:val="000000"/>
                <w:szCs w:val="21"/>
              </w:rPr>
              <w:t>草</w:t>
            </w:r>
            <w:r>
              <w:rPr>
                <w:rFonts w:ascii="方正黑体_GBK" w:hAnsi="Times New Roman" w:eastAsia="方正黑体_GBK" w:cs="方正楷体_GBK"/>
                <w:bCs/>
                <w:color w:val="000000"/>
                <w:szCs w:val="21"/>
              </w:rPr>
              <w:t xml:space="preserve">  </w:t>
            </w:r>
            <w:r>
              <w:rPr>
                <w:rFonts w:hint="eastAsia" w:ascii="方正黑体_GBK" w:hAnsi="Times New Roman" w:eastAsia="方正黑体_GBK" w:cs="方正楷体_GBK"/>
                <w:bCs/>
                <w:color w:val="000000"/>
                <w:szCs w:val="21"/>
              </w:rPr>
              <w:t>地</w:t>
            </w: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vAlign w:val="center"/>
          </w:tcPr>
          <w:p w14:paraId="391EF188">
            <w:pPr>
              <w:widowControl/>
              <w:spacing w:line="240" w:lineRule="exact"/>
              <w:jc w:val="center"/>
              <w:rPr>
                <w:rFonts w:ascii="方正黑体_GBK" w:hAnsi="Times New Roman" w:eastAsia="方正黑体_GBK"/>
                <w:bCs/>
                <w:color w:val="000000"/>
                <w:szCs w:val="21"/>
              </w:rPr>
            </w:pPr>
            <w:r>
              <w:rPr>
                <w:rFonts w:hint="eastAsia" w:ascii="方正黑体_GBK" w:hAnsi="Times New Roman" w:eastAsia="方正黑体_GBK" w:cs="方正楷体_GBK"/>
                <w:bCs/>
                <w:color w:val="000000"/>
                <w:szCs w:val="21"/>
              </w:rPr>
              <w:t>其他农用地</w:t>
            </w:r>
          </w:p>
        </w:tc>
        <w:tc>
          <w:tcPr>
            <w:tcW w:w="377" w:type="pct"/>
            <w:vMerge w:val="continue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vAlign w:val="center"/>
          </w:tcPr>
          <w:p w14:paraId="11DC9ED6">
            <w:pPr>
              <w:widowControl/>
              <w:spacing w:line="240" w:lineRule="exact"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01" w:type="pct"/>
            <w:vMerge w:val="continue"/>
            <w:tcBorders>
              <w:top w:val="single" w:color="5B5B5B" w:sz="8" w:space="0"/>
              <w:left w:val="single" w:color="5B5B5B" w:sz="8" w:space="0"/>
              <w:bottom w:val="single" w:color="5B5B5B" w:sz="8" w:space="0"/>
            </w:tcBorders>
          </w:tcPr>
          <w:p w14:paraId="02CE2FCB">
            <w:pPr>
              <w:widowControl/>
              <w:spacing w:line="240" w:lineRule="exact"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</w:tr>
      <w:tr w14:paraId="45B733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B8392E7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蒋建军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8158588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68FE6E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DD0D8B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07C936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CE2939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D8F695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459B8A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B2852D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8D5122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461E5A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46629BC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368FE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FE3D3B2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黄祖文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348D8C3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D093BF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8D04A4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918045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4608D1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5BD56D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78BB82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4F1868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A8675F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209CE5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1F9E44C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7BBBC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2B0F902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蒋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 xml:space="preserve">  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伟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9157302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1BD7FB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DDEBF8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5AD9A4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1281BA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AA9531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4FBB70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566BAE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235B5D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DCBFBE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16E0811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2C239C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2C1A562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黄祖田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C68EE65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E263F2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2D119F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63C850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15BAA0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C98FF8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2CB4AB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9BA419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DF876C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2D7522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20B39CA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057A2C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86EDBB6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蔡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 xml:space="preserve">  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波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BDFC34B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214B61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F17767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8A0CE5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EBB170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A3F77E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E3B606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8218FD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92D661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8629F3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4A9F639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45C29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C3F7E34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蒋隆明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BDCE07A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0E7F6D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D7CD22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F8A840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C8BB4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07C6B8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A1922B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7750F7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C14A38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A9B58D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3F35A55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146899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94A27FD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蒋佰彪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3102325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CC32DC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3F40D7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1E7DD9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8399AA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EDF038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2BF616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BC9B01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FB9BBA2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78D9C3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5AF05B6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47329F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107AE23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蒋佰虎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313CB7B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6A99A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623189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F75149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00D58F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ACC526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A40F17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4DDFD7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30EFD6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FBBA7F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4B536B3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48B252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3F170BD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蒋庆纯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604A28F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FA95A1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58C07A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5744F7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1C24B6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74EA0C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50177F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46B0FE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59FB27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564843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5F62EEF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43546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9DA8A55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蔡明书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5A576CA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0FB278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631254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6E2213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36173F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62C3DE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4DAAFE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ECACA8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EA8C83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A91D6C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23DF169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7177B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5785D79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左孝强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9979360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FB3261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DCABEA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2B3702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A2B8E3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324F5D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C33EB4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303DB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162996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1311F7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7BFFA88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62D954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B6EDBC5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蔡定俊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095C099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B1CBBE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5CBADC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598660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D2D3CB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1FCAC8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80B3E1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C6B74A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ADF628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CC7988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1B449E2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1BEA34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32257A8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蔡定兵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FC20555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0E6352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5E035A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AA887D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590C8D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3B5859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1EB3D9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9538F2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524C72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37E5E2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14C5259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3795C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791770C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蔡福林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DE76188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06561F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64BFCF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35B009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F71782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F10E53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91AB27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E3CD94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E980E3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9AC503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4CF3245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5EB31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50EB9BB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蔡福秋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8F63DB4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BF90E2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7A08D0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FC1C4C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68387D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F194AD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27326D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4ED09D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586379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5498C1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51D258C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377E6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7DBF038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胡顺文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2CF564C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737F70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EC7E48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5B5655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6E1061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67D5EC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3D4BA1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40736F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E8958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B7AA44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5F4C61A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7CB00E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FE8DE13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唐恒强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431446A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4585E7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04B0E6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1DE84C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004BFE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1ECA02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E9932A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ABE975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05610E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B5A129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76CEE28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65A57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D169A90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唐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 xml:space="preserve">  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榕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D01B1AA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DEB78A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BA6861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A5E8A1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68F296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43D93D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937F10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D9516C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53DEF5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81EA90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3EAE228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56DB6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7B0181B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唐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 xml:space="preserve">  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波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84FA6C1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210357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A57DDB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C8E055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89E6752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2236E1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A4B14F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DB383E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1EE60E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C4749E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2683B98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21657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15E9824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胡永勤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BFB5A6A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7AD55A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EE2ACF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60F759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473A84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D89E22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FA44F9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FA9FDB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F6C951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087E02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7DA169C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7EB56D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1AC3A91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黄建英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BAFDB48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AEF770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3C1544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9760E1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2D311F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770D47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563314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C0BA90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F179112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34ED46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6C490E8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7EA17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94453D7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蒋安明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671EA8C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38A463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A47384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F11FB4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D22944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DB6015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0E562D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029D3C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B161D1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D47D60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20A8587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37B73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34A25DB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刘汉平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F7B23CC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85E4E0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D39C66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AD987E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A25A15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CC7902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8D3F66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0E7E5F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FC9B45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0DB417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24B0F62F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7B857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D9A05DE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杨祖连</w:t>
            </w: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B6BDB8E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白塔村</w:t>
            </w:r>
            <w:r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组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FEC9B12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9BF736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16139E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11EF32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516EDA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2B220F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44EBF1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B60569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A377F6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24AF9A5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106AB1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3A6D09A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D55BC6D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6F2AEFB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EB2E51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677CB7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D3E996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29A82D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7ED72F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611546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14CAFCB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D35328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7C43FFB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5C20B0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85" w:type="pct"/>
            <w:tcBorders>
              <w:top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9E48D10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</w:p>
        </w:tc>
        <w:tc>
          <w:tcPr>
            <w:tcW w:w="652" w:type="pct"/>
            <w:tcBorders>
              <w:top w:val="single" w:color="5B5B5B" w:sz="8" w:space="0"/>
              <w:left w:val="single" w:color="5B5B5B" w:sz="8" w:space="0"/>
              <w:bottom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4727D69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2D54498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99B456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06B29A9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25A339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428903C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F1C8E0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5EA2BB3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3DC8D0E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right w:val="single" w:color="5B5B5B" w:sz="8" w:space="0"/>
            </w:tcBorders>
            <w:shd w:val="clear" w:color="auto" w:fill="FEFEFE"/>
            <w:vAlign w:val="center"/>
          </w:tcPr>
          <w:p w14:paraId="778D3B12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</w:tcBorders>
            <w:shd w:val="clear" w:color="auto" w:fill="FEFEFE"/>
            <w:vAlign w:val="center"/>
          </w:tcPr>
          <w:p w14:paraId="5858F83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</w:p>
        </w:tc>
      </w:tr>
      <w:tr w14:paraId="0CEBF1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4" w:space="0"/>
            <w:insideV w:val="non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38" w:type="pct"/>
            <w:gridSpan w:val="2"/>
            <w:tcBorders>
              <w:top w:val="single" w:color="5B5B5B" w:sz="8" w:space="0"/>
              <w:bottom w:val="single" w:color="auto" w:sz="4" w:space="0"/>
              <w:right w:val="single" w:color="5B5B5B" w:sz="8" w:space="0"/>
            </w:tcBorders>
            <w:shd w:val="clear" w:color="auto" w:fill="FEFEFE"/>
            <w:vAlign w:val="center"/>
          </w:tcPr>
          <w:p w14:paraId="627AF080">
            <w:pPr>
              <w:widowControl/>
              <w:jc w:val="center"/>
              <w:textAlignment w:val="center"/>
              <w:rPr>
                <w:rFonts w:ascii="Times New Roman" w:hAnsi="Times New Roman" w:eastAsia="方正仿宋_GBK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 w:eastAsia="方正仿宋_GBK"/>
                <w:color w:val="000000"/>
                <w:sz w:val="22"/>
                <w:szCs w:val="22"/>
              </w:rPr>
              <w:t>合计</w:t>
            </w:r>
          </w:p>
        </w:tc>
        <w:tc>
          <w:tcPr>
            <w:tcW w:w="480" w:type="pct"/>
            <w:tcBorders>
              <w:top w:val="single" w:color="5B5B5B" w:sz="8" w:space="0"/>
              <w:left w:val="single" w:color="5B5B5B" w:sz="8" w:space="0"/>
              <w:bottom w:val="single" w:color="auto" w:sz="4" w:space="0"/>
              <w:right w:val="single" w:color="5B5B5B" w:sz="8" w:space="0"/>
            </w:tcBorders>
            <w:shd w:val="clear" w:color="auto" w:fill="FEFEFE"/>
            <w:vAlign w:val="center"/>
          </w:tcPr>
          <w:p w14:paraId="6264C192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0.6300</w:t>
            </w:r>
          </w:p>
        </w:tc>
        <w:tc>
          <w:tcPr>
            <w:tcW w:w="437" w:type="pct"/>
            <w:tcBorders>
              <w:top w:val="single" w:color="5B5B5B" w:sz="8" w:space="0"/>
              <w:left w:val="single" w:color="5B5B5B" w:sz="8" w:space="0"/>
              <w:bottom w:val="single" w:color="auto" w:sz="4" w:space="0"/>
              <w:right w:val="single" w:color="5B5B5B" w:sz="8" w:space="0"/>
            </w:tcBorders>
            <w:shd w:val="clear" w:color="auto" w:fill="FEFEFE"/>
            <w:vAlign w:val="center"/>
          </w:tcPr>
          <w:p w14:paraId="4F3BD049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0.6300</w:t>
            </w:r>
          </w:p>
        </w:tc>
        <w:tc>
          <w:tcPr>
            <w:tcW w:w="346" w:type="pct"/>
            <w:tcBorders>
              <w:top w:val="single" w:color="5B5B5B" w:sz="8" w:space="0"/>
              <w:left w:val="single" w:color="5B5B5B" w:sz="8" w:space="0"/>
              <w:bottom w:val="single" w:color="auto" w:sz="4" w:space="0"/>
              <w:right w:val="single" w:color="5B5B5B" w:sz="8" w:space="0"/>
            </w:tcBorders>
            <w:shd w:val="clear" w:color="auto" w:fill="FEFEFE"/>
            <w:vAlign w:val="center"/>
          </w:tcPr>
          <w:p w14:paraId="2A022FD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352" w:type="pct"/>
            <w:tcBorders>
              <w:top w:val="single" w:color="5B5B5B" w:sz="8" w:space="0"/>
              <w:left w:val="single" w:color="5B5B5B" w:sz="8" w:space="0"/>
              <w:bottom w:val="single" w:color="auto" w:sz="4" w:space="0"/>
              <w:right w:val="single" w:color="5B5B5B" w:sz="8" w:space="0"/>
            </w:tcBorders>
            <w:shd w:val="clear" w:color="auto" w:fill="FEFEFE"/>
            <w:vAlign w:val="center"/>
          </w:tcPr>
          <w:p w14:paraId="481A166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0.6300</w:t>
            </w:r>
          </w:p>
        </w:tc>
        <w:tc>
          <w:tcPr>
            <w:tcW w:w="425" w:type="pct"/>
            <w:tcBorders>
              <w:top w:val="single" w:color="5B5B5B" w:sz="8" w:space="0"/>
              <w:left w:val="single" w:color="5B5B5B" w:sz="8" w:space="0"/>
              <w:bottom w:val="single" w:color="auto" w:sz="4" w:space="0"/>
              <w:right w:val="single" w:color="5B5B5B" w:sz="8" w:space="0"/>
            </w:tcBorders>
            <w:shd w:val="clear" w:color="auto" w:fill="FEFEFE"/>
            <w:vAlign w:val="center"/>
          </w:tcPr>
          <w:p w14:paraId="12E06CB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419" w:type="pct"/>
            <w:tcBorders>
              <w:top w:val="single" w:color="5B5B5B" w:sz="8" w:space="0"/>
              <w:left w:val="single" w:color="5B5B5B" w:sz="8" w:space="0"/>
              <w:bottom w:val="single" w:color="auto" w:sz="4" w:space="0"/>
              <w:right w:val="single" w:color="5B5B5B" w:sz="8" w:space="0"/>
            </w:tcBorders>
            <w:shd w:val="clear" w:color="auto" w:fill="FEFEFE"/>
            <w:vAlign w:val="center"/>
          </w:tcPr>
          <w:p w14:paraId="1E684D4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345" w:type="pct"/>
            <w:tcBorders>
              <w:top w:val="single" w:color="5B5B5B" w:sz="8" w:space="0"/>
              <w:left w:val="single" w:color="5B5B5B" w:sz="8" w:space="0"/>
              <w:bottom w:val="single" w:color="auto" w:sz="4" w:space="0"/>
              <w:right w:val="single" w:color="5B5B5B" w:sz="8" w:space="0"/>
            </w:tcBorders>
            <w:shd w:val="clear" w:color="auto" w:fill="FEFEFE"/>
            <w:vAlign w:val="center"/>
          </w:tcPr>
          <w:p w14:paraId="0E3371F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374" w:type="pct"/>
            <w:tcBorders>
              <w:top w:val="single" w:color="5B5B5B" w:sz="8" w:space="0"/>
              <w:left w:val="single" w:color="5B5B5B" w:sz="8" w:space="0"/>
              <w:bottom w:val="single" w:color="auto" w:sz="4" w:space="0"/>
              <w:right w:val="single" w:color="5B5B5B" w:sz="8" w:space="0"/>
            </w:tcBorders>
            <w:shd w:val="clear" w:color="auto" w:fill="FEFEFE"/>
            <w:vAlign w:val="center"/>
          </w:tcPr>
          <w:p w14:paraId="7735EE0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377" w:type="pct"/>
            <w:tcBorders>
              <w:top w:val="single" w:color="5B5B5B" w:sz="8" w:space="0"/>
              <w:left w:val="single" w:color="5B5B5B" w:sz="8" w:space="0"/>
              <w:bottom w:val="single" w:color="auto" w:sz="4" w:space="0"/>
              <w:right w:val="single" w:color="5B5B5B" w:sz="8" w:space="0"/>
            </w:tcBorders>
            <w:shd w:val="clear" w:color="auto" w:fill="FEFEFE"/>
            <w:vAlign w:val="center"/>
          </w:tcPr>
          <w:p w14:paraId="60CD475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  <w:tc>
          <w:tcPr>
            <w:tcW w:w="301" w:type="pct"/>
            <w:tcBorders>
              <w:top w:val="single" w:color="5B5B5B" w:sz="8" w:space="0"/>
              <w:left w:val="single" w:color="5B5B5B" w:sz="8" w:space="0"/>
              <w:bottom w:val="single" w:color="auto" w:sz="4" w:space="0"/>
            </w:tcBorders>
            <w:shd w:val="clear" w:color="auto" w:fill="FEFEFE"/>
            <w:vAlign w:val="center"/>
          </w:tcPr>
          <w:p w14:paraId="25B33B5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0</w:t>
            </w:r>
          </w:p>
        </w:tc>
      </w:tr>
    </w:tbl>
    <w:p w14:paraId="4225C4C7">
      <w:pPr>
        <w:ind w:firstLine="236" w:firstLineChars="100"/>
        <w:rPr>
          <w:rFonts w:ascii="Times New Roman" w:hAnsi="Times New Roman" w:eastAsia="方正仿宋_GBK"/>
          <w:sz w:val="24"/>
        </w:rPr>
      </w:pPr>
      <w:r>
        <w:rPr>
          <w:rFonts w:hint="eastAsia" w:ascii="Times New Roman" w:hAnsi="Times New Roman" w:eastAsia="方正仿宋_GBK" w:cs="方正仿宋_GBK"/>
          <w:spacing w:val="1"/>
          <w:w w:val="102"/>
          <w:sz w:val="23"/>
          <w:szCs w:val="23"/>
        </w:rPr>
        <w:t>备注：“农用地”一栏中的“其他农用地”是指</w:t>
      </w:r>
      <w:r>
        <w:rPr>
          <w:rFonts w:hint="eastAsia" w:ascii="Times New Roman" w:hAnsi="Times New Roman" w:eastAsia="方正仿宋_GBK" w:cs="方正仿宋_GBK"/>
          <w:w w:val="105"/>
          <w:sz w:val="23"/>
          <w:szCs w:val="23"/>
        </w:rPr>
        <w:t>按</w:t>
      </w:r>
      <w:r>
        <w:rPr>
          <w:rFonts w:hint="eastAsia" w:ascii="Times New Roman" w:hAnsi="Times New Roman" w:eastAsia="方正仿宋_GBK" w:cs="方正仿宋_GBK"/>
          <w:spacing w:val="12"/>
          <w:w w:val="105"/>
          <w:sz w:val="23"/>
          <w:szCs w:val="23"/>
        </w:rPr>
        <w:t>国</w:t>
      </w:r>
      <w:r>
        <w:rPr>
          <w:rFonts w:hint="eastAsia" w:ascii="Times New Roman" w:hAnsi="Times New Roman" w:eastAsia="方正仿宋_GBK" w:cs="方正仿宋_GBK"/>
          <w:w w:val="104"/>
          <w:sz w:val="23"/>
          <w:szCs w:val="23"/>
        </w:rPr>
        <w:t>标三大类</w:t>
      </w:r>
      <w:r>
        <w:rPr>
          <w:rFonts w:hint="eastAsia" w:ascii="Times New Roman" w:hAnsi="Times New Roman" w:eastAsia="方正仿宋_GBK" w:cs="方正仿宋_GBK"/>
          <w:w w:val="102"/>
          <w:sz w:val="23"/>
          <w:szCs w:val="23"/>
        </w:rPr>
        <w:t>中</w:t>
      </w:r>
      <w:r>
        <w:rPr>
          <w:rFonts w:hint="eastAsia" w:ascii="Times New Roman" w:hAnsi="Times New Roman" w:eastAsia="方正仿宋_GBK" w:cs="方正仿宋_GBK"/>
          <w:spacing w:val="1"/>
          <w:w w:val="102"/>
          <w:sz w:val="23"/>
          <w:szCs w:val="23"/>
        </w:rPr>
        <w:t>的</w:t>
      </w:r>
      <w:r>
        <w:rPr>
          <w:rFonts w:hint="eastAsia" w:ascii="Times New Roman" w:hAnsi="Times New Roman" w:eastAsia="方正仿宋_GBK" w:cs="方正仿宋_GBK"/>
          <w:w w:val="103"/>
          <w:sz w:val="23"/>
          <w:szCs w:val="23"/>
        </w:rPr>
        <w:t>一级类</w:t>
      </w:r>
      <w:r>
        <w:rPr>
          <w:rFonts w:hint="eastAsia" w:ascii="Times New Roman" w:hAnsi="Times New Roman" w:eastAsia="方正仿宋_GBK" w:cs="方正仿宋_GBK"/>
          <w:w w:val="104"/>
          <w:sz w:val="23"/>
          <w:szCs w:val="23"/>
        </w:rPr>
        <w:t>中除耕地</w:t>
      </w:r>
      <w:r>
        <w:rPr>
          <w:rFonts w:hint="eastAsia" w:ascii="Times New Roman" w:hAnsi="Times New Roman" w:eastAsia="方正仿宋_GBK" w:cs="方正仿宋_GBK"/>
          <w:spacing w:val="-21"/>
          <w:w w:val="116"/>
          <w:sz w:val="23"/>
          <w:szCs w:val="23"/>
        </w:rPr>
        <w:t>、</w:t>
      </w:r>
      <w:r>
        <w:rPr>
          <w:rFonts w:hint="eastAsia" w:ascii="Times New Roman" w:hAnsi="Times New Roman" w:eastAsia="方正仿宋_GBK" w:cs="方正仿宋_GBK"/>
          <w:w w:val="103"/>
          <w:sz w:val="23"/>
          <w:szCs w:val="23"/>
        </w:rPr>
        <w:t>园</w:t>
      </w:r>
      <w:r>
        <w:rPr>
          <w:rFonts w:hint="eastAsia" w:ascii="Times New Roman" w:hAnsi="Times New Roman" w:eastAsia="方正仿宋_GBK" w:cs="方正仿宋_GBK"/>
          <w:spacing w:val="16"/>
          <w:w w:val="103"/>
          <w:sz w:val="23"/>
          <w:szCs w:val="23"/>
        </w:rPr>
        <w:t>地</w:t>
      </w:r>
      <w:r>
        <w:rPr>
          <w:rFonts w:hint="eastAsia" w:ascii="Times New Roman" w:hAnsi="Times New Roman" w:eastAsia="方正仿宋_GBK" w:cs="方正仿宋_GBK"/>
          <w:spacing w:val="-49"/>
          <w:w w:val="116"/>
          <w:sz w:val="23"/>
          <w:szCs w:val="23"/>
        </w:rPr>
        <w:t>、</w:t>
      </w:r>
      <w:r>
        <w:rPr>
          <w:rFonts w:hint="eastAsia" w:ascii="Times New Roman" w:hAnsi="Times New Roman" w:eastAsia="方正仿宋_GBK" w:cs="方正仿宋_GBK"/>
          <w:spacing w:val="-5"/>
          <w:w w:val="108"/>
          <w:sz w:val="23"/>
          <w:szCs w:val="23"/>
        </w:rPr>
        <w:t>林</w:t>
      </w:r>
      <w:r>
        <w:rPr>
          <w:rFonts w:hint="eastAsia" w:ascii="Times New Roman" w:hAnsi="Times New Roman" w:eastAsia="方正仿宋_GBK" w:cs="方正仿宋_GBK"/>
          <w:w w:val="110"/>
          <w:sz w:val="23"/>
          <w:szCs w:val="23"/>
        </w:rPr>
        <w:t>地</w:t>
      </w:r>
      <w:r>
        <w:rPr>
          <w:rFonts w:hint="eastAsia" w:ascii="Times New Roman" w:hAnsi="Times New Roman" w:eastAsia="方正仿宋_GBK" w:cs="方正仿宋_GBK"/>
          <w:spacing w:val="-35"/>
          <w:w w:val="116"/>
          <w:sz w:val="23"/>
          <w:szCs w:val="23"/>
        </w:rPr>
        <w:t>、</w:t>
      </w:r>
      <w:r>
        <w:rPr>
          <w:rFonts w:hint="eastAsia" w:ascii="Times New Roman" w:hAnsi="Times New Roman" w:eastAsia="方正仿宋_GBK" w:cs="方正仿宋_GBK"/>
          <w:w w:val="105"/>
          <w:sz w:val="23"/>
          <w:szCs w:val="23"/>
        </w:rPr>
        <w:t>草</w:t>
      </w:r>
      <w:r>
        <w:rPr>
          <w:rFonts w:hint="eastAsia" w:ascii="Times New Roman" w:hAnsi="Times New Roman" w:eastAsia="方正仿宋_GBK" w:cs="方正仿宋_GBK"/>
          <w:spacing w:val="13"/>
          <w:w w:val="105"/>
          <w:sz w:val="23"/>
          <w:szCs w:val="23"/>
        </w:rPr>
        <w:t>地</w:t>
      </w:r>
      <w:r>
        <w:rPr>
          <w:rFonts w:hint="eastAsia" w:ascii="Times New Roman" w:hAnsi="Times New Roman" w:eastAsia="方正仿宋_GBK" w:cs="方正仿宋_GBK"/>
          <w:w w:val="103"/>
          <w:sz w:val="23"/>
          <w:szCs w:val="23"/>
        </w:rPr>
        <w:t>外的其</w:t>
      </w:r>
      <w:r>
        <w:rPr>
          <w:rFonts w:hint="eastAsia" w:ascii="Times New Roman" w:hAnsi="Times New Roman" w:eastAsia="方正仿宋_GBK" w:cs="方正仿宋_GBK"/>
          <w:spacing w:val="13"/>
          <w:w w:val="103"/>
          <w:sz w:val="23"/>
          <w:szCs w:val="23"/>
        </w:rPr>
        <w:t>他</w:t>
      </w:r>
      <w:r>
        <w:rPr>
          <w:rFonts w:hint="eastAsia" w:ascii="Times New Roman" w:hAnsi="Times New Roman" w:eastAsia="方正仿宋_GBK" w:cs="方正仿宋_GBK"/>
          <w:w w:val="107"/>
          <w:sz w:val="23"/>
          <w:szCs w:val="23"/>
        </w:rPr>
        <w:t>农用地</w:t>
      </w:r>
      <w:r>
        <w:rPr>
          <w:rFonts w:hint="eastAsia" w:ascii="Times New Roman" w:hAnsi="Times New Roman" w:eastAsia="方正仿宋_GBK" w:cs="方正仿宋_GBK"/>
          <w:spacing w:val="-83"/>
          <w:sz w:val="23"/>
          <w:szCs w:val="23"/>
        </w:rPr>
        <w:t>。</w:t>
      </w:r>
    </w:p>
    <w:p w14:paraId="5F47072D">
      <w:pPr>
        <w:rPr>
          <w:rFonts w:ascii="Times New Roman" w:hAnsi="Times New Roman"/>
        </w:rPr>
        <w:sectPr>
          <w:headerReference r:id="rId6" w:type="default"/>
          <w:footerReference r:id="rId7" w:type="default"/>
          <w:pgSz w:w="16840" w:h="11907" w:orient="landscape"/>
          <w:pgMar w:top="2155" w:right="1474" w:bottom="1814" w:left="1588" w:header="851" w:footer="992" w:gutter="0"/>
          <w:pgNumType w:fmt="numberInDash"/>
          <w:cols w:space="720" w:num="1"/>
          <w:docGrid w:linePitch="312" w:charSpace="0"/>
        </w:sectPr>
      </w:pPr>
    </w:p>
    <w:p w14:paraId="5A0292AF">
      <w:pPr>
        <w:rPr>
          <w:rFonts w:ascii="Times New Roman" w:hAnsi="Times New Roman"/>
        </w:rPr>
      </w:pPr>
    </w:p>
    <w:p w14:paraId="69BE906C">
      <w:pPr>
        <w:rPr>
          <w:rFonts w:ascii="Times New Roman" w:hAnsi="Times New Roman"/>
        </w:rPr>
      </w:pPr>
    </w:p>
    <w:p w14:paraId="2E717CA6">
      <w:pPr>
        <w:rPr>
          <w:rFonts w:ascii="Times New Roman" w:hAnsi="Times New Roman"/>
        </w:rPr>
      </w:pPr>
    </w:p>
    <w:p w14:paraId="53568118">
      <w:pPr>
        <w:rPr>
          <w:rFonts w:ascii="Times New Roman" w:hAnsi="Times New Roman"/>
        </w:rPr>
      </w:pPr>
    </w:p>
    <w:p w14:paraId="5163B8F5">
      <w:pPr>
        <w:rPr>
          <w:rFonts w:ascii="Times New Roman" w:hAnsi="Times New Roman"/>
        </w:rPr>
      </w:pPr>
    </w:p>
    <w:p w14:paraId="3E0AAF97">
      <w:pPr>
        <w:rPr>
          <w:rFonts w:ascii="Times New Roman" w:hAnsi="Times New Roman"/>
        </w:rPr>
      </w:pPr>
    </w:p>
    <w:p w14:paraId="1D4A51AA">
      <w:pPr>
        <w:rPr>
          <w:rFonts w:ascii="Times New Roman" w:hAnsi="Times New Roman"/>
        </w:rPr>
      </w:pPr>
    </w:p>
    <w:p w14:paraId="3103FF48">
      <w:pPr>
        <w:rPr>
          <w:rFonts w:ascii="Times New Roman" w:hAnsi="Times New Roman"/>
        </w:rPr>
      </w:pPr>
    </w:p>
    <w:p w14:paraId="76390C4F">
      <w:pPr>
        <w:rPr>
          <w:rFonts w:ascii="Times New Roman" w:hAnsi="Times New Roman"/>
        </w:rPr>
      </w:pPr>
    </w:p>
    <w:p w14:paraId="391761F0">
      <w:pPr>
        <w:rPr>
          <w:rFonts w:ascii="Times New Roman" w:hAnsi="Times New Roman"/>
        </w:rPr>
      </w:pPr>
    </w:p>
    <w:p w14:paraId="0CF0C4F9">
      <w:pPr>
        <w:rPr>
          <w:rFonts w:ascii="Times New Roman" w:hAnsi="Times New Roman"/>
        </w:rPr>
      </w:pPr>
    </w:p>
    <w:p w14:paraId="2372E75E">
      <w:pPr>
        <w:rPr>
          <w:rFonts w:ascii="Times New Roman" w:hAnsi="Times New Roman"/>
        </w:rPr>
      </w:pPr>
    </w:p>
    <w:p w14:paraId="1FA2DBE4">
      <w:pPr>
        <w:rPr>
          <w:rFonts w:ascii="Times New Roman" w:hAnsi="Times New Roman"/>
        </w:rPr>
      </w:pPr>
    </w:p>
    <w:p w14:paraId="1B1BE8B8">
      <w:pPr>
        <w:rPr>
          <w:rFonts w:ascii="Times New Roman" w:hAnsi="Times New Roman"/>
        </w:rPr>
      </w:pPr>
    </w:p>
    <w:p w14:paraId="7D8DDB81">
      <w:pPr>
        <w:rPr>
          <w:rFonts w:ascii="Times New Roman" w:hAnsi="Times New Roman"/>
        </w:rPr>
      </w:pPr>
    </w:p>
    <w:p w14:paraId="201911EA">
      <w:pPr>
        <w:rPr>
          <w:rFonts w:ascii="Times New Roman" w:hAnsi="Times New Roman"/>
        </w:rPr>
      </w:pPr>
    </w:p>
    <w:p w14:paraId="795E46B1">
      <w:pPr>
        <w:rPr>
          <w:rFonts w:ascii="Times New Roman" w:hAnsi="Times New Roman"/>
        </w:rPr>
      </w:pPr>
    </w:p>
    <w:p w14:paraId="781474E0">
      <w:pPr>
        <w:rPr>
          <w:rFonts w:ascii="Times New Roman" w:hAnsi="Times New Roman"/>
        </w:rPr>
      </w:pPr>
    </w:p>
    <w:p w14:paraId="6BB273A4">
      <w:pPr>
        <w:rPr>
          <w:rFonts w:ascii="Times New Roman" w:hAnsi="Times New Roman"/>
        </w:rPr>
      </w:pPr>
    </w:p>
    <w:p w14:paraId="74F2367B">
      <w:pPr>
        <w:rPr>
          <w:rFonts w:ascii="Times New Roman" w:hAnsi="Times New Roman"/>
        </w:rPr>
      </w:pPr>
    </w:p>
    <w:p w14:paraId="2D340127">
      <w:pPr>
        <w:rPr>
          <w:rFonts w:ascii="Times New Roman" w:hAnsi="Times New Roman"/>
        </w:rPr>
      </w:pPr>
    </w:p>
    <w:p w14:paraId="3DDDB7CE">
      <w:pPr>
        <w:rPr>
          <w:rFonts w:ascii="Times New Roman" w:hAnsi="Times New Roman"/>
        </w:rPr>
      </w:pPr>
    </w:p>
    <w:p w14:paraId="7AA69E95">
      <w:pPr>
        <w:rPr>
          <w:rFonts w:ascii="Times New Roman" w:hAnsi="Times New Roman"/>
        </w:rPr>
      </w:pPr>
    </w:p>
    <w:p w14:paraId="088160E3">
      <w:pPr>
        <w:rPr>
          <w:rFonts w:ascii="Times New Roman" w:hAnsi="Times New Roman"/>
        </w:rPr>
      </w:pPr>
    </w:p>
    <w:p w14:paraId="78A2F3A3">
      <w:pPr>
        <w:rPr>
          <w:rFonts w:ascii="Times New Roman" w:hAnsi="Times New Roman"/>
        </w:rPr>
      </w:pPr>
    </w:p>
    <w:p w14:paraId="3CDA4187">
      <w:pPr>
        <w:rPr>
          <w:rFonts w:ascii="Times New Roman" w:hAnsi="Times New Roman"/>
        </w:rPr>
      </w:pPr>
    </w:p>
    <w:p w14:paraId="60673E92">
      <w:pPr>
        <w:rPr>
          <w:rFonts w:ascii="Times New Roman" w:hAnsi="Times New Roman"/>
        </w:rPr>
      </w:pPr>
    </w:p>
    <w:p w14:paraId="7C92B203">
      <w:pPr>
        <w:rPr>
          <w:rFonts w:ascii="Times New Roman" w:hAnsi="Times New Roman"/>
        </w:rPr>
      </w:pPr>
    </w:p>
    <w:p w14:paraId="0ADD4824">
      <w:pPr>
        <w:rPr>
          <w:rFonts w:ascii="Times New Roman" w:hAnsi="Times New Roman"/>
        </w:rPr>
      </w:pPr>
    </w:p>
    <w:p w14:paraId="1C7AE1FD">
      <w:pPr>
        <w:rPr>
          <w:rFonts w:ascii="Times New Roman" w:hAnsi="Times New Roman"/>
        </w:rPr>
      </w:pPr>
    </w:p>
    <w:p w14:paraId="67FFF3E9">
      <w:pPr>
        <w:rPr>
          <w:rFonts w:ascii="Times New Roman" w:hAnsi="Times New Roman"/>
        </w:rPr>
      </w:pPr>
    </w:p>
    <w:p w14:paraId="7A5772D3">
      <w:pPr>
        <w:rPr>
          <w:rFonts w:ascii="Times New Roman" w:hAnsi="Times New Roman"/>
        </w:rPr>
      </w:pPr>
    </w:p>
    <w:p w14:paraId="650207DC">
      <w:pPr>
        <w:rPr>
          <w:rFonts w:ascii="Times New Roman" w:hAnsi="Times New Roman"/>
        </w:rPr>
      </w:pPr>
    </w:p>
    <w:p w14:paraId="460E2489">
      <w:pPr>
        <w:rPr>
          <w:rFonts w:ascii="Times New Roman" w:hAnsi="Times New Roman"/>
        </w:rPr>
      </w:pPr>
    </w:p>
    <w:p w14:paraId="555B57D5">
      <w:pPr>
        <w:rPr>
          <w:rFonts w:ascii="Times New Roman" w:hAnsi="Times New Roman"/>
        </w:rPr>
      </w:pPr>
    </w:p>
    <w:p w14:paraId="15492CE0">
      <w:pPr>
        <w:rPr>
          <w:rFonts w:ascii="Times New Roman" w:hAnsi="Times New Roman"/>
        </w:rPr>
      </w:pPr>
    </w:p>
    <w:p w14:paraId="07DB6B27">
      <w:pPr>
        <w:rPr>
          <w:rFonts w:ascii="Times New Roman" w:hAnsi="Times New Roman"/>
        </w:rPr>
      </w:pPr>
    </w:p>
    <w:p w14:paraId="5ACBBED8">
      <w:pPr>
        <w:rPr>
          <w:rFonts w:ascii="Times New Roman" w:hAnsi="Times New Roman"/>
        </w:rPr>
      </w:pPr>
    </w:p>
    <w:p w14:paraId="37F1DE6A">
      <w:pPr>
        <w:rPr>
          <w:rFonts w:ascii="Times New Roman" w:hAnsi="Times New Roman"/>
        </w:rPr>
      </w:pPr>
    </w:p>
    <w:p w14:paraId="5322010A">
      <w:pPr>
        <w:rPr>
          <w:rFonts w:ascii="Times New Roman" w:hAnsi="Times New Roman"/>
        </w:rPr>
      </w:pPr>
    </w:p>
    <w:p w14:paraId="4CD9503F">
      <w:pPr>
        <w:rPr>
          <w:rFonts w:ascii="Times New Roman" w:hAnsi="Times New Roman"/>
        </w:rPr>
      </w:pPr>
    </w:p>
    <w:p w14:paraId="12595A59">
      <w:pPr>
        <w:rPr>
          <w:rFonts w:ascii="Times New Roman" w:hAnsi="Times New Roman"/>
        </w:rPr>
      </w:pPr>
    </w:p>
    <w:p w14:paraId="339A4900">
      <w:pPr>
        <w:rPr>
          <w:rFonts w:ascii="Times New Roman" w:hAnsi="Times New Roman"/>
        </w:rPr>
      </w:pPr>
    </w:p>
    <w:p w14:paraId="0FA314FF">
      <w:pPr>
        <w:rPr>
          <w:rFonts w:ascii="Times New Roman" w:hAnsi="Times New Roman"/>
        </w:rPr>
      </w:pPr>
    </w:p>
    <w:p w14:paraId="3B88B4B8">
      <w:pPr>
        <w:rPr>
          <w:rFonts w:ascii="Times New Roman" w:hAnsi="Times New Roman"/>
        </w:rPr>
      </w:pPr>
    </w:p>
    <w:p w14:paraId="5CE2ED62">
      <w:pPr>
        <w:rPr>
          <w:rFonts w:ascii="Times New Roman" w:hAnsi="Times New Roman"/>
        </w:rPr>
      </w:pPr>
    </w:p>
    <w:p w14:paraId="7F1FCDAC">
      <w:pPr>
        <w:rPr>
          <w:rFonts w:ascii="Times New Roman" w:hAnsi="Times New Roman"/>
        </w:rPr>
      </w:pPr>
    </w:p>
    <w:p w14:paraId="41BE0D14">
      <w:pPr>
        <w:rPr>
          <w:rFonts w:ascii="Times New Roman" w:hAnsi="Times New Roman"/>
        </w:rPr>
      </w:pPr>
    </w:p>
    <w:p w14:paraId="7ED471F9">
      <w:pPr>
        <w:rPr>
          <w:rFonts w:ascii="Times New Roman" w:hAnsi="Times New Roman"/>
        </w:rPr>
      </w:pPr>
    </w:p>
    <w:p w14:paraId="091FCE10">
      <w:pPr>
        <w:rPr>
          <w:rFonts w:ascii="Times New Roman" w:hAnsi="Times New Roman"/>
        </w:rPr>
      </w:pPr>
    </w:p>
    <w:p w14:paraId="36701D9D">
      <w:pPr>
        <w:rPr>
          <w:rFonts w:ascii="Times New Roman" w:hAnsi="Times New Roman"/>
        </w:rPr>
      </w:pPr>
    </w:p>
    <w:p w14:paraId="69352C76">
      <w:pPr>
        <w:rPr>
          <w:rFonts w:ascii="Times New Roman" w:hAnsi="Times New Roman"/>
        </w:rPr>
      </w:pPr>
    </w:p>
    <w:p w14:paraId="65551C24">
      <w:pPr>
        <w:rPr>
          <w:rFonts w:ascii="Times New Roman" w:hAnsi="Times New Roman"/>
        </w:rPr>
      </w:pPr>
    </w:p>
    <w:p w14:paraId="5681BD9D">
      <w:pPr>
        <w:rPr>
          <w:rFonts w:ascii="Times New Roman" w:hAnsi="Times New Roman"/>
        </w:rPr>
      </w:pPr>
    </w:p>
    <w:p w14:paraId="1CEA38E8">
      <w:pPr>
        <w:rPr>
          <w:rFonts w:ascii="Times New Roman" w:hAnsi="Times New Roman"/>
        </w:rPr>
      </w:pPr>
    </w:p>
    <w:p w14:paraId="16C0CFF0">
      <w:pPr>
        <w:rPr>
          <w:rFonts w:ascii="Times New Roman" w:hAnsi="Times New Roman"/>
        </w:rPr>
      </w:pPr>
    </w:p>
    <w:p w14:paraId="5CAA69F5">
      <w:pPr>
        <w:rPr>
          <w:rFonts w:ascii="Times New Roman" w:hAnsi="Times New Roman"/>
        </w:rPr>
      </w:pPr>
    </w:p>
    <w:p w14:paraId="173C0E13">
      <w:pPr>
        <w:rPr>
          <w:rFonts w:ascii="Times New Roman" w:hAnsi="Times New Roman"/>
        </w:rPr>
      </w:pPr>
    </w:p>
    <w:p w14:paraId="33BDEB21">
      <w:pPr>
        <w:rPr>
          <w:rFonts w:ascii="Times New Roman" w:hAnsi="Times New Roman"/>
        </w:rPr>
      </w:pPr>
    </w:p>
    <w:p w14:paraId="00EAE2E1">
      <w:pPr>
        <w:rPr>
          <w:rFonts w:ascii="Times New Roman" w:hAnsi="Times New Roman"/>
        </w:rPr>
      </w:pPr>
    </w:p>
    <w:p w14:paraId="79BC33F9">
      <w:pPr>
        <w:rPr>
          <w:rFonts w:ascii="Times New Roman" w:hAnsi="Times New Roman"/>
        </w:rPr>
      </w:pPr>
    </w:p>
    <w:p w14:paraId="14EC7B4C">
      <w:pPr>
        <w:rPr>
          <w:rFonts w:ascii="Times New Roman" w:hAnsi="Times New Roman"/>
        </w:rPr>
      </w:pPr>
    </w:p>
    <w:p w14:paraId="5852609A">
      <w:pPr>
        <w:rPr>
          <w:rFonts w:ascii="Times New Roman" w:hAnsi="Times New Roman"/>
        </w:rPr>
      </w:pPr>
    </w:p>
    <w:p w14:paraId="6D6A6390">
      <w:pPr>
        <w:rPr>
          <w:rFonts w:ascii="Times New Roman" w:hAnsi="Times New Roman"/>
        </w:rPr>
      </w:pPr>
    </w:p>
    <w:p w14:paraId="1218B567">
      <w:pPr>
        <w:rPr>
          <w:rFonts w:ascii="Times New Roman" w:hAnsi="Times New Roman"/>
        </w:rPr>
      </w:pPr>
    </w:p>
    <w:p w14:paraId="2E15F739">
      <w:pPr>
        <w:rPr>
          <w:rFonts w:ascii="Times New Roman" w:hAnsi="Times New Roman"/>
        </w:rPr>
      </w:pPr>
    </w:p>
    <w:p w14:paraId="06868F57">
      <w:pPr>
        <w:rPr>
          <w:rFonts w:ascii="Times New Roman" w:hAnsi="Times New Roman"/>
        </w:rPr>
      </w:pPr>
    </w:p>
    <w:p w14:paraId="72B0227D">
      <w:pPr>
        <w:rPr>
          <w:rFonts w:ascii="Times New Roman" w:hAnsi="Times New Roman"/>
        </w:rPr>
      </w:pPr>
    </w:p>
    <w:p w14:paraId="356AC9BC">
      <w:pPr>
        <w:rPr>
          <w:rFonts w:ascii="Times New Roman" w:hAnsi="Times New Roman"/>
        </w:rPr>
      </w:pPr>
    </w:p>
    <w:p w14:paraId="111D39D8">
      <w:pPr>
        <w:rPr>
          <w:rFonts w:ascii="Times New Roman" w:hAnsi="Times New Roman"/>
        </w:rPr>
      </w:pPr>
    </w:p>
    <w:p w14:paraId="476F908E">
      <w:pPr>
        <w:rPr>
          <w:rFonts w:ascii="Times New Roman" w:hAnsi="Times New Roman"/>
        </w:rPr>
      </w:pPr>
    </w:p>
    <w:p w14:paraId="0906E79F">
      <w:pPr>
        <w:rPr>
          <w:rFonts w:ascii="Times New Roman" w:hAnsi="Times New Roman"/>
        </w:rPr>
      </w:pPr>
    </w:p>
    <w:p w14:paraId="7AD258B4">
      <w:pPr>
        <w:rPr>
          <w:rFonts w:ascii="Times New Roman" w:hAnsi="Times New Roman"/>
        </w:rPr>
      </w:pPr>
    </w:p>
    <w:p w14:paraId="76CB9FBD">
      <w:pPr>
        <w:rPr>
          <w:rFonts w:ascii="Times New Roman" w:hAnsi="Times New Roman"/>
        </w:rPr>
      </w:pPr>
    </w:p>
    <w:p w14:paraId="6055E509">
      <w:pPr>
        <w:rPr>
          <w:rFonts w:ascii="Times New Roman" w:hAnsi="Times New Roman"/>
        </w:rPr>
      </w:pPr>
    </w:p>
    <w:p w14:paraId="63D4A6B6">
      <w:pPr>
        <w:rPr>
          <w:rFonts w:ascii="Times New Roman" w:hAnsi="Times New Roman"/>
        </w:rPr>
      </w:pPr>
    </w:p>
    <w:p w14:paraId="0238AD27">
      <w:pPr>
        <w:rPr>
          <w:rFonts w:ascii="Times New Roman" w:hAnsi="Times New Roman"/>
        </w:rPr>
      </w:pPr>
    </w:p>
    <w:p w14:paraId="7686F296">
      <w:pPr>
        <w:rPr>
          <w:rFonts w:ascii="Times New Roman" w:hAnsi="Times New Roman"/>
        </w:rPr>
      </w:pPr>
    </w:p>
    <w:p w14:paraId="13481F20">
      <w:pPr>
        <w:rPr>
          <w:rFonts w:ascii="Times New Roman" w:hAnsi="Times New Roman"/>
        </w:rPr>
      </w:pPr>
    </w:p>
    <w:p w14:paraId="0F93F52D">
      <w:pPr>
        <w:rPr>
          <w:rFonts w:ascii="Times New Roman" w:hAnsi="Times New Roman"/>
        </w:rPr>
      </w:pPr>
    </w:p>
    <w:p w14:paraId="033C9906">
      <w:pPr>
        <w:rPr>
          <w:rFonts w:ascii="Times New Roman" w:hAnsi="Times New Roman"/>
        </w:rPr>
      </w:pPr>
    </w:p>
    <w:p w14:paraId="0BE3F176">
      <w:pPr>
        <w:rPr>
          <w:rFonts w:ascii="Times New Roman" w:hAnsi="Times New Roman"/>
        </w:rPr>
      </w:pPr>
    </w:p>
    <w:p w14:paraId="03C8C80D">
      <w:pPr>
        <w:rPr>
          <w:rFonts w:ascii="Times New Roman" w:hAnsi="Times New Roman"/>
        </w:rPr>
      </w:pPr>
    </w:p>
    <w:p w14:paraId="39266174">
      <w:pPr>
        <w:rPr>
          <w:rFonts w:ascii="Times New Roman" w:hAnsi="Times New Roman"/>
        </w:rPr>
      </w:pPr>
    </w:p>
    <w:p w14:paraId="1607E66A">
      <w:pPr>
        <w:rPr>
          <w:rFonts w:ascii="Times New Roman" w:hAnsi="Times New Roman"/>
        </w:rPr>
      </w:pPr>
    </w:p>
    <w:p w14:paraId="04CBC630">
      <w:pPr>
        <w:rPr>
          <w:rFonts w:ascii="Times New Roman" w:hAnsi="Times New Roman"/>
        </w:rPr>
      </w:pPr>
    </w:p>
    <w:p w14:paraId="6AE62104">
      <w:pPr>
        <w:rPr>
          <w:rFonts w:ascii="Times New Roman" w:hAnsi="Times New Roman"/>
        </w:rPr>
      </w:pPr>
    </w:p>
    <w:p w14:paraId="7967627E">
      <w:pPr>
        <w:rPr>
          <w:rFonts w:ascii="Times New Roman" w:hAnsi="Times New Roman"/>
        </w:rPr>
      </w:pPr>
    </w:p>
    <w:p w14:paraId="19CC5060">
      <w:pPr>
        <w:rPr>
          <w:rFonts w:ascii="Times New Roman" w:hAnsi="Times New Roman"/>
        </w:rPr>
      </w:pPr>
    </w:p>
    <w:p w14:paraId="32D9A0F8">
      <w:pPr>
        <w:rPr>
          <w:rFonts w:ascii="Times New Roman" w:hAnsi="Times New Roman"/>
        </w:rPr>
      </w:pPr>
    </w:p>
    <w:p w14:paraId="68C527C4">
      <w:pPr>
        <w:rPr>
          <w:rFonts w:ascii="Times New Roman" w:hAnsi="Times New Roman"/>
        </w:rPr>
      </w:pPr>
    </w:p>
    <w:p w14:paraId="3C92FFE0">
      <w:pPr>
        <w:rPr>
          <w:rFonts w:ascii="Times New Roman" w:hAnsi="Times New Roman"/>
        </w:rPr>
      </w:pPr>
    </w:p>
    <w:p w14:paraId="705FFF9C">
      <w:pPr>
        <w:rPr>
          <w:rFonts w:ascii="Times New Roman" w:hAnsi="Times New Roman"/>
        </w:rPr>
      </w:pPr>
    </w:p>
    <w:p w14:paraId="0A45AC80">
      <w:pPr>
        <w:rPr>
          <w:rFonts w:ascii="Times New Roman" w:hAnsi="Times New Roman"/>
        </w:rPr>
      </w:pPr>
    </w:p>
    <w:p w14:paraId="5995AA01">
      <w:pPr>
        <w:rPr>
          <w:rFonts w:ascii="Times New Roman" w:hAnsi="Times New Roman"/>
        </w:rPr>
      </w:pPr>
    </w:p>
    <w:p w14:paraId="793ECBD2">
      <w:pPr>
        <w:rPr>
          <w:rFonts w:ascii="Times New Roman" w:hAnsi="Times New Roman"/>
        </w:rPr>
      </w:pPr>
    </w:p>
    <w:p w14:paraId="69D4823C">
      <w:pPr>
        <w:rPr>
          <w:rFonts w:ascii="Times New Roman" w:hAnsi="Times New Roman"/>
        </w:rPr>
      </w:pPr>
    </w:p>
    <w:p w14:paraId="6CCCE8F2">
      <w:pPr>
        <w:rPr>
          <w:rFonts w:ascii="Times New Roman" w:hAnsi="Times New Roman"/>
        </w:rPr>
      </w:pPr>
    </w:p>
    <w:p w14:paraId="002D59DE">
      <w:pPr>
        <w:rPr>
          <w:rFonts w:ascii="Times New Roman" w:hAnsi="Times New Roman"/>
        </w:rPr>
      </w:pPr>
    </w:p>
    <w:p w14:paraId="44A8160C">
      <w:pPr>
        <w:rPr>
          <w:rFonts w:ascii="Times New Roman" w:hAnsi="Times New Roman"/>
        </w:rPr>
      </w:pPr>
    </w:p>
    <w:p w14:paraId="197B2556">
      <w:pPr>
        <w:rPr>
          <w:rFonts w:ascii="Times New Roman" w:hAnsi="Times New Roman"/>
        </w:rPr>
      </w:pPr>
    </w:p>
    <w:p w14:paraId="175E2A85">
      <w:pPr>
        <w:rPr>
          <w:rFonts w:ascii="Times New Roman" w:hAnsi="Times New Roman"/>
        </w:rPr>
      </w:pPr>
    </w:p>
    <w:p w14:paraId="7EFEC220">
      <w:pPr>
        <w:rPr>
          <w:rFonts w:ascii="Times New Roman" w:hAnsi="Times New Roman"/>
        </w:rPr>
      </w:pPr>
    </w:p>
    <w:p w14:paraId="47CE9573">
      <w:pPr>
        <w:spacing w:line="580" w:lineRule="exact"/>
        <w:rPr>
          <w:rFonts w:ascii="Times New Roman" w:hAnsi="Times New Roman" w:eastAsia="方正仿宋_GBK"/>
          <w:szCs w:val="32"/>
        </w:rPr>
      </w:pPr>
      <w:r>
        <w:rPr>
          <w:rFonts w:hint="eastAsia" w:ascii="Times New Roman" w:hAnsi="Times New Roman" w:eastAsia="方正黑体_GBK" w:cs="方正黑体_GBK"/>
          <w:sz w:val="28"/>
          <w:szCs w:val="28"/>
        </w:rPr>
        <w:t>信息公开选项：</w:t>
      </w:r>
      <w:r>
        <w:rPr>
          <w:rFonts w:hint="eastAsia" w:ascii="Times New Roman" w:hAnsi="Times New Roman" w:eastAsia="方正小标宋_GBK" w:cs="方正小标宋_GBK"/>
          <w:sz w:val="28"/>
          <w:szCs w:val="28"/>
        </w:rPr>
        <w:t>主动公开</w:t>
      </w:r>
    </w:p>
    <w:sectPr>
      <w:footerReference r:id="rId8" w:type="default"/>
      <w:pgSz w:w="11907" w:h="16840"/>
      <w:pgMar w:top="2155" w:right="1474" w:bottom="1814" w:left="1588" w:header="851" w:footer="992" w:gutter="0"/>
      <w:pgNumType w:fmt="numberInDash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82F791F-731C-469C-9426-FE2172DC7D4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594496D-C298-4DD5-81B0-10F67C2CEA1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6E93BF6-021F-4CF5-A85A-228F7243920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E81B9BF-E39E-451B-876E-0D0ABA3FF0A3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BAE3F77E-DB9B-4A7A-8F14-0494D363F45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5FB4AD1A-6E7A-434B-B2B3-2AB372D8FEC7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C384BF5C-AB00-41E8-89B4-56B79976DB6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FD0BD70-B12B-4452-8F39-BAA9BC676534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3540601F-9164-4AC3-BF1A-5E95044A06A5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D33E7916-EAB5-44A6-9DC3-47234D5E9E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79374C"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EFAD8">
    <w:pPr>
      <w:pStyle w:val="3"/>
      <w:framePr w:wrap="around" w:vAnchor="text" w:hAnchor="margin" w:xAlign="outside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 w14:paraId="799B8040">
    <w:pPr>
      <w:pStyle w:val="3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F5408C">
    <w:pPr>
      <w:pStyle w:val="3"/>
      <w:framePr w:wrap="around" w:vAnchor="text" w:hAnchor="margin" w:xAlign="outside" w:y="1"/>
      <w:rPr>
        <w:rStyle w:val="7"/>
        <w:rFonts w:ascii="Times New Roman" w:hAnsi="Times New Roman"/>
        <w:sz w:val="28"/>
        <w:szCs w:val="28"/>
      </w:rPr>
    </w:pPr>
    <w:r>
      <w:rPr>
        <w:rStyle w:val="7"/>
        <w:rFonts w:ascii="Times New Roman" w:hAnsi="Times New Roman"/>
        <w:sz w:val="28"/>
        <w:szCs w:val="28"/>
      </w:rPr>
      <w:fldChar w:fldCharType="begin"/>
    </w:r>
    <w:r>
      <w:rPr>
        <w:rStyle w:val="7"/>
        <w:rFonts w:ascii="Times New Roman" w:hAnsi="Times New Roman"/>
        <w:sz w:val="28"/>
        <w:szCs w:val="28"/>
      </w:rPr>
      <w:instrText xml:space="preserve">PAGE  </w:instrText>
    </w:r>
    <w:r>
      <w:rPr>
        <w:rStyle w:val="7"/>
        <w:rFonts w:ascii="Times New Roman" w:hAnsi="Times New Roman"/>
        <w:sz w:val="28"/>
        <w:szCs w:val="28"/>
      </w:rPr>
      <w:fldChar w:fldCharType="separate"/>
    </w:r>
    <w:r>
      <w:rPr>
        <w:rStyle w:val="7"/>
        <w:rFonts w:ascii="Times New Roman" w:hAnsi="Times New Roman"/>
        <w:sz w:val="28"/>
        <w:szCs w:val="28"/>
      </w:rPr>
      <w:t>- 2 -</w:t>
    </w:r>
    <w:r>
      <w:rPr>
        <w:rStyle w:val="7"/>
        <w:rFonts w:ascii="Times New Roman" w:hAnsi="Times New Roman"/>
        <w:sz w:val="28"/>
        <w:szCs w:val="28"/>
      </w:rPr>
      <w:fldChar w:fldCharType="end"/>
    </w:r>
  </w:p>
  <w:p w14:paraId="30D9C505">
    <w:pPr>
      <w:pStyle w:val="3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FF31D9">
    <w:pPr>
      <w:pStyle w:val="3"/>
      <w:framePr w:wrap="around" w:vAnchor="text" w:hAnchor="margin" w:xAlign="center" w:y="1"/>
      <w:rPr>
        <w:rStyle w:val="7"/>
        <w:rFonts w:ascii="Times New Roman" w:hAnsi="Times New Roman"/>
        <w:sz w:val="28"/>
        <w:szCs w:val="28"/>
      </w:rPr>
    </w:pPr>
    <w:r>
      <w:rPr>
        <w:rStyle w:val="7"/>
        <w:rFonts w:ascii="Times New Roman" w:hAnsi="Times New Roman"/>
        <w:sz w:val="28"/>
        <w:szCs w:val="28"/>
      </w:rPr>
      <w:fldChar w:fldCharType="begin"/>
    </w:r>
    <w:r>
      <w:rPr>
        <w:rStyle w:val="7"/>
        <w:rFonts w:ascii="Times New Roman" w:hAnsi="Times New Roman"/>
        <w:sz w:val="28"/>
        <w:szCs w:val="28"/>
      </w:rPr>
      <w:instrText xml:space="preserve">PAGE  </w:instrText>
    </w:r>
    <w:r>
      <w:rPr>
        <w:rStyle w:val="7"/>
        <w:rFonts w:ascii="Times New Roman" w:hAnsi="Times New Roman"/>
        <w:sz w:val="28"/>
        <w:szCs w:val="28"/>
      </w:rPr>
      <w:fldChar w:fldCharType="separate"/>
    </w:r>
    <w:r>
      <w:rPr>
        <w:rStyle w:val="7"/>
        <w:rFonts w:ascii="Times New Roman" w:hAnsi="Times New Roman"/>
        <w:sz w:val="28"/>
        <w:szCs w:val="28"/>
      </w:rPr>
      <w:t>- 4 -</w:t>
    </w:r>
    <w:r>
      <w:rPr>
        <w:rStyle w:val="7"/>
        <w:rFonts w:ascii="Times New Roman" w:hAnsi="Times New Roman"/>
        <w:sz w:val="28"/>
        <w:szCs w:val="28"/>
      </w:rPr>
      <w:fldChar w:fldCharType="end"/>
    </w:r>
  </w:p>
  <w:p w14:paraId="0B2287BF">
    <w:pPr>
      <w:pStyle w:val="3"/>
      <w:ind w:right="360"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7E51DF"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C5C990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NjVkYWU1MTdkNjQ1ZWY4YmRmMDlmODA1YmVhNzAwNzYifQ=="/>
  </w:docVars>
  <w:rsids>
    <w:rsidRoot w:val="678E02A7"/>
    <w:rsid w:val="001B0C86"/>
    <w:rsid w:val="002474F5"/>
    <w:rsid w:val="00367929"/>
    <w:rsid w:val="00390481"/>
    <w:rsid w:val="006E7AE5"/>
    <w:rsid w:val="0085237E"/>
    <w:rsid w:val="008B1AE1"/>
    <w:rsid w:val="009205D2"/>
    <w:rsid w:val="009E42C6"/>
    <w:rsid w:val="00B17886"/>
    <w:rsid w:val="00B26FE0"/>
    <w:rsid w:val="06345E06"/>
    <w:rsid w:val="0D591A6E"/>
    <w:rsid w:val="1AC31A76"/>
    <w:rsid w:val="27694F1D"/>
    <w:rsid w:val="4FC36566"/>
    <w:rsid w:val="521F3566"/>
    <w:rsid w:val="678E02A7"/>
    <w:rsid w:val="781A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99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8"/>
    <w:qFormat/>
    <w:uiPriority w:val="99"/>
    <w:pPr>
      <w:spacing w:after="120"/>
    </w:p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99"/>
    <w:rPr>
      <w:rFonts w:cs="Times New Roman"/>
    </w:rPr>
  </w:style>
  <w:style w:type="character" w:customStyle="1" w:styleId="8">
    <w:name w:val="Body Text Char"/>
    <w:basedOn w:val="6"/>
    <w:link w:val="2"/>
    <w:semiHidden/>
    <w:qFormat/>
    <w:uiPriority w:val="99"/>
    <w:rPr>
      <w:szCs w:val="24"/>
    </w:rPr>
  </w:style>
  <w:style w:type="character" w:customStyle="1" w:styleId="9">
    <w:name w:val="Footer Char"/>
    <w:basedOn w:val="6"/>
    <w:link w:val="3"/>
    <w:semiHidden/>
    <w:qFormat/>
    <w:uiPriority w:val="99"/>
    <w:rPr>
      <w:sz w:val="18"/>
      <w:szCs w:val="18"/>
    </w:rPr>
  </w:style>
  <w:style w:type="character" w:customStyle="1" w:styleId="10">
    <w:name w:val="Header Char"/>
    <w:basedOn w:val="6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5.xml"/><Relationship Id="rId7" Type="http://schemas.openxmlformats.org/officeDocument/2006/relationships/footer" Target="footer4.xml"/><Relationship Id="rId6" Type="http://schemas.openxmlformats.org/officeDocument/2006/relationships/header" Target="header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6</Pages>
  <Words>783</Words>
  <Characters>850</Characters>
  <Lines>0</Lines>
  <Paragraphs>0</Paragraphs>
  <TotalTime>2</TotalTime>
  <ScaleCrop>false</ScaleCrop>
  <LinksUpToDate>false</LinksUpToDate>
  <CharactersWithSpaces>945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2024-10-11T10:30:00Z</dcterms:created>
  <dc:creator>刘春生</dc:creator>
  <cp:lastModifiedBy>Administrator</cp:lastModifiedBy>
  <cp:lastPrinted>2024-10-14T09:41:00Z</cp:lastPrinted>
  <dcterms:modified xsi:type="dcterms:W3CDTF">2024-10-17T00:55:23Z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839A5124EB1848B2B632CF372F73FBA1_11</vt:lpwstr>
  </property>
</Properties>
</file>