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0803">
      <w:pPr>
        <w:spacing w:line="780" w:lineRule="exact"/>
        <w:ind w:firstLine="880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29A94796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  <w:lang w:bidi="he-IL"/>
        </w:rPr>
      </w:pPr>
      <w:r>
        <w:rPr>
          <w:rFonts w:hint="eastAsia" w:ascii="Times New Roman" w:hAnsi="Times New Roman" w:eastAsia="方正仿宋_GBK"/>
          <w:sz w:val="32"/>
          <w:szCs w:val="32"/>
          <w:lang w:bidi="he-IL"/>
        </w:rPr>
        <w:t>安府函〔</w:t>
      </w:r>
      <w:r>
        <w:rPr>
          <w:rFonts w:ascii="Times New Roman" w:hAnsi="Times New Roman" w:eastAsia="方正仿宋_GBK"/>
          <w:sz w:val="32"/>
          <w:szCs w:val="32"/>
          <w:lang w:bidi="he-IL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he-IL"/>
        </w:rPr>
        <w:t>307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号</w:t>
      </w:r>
    </w:p>
    <w:p w14:paraId="118BF4D3">
      <w:pPr>
        <w:spacing w:line="800" w:lineRule="exact"/>
        <w:ind w:firstLine="879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4392E1D2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安岳县人民政府</w:t>
      </w:r>
    </w:p>
    <w:p w14:paraId="17572BD8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关于安岳县</w:t>
      </w:r>
      <w:r>
        <w:rPr>
          <w:rFonts w:ascii="Times New Roman" w:hAnsi="Times New Roman" w:eastAsia="方正小标宋_GBK"/>
          <w:spacing w:val="-10"/>
          <w:sz w:val="44"/>
          <w:szCs w:val="44"/>
        </w:rPr>
        <w:t>36</w:t>
      </w: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个油气井项目划拨供地的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批复</w:t>
      </w:r>
    </w:p>
    <w:p w14:paraId="2318F8D4">
      <w:pPr>
        <w:spacing w:line="580" w:lineRule="exact"/>
        <w:ind w:firstLine="880" w:firstLineChars="200"/>
        <w:rPr>
          <w:rFonts w:ascii="Times New Roman" w:hAnsi="Times New Roman" w:eastAsia="方正小标宋简体"/>
          <w:sz w:val="44"/>
          <w:szCs w:val="44"/>
        </w:rPr>
      </w:pPr>
    </w:p>
    <w:p w14:paraId="3EF90638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县自然资源和规划局：</w:t>
      </w:r>
    </w:p>
    <w:p w14:paraId="6102DD78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《关于安岳县</w:t>
      </w:r>
      <w:r>
        <w:rPr>
          <w:rFonts w:ascii="Times New Roman" w:hAnsi="Times New Roman" w:eastAsia="方正仿宋_GBK" w:cs="方正仿宋_GBK"/>
          <w:sz w:val="32"/>
          <w:szCs w:val="32"/>
        </w:rPr>
        <w:t>36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个油气井项目划拨供地的请示》（安自然资〔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416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号）收悉。根据《中华人民共和国土地管理法》《划拨用地目录》等法律法规相关规定和</w:t>
      </w:r>
      <w:r>
        <w:rPr>
          <w:rFonts w:hint="eastAsia" w:ascii="Times New Roman" w:hAnsi="Times New Roman" w:eastAsia="方正仿宋_GBK"/>
          <w:sz w:val="32"/>
          <w:szCs w:val="32"/>
        </w:rPr>
        <w:t>安岳县十七届人民政府第</w:t>
      </w:r>
      <w:r>
        <w:rPr>
          <w:rFonts w:ascii="Times New Roman" w:hAnsi="Times New Roman" w:eastAsia="方正仿宋_GBK"/>
          <w:sz w:val="32"/>
          <w:szCs w:val="32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次常务会议精神（常务会议纪要〔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21</w:t>
      </w:r>
      <w:r>
        <w:rPr>
          <w:rFonts w:hint="eastAsia" w:ascii="Times New Roman" w:hAnsi="Times New Roman" w:eastAsia="方正仿宋_GBK"/>
          <w:sz w:val="32"/>
          <w:szCs w:val="32"/>
        </w:rPr>
        <w:t>期）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，经研究，原则</w:t>
      </w:r>
      <w:r>
        <w:rPr>
          <w:rFonts w:hint="eastAsia" w:ascii="Times New Roman" w:hAnsi="Times New Roman" w:eastAsia="方正仿宋_GBK"/>
          <w:sz w:val="32"/>
          <w:szCs w:val="32"/>
        </w:rPr>
        <w:t>同意将位于安岳县林凤镇等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个乡镇的</w:t>
      </w:r>
      <w:r>
        <w:rPr>
          <w:rFonts w:ascii="Times New Roman" w:hAnsi="Times New Roman" w:eastAsia="方正仿宋_GBK"/>
          <w:sz w:val="32"/>
          <w:szCs w:val="32"/>
        </w:rPr>
        <w:t>36</w:t>
      </w:r>
      <w:r>
        <w:rPr>
          <w:rFonts w:hint="eastAsia" w:ascii="Times New Roman" w:hAnsi="Times New Roman" w:eastAsia="方正仿宋_GBK"/>
          <w:sz w:val="32"/>
          <w:szCs w:val="32"/>
        </w:rPr>
        <w:t>个油气井项目用地，共计</w:t>
      </w:r>
      <w:r>
        <w:rPr>
          <w:rFonts w:ascii="Times New Roman" w:hAnsi="Times New Roman" w:eastAsia="方正仿宋_GBK"/>
          <w:sz w:val="32"/>
          <w:szCs w:val="32"/>
        </w:rPr>
        <w:t>9.728256</w:t>
      </w:r>
      <w:r>
        <w:rPr>
          <w:rFonts w:hint="eastAsia" w:ascii="Times New Roman" w:hAnsi="Times New Roman" w:eastAsia="方正仿宋_GBK"/>
          <w:sz w:val="32"/>
          <w:szCs w:val="32"/>
        </w:rPr>
        <w:t>公顷（约</w:t>
      </w:r>
      <w:r>
        <w:rPr>
          <w:rFonts w:ascii="Times New Roman" w:hAnsi="Times New Roman" w:eastAsia="方正仿宋_GBK"/>
          <w:sz w:val="32"/>
          <w:szCs w:val="32"/>
        </w:rPr>
        <w:t>145.92</w:t>
      </w:r>
      <w:r>
        <w:rPr>
          <w:rFonts w:hint="eastAsia" w:ascii="Times New Roman" w:hAnsi="Times New Roman" w:eastAsia="方正仿宋_GBK"/>
          <w:sz w:val="32"/>
          <w:szCs w:val="32"/>
        </w:rPr>
        <w:t>亩）国有建设用地使用权，按照</w:t>
      </w:r>
      <w:r>
        <w:rPr>
          <w:rFonts w:ascii="Times New Roman" w:hAnsi="Times New Roman" w:eastAsia="方正仿宋_GBK"/>
          <w:sz w:val="32"/>
          <w:szCs w:val="32"/>
        </w:rPr>
        <w:t>35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亩划拨给中国石油天然气股份有限公司西南油气田分公司，划拨土地用途为采矿用地，土地使用年限为长期。</w:t>
      </w:r>
    </w:p>
    <w:p w14:paraId="604620FA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此复。</w:t>
      </w:r>
    </w:p>
    <w:p w14:paraId="12F0A25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5437469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0F1C80D8">
      <w:pPr>
        <w:spacing w:line="5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安岳县人民政府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2B94875A">
      <w:pPr>
        <w:spacing w:line="580" w:lineRule="exact"/>
        <w:ind w:firstLine="5760" w:firstLineChars="18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021403C4">
      <w:pPr>
        <w:spacing w:line="580" w:lineRule="exact"/>
        <w:ind w:firstLine="420" w:firstLineChars="200"/>
        <w:rPr>
          <w:rFonts w:ascii="Times New Roman" w:hAnsi="Times New Roman" w:eastAsia="方正仿宋简体"/>
        </w:rPr>
      </w:pPr>
    </w:p>
    <w:p w14:paraId="730C719B">
      <w:pPr>
        <w:spacing w:line="580" w:lineRule="exact"/>
        <w:ind w:firstLine="420" w:firstLineChars="200"/>
        <w:rPr>
          <w:rFonts w:ascii="Times New Roman" w:hAnsi="Times New Roman" w:eastAsia="方正仿宋简体"/>
        </w:rPr>
      </w:pPr>
    </w:p>
    <w:p w14:paraId="0BE3A9EE">
      <w:pPr>
        <w:spacing w:line="580" w:lineRule="exact"/>
        <w:ind w:firstLine="420" w:firstLineChars="200"/>
        <w:rPr>
          <w:rFonts w:ascii="Times New Roman" w:hAnsi="Times New Roman" w:eastAsia="方正仿宋简体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5E38427D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5D8B120D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4EBC54E7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3F0FC8E3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12AC132D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22FF9304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4B3EE68C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485F2A3A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0B850945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7A322256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5FD265E3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08925ADC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13564F50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39732DDD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133BEE40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717896CB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7B13C010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548026B5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  <w:bookmarkStart w:id="0" w:name="_GoBack"/>
      <w:bookmarkEnd w:id="0"/>
    </w:p>
    <w:p w14:paraId="0A8283E2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1AF1C6E1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29899767">
      <w:pPr>
        <w:spacing w:line="580" w:lineRule="exact"/>
        <w:rPr>
          <w:rFonts w:ascii="Times New Roman" w:hAnsi="Times New Roman" w:eastAsia="方正黑体_GBK" w:cs="Times New Roman"/>
          <w:sz w:val="28"/>
          <w:szCs w:val="28"/>
        </w:rPr>
      </w:pPr>
    </w:p>
    <w:p w14:paraId="3D13C879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信息公开选项：</w:t>
      </w:r>
      <w:r>
        <w:rPr>
          <w:rFonts w:hint="eastAsia" w:ascii="Times New Roman" w:hAnsi="Times New Roman" w:eastAsia="方正小标宋_GBK" w:cs="Times New Roman"/>
          <w:sz w:val="28"/>
          <w:szCs w:val="28"/>
        </w:rPr>
        <w:t>主动公开</w:t>
      </w:r>
    </w:p>
    <w:sectPr>
      <w:footerReference r:id="rId5" w:type="default"/>
      <w:pgSz w:w="11906" w:h="16838"/>
      <w:pgMar w:top="2155" w:right="1474" w:bottom="1814" w:left="1588" w:header="851" w:footer="992" w:gutter="0"/>
      <w:pgNumType w:fmt="numberInDash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3EF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F3834">
    <w:pPr>
      <w:pStyle w:val="3"/>
      <w:framePr w:wrap="around" w:vAnchor="text" w:hAnchor="margin" w:xAlign="outside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 w14:paraId="53315634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A488">
    <w:pPr>
      <w:pStyle w:val="3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18FACD9">
                <w:pPr>
                  <w:pStyle w:val="3"/>
                  <w:rPr>
                    <w:rStyle w:val="7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0B82A75"/>
    <w:rsid w:val="0002566A"/>
    <w:rsid w:val="00041A81"/>
    <w:rsid w:val="00073733"/>
    <w:rsid w:val="000C4DDE"/>
    <w:rsid w:val="000D29E9"/>
    <w:rsid w:val="00102DBB"/>
    <w:rsid w:val="00106AC4"/>
    <w:rsid w:val="001232A3"/>
    <w:rsid w:val="00136739"/>
    <w:rsid w:val="001943ED"/>
    <w:rsid w:val="00296FC4"/>
    <w:rsid w:val="002E4E02"/>
    <w:rsid w:val="003420ED"/>
    <w:rsid w:val="00363913"/>
    <w:rsid w:val="0047254A"/>
    <w:rsid w:val="004D2B51"/>
    <w:rsid w:val="005326D8"/>
    <w:rsid w:val="005328A6"/>
    <w:rsid w:val="00551DD3"/>
    <w:rsid w:val="005756A2"/>
    <w:rsid w:val="00583EA5"/>
    <w:rsid w:val="006621D9"/>
    <w:rsid w:val="006B637A"/>
    <w:rsid w:val="006D2643"/>
    <w:rsid w:val="006D725E"/>
    <w:rsid w:val="006F4EB5"/>
    <w:rsid w:val="006F79BD"/>
    <w:rsid w:val="007B1688"/>
    <w:rsid w:val="007D0030"/>
    <w:rsid w:val="00861B7B"/>
    <w:rsid w:val="0088094D"/>
    <w:rsid w:val="00895B52"/>
    <w:rsid w:val="00957039"/>
    <w:rsid w:val="00982DCC"/>
    <w:rsid w:val="0099513C"/>
    <w:rsid w:val="00A31DCE"/>
    <w:rsid w:val="00AB5012"/>
    <w:rsid w:val="00AC7A74"/>
    <w:rsid w:val="00AD5816"/>
    <w:rsid w:val="00B60503"/>
    <w:rsid w:val="00B7658B"/>
    <w:rsid w:val="00B82A75"/>
    <w:rsid w:val="00BA48DA"/>
    <w:rsid w:val="00BA7C94"/>
    <w:rsid w:val="00BC166A"/>
    <w:rsid w:val="00BE055B"/>
    <w:rsid w:val="00BF0729"/>
    <w:rsid w:val="00C21A0A"/>
    <w:rsid w:val="00C328D1"/>
    <w:rsid w:val="00C877CF"/>
    <w:rsid w:val="00C92CA5"/>
    <w:rsid w:val="00CF29A3"/>
    <w:rsid w:val="00D00D5A"/>
    <w:rsid w:val="00D310EF"/>
    <w:rsid w:val="00D35AF2"/>
    <w:rsid w:val="00DA28F6"/>
    <w:rsid w:val="00E85B7A"/>
    <w:rsid w:val="00E9067D"/>
    <w:rsid w:val="00ED77D8"/>
    <w:rsid w:val="00F14D51"/>
    <w:rsid w:val="00F463F5"/>
    <w:rsid w:val="00F84023"/>
    <w:rsid w:val="039F0874"/>
    <w:rsid w:val="07B501A8"/>
    <w:rsid w:val="08A738A9"/>
    <w:rsid w:val="0C2B7C29"/>
    <w:rsid w:val="0FAE6787"/>
    <w:rsid w:val="10594B9E"/>
    <w:rsid w:val="14633EEB"/>
    <w:rsid w:val="267D5856"/>
    <w:rsid w:val="26BA19AB"/>
    <w:rsid w:val="26D24C6C"/>
    <w:rsid w:val="2BCD28F8"/>
    <w:rsid w:val="2E720E0F"/>
    <w:rsid w:val="30C7630C"/>
    <w:rsid w:val="32F067B3"/>
    <w:rsid w:val="3908261C"/>
    <w:rsid w:val="3B24419B"/>
    <w:rsid w:val="3B961FA4"/>
    <w:rsid w:val="3C404F6D"/>
    <w:rsid w:val="3CDD4DDA"/>
    <w:rsid w:val="40910B84"/>
    <w:rsid w:val="44897F33"/>
    <w:rsid w:val="48FC380F"/>
    <w:rsid w:val="49B528F1"/>
    <w:rsid w:val="4CB17402"/>
    <w:rsid w:val="50206846"/>
    <w:rsid w:val="503E7374"/>
    <w:rsid w:val="59212126"/>
    <w:rsid w:val="5C0836F0"/>
    <w:rsid w:val="61321C9D"/>
    <w:rsid w:val="643B5FC1"/>
    <w:rsid w:val="663F5F7F"/>
    <w:rsid w:val="6AB22963"/>
    <w:rsid w:val="6BB65F4D"/>
    <w:rsid w:val="6F2D39C0"/>
    <w:rsid w:val="6F5B0266"/>
    <w:rsid w:val="728D7B32"/>
    <w:rsid w:val="74FF2B80"/>
    <w:rsid w:val="75C667EA"/>
    <w:rsid w:val="77E921C6"/>
    <w:rsid w:val="78082EAF"/>
    <w:rsid w:val="7BFB0431"/>
    <w:rsid w:val="7C572CD9"/>
    <w:rsid w:val="7D3E7B02"/>
    <w:rsid w:val="7ED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600" w:firstLineChars="200"/>
    </w:pPr>
    <w:rPr>
      <w:rFonts w:cs="Times New Roman"/>
      <w:sz w:val="24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277</Words>
  <Characters>307</Characters>
  <Lines>0</Lines>
  <Paragraphs>0</Paragraphs>
  <TotalTime>1</TotalTime>
  <ScaleCrop>false</ScaleCrop>
  <LinksUpToDate>false</LinksUpToDate>
  <CharactersWithSpaces>347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2024-09-27T10:06:00Z</dcterms:created>
  <dc:creator>user</dc:creator>
  <cp:lastModifiedBy>Administrator</cp:lastModifiedBy>
  <cp:lastPrinted>2024-09-30T09:01:47Z</cp:lastPrinted>
  <dcterms:modified xsi:type="dcterms:W3CDTF">2024-09-30T09:01:55Z</dcterms:modified>
  <dc:title>安岳县人民政府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1664A3B6D29840A19A39FEBC2B31BA79</vt:lpwstr>
  </property>
</Properties>
</file>