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000000" w:themeColor="text1"/>
          <w:sz w:val="44"/>
          <w:szCs w:val="44"/>
          <w14:textFill>
            <w14:solidFill>
              <w14:schemeClr w14:val="tx1"/>
            </w14:solidFill>
          </w14:textFill>
        </w:rPr>
      </w:pPr>
    </w:p>
    <w:p>
      <w:pPr>
        <w:spacing w:line="600" w:lineRule="exact"/>
        <w:ind w:firstLine="880" w:firstLineChars="200"/>
        <w:jc w:val="center"/>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资阳市</w:t>
      </w:r>
      <w:r>
        <w:rPr>
          <w:rFonts w:hint="eastAsia" w:ascii="方正小标宋简体" w:eastAsia="方正小标宋简体"/>
          <w:color w:val="000000" w:themeColor="text1"/>
          <w:sz w:val="44"/>
          <w:szCs w:val="44"/>
          <w:lang w:eastAsia="zh-CN"/>
          <w14:textFill>
            <w14:solidFill>
              <w14:schemeClr w14:val="tx1"/>
            </w14:solidFill>
          </w14:textFill>
        </w:rPr>
        <w:t>雁江区宝台镇人民政府</w:t>
      </w:r>
    </w:p>
    <w:p>
      <w:pPr>
        <w:spacing w:line="600" w:lineRule="exact"/>
        <w:ind w:firstLine="880" w:firstLineChars="200"/>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w:t>
      </w:r>
      <w:r>
        <w:rPr>
          <w:rFonts w:ascii="方正小标宋简体" w:eastAsia="方正小标宋简体"/>
          <w:color w:val="000000" w:themeColor="text1"/>
          <w:sz w:val="44"/>
          <w:szCs w:val="44"/>
          <w14:textFill>
            <w14:solidFill>
              <w14:schemeClr w14:val="tx1"/>
            </w14:solidFill>
          </w14:textFill>
        </w:rPr>
        <w:t>2</w:t>
      </w:r>
      <w:r>
        <w:rPr>
          <w:rFonts w:hint="eastAsia" w:ascii="方正小标宋简体" w:eastAsia="方正小标宋简体"/>
          <w:color w:val="000000" w:themeColor="text1"/>
          <w:sz w:val="44"/>
          <w:szCs w:val="44"/>
          <w14:textFill>
            <w14:solidFill>
              <w14:schemeClr w14:val="tx1"/>
            </w14:solidFill>
          </w14:textFill>
        </w:rPr>
        <w:t>2年单位预算编制说明</w:t>
      </w:r>
    </w:p>
    <w:p>
      <w:pPr>
        <w:spacing w:line="600" w:lineRule="exact"/>
        <w:ind w:firstLine="640" w:firstLineChars="200"/>
        <w:rPr>
          <w:rFonts w:hint="eastAsia" w:ascii="方正仿宋简体" w:eastAsia="方正仿宋简体"/>
          <w:color w:val="000000" w:themeColor="text1"/>
          <w:sz w:val="32"/>
          <w:szCs w:val="32"/>
          <w14:textFill>
            <w14:solidFill>
              <w14:schemeClr w14:val="tx1"/>
            </w14:solidFill>
          </w14:textFill>
        </w:rPr>
      </w:pPr>
      <w:bookmarkStart w:id="0" w:name="_GoBack"/>
      <w:bookmarkEnd w:id="0"/>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一、基本职能及主要工作</w:t>
      </w:r>
    </w:p>
    <w:p>
      <w:pPr>
        <w:spacing w:line="600" w:lineRule="exact"/>
        <w:ind w:left="596" w:leftChars="284"/>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（一）职能简介</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党委领导政府工作，主要是政治思想和方针政策的领导，干部的选拔，考核和监督，经济和行政工作中重大问题的决策。</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镇</w:t>
      </w:r>
      <w:r>
        <w:rPr>
          <w:rFonts w:hint="eastAsia" w:ascii="Times New Roman" w:hAnsi="Times New Roman" w:eastAsia="方正仿宋简体" w:cs="Times New Roman"/>
          <w:color w:val="000000" w:themeColor="text1"/>
          <w:sz w:val="32"/>
          <w:szCs w:val="32"/>
          <w14:textFill>
            <w14:solidFill>
              <w14:schemeClr w14:val="tx1"/>
            </w14:solidFill>
          </w14:textFill>
        </w:rPr>
        <w:t>政府是基层国家行政机关，行使本行政区的行政职能。</w:t>
      </w:r>
    </w:p>
    <w:p>
      <w:pPr>
        <w:spacing w:line="600" w:lineRule="exact"/>
        <w:ind w:firstLine="640" w:firstLineChars="200"/>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政府职能：（1）制定和组织实施经济、科技和社会发展计划，制定资源开发技术改造和产业结构调整方案，组织指导好各业生产，搞好商品流通，协调好本</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镇</w:t>
      </w:r>
      <w:r>
        <w:rPr>
          <w:rFonts w:hint="eastAsia" w:ascii="Times New Roman" w:hAnsi="Times New Roman" w:eastAsia="方正仿宋简体" w:cs="Times New Roman"/>
          <w:color w:val="000000" w:themeColor="text1"/>
          <w:sz w:val="32"/>
          <w:szCs w:val="32"/>
          <w14:textFill>
            <w14:solidFill>
              <w14:schemeClr w14:val="tx1"/>
            </w14:solidFill>
          </w14:textFill>
        </w:rPr>
        <w:t>与外地区的经济交流与合作，抓好招商引资，</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"http://www.so.com/s?q=%E4%BA%BA%E6%89%8D%E5%BC%95%E8%BF%9B&amp;ie=utf-8&amp;src=internal_wenda_recommend_text"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人才引进</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项目开发，不断培育市场体系，组织经济运行，促进经济发展。（2）制定并组织实施村镇建设规划，部署重点工程建设，地方道路建设及公共设施，水利设施的管理，负责土地、林木、水等自然资源和</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"http://www.so.com/s?q=%E7%94%9F%E6%80%81%E7%8E%AF%E5%A2%83&amp;ie=utf-8&amp;src=internal_wenda_recommend_text"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生态环境</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的保护，做好护林防火工作。（3）负责本行政区域内的民政、计划生育、文化教育、卫生、</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"http://www.so.com/s?q=%E4%BD%93%E8%82%B2&amp;ie=utf-8&amp;src=internal_wenda_recommend_text"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体育</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等社会公益事业的综合性工作，维护一切经济单位和个人的正当经济权益，取缔非法经济活动，调解和处理</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"http://www.so.com/s?q=%E6%B0%91%E4%BA%8B%E7%BA%A0%E7%BA%B7&amp;ie=utf-8&amp;src=internal_wenda_recommend_text"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民事纠纷</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，打击刑事犯罪维护社会稳定。（4）按计划组织本级</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"http://www.so.com/s?q=%E8%B4%A2%E6%94%BF%E6%94%B6%E5%85%A5&amp;ie=utf-8&amp;src=internal_wenda_recommend_text"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财政收入</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和地方税的征收，完成国家财政计划，不断培植税源，管好财政资金，增强财政实力。（5）抓好</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"http://www.so.com/s?q=%E7%B2%BE%E7%A5%9E%E6%96%87%E6%98%8E%E5%BB%BA%E8%AE%BE&amp;ie=utf-8&amp;src=internal_wenda_recommend_text"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精神文明建设</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，丰富群众文化生活，提倡移风易俗，反对封建迷信，破除</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14:textFill>
            <w14:solidFill>
              <w14:schemeClr w14:val="tx1"/>
            </w14:solidFill>
          </w14:textFill>
        </w:rPr>
        <w:instrText xml:space="preserve"> HYPERLINK "http://www.so.com/s?q=%E9%99%88%E8%A7%84%E9%99%8B%E4%B9%A0&amp;ie=utf-8&amp;src=internal_wenda_recommend_text" \t "http://www.minhe.gov.cn/html/497/_blank" </w:instrTex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separate"/>
      </w:r>
      <w:r>
        <w:rPr>
          <w:rFonts w:hint="eastAsia" w:ascii="Times New Roman" w:hAnsi="Times New Roman" w:eastAsia="方正仿宋简体" w:cs="Times New Roman"/>
          <w:color w:val="000000" w:themeColor="text1"/>
          <w:sz w:val="32"/>
          <w:szCs w:val="32"/>
          <w14:textFill>
            <w14:solidFill>
              <w14:schemeClr w14:val="tx1"/>
            </w14:solidFill>
          </w14:textFill>
        </w:rPr>
        <w:t>陈规陋习</w:t>
      </w:r>
      <w:r>
        <w:rPr>
          <w:rFonts w:hint="eastAsia" w:ascii="Times New Roman" w:hAnsi="Times New Roman" w:eastAsia="方正仿宋简体" w:cs="Times New Roman"/>
          <w:color w:val="000000" w:themeColor="text1"/>
          <w:sz w:val="32"/>
          <w:szCs w:val="32"/>
          <w14:textFill>
            <w14:solidFill>
              <w14:schemeClr w14:val="tx1"/>
            </w14:solidFill>
          </w14:textFill>
        </w:rPr>
        <w:fldChar w:fldCharType="end"/>
      </w:r>
      <w:r>
        <w:rPr>
          <w:rFonts w:hint="eastAsia" w:ascii="Times New Roman" w:hAnsi="Times New Roman" w:eastAsia="方正仿宋简体" w:cs="Times New Roman"/>
          <w:color w:val="000000" w:themeColor="text1"/>
          <w:sz w:val="32"/>
          <w:szCs w:val="32"/>
          <w14:textFill>
            <w14:solidFill>
              <w14:schemeClr w14:val="tx1"/>
            </w14:solidFill>
          </w14:textFill>
        </w:rPr>
        <w:t>，树立社会主义新风尚。（6）完成上级政府交办的其它事项。</w:t>
      </w:r>
    </w:p>
    <w:p>
      <w:pPr>
        <w:spacing w:line="600" w:lineRule="exact"/>
        <w:ind w:left="596" w:leftChars="284"/>
        <w:rPr>
          <w:rFonts w:hint="eastAsia" w:ascii="Times New Roman" w:hAnsi="Times New Roman" w:eastAsia="方正楷体简体" w:cs="Times New Roman"/>
          <w:b/>
          <w:color w:val="000000" w:themeColor="text1"/>
          <w:sz w:val="32"/>
          <w:szCs w:val="32"/>
          <w14:textFill>
            <w14:solidFill>
              <w14:schemeClr w14:val="tx1"/>
            </w14:solidFill>
          </w14:textFill>
        </w:rPr>
      </w:pPr>
      <w:r>
        <w:rPr>
          <w:rFonts w:hint="eastAsia" w:ascii="Times New Roman" w:hAnsi="Times New Roman" w:eastAsia="方正楷体简体" w:cs="Times New Roman"/>
          <w:b/>
          <w:color w:val="000000" w:themeColor="text1"/>
          <w:sz w:val="32"/>
          <w:szCs w:val="32"/>
          <w14:textFill>
            <w14:solidFill>
              <w14:schemeClr w14:val="tx1"/>
            </w14:solidFill>
          </w14:textFill>
        </w:rPr>
        <w:t>（二）2022年重点工作</w:t>
      </w:r>
    </w:p>
    <w:p>
      <w:pPr>
        <w:spacing w:line="600" w:lineRule="exact"/>
        <w:ind w:firstLine="640" w:firstLineChars="200"/>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制定科学保障措施，不断创新工作思路，扎实做好“六稳”工作，全面落实“六保”任务，巩固拓展疫情防控和经济社会发展成果。“建好两园、深入两圈”以全面实施乡村振兴战略为突破，加速农业农村现代化进程，大力支持特色产业；以抓项目促产业为突破，增强经济发展后劲。切实保障民生维护稳定，不断增强人民群众获得感、幸福感、安全感。持续用力创优环境，进一步凝聚发展合力进一步促进经济社会跨越发展。</w:t>
      </w:r>
    </w:p>
    <w:p>
      <w:pPr>
        <w:pStyle w:val="2"/>
        <w:keepNext w:val="0"/>
        <w:keepLines w:val="0"/>
        <w:widowControl/>
        <w:suppressLineNumbers w:val="0"/>
        <w:shd w:val="clear" w:fill="FFFFFF"/>
        <w:ind w:left="0" w:firstLine="880"/>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二、部门</w:t>
      </w:r>
      <w:r>
        <w:rPr>
          <w:rFonts w:hint="eastAsia" w:eastAsia="黑体"/>
          <w:color w:val="000000" w:themeColor="text1"/>
          <w:sz w:val="32"/>
          <w:szCs w:val="32"/>
          <w14:textFill>
            <w14:solidFill>
              <w14:schemeClr w14:val="tx1"/>
            </w14:solidFill>
          </w14:textFill>
        </w:rPr>
        <w:t>预算单位构成</w:t>
      </w:r>
    </w:p>
    <w:p>
      <w:pPr>
        <w:spacing w:line="600" w:lineRule="exact"/>
        <w:ind w:firstLine="640" w:firstLineChars="200"/>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宝台镇人民政府隶属资阳市雁江区人民政府，是一级基层党政机构，履行政府机关的各项职能，单位性质是行政事业单位，执行行政单位和事业单位的会计制度。宝台镇人民政府下属二级预算单位14</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个，其中行政单位</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个，参照公务员法管理的事业单位0个，其他事业单位</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个。行政单位下设机构</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个：党政综合办公室、党建办公室、综合行政执法办公室、社会事务管理办公室、经济发展办公室</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社会治理办公室、财政所、乡村振兴办公室</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、应急管理和生态环境办公室</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；事业单位分别为：便民服务中心、农业综合服务中心、村镇建设综合服务中心、农民工服务中心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、商贸物流服务中心</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三、</w:t>
      </w:r>
      <w:r>
        <w:rPr>
          <w:rFonts w:eastAsia="黑体"/>
          <w:color w:val="000000" w:themeColor="text1"/>
          <w:sz w:val="32"/>
          <w:szCs w:val="32"/>
          <w14:textFill>
            <w14:solidFill>
              <w14:schemeClr w14:val="tx1"/>
            </w14:solidFill>
          </w14:textFill>
        </w:rPr>
        <w:t>收支预算情况</w:t>
      </w:r>
      <w:r>
        <w:rPr>
          <w:rFonts w:hint="eastAsia" w:eastAsia="黑体"/>
          <w:color w:val="000000" w:themeColor="text1"/>
          <w:sz w:val="32"/>
          <w:szCs w:val="32"/>
          <w14:textFill>
            <w14:solidFill>
              <w14:schemeClr w14:val="tx1"/>
            </w14:solidFill>
          </w14:textFill>
        </w:rPr>
        <w:t>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按照综合预算的原则，</w:t>
      </w: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hint="eastAsia" w:eastAsia="方正仿宋简体"/>
          <w:color w:val="000000" w:themeColor="text1"/>
          <w:sz w:val="32"/>
          <w:szCs w:val="32"/>
          <w14:textFill>
            <w14:solidFill>
              <w14:schemeClr w14:val="tx1"/>
            </w14:solidFill>
          </w14:textFill>
        </w:rPr>
        <w:t>所有收入和支出均纳入单位预算管</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理。收入包括：一般公共预算拨款收入；支出包括：一般公共服务支出、国防支出、文化旅游体育与传媒支出、社会保障和就业支出、卫生健康支出、城乡社区支出、农林水支出、交通运输支出、住房保障支出、灾害防治及应急管理支出。</w:t>
      </w: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2年收支总预算1404.79万元，比2021年收支预算总数增加</w:t>
      </w:r>
      <w:r>
        <w:rPr>
          <w:rFonts w:hint="eastAsia" w:eastAsia="方正仿宋简体"/>
          <w:color w:val="000000" w:themeColor="text1"/>
          <w:sz w:val="32"/>
          <w:szCs w:val="32"/>
          <w:lang w:val="en-US" w:eastAsia="zh-CN"/>
          <w14:textFill>
            <w14:solidFill>
              <w14:schemeClr w14:val="tx1"/>
            </w14:solidFill>
          </w14:textFill>
        </w:rPr>
        <w:t>24</w:t>
      </w:r>
      <w:r>
        <w:rPr>
          <w:rFonts w:hint="eastAsia" w:eastAsia="方正仿宋简体"/>
          <w:color w:val="000000" w:themeColor="text1"/>
          <w:sz w:val="32"/>
          <w:szCs w:val="32"/>
          <w14:textFill>
            <w14:solidFill>
              <w14:schemeClr w14:val="tx1"/>
            </w14:solidFill>
          </w14:textFill>
        </w:rPr>
        <w:t>万元，主要原因是</w:t>
      </w:r>
      <w:r>
        <w:rPr>
          <w:rFonts w:hint="eastAsia" w:eastAsia="方正仿宋简体"/>
          <w:color w:val="000000" w:themeColor="text1"/>
          <w:sz w:val="32"/>
          <w:szCs w:val="32"/>
          <w:lang w:eastAsia="zh-CN"/>
          <w14:textFill>
            <w14:solidFill>
              <w14:schemeClr w14:val="tx1"/>
            </w14:solidFill>
          </w14:textFill>
        </w:rPr>
        <w:t>人员增加</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年收入预算</w:t>
      </w:r>
      <w:r>
        <w:rPr>
          <w:rFonts w:hint="eastAsia" w:eastAsia="方正仿宋简体"/>
          <w:color w:val="000000" w:themeColor="text1"/>
          <w:sz w:val="32"/>
          <w:szCs w:val="32"/>
          <w14:textFill>
            <w14:solidFill>
              <w14:schemeClr w14:val="tx1"/>
            </w14:solidFill>
          </w14:textFill>
        </w:rPr>
        <w:t>1404.79</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一般公共预算</w:t>
      </w:r>
      <w:r>
        <w:rPr>
          <w:rFonts w:eastAsia="方正仿宋简体"/>
          <w:color w:val="000000" w:themeColor="text1"/>
          <w:sz w:val="32"/>
          <w:szCs w:val="32"/>
          <w14:textFill>
            <w14:solidFill>
              <w14:schemeClr w14:val="tx1"/>
            </w14:solidFill>
          </w14:textFill>
        </w:rPr>
        <w:t>拨款收入</w:t>
      </w:r>
      <w:r>
        <w:rPr>
          <w:rFonts w:hint="eastAsia" w:eastAsia="方正仿宋简体"/>
          <w:color w:val="000000" w:themeColor="text1"/>
          <w:sz w:val="32"/>
          <w:szCs w:val="32"/>
          <w14:textFill>
            <w14:solidFill>
              <w14:schemeClr w14:val="tx1"/>
            </w14:solidFill>
          </w14:textFill>
        </w:rPr>
        <w:t>1404.79</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年支出预算</w:t>
      </w:r>
      <w:r>
        <w:rPr>
          <w:rFonts w:hint="eastAsia" w:eastAsia="方正仿宋简体"/>
          <w:color w:val="000000" w:themeColor="text1"/>
          <w:sz w:val="32"/>
          <w:szCs w:val="32"/>
          <w14:textFill>
            <w14:solidFill>
              <w14:schemeClr w14:val="tx1"/>
            </w14:solidFill>
          </w14:textFill>
        </w:rPr>
        <w:t>1404.79</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：基本支出742.02万元，占</w:t>
      </w:r>
      <w:r>
        <w:rPr>
          <w:rFonts w:hint="eastAsia" w:eastAsia="方正仿宋简体"/>
          <w:color w:val="000000" w:themeColor="text1"/>
          <w:sz w:val="32"/>
          <w:szCs w:val="32"/>
          <w:lang w:val="en-US" w:eastAsia="zh-CN"/>
          <w14:textFill>
            <w14:solidFill>
              <w14:schemeClr w14:val="tx1"/>
            </w14:solidFill>
          </w14:textFill>
        </w:rPr>
        <w:t>52.82</w:t>
      </w:r>
      <w:r>
        <w:rPr>
          <w:rFonts w:hint="eastAsia" w:eastAsia="方正仿宋简体"/>
          <w:color w:val="000000" w:themeColor="text1"/>
          <w:sz w:val="32"/>
          <w:szCs w:val="32"/>
          <w14:textFill>
            <w14:solidFill>
              <w14:schemeClr w14:val="tx1"/>
            </w14:solidFill>
          </w14:textFill>
        </w:rPr>
        <w:t>%；项目支出662.77</w:t>
      </w:r>
      <w:r>
        <w:rPr>
          <w:rFonts w:hint="eastAsia" w:ascii="仿宋_GB2312" w:eastAsia="仿宋_GB2312"/>
          <w:color w:val="000000" w:themeColor="text1"/>
          <w:sz w:val="28"/>
          <w:szCs w:val="28"/>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47.18</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四</w:t>
      </w:r>
      <w:r>
        <w:rPr>
          <w:rFonts w:hint="eastAsia" w:eastAsia="黑体"/>
          <w:color w:val="000000" w:themeColor="text1"/>
          <w:sz w:val="32"/>
          <w:szCs w:val="32"/>
          <w14:textFill>
            <w14:solidFill>
              <w14:schemeClr w14:val="tx1"/>
            </w14:solidFill>
          </w14:textFill>
        </w:rPr>
        <w:t>、财政拨款收支预算情况说明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hint="eastAsia" w:eastAsia="方正仿宋简体"/>
          <w:color w:val="000000" w:themeColor="text1"/>
          <w:sz w:val="32"/>
          <w:szCs w:val="32"/>
          <w14:textFill>
            <w14:solidFill>
              <w14:schemeClr w14:val="tx1"/>
            </w14:solidFill>
          </w14:textFill>
        </w:rPr>
        <w:t>2022年财政拨款收支总预算1404.79万元，比2021年财政拨款收支总预算增加</w:t>
      </w:r>
      <w:r>
        <w:rPr>
          <w:rFonts w:hint="eastAsia" w:eastAsia="方正仿宋简体"/>
          <w:color w:val="000000" w:themeColor="text1"/>
          <w:sz w:val="32"/>
          <w:szCs w:val="32"/>
          <w:lang w:val="en-US" w:eastAsia="zh-CN"/>
          <w14:textFill>
            <w14:solidFill>
              <w14:schemeClr w14:val="tx1"/>
            </w14:solidFill>
          </w14:textFill>
        </w:rPr>
        <w:t>24</w:t>
      </w:r>
      <w:r>
        <w:rPr>
          <w:rFonts w:hint="eastAsia" w:eastAsia="方正仿宋简体"/>
          <w:color w:val="000000" w:themeColor="text1"/>
          <w:sz w:val="32"/>
          <w:szCs w:val="32"/>
          <w14:textFill>
            <w14:solidFill>
              <w14:schemeClr w14:val="tx1"/>
            </w14:solidFill>
          </w14:textFill>
        </w:rPr>
        <w:t>万元，主要原因是</w:t>
      </w:r>
      <w:r>
        <w:rPr>
          <w:rFonts w:hint="eastAsia" w:eastAsia="方正仿宋简体"/>
          <w:color w:val="000000" w:themeColor="text1"/>
          <w:sz w:val="32"/>
          <w:szCs w:val="32"/>
          <w:lang w:eastAsia="zh-CN"/>
          <w14:textFill>
            <w14:solidFill>
              <w14:schemeClr w14:val="tx1"/>
            </w14:solidFill>
          </w14:textFill>
        </w:rPr>
        <w:t>人员增加</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收入包括：本年一般公共预算拨款收入1404.79万元、上年结转一般公共预算拨款收入</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万元；支出包括：一般公共服务支出478.68万元、国防支出</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万元、文化旅游体育与传媒支出1.34万元、社会保障和就业支出143.97万元、卫生健康支出36.62万元、城乡社区支出33.71万元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农林水支出617.57万元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交通运输支出</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商业服务业等支出27.49万元</w:t>
      </w:r>
      <w:r>
        <w:rPr>
          <w:rFonts w:hint="eastAsia" w:eastAsia="方正仿宋简体"/>
          <w:color w:val="000000" w:themeColor="text1"/>
          <w:sz w:val="32"/>
          <w:szCs w:val="32"/>
          <w:lang w:eastAsia="zh-CN"/>
          <w14:textFill>
            <w14:solidFill>
              <w14:schemeClr w14:val="tx1"/>
            </w14:solidFill>
          </w14:textFill>
        </w:rPr>
        <w:t>、住房保障支出50.34</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、灾害防治及应急管理支出10.07</w:t>
      </w:r>
      <w:r>
        <w:rPr>
          <w:rFonts w:hint="eastAsia" w:eastAsia="方正仿宋简体"/>
          <w:color w:val="000000" w:themeColor="text1"/>
          <w:sz w:val="32"/>
          <w:szCs w:val="32"/>
          <w14:textFill>
            <w14:solidFill>
              <w14:schemeClr w14:val="tx1"/>
            </w14:solidFill>
          </w14:textFill>
        </w:rPr>
        <w:t>万元。</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五</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一般公共预算当年拨款情况说明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2年一般公共预算当年拨款1404.79万元，比2021年预算数增加</w:t>
      </w:r>
      <w:r>
        <w:rPr>
          <w:rFonts w:hint="eastAsia" w:eastAsia="方正仿宋简体"/>
          <w:color w:val="000000" w:themeColor="text1"/>
          <w:sz w:val="32"/>
          <w:szCs w:val="32"/>
          <w:lang w:val="en-US" w:eastAsia="zh-CN"/>
          <w14:textFill>
            <w14:solidFill>
              <w14:schemeClr w14:val="tx1"/>
            </w14:solidFill>
          </w14:textFill>
        </w:rPr>
        <w:t>24</w:t>
      </w:r>
      <w:r>
        <w:rPr>
          <w:rFonts w:hint="eastAsia" w:eastAsia="方正仿宋简体"/>
          <w:color w:val="000000" w:themeColor="text1"/>
          <w:sz w:val="32"/>
          <w:szCs w:val="32"/>
          <w14:textFill>
            <w14:solidFill>
              <w14:schemeClr w14:val="tx1"/>
            </w14:solidFill>
          </w14:textFill>
        </w:rPr>
        <w:t>万元。主要原因是</w:t>
      </w:r>
      <w:r>
        <w:rPr>
          <w:rFonts w:hint="eastAsia" w:eastAsia="方正仿宋简体"/>
          <w:color w:val="000000" w:themeColor="text1"/>
          <w:sz w:val="32"/>
          <w:szCs w:val="32"/>
          <w:lang w:eastAsia="zh-CN"/>
          <w14:textFill>
            <w14:solidFill>
              <w14:schemeClr w14:val="tx1"/>
            </w14:solidFill>
          </w14:textFill>
        </w:rPr>
        <w:t>人员增加</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ascii="仿宋_GB2312" w:eastAsia="仿宋_GB2312"/>
          <w:color w:val="000000" w:themeColor="text1"/>
          <w:sz w:val="28"/>
          <w:szCs w:val="28"/>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一般公共服务支出478.68万元、国防支出</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万元、文化旅游体育与传媒支出1.34万元、社会保障和就业支出143.97万元、卫生健康支出36.62万元、城乡社区支出33.71万元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农林水支出617.57万元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交通运输支出</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商业服务业等支出27.49万元</w:t>
      </w:r>
      <w:r>
        <w:rPr>
          <w:rFonts w:hint="eastAsia" w:eastAsia="方正仿宋简体"/>
          <w:color w:val="000000" w:themeColor="text1"/>
          <w:sz w:val="32"/>
          <w:szCs w:val="32"/>
          <w:lang w:eastAsia="zh-CN"/>
          <w14:textFill>
            <w14:solidFill>
              <w14:schemeClr w14:val="tx1"/>
            </w14:solidFill>
          </w14:textFill>
        </w:rPr>
        <w:t>、住房保障支出50.34</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、灾害防治及应急管理支出10.07</w:t>
      </w:r>
      <w:r>
        <w:rPr>
          <w:rFonts w:hint="eastAsia" w:eastAsia="方正仿宋简体"/>
          <w:color w:val="000000" w:themeColor="text1"/>
          <w:sz w:val="32"/>
          <w:szCs w:val="32"/>
          <w14:textFill>
            <w14:solidFill>
              <w14:schemeClr w14:val="tx1"/>
            </w14:solidFill>
          </w14:textFill>
        </w:rPr>
        <w:t>万元。</w:t>
      </w:r>
    </w:p>
    <w:p>
      <w:pPr>
        <w:spacing w:line="600" w:lineRule="exact"/>
        <w:ind w:firstLine="617" w:firstLineChars="192"/>
        <w:rPr>
          <w:rFonts w:hint="eastAsia" w:eastAsia="方正楷体简体"/>
          <w:b/>
          <w:bCs/>
          <w:color w:val="000000" w:themeColor="text1"/>
          <w:sz w:val="32"/>
          <w:szCs w:val="32"/>
          <w14:textFill>
            <w14:solidFill>
              <w14:schemeClr w14:val="tx1"/>
            </w14:solidFill>
          </w14:textFill>
        </w:rPr>
      </w:pPr>
      <w:r>
        <w:rPr>
          <w:rFonts w:hint="eastAsia" w:eastAsia="方正楷体简体"/>
          <w:b/>
          <w:bCs/>
          <w:color w:val="000000" w:themeColor="text1"/>
          <w:sz w:val="32"/>
          <w:szCs w:val="32"/>
          <w14:textFill>
            <w14:solidFill>
              <w14:schemeClr w14:val="tx1"/>
            </w14:solidFill>
          </w14:textFill>
        </w:rPr>
        <w:t>（三）一般公共预算当年拨款具体使用情况</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xml:space="preserve">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一般公共服务（类）人大事务（款）人大会议（项）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万元，主要用于：召开人民代表大会等专门会议的支出。</w:t>
      </w:r>
    </w:p>
    <w:p>
      <w:pPr>
        <w:spacing w:line="600" w:lineRule="exact"/>
        <w:ind w:left="147" w:leftChars="70" w:firstLine="640" w:firstLineChars="20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 xml:space="preserve">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一般公共服务（类）人大事务（款）</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行政运行</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7.21</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包括基本工资、津贴补贴等人员经费</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一般公共服务（类）政府办公厅（室）及相关机构事务（款）行政运行（项）</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274.44</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万元，主要用于：维持乡镇政府机关正常运转的基本支出，开展日常工作，包括基本工资、津贴补贴等人员经费以及办公费、印刷费、水电费、差旅费等日常公用经费</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 xml:space="preserve">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一般公共服务（类）政府办公厅（室）及相关机构事务（款）事业运行（项）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39.41</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万元，主要用于：部门下属事业单位机构正常运行</w:t>
      </w:r>
      <w:r>
        <w:rPr>
          <w:rFonts w:hint="eastAsia" w:ascii="方正仿宋简体" w:hAnsi="方正仿宋简体" w:eastAsia="方正仿宋简体" w:cs="方正仿宋简体"/>
          <w:i w:val="0"/>
          <w:caps w:val="0"/>
          <w:color w:val="000000" w:themeColor="text1"/>
          <w:spacing w:val="0"/>
          <w:sz w:val="32"/>
          <w:szCs w:val="32"/>
          <w:shd w:val="clear" w:fill="FFFFFF"/>
          <w:lang w:eastAsia="zh-CN"/>
          <w14:textFill>
            <w14:solidFill>
              <w14:schemeClr w14:val="tx1"/>
            </w14:solidFill>
          </w14:textFill>
        </w:rPr>
        <w:t>、</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基本工资、津贴补贴、开展日常工作的基本支出</w:t>
      </w:r>
      <w:r>
        <w:rPr>
          <w:rFonts w:eastAsia="仿宋_GB2312"/>
          <w:color w:val="000000" w:themeColor="text1"/>
          <w:sz w:val="32"/>
          <w:szCs w:val="32"/>
          <w14:textFill>
            <w14:solidFill>
              <w14:schemeClr w14:val="tx1"/>
            </w14:solidFill>
          </w14:textFill>
        </w:rPr>
        <w:t>。</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 xml:space="preserve">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一般公共服务（类）发展与改革事务（款）行政运行（项）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36.03</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万元，主要用于：牵头开展乡镇经济发展、乡村振兴、生态环境、村镇建设、交通运输、农业农村、商务经济合作、统计、扶贫开发、产业发展和项目推进管理等日常工作的基本支出。</w:t>
      </w:r>
    </w:p>
    <w:p>
      <w:pPr>
        <w:spacing w:line="600" w:lineRule="exact"/>
        <w:ind w:left="147" w:leftChars="70" w:firstLine="640" w:firstLineChars="20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 xml:space="preserve">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一般公共服务（类）财政事务（款）行政运行（项）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49.05</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万元，主要用于：乡镇财务管理，代管村社财务等财政事务日常方面工作的基本支出。</w:t>
      </w:r>
    </w:p>
    <w:p>
      <w:pPr>
        <w:spacing w:line="600" w:lineRule="exact"/>
        <w:ind w:left="147" w:leftChars="70" w:firstLine="640" w:firstLineChars="20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7.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一般公共服务（类）群众团体事务（款）行政运行（项）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9.39</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万元，主要用于：工会、妇联、共青团组织（包括中华青年联合会）等开展活动的基本支出。</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一般公共服务（类）群众团体事务（款）</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一般行政管理事务</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3</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万元，主要用于：工会、妇联、共青团组织（包括中华青年联合会）等开展活动的基本支出。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eastAsia="方正仿宋简体"/>
          <w:color w:val="000000" w:themeColor="text1"/>
          <w:sz w:val="32"/>
          <w:szCs w:val="32"/>
          <w14:textFill>
            <w14:solidFill>
              <w14:schemeClr w14:val="tx1"/>
            </w14:solidFill>
          </w14:textFill>
        </w:rPr>
        <w:t>9</w:t>
      </w:r>
      <w:r>
        <w:rPr>
          <w:rFonts w:hint="eastAsia" w:eastAsia="方正仿宋简体"/>
          <w:color w:val="000000" w:themeColor="text1"/>
          <w:sz w:val="32"/>
          <w:szCs w:val="32"/>
          <w14:textFill>
            <w14:solidFill>
              <w14:schemeClr w14:val="tx1"/>
            </w14:solidFill>
          </w14:textFill>
        </w:rPr>
        <w:t>．</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一般公共服务（类）党委办公厅（室）及相关机构事务（款）行政运行（项）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56.15</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万元，主要用于：镇政府统筹开展基层党组织建设和基层治理方面工作的基本支出。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10.</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一般公共服务（类）党委办公厅（室）及相关机构事务（款）</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一般行政管理事务</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eastAsia" w:ascii="Times New Roman" w:hAnsi="Times New Roman"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万元，主要用于：镇政府统筹开展基层党组织建设和基层治理方面工作的基本支出。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11.</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国防支出（类）国防动员（款）兵役征集（项）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3</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万元，用于开展兵役征集等方面的支出。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12.</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文化旅游体育与传媒支出（类）</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新闻出版电影</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（款）</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电影</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1.34</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w:t>
      </w:r>
      <w:r>
        <w:rPr>
          <w:rFonts w:hint="eastAsia" w:ascii="方正仿宋简体" w:hAnsi="方正仿宋简体" w:eastAsia="方正仿宋简体" w:cs="方正仿宋简体"/>
          <w:i w:val="0"/>
          <w:caps w:val="0"/>
          <w:color w:val="000000" w:themeColor="text1"/>
          <w:spacing w:val="0"/>
          <w:sz w:val="32"/>
          <w:szCs w:val="32"/>
          <w:shd w:val="clear" w:fill="FFFFFF"/>
          <w:lang w:eastAsia="zh-CN"/>
          <w14:textFill>
            <w14:solidFill>
              <w14:schemeClr w14:val="tx1"/>
            </w14:solidFill>
          </w14:textFill>
        </w:rPr>
        <w:t>老放影员生活补助</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等方面的支出。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13.</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社会保障和就业支出（类）人力资源和社会保障管理事务（款）事业运行（项）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32.01</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万元，主要用于下属事业单位牵头开展农民工输出、培训、维权、回引及返乡创业服务等日常工作的基本支出。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14.</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社会保障和就业支出（类）民政管理事务（款）行政运行（项）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32.68</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万元，主要用于：开展民政、教育体育、文化旅游、卫生健康、社会保障等日常管理工作的基本支出。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15.</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社会保障和就业支出（类）民政管理事务（款）其他民政管理事务（项）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10.04</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万元，主要用于：民政部门接待来访、发展建设、政策宣传方面的支出，以及开展社会救助、社会福利、养老服务、社会事务、信息化建设等方面的支出。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16.</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社会保障和就业支出（类）行政事业单位养老支出（款）机关事业单位基本养老保险缴费支出（项）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67.13</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万元，用于机关事业单位实施养老保险制度由单位缴纳的基本养老保险费支出。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17.</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社会保障和就业支出（类）</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其他社会保障和就业支出</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（款）</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其他社会保障和就业支出</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2.12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主要用于：</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镇政府除上述项目以外其他用于社会保障和就业方面的支出。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19. 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卫生健康支出（类）行政事业单位医疗（款）行政单位医疗（项）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20.79</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万元，用于为行政单位职工缴纳的基本医疗保险支出。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20. </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卫生健康支出（类）行政事业单位医疗（款）事业单位医疗（项）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10.68</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万元，用于为事业单位职工缴纳的基本医疗保险支出。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21. </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卫生健康支出（类）行政事业单位医疗（款）公务员医疗补助（项）</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5.1</w:t>
      </w:r>
      <w:r>
        <w:rPr>
          <w:rFonts w:hint="eastAsia" w:eastAsia="方正仿宋简体" w:cs="Times New Roman"/>
          <w:i w:val="0"/>
          <w:caps w:val="0"/>
          <w:color w:val="000000" w:themeColor="text1"/>
          <w:spacing w:val="0"/>
          <w:sz w:val="32"/>
          <w:szCs w:val="32"/>
          <w:shd w:val="clear" w:fill="FFFFFF"/>
          <w:lang w:val="en-US" w:eastAsia="zh-CN"/>
          <w14:textFill>
            <w14:solidFill>
              <w14:schemeClr w14:val="tx1"/>
            </w14:solidFill>
          </w14:textFill>
        </w:rPr>
        <w:t>6</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万元，用于为行政单位职工缴纳的公务员医疗补助支出。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城乡社区支出（类）城乡社区规划与管理（款）城乡社区规划与管理（项）2022年预算数为21.71万元，主要用于下属事业单位机构</w:t>
      </w:r>
      <w:r>
        <w:rPr>
          <w:rFonts w:hint="eastAsia" w:ascii="方正仿宋简体" w:hAnsi="方正仿宋简体" w:eastAsia="方正仿宋简体" w:cs="方正仿宋简体"/>
          <w:i w:val="0"/>
          <w:caps w:val="0"/>
          <w:color w:val="000000" w:themeColor="text1"/>
          <w:spacing w:val="0"/>
          <w:sz w:val="32"/>
          <w:szCs w:val="32"/>
          <w:shd w:val="clear" w:fill="FFFFFF"/>
          <w:lang w:eastAsia="zh-CN"/>
          <w14:textFill>
            <w14:solidFill>
              <w14:schemeClr w14:val="tx1"/>
            </w14:solidFill>
          </w14:textFill>
        </w:rPr>
        <w:t>人员工资、</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开展村镇建设环卫、城乡环境综合治理、农房改造等相关服务工作的支出。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w:t>
      </w:r>
      <w:r>
        <w:rPr>
          <w:rFonts w:hint="eastAsia" w:ascii="Times New Roman" w:hAnsi="Times New Roman" w:eastAsia="方正仿宋简体" w:cs="Times New Roman"/>
          <w:i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城乡社区支出（类）城乡社区规划与管理（款）城乡社区规划与管理（项）2022年预算数为12万元，主要用于下属事业单位机构开展村镇建设环卫、城乡环境综合治理、农房改造等相关服务工作的支出。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24</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农林水支出（类）农业农村（款）事业运行（项）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64.84</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万元，主要用于下属事业单位机构牵头开展农技推广、农业机械化、农产品质量安全、水利等相关日常服务工作的基本支出。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25.</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农林水支出（类）巩固脱贫衔接乡村振兴（款）其他巩固脱贫衔接乡村振兴支出（项）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13</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万元，主要用于乡镇政府其他巩固拓展脱贫攻坚成果同乡村振兴有效衔接方面工作的支出。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26.</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农林水支出（类）农村综合改革（款）对村民委员会和村党支部的补助（项）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539.73</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万元，主要用于：村民委员会和村党支部等基层组织活动和公共服务运行，如乡镇村（社区）干部基本工资、津贴补贴、保险补助等支出。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27.</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交通运输支出（类）公路水路运输（款）公路和运输安全（项）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eastAsia"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万元，主要用于：保障乡镇公路和运输安全支出。</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cs="Times New Roman"/>
          <w:i w:val="0"/>
          <w:caps w:val="0"/>
          <w:color w:val="000000" w:themeColor="text1"/>
          <w:spacing w:val="0"/>
          <w:sz w:val="32"/>
          <w:szCs w:val="32"/>
          <w:shd w:val="clear" w:fill="FFFFFF"/>
          <w:lang w:val="en-US" w:eastAsia="zh-CN"/>
          <w14:textFill>
            <w14:solidFill>
              <w14:schemeClr w14:val="tx1"/>
            </w14:solidFill>
          </w14:textFill>
        </w:rPr>
        <w:t>28</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商业服务业等支出</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（类）</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商业流通事务</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（款）</w:t>
      </w: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事业运行</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2022</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27.49</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w:t>
      </w:r>
      <w:r>
        <w:rPr>
          <w:rFonts w:hint="eastAsia" w:ascii="方正仿宋简体" w:hAnsi="方正仿宋简体" w:eastAsia="方正仿宋简体" w:cs="方正仿宋简体"/>
          <w:i w:val="0"/>
          <w:caps w:val="0"/>
          <w:color w:val="000000" w:themeColor="text1"/>
          <w:spacing w:val="0"/>
          <w:sz w:val="32"/>
          <w:szCs w:val="32"/>
          <w:shd w:val="clear" w:fill="FFFFFF"/>
          <w:lang w:eastAsia="zh-CN"/>
          <w14:textFill>
            <w14:solidFill>
              <w14:schemeClr w14:val="tx1"/>
            </w14:solidFill>
          </w14:textFill>
        </w:rPr>
        <w:t>商贸物流服务中心正常运行、人员工资、完成宝台镇大洪片区规划区工作</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w:t>
      </w:r>
    </w:p>
    <w:p>
      <w:pPr>
        <w:spacing w:line="600" w:lineRule="exact"/>
        <w:ind w:left="147" w:leftChars="70" w:firstLine="480" w:firstLineChars="150"/>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29.</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住房保障（类）住房改革支出（款）住房公积金（项）：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2021</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50.34</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val="en-US" w:eastAsia="zh-CN"/>
          <w14:textFill>
            <w14:solidFill>
              <w14:schemeClr w14:val="tx1"/>
            </w14:solidFill>
          </w14:textFill>
        </w:rPr>
        <w:t>30.</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灾害防治及应急管理支出（类）应急管理事务（款）行政运行（项）：</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2021</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年预算数为</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10.07</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万元，主要用于社会治安综合治理、矛盾纠纷化解、信访维稳、安全生产、应急抢险救灾等工作的基本支出。</w:t>
      </w:r>
    </w:p>
    <w:p>
      <w:pPr>
        <w:spacing w:line="600" w:lineRule="exact"/>
        <w:ind w:left="147" w:leftChars="70" w:firstLine="480" w:firstLineChars="15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六</w:t>
      </w:r>
      <w:r>
        <w:rPr>
          <w:rFonts w:hint="eastAsia" w:eastAsia="黑体"/>
          <w:color w:val="000000" w:themeColor="text1"/>
          <w:sz w:val="32"/>
          <w:szCs w:val="32"/>
          <w14:textFill>
            <w14:solidFill>
              <w14:schemeClr w14:val="tx1"/>
            </w14:solidFill>
          </w14:textFill>
        </w:rPr>
        <w:t>、一般公共预算基本支出情况说明</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2年一般公共预算基本支出742.02万元，其中：</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人员经费589.22万元，主要包括：基本工资、津贴补贴、奖金、社会保险缴费等。</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公用经费152.8万元，主要包括：办公费、水费、电费、邮电费、印刷费、差旅费、维修（护）费、劳务费等。</w:t>
      </w:r>
    </w:p>
    <w:p>
      <w:pPr>
        <w:spacing w:line="600" w:lineRule="exact"/>
        <w:ind w:left="147" w:leftChars="70"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七</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三公</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经费财政拨款预算安排情况</w:t>
      </w:r>
      <w:r>
        <w:rPr>
          <w:rFonts w:hint="eastAsia" w:eastAsia="黑体"/>
          <w:color w:val="000000" w:themeColor="text1"/>
          <w:sz w:val="32"/>
          <w:szCs w:val="32"/>
          <w14:textFill>
            <w14:solidFill>
              <w14:schemeClr w14:val="tx1"/>
            </w14:solidFill>
          </w14:textFill>
        </w:rPr>
        <w:t>说明</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资阳市雁江区宝台镇人民政府</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三公</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经费财政拨款预算数</w:t>
      </w:r>
      <w:r>
        <w:rPr>
          <w:rFonts w:hint="eastAsia" w:eastAsia="方正仿宋简体"/>
          <w:color w:val="000000" w:themeColor="text1"/>
          <w:sz w:val="32"/>
          <w:szCs w:val="32"/>
          <w:lang w:val="en-US" w:eastAsia="zh-CN"/>
          <w14:textFill>
            <w14:solidFill>
              <w14:schemeClr w14:val="tx1"/>
            </w14:solidFill>
          </w14:textFill>
        </w:rPr>
        <w:t>24</w:t>
      </w:r>
      <w:r>
        <w:rPr>
          <w:rFonts w:eastAsia="方正仿宋简体"/>
          <w:color w:val="000000" w:themeColor="text1"/>
          <w:sz w:val="32"/>
          <w:szCs w:val="32"/>
          <w14:textFill>
            <w14:solidFill>
              <w14:schemeClr w14:val="tx1"/>
            </w14:solidFill>
          </w14:textFill>
        </w:rPr>
        <w:t>万元，其中：因公出国（境）经费</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万元，公务接待费</w:t>
      </w:r>
      <w:r>
        <w:rPr>
          <w:rFonts w:hint="eastAsia" w:eastAsia="方正仿宋简体"/>
          <w:color w:val="000000" w:themeColor="text1"/>
          <w:sz w:val="32"/>
          <w:szCs w:val="32"/>
          <w:lang w:val="en-US" w:eastAsia="zh-CN"/>
          <w14:textFill>
            <w14:solidFill>
              <w14:schemeClr w14:val="tx1"/>
            </w14:solidFill>
          </w14:textFill>
        </w:rPr>
        <w:t>12</w:t>
      </w:r>
      <w:r>
        <w:rPr>
          <w:rFonts w:eastAsia="方正仿宋简体"/>
          <w:color w:val="000000" w:themeColor="text1"/>
          <w:sz w:val="32"/>
          <w:szCs w:val="32"/>
          <w14:textFill>
            <w14:solidFill>
              <w14:schemeClr w14:val="tx1"/>
            </w14:solidFill>
          </w14:textFill>
        </w:rPr>
        <w:t>万元，公务用车购置及运行维护费</w:t>
      </w:r>
      <w:r>
        <w:rPr>
          <w:rFonts w:hint="eastAsia" w:eastAsia="方正仿宋简体"/>
          <w:color w:val="000000" w:themeColor="text1"/>
          <w:sz w:val="32"/>
          <w:szCs w:val="32"/>
          <w:lang w:val="en-US" w:eastAsia="zh-CN"/>
          <w14:textFill>
            <w14:solidFill>
              <w14:schemeClr w14:val="tx1"/>
            </w14:solidFill>
          </w14:textFill>
        </w:rPr>
        <w:t>12</w:t>
      </w:r>
      <w:r>
        <w:rPr>
          <w:rFonts w:eastAsia="方正仿宋简体"/>
          <w:color w:val="000000" w:themeColor="text1"/>
          <w:sz w:val="32"/>
          <w:szCs w:val="32"/>
          <w14:textFill>
            <w14:solidFill>
              <w14:schemeClr w14:val="tx1"/>
            </w14:solidFill>
          </w14:textFill>
        </w:rPr>
        <w:t>万元。</w:t>
      </w:r>
    </w:p>
    <w:p>
      <w:pPr>
        <w:spacing w:line="600" w:lineRule="exact"/>
        <w:ind w:left="147" w:leftChars="70" w:firstLine="482" w:firstLineChars="150"/>
        <w:rPr>
          <w:rFonts w:hint="eastAsia"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（一）因公出国（境）经费较20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年预算持平。</w:t>
      </w:r>
      <w:r>
        <w:rPr>
          <w:rFonts w:eastAsia="方正仿宋简体"/>
          <w:color w:val="000000" w:themeColor="text1"/>
          <w:sz w:val="32"/>
          <w:szCs w:val="32"/>
          <w14:textFill>
            <w14:solidFill>
              <w14:schemeClr w14:val="tx1"/>
            </w14:solidFill>
          </w14:textFill>
        </w:rPr>
        <w:t>主要原因是</w:t>
      </w:r>
      <w:r>
        <w:rPr>
          <w:rFonts w:hint="eastAsia" w:eastAsia="方正仿宋简体"/>
          <w:color w:val="000000" w:themeColor="text1"/>
          <w:sz w:val="32"/>
          <w:szCs w:val="32"/>
          <w:lang w:eastAsia="zh-CN"/>
          <w14:textFill>
            <w14:solidFill>
              <w14:schemeClr w14:val="tx1"/>
            </w14:solidFill>
          </w14:textFill>
        </w:rPr>
        <w:t>无因公出国（境）</w:t>
      </w:r>
      <w:r>
        <w:rPr>
          <w:rFonts w:eastAsia="方正仿宋简体"/>
          <w:color w:val="000000" w:themeColor="text1"/>
          <w:sz w:val="32"/>
          <w:szCs w:val="32"/>
          <w14:textFill>
            <w14:solidFill>
              <w14:schemeClr w14:val="tx1"/>
            </w14:solidFill>
          </w14:textFill>
        </w:rPr>
        <w:t>。</w:t>
      </w:r>
    </w:p>
    <w:p>
      <w:pPr>
        <w:spacing w:line="600" w:lineRule="exact"/>
        <w:ind w:left="147" w:leftChars="70" w:firstLine="480" w:firstLineChars="15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本年度拟安排出国（境）</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人次。主要包括</w:t>
      </w:r>
      <w:r>
        <w:rPr>
          <w:rFonts w:hint="eastAsia" w:eastAsia="方正仿宋简体"/>
          <w:color w:val="000000" w:themeColor="text1"/>
          <w:sz w:val="32"/>
          <w:szCs w:val="32"/>
          <w:lang w:eastAsia="zh-CN"/>
          <w14:textFill>
            <w14:solidFill>
              <w14:schemeClr w14:val="tx1"/>
            </w14:solidFill>
          </w14:textFill>
        </w:rPr>
        <w:t>无因公出国（境）</w:t>
      </w:r>
      <w:r>
        <w:rPr>
          <w:rFonts w:eastAsia="方正仿宋简体"/>
          <w:color w:val="000000" w:themeColor="text1"/>
          <w:sz w:val="32"/>
          <w:szCs w:val="32"/>
          <w14:textFill>
            <w14:solidFill>
              <w14:schemeClr w14:val="tx1"/>
            </w14:solidFill>
          </w14:textFill>
        </w:rPr>
        <w:t>。</w:t>
      </w:r>
    </w:p>
    <w:p>
      <w:pPr>
        <w:spacing w:line="600" w:lineRule="exact"/>
        <w:ind w:left="147" w:leftChars="70" w:firstLine="803" w:firstLineChars="250"/>
        <w:rPr>
          <w:rFonts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（二）公务接待费较20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w:t>
      </w:r>
      <w:r>
        <w:rPr>
          <w:rFonts w:hint="eastAsia" w:eastAsia="方正楷体简体"/>
          <w:b/>
          <w:color w:val="000000" w:themeColor="text1"/>
          <w:sz w:val="32"/>
          <w:szCs w:val="32"/>
          <w:lang w:eastAsia="zh-CN"/>
          <w14:textFill>
            <w14:solidFill>
              <w14:schemeClr w14:val="tx1"/>
            </w14:solidFill>
          </w14:textFill>
        </w:rPr>
        <w:t>下降</w:t>
      </w:r>
      <w:r>
        <w:rPr>
          <w:rFonts w:hint="eastAsia" w:eastAsia="方正楷体简体"/>
          <w:b/>
          <w:color w:val="000000" w:themeColor="text1"/>
          <w:sz w:val="32"/>
          <w:szCs w:val="32"/>
          <w:lang w:val="en-US" w:eastAsia="zh-CN"/>
          <w14:textFill>
            <w14:solidFill>
              <w14:schemeClr w14:val="tx1"/>
            </w14:solidFill>
          </w14:textFill>
        </w:rPr>
        <w:t>4万元</w:t>
      </w:r>
      <w:r>
        <w:rPr>
          <w:rFonts w:hint="eastAsia" w:eastAsia="方正楷体简体"/>
          <w:b/>
          <w:color w:val="000000" w:themeColor="text1"/>
          <w:sz w:val="32"/>
          <w:szCs w:val="32"/>
          <w:lang w:eastAsia="zh-CN"/>
          <w14:textFill>
            <w14:solidFill>
              <w14:schemeClr w14:val="tx1"/>
            </w14:solidFill>
          </w14:textFill>
        </w:rPr>
        <w:t>下降</w:t>
      </w:r>
      <w:r>
        <w:rPr>
          <w:rFonts w:hint="eastAsia" w:eastAsia="方正楷体简体"/>
          <w:b/>
          <w:color w:val="000000" w:themeColor="text1"/>
          <w:sz w:val="32"/>
          <w:szCs w:val="32"/>
          <w:lang w:val="en-US" w:eastAsia="zh-CN"/>
          <w14:textFill>
            <w14:solidFill>
              <w14:schemeClr w14:val="tx1"/>
            </w14:solidFill>
          </w14:textFill>
        </w:rPr>
        <w:t>25</w:t>
      </w:r>
      <w:r>
        <w:rPr>
          <w:rFonts w:eastAsia="方正楷体简体"/>
          <w:b/>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主要原因是</w:t>
      </w:r>
      <w:r>
        <w:rPr>
          <w:rFonts w:hint="eastAsia" w:eastAsia="方正仿宋简体"/>
          <w:color w:val="000000" w:themeColor="text1"/>
          <w:sz w:val="32"/>
          <w:szCs w:val="32"/>
          <w:lang w:eastAsia="zh-CN"/>
          <w14:textFill>
            <w14:solidFill>
              <w14:schemeClr w14:val="tx1"/>
            </w14:solidFill>
          </w14:textFill>
        </w:rPr>
        <w:t>厉行节约</w:t>
      </w:r>
      <w:r>
        <w:rPr>
          <w:rFonts w:eastAsia="方正仿宋简体"/>
          <w:color w:val="000000" w:themeColor="text1"/>
          <w:sz w:val="32"/>
          <w:szCs w:val="32"/>
          <w14:textFill>
            <w14:solidFill>
              <w14:schemeClr w14:val="tx1"/>
            </w14:solidFill>
          </w14:textFill>
        </w:rPr>
        <w:t>。</w:t>
      </w:r>
    </w:p>
    <w:p>
      <w:pPr>
        <w:adjustRightInd w:val="0"/>
        <w:snapToGrid w:val="0"/>
        <w:spacing w:before="93" w:beforeLines="30" w:line="600" w:lineRule="exact"/>
        <w:ind w:firstLine="643" w:firstLineChars="200"/>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（三）</w:t>
      </w:r>
      <w:r>
        <w:rPr>
          <w:rFonts w:hint="eastAsia" w:eastAsia="方正楷体简体"/>
          <w:b/>
          <w:color w:val="000000" w:themeColor="text1"/>
          <w:sz w:val="32"/>
          <w:szCs w:val="32"/>
          <w14:textFill>
            <w14:solidFill>
              <w14:schemeClr w14:val="tx1"/>
            </w14:solidFill>
          </w14:textFill>
        </w:rPr>
        <w:t>公务用车购置及运行维护费较2021年预算</w:t>
      </w:r>
      <w:r>
        <w:rPr>
          <w:rFonts w:hint="eastAsia" w:eastAsia="方正楷体简体"/>
          <w:b/>
          <w:color w:val="000000" w:themeColor="text1"/>
          <w:sz w:val="32"/>
          <w:szCs w:val="32"/>
          <w:lang w:eastAsia="zh-CN"/>
          <w14:textFill>
            <w14:solidFill>
              <w14:schemeClr w14:val="tx1"/>
            </w14:solidFill>
          </w14:textFill>
        </w:rPr>
        <w:t>增加</w:t>
      </w:r>
      <w:r>
        <w:rPr>
          <w:rFonts w:hint="eastAsia" w:eastAsia="方正楷体简体"/>
          <w:b/>
          <w:color w:val="000000" w:themeColor="text1"/>
          <w:sz w:val="32"/>
          <w:szCs w:val="32"/>
          <w:lang w:val="en-US" w:eastAsia="zh-CN"/>
          <w14:textFill>
            <w14:solidFill>
              <w14:schemeClr w14:val="tx1"/>
            </w14:solidFill>
          </w14:textFill>
        </w:rPr>
        <w:t>8万元300</w:t>
      </w:r>
      <w:r>
        <w:rPr>
          <w:rFonts w:hint="eastAsia" w:eastAsia="方正楷体简体"/>
          <w:b/>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单位现有公务用车</w:t>
      </w:r>
      <w:r>
        <w:rPr>
          <w:rFonts w:hint="eastAsia" w:eastAsia="方正仿宋简体"/>
          <w:color w:val="000000" w:themeColor="text1"/>
          <w:sz w:val="32"/>
          <w:szCs w:val="32"/>
          <w:lang w:val="en-US" w:eastAsia="zh-CN"/>
          <w14:textFill>
            <w14:solidFill>
              <w14:schemeClr w14:val="tx1"/>
            </w14:solidFill>
          </w14:textFill>
        </w:rPr>
        <w:t>1</w:t>
      </w:r>
      <w:r>
        <w:rPr>
          <w:rFonts w:eastAsia="方正仿宋简体"/>
          <w:color w:val="000000" w:themeColor="text1"/>
          <w:sz w:val="32"/>
          <w:szCs w:val="32"/>
          <w14:textFill>
            <w14:solidFill>
              <w14:schemeClr w14:val="tx1"/>
            </w14:solidFill>
          </w14:textFill>
        </w:rPr>
        <w:t>辆，其中：轿车</w:t>
      </w:r>
      <w:r>
        <w:rPr>
          <w:rFonts w:hint="eastAsia" w:eastAsia="方正仿宋简体"/>
          <w:color w:val="000000" w:themeColor="text1"/>
          <w:sz w:val="32"/>
          <w:szCs w:val="32"/>
          <w:lang w:val="en-US" w:eastAsia="zh-CN"/>
          <w14:textFill>
            <w14:solidFill>
              <w14:schemeClr w14:val="tx1"/>
            </w14:solidFill>
          </w14:textFill>
        </w:rPr>
        <w:t>1</w:t>
      </w:r>
      <w:r>
        <w:rPr>
          <w:rFonts w:eastAsia="方正仿宋简体"/>
          <w:color w:val="000000" w:themeColor="text1"/>
          <w:sz w:val="32"/>
          <w:szCs w:val="32"/>
          <w14:textFill>
            <w14:solidFill>
              <w14:schemeClr w14:val="tx1"/>
            </w14:solidFill>
          </w14:textFill>
        </w:rPr>
        <w:t>辆，越野车</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辆</w:t>
      </w: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多功能乘用车</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辆。</w:t>
      </w:r>
    </w:p>
    <w:p>
      <w:pPr>
        <w:spacing w:line="600" w:lineRule="exact"/>
        <w:ind w:left="147" w:leftChars="70" w:firstLine="800" w:firstLineChars="25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公务用车购置费</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万元，用于购置</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公务用车运行维护费</w:t>
      </w:r>
      <w:r>
        <w:rPr>
          <w:rFonts w:hint="eastAsia" w:eastAsia="方正仿宋简体"/>
          <w:color w:val="000000" w:themeColor="text1"/>
          <w:sz w:val="32"/>
          <w:szCs w:val="32"/>
          <w:lang w:val="en-US" w:eastAsia="zh-CN"/>
          <w14:textFill>
            <w14:solidFill>
              <w14:schemeClr w14:val="tx1"/>
            </w14:solidFill>
          </w14:textFill>
        </w:rPr>
        <w:t>12</w:t>
      </w:r>
      <w:r>
        <w:rPr>
          <w:rFonts w:eastAsia="方正仿宋简体"/>
          <w:color w:val="000000" w:themeColor="text1"/>
          <w:sz w:val="32"/>
          <w:szCs w:val="32"/>
          <w14:textFill>
            <w14:solidFill>
              <w14:schemeClr w14:val="tx1"/>
            </w14:solidFill>
          </w14:textFill>
        </w:rPr>
        <w:t>万元，较20</w:t>
      </w:r>
      <w:r>
        <w:rPr>
          <w:rFonts w:hint="eastAsia" w:eastAsia="方正仿宋简体"/>
          <w:color w:val="000000" w:themeColor="text1"/>
          <w:sz w:val="32"/>
          <w:szCs w:val="32"/>
          <w14:textFill>
            <w14:solidFill>
              <w14:schemeClr w14:val="tx1"/>
            </w14:solidFill>
          </w14:textFill>
        </w:rPr>
        <w:t>21</w:t>
      </w:r>
      <w:r>
        <w:rPr>
          <w:rFonts w:eastAsia="方正仿宋简体"/>
          <w:color w:val="000000" w:themeColor="text1"/>
          <w:sz w:val="32"/>
          <w:szCs w:val="32"/>
          <w14:textFill>
            <w14:solidFill>
              <w14:schemeClr w14:val="tx1"/>
            </w14:solidFill>
          </w14:textFill>
        </w:rPr>
        <w:t>年预算</w:t>
      </w:r>
      <w:r>
        <w:rPr>
          <w:rFonts w:hint="eastAsia" w:eastAsia="方正楷体简体"/>
          <w:b/>
          <w:color w:val="000000" w:themeColor="text1"/>
          <w:sz w:val="32"/>
          <w:szCs w:val="32"/>
          <w:lang w:eastAsia="zh-CN"/>
          <w14:textFill>
            <w14:solidFill>
              <w14:schemeClr w14:val="tx1"/>
            </w14:solidFill>
          </w14:textFill>
        </w:rPr>
        <w:t>增加</w:t>
      </w:r>
      <w:r>
        <w:rPr>
          <w:rFonts w:hint="eastAsia" w:eastAsia="方正楷体简体"/>
          <w:b/>
          <w:color w:val="000000" w:themeColor="text1"/>
          <w:sz w:val="32"/>
          <w:szCs w:val="32"/>
          <w:lang w:val="en-US" w:eastAsia="zh-CN"/>
          <w14:textFill>
            <w14:solidFill>
              <w14:schemeClr w14:val="tx1"/>
            </w14:solidFill>
          </w14:textFill>
        </w:rPr>
        <w:t>8万元300</w:t>
      </w:r>
      <w:r>
        <w:rPr>
          <w:rFonts w:hint="eastAsia" w:eastAsia="方正楷体简体"/>
          <w:b/>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。用于</w:t>
      </w:r>
      <w:r>
        <w:rPr>
          <w:rFonts w:hint="eastAsia" w:eastAsia="方正仿宋简体"/>
          <w:color w:val="000000" w:themeColor="text1"/>
          <w:sz w:val="32"/>
          <w:szCs w:val="32"/>
          <w:lang w:val="en-US" w:eastAsia="zh-CN"/>
          <w14:textFill>
            <w14:solidFill>
              <w14:schemeClr w14:val="tx1"/>
            </w14:solidFill>
          </w14:textFill>
        </w:rPr>
        <w:t>1</w:t>
      </w:r>
      <w:r>
        <w:rPr>
          <w:rFonts w:eastAsia="方正仿宋简体"/>
          <w:color w:val="000000" w:themeColor="text1"/>
          <w:sz w:val="32"/>
          <w:szCs w:val="32"/>
          <w14:textFill>
            <w14:solidFill>
              <w14:schemeClr w14:val="tx1"/>
            </w14:solidFill>
          </w14:textFill>
        </w:rPr>
        <w:t>辆公务用车燃油、维修、保险等方面支出</w:t>
      </w:r>
      <w:r>
        <w:rPr>
          <w:rFonts w:hint="eastAsia" w:eastAsia="方正仿宋简体"/>
          <w:color w:val="000000" w:themeColor="text1"/>
          <w:sz w:val="32"/>
          <w:szCs w:val="32"/>
          <w:lang w:eastAsia="zh-CN"/>
          <w14:textFill>
            <w14:solidFill>
              <w14:schemeClr w14:val="tx1"/>
            </w14:solidFill>
          </w14:textFill>
        </w:rPr>
        <w:t>和租社会车辆</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原因是为</w:t>
      </w:r>
      <w:r>
        <w:rPr>
          <w:rFonts w:eastAsia="方正仿宋简体"/>
          <w:color w:val="000000" w:themeColor="text1"/>
          <w:sz w:val="32"/>
          <w:szCs w:val="32"/>
          <w14:textFill>
            <w14:solidFill>
              <w14:schemeClr w14:val="tx1"/>
            </w14:solidFill>
          </w14:textFill>
        </w:rPr>
        <w:t>保障用于</w:t>
      </w:r>
      <w:r>
        <w:rPr>
          <w:rFonts w:hint="eastAsia" w:eastAsia="方正仿宋简体"/>
          <w:color w:val="000000" w:themeColor="text1"/>
          <w:sz w:val="32"/>
          <w:szCs w:val="32"/>
          <w:lang w:eastAsia="zh-CN"/>
          <w14:textFill>
            <w14:solidFill>
              <w14:schemeClr w14:val="tx1"/>
            </w14:solidFill>
          </w14:textFill>
        </w:rPr>
        <w:t>园区项目建设和红苕基地建设</w:t>
      </w:r>
      <w:r>
        <w:rPr>
          <w:rFonts w:eastAsia="方正仿宋简体"/>
          <w:color w:val="000000" w:themeColor="text1"/>
          <w:sz w:val="32"/>
          <w:szCs w:val="32"/>
          <w14:textFill>
            <w14:solidFill>
              <w14:schemeClr w14:val="tx1"/>
            </w14:solidFill>
          </w14:textFill>
        </w:rPr>
        <w:t>等工作开展。</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八</w:t>
      </w:r>
      <w:r>
        <w:rPr>
          <w:rFonts w:hint="eastAsia" w:eastAsia="黑体"/>
          <w:color w:val="000000" w:themeColor="text1"/>
          <w:sz w:val="32"/>
          <w:szCs w:val="32"/>
          <w14:textFill>
            <w14:solidFill>
              <w14:schemeClr w14:val="tx1"/>
            </w14:solidFill>
          </w14:textFill>
        </w:rPr>
        <w:t>、政府性基金预算支出情况说明</w:t>
      </w:r>
    </w:p>
    <w:p>
      <w:pPr>
        <w:spacing w:line="600" w:lineRule="exact"/>
        <w:ind w:firstLine="640" w:firstLineChars="200"/>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2022</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年没有使用政府性基金预算拨款安排的支出。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九</w:t>
      </w:r>
      <w:r>
        <w:rPr>
          <w:rFonts w:hint="eastAsia" w:eastAsia="黑体"/>
          <w:color w:val="000000" w:themeColor="text1"/>
          <w:sz w:val="32"/>
          <w:szCs w:val="32"/>
          <w14:textFill>
            <w14:solidFill>
              <w14:schemeClr w14:val="tx1"/>
            </w14:solidFill>
          </w14:textFill>
        </w:rPr>
        <w:t>、国有资本经营预算支出情况说明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2年没有使用国有资本经营预算拨款安排的支出。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十</w:t>
      </w:r>
      <w:r>
        <w:rPr>
          <w:rFonts w:hint="eastAsia" w:eastAsia="黑体"/>
          <w:color w:val="000000" w:themeColor="text1"/>
          <w:sz w:val="32"/>
          <w:szCs w:val="32"/>
          <w14:textFill>
            <w14:solidFill>
              <w14:schemeClr w14:val="tx1"/>
            </w14:solidFill>
          </w14:textFill>
        </w:rPr>
        <w:t>、其他重要事项的情况说明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（一）机关运行经费</w:t>
      </w:r>
    </w:p>
    <w:p>
      <w:pPr>
        <w:spacing w:line="600" w:lineRule="exact"/>
        <w:ind w:firstLine="63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年机关运行经费财政拨款预算为</w:t>
      </w:r>
      <w:r>
        <w:rPr>
          <w:rFonts w:hint="eastAsia" w:eastAsia="方正仿宋简体"/>
          <w:color w:val="000000" w:themeColor="text1"/>
          <w:sz w:val="32"/>
          <w:szCs w:val="32"/>
          <w14:textFill>
            <w14:solidFill>
              <w14:schemeClr w14:val="tx1"/>
            </w14:solidFill>
          </w14:textFill>
        </w:rPr>
        <w:t>152.8</w:t>
      </w:r>
      <w:r>
        <w:rPr>
          <w:rFonts w:eastAsia="方正仿宋简体"/>
          <w:color w:val="000000" w:themeColor="text1"/>
          <w:sz w:val="32"/>
          <w:szCs w:val="32"/>
          <w14:textFill>
            <w14:solidFill>
              <w14:schemeClr w14:val="tx1"/>
            </w14:solidFill>
          </w14:textFill>
        </w:rPr>
        <w:t>万元，</w:t>
      </w:r>
      <w:r>
        <w:rPr>
          <w:rFonts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比</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2021</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年预算增加</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8.7</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万元，增长</w:t>
      </w:r>
      <w:r>
        <w:rPr>
          <w:rFonts w:hint="default" w:ascii="Times New Roman" w:hAnsi="Times New Roman" w:eastAsia="宋体" w:cs="Times New Roman"/>
          <w:i w:val="0"/>
          <w:caps w:val="0"/>
          <w:color w:val="000000" w:themeColor="text1"/>
          <w:spacing w:val="0"/>
          <w:sz w:val="32"/>
          <w:szCs w:val="32"/>
          <w:shd w:val="clear" w:fill="FFFFFF"/>
          <w14:textFill>
            <w14:solidFill>
              <w14:schemeClr w14:val="tx1"/>
            </w14:solidFill>
          </w14:textFill>
        </w:rPr>
        <w:t>7.66%</w:t>
      </w:r>
      <w:r>
        <w:rPr>
          <w:rFonts w:hint="default"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（二）政府采购情况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eastAsia="方正仿宋简体"/>
          <w:color w:val="000000" w:themeColor="text1"/>
          <w:sz w:val="32"/>
          <w:szCs w:val="32"/>
          <w14:textFill>
            <w14:solidFill>
              <w14:schemeClr w14:val="tx1"/>
            </w14:solidFill>
          </w14:textFill>
        </w:rPr>
        <w:t>安排政府采购预算</w:t>
      </w:r>
      <w:r>
        <w:rPr>
          <w:rFonts w:hint="eastAsia" w:eastAsia="方正仿宋简体"/>
          <w:color w:val="000000" w:themeColor="text1"/>
          <w:sz w:val="32"/>
          <w:szCs w:val="32"/>
          <w14:textFill>
            <w14:solidFill>
              <w14:schemeClr w14:val="tx1"/>
            </w14:solidFill>
          </w14:textFill>
        </w:rPr>
        <w:t>10.63</w:t>
      </w:r>
      <w:r>
        <w:rPr>
          <w:rFonts w:eastAsia="方正仿宋简体"/>
          <w:color w:val="000000" w:themeColor="text1"/>
          <w:sz w:val="32"/>
          <w:szCs w:val="32"/>
          <w14:textFill>
            <w14:solidFill>
              <w14:schemeClr w14:val="tx1"/>
            </w14:solidFill>
          </w14:textFill>
        </w:rPr>
        <w:t>万元，主要用于采购办公设备、信息化建设运行及维护等。</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截至2021年底，</w:t>
      </w: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hint="eastAsia" w:eastAsia="方正仿宋简体"/>
          <w:color w:val="000000" w:themeColor="text1"/>
          <w:sz w:val="32"/>
          <w:szCs w:val="32"/>
          <w14:textFill>
            <w14:solidFill>
              <w14:schemeClr w14:val="tx1"/>
            </w14:solidFill>
          </w14:textFill>
        </w:rPr>
        <w:t>共有车辆</w:t>
      </w:r>
      <w:r>
        <w:rPr>
          <w:rFonts w:hint="eastAsia" w:eastAsia="方正仿宋简体"/>
          <w:color w:val="000000" w:themeColor="text1"/>
          <w:sz w:val="32"/>
          <w:szCs w:val="32"/>
          <w:lang w:val="en-US" w:eastAsia="zh-CN"/>
          <w14:textFill>
            <w14:solidFill>
              <w14:schemeClr w14:val="tx1"/>
            </w14:solidFill>
          </w14:textFill>
        </w:rPr>
        <w:t>1</w:t>
      </w:r>
      <w:r>
        <w:rPr>
          <w:rFonts w:hint="eastAsia" w:eastAsia="方正仿宋简体"/>
          <w:color w:val="000000" w:themeColor="text1"/>
          <w:sz w:val="32"/>
          <w:szCs w:val="32"/>
          <w14:textFill>
            <w14:solidFill>
              <w14:schemeClr w14:val="tx1"/>
            </w14:solidFill>
          </w14:textFill>
        </w:rPr>
        <w:t>辆，其中，领导干部用车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辆、定向保障用车</w:t>
      </w:r>
      <w:r>
        <w:rPr>
          <w:rFonts w:hint="eastAsia" w:eastAsia="方正仿宋简体"/>
          <w:color w:val="000000" w:themeColor="text1"/>
          <w:sz w:val="32"/>
          <w:szCs w:val="32"/>
          <w:lang w:val="en-US" w:eastAsia="zh-CN"/>
          <w14:textFill>
            <w14:solidFill>
              <w14:schemeClr w14:val="tx1"/>
            </w14:solidFill>
          </w14:textFill>
        </w:rPr>
        <w:t>1</w:t>
      </w:r>
      <w:r>
        <w:rPr>
          <w:rFonts w:hint="eastAsia" w:eastAsia="方正仿宋简体"/>
          <w:color w:val="000000" w:themeColor="text1"/>
          <w:sz w:val="32"/>
          <w:szCs w:val="32"/>
          <w14:textFill>
            <w14:solidFill>
              <w14:schemeClr w14:val="tx1"/>
            </w14:solidFill>
          </w14:textFill>
        </w:rPr>
        <w:t>辆、执法执勤用车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辆。单位价值100万元以上大型设备</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台（套）。</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2年单位预算未安排购置车辆及单位价值100万元以上大型设备。</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绩效目标是预算编制的前提和基础，按照“费随事定”的原则，20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w:t>
      </w: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hint="eastAsia" w:eastAsia="方正仿宋简体"/>
          <w:color w:val="000000" w:themeColor="text1"/>
          <w:sz w:val="32"/>
          <w:szCs w:val="32"/>
          <w14:textFill>
            <w14:solidFill>
              <w14:schemeClr w14:val="tx1"/>
            </w14:solidFill>
          </w14:textFill>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w:t>
      </w:r>
      <w:r>
        <w:rPr>
          <w:rFonts w:hint="eastAsia" w:eastAsia="黑体"/>
          <w:color w:val="000000" w:themeColor="text1"/>
          <w:sz w:val="32"/>
          <w:szCs w:val="32"/>
          <w:lang w:eastAsia="zh-CN"/>
          <w14:textFill>
            <w14:solidFill>
              <w14:schemeClr w14:val="tx1"/>
            </w14:solidFill>
          </w14:textFill>
        </w:rPr>
        <w:t>一</w:t>
      </w:r>
      <w:r>
        <w:rPr>
          <w:rFonts w:hint="eastAsia" w:eastAsia="黑体"/>
          <w:color w:val="000000" w:themeColor="text1"/>
          <w:sz w:val="32"/>
          <w:szCs w:val="32"/>
          <w14:textFill>
            <w14:solidFill>
              <w14:schemeClr w14:val="tx1"/>
            </w14:solidFill>
          </w14:textFill>
        </w:rPr>
        <w:t>、名词解释</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（十）社会保障和就业（类）行政事业单位养老支出（款）行政单位离退休（项）：指局机关离退休人员的支出。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（十七）基本支出：指为保证机构正常运转，完成日常工作任务而发生的人员支出和公用支出。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（十八）项目支出：指在基本支出之外为完成特定行政任务和事业发展目标所发生的支出。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w:t>
      </w: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hint="eastAsia" w:eastAsia="方正仿宋简体"/>
          <w:color w:val="000000" w:themeColor="text1"/>
          <w:sz w:val="32"/>
          <w:szCs w:val="32"/>
          <w14:textFill>
            <w14:solidFill>
              <w14:schemeClr w14:val="tx1"/>
            </w14:solidFill>
          </w14:textFill>
        </w:rPr>
        <w:t>预算公开表</w:t>
      </w:r>
    </w:p>
    <w:p>
      <w:pPr>
        <w:spacing w:line="600" w:lineRule="exact"/>
        <w:ind w:right="640"/>
        <w:jc w:val="left"/>
        <w:rPr>
          <w:rFonts w:hint="default" w:eastAsia="方正仿宋简体"/>
          <w:color w:val="000000" w:themeColor="text1"/>
          <w:sz w:val="32"/>
          <w:szCs w:val="32"/>
          <w:lang w:val="en-US" w:eastAsia="zh-CN"/>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 xml:space="preserve">        ：</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w:t>
      </w:r>
      <w:r>
        <w:rPr>
          <w:rFonts w:hint="eastAsia" w:eastAsia="方正仿宋简体"/>
          <w:color w:val="000000" w:themeColor="text1"/>
          <w:sz w:val="32"/>
          <w:szCs w:val="32"/>
          <w:lang w:eastAsia="zh-CN"/>
          <w14:textFill>
            <w14:solidFill>
              <w14:schemeClr w14:val="tx1"/>
            </w14:solidFill>
          </w14:textFill>
        </w:rPr>
        <w:t>资阳市雁江区宝台镇</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人民政府</w:t>
      </w:r>
      <w:r>
        <w:rPr>
          <w:rFonts w:hint="eastAsia" w:eastAsia="方正仿宋简体"/>
          <w:color w:val="000000" w:themeColor="text1"/>
          <w:sz w:val="32"/>
          <w:szCs w:val="32"/>
          <w14:textFill>
            <w14:solidFill>
              <w14:schemeClr w14:val="tx1"/>
            </w14:solidFill>
          </w14:textFill>
        </w:rPr>
        <w:t>绩效目标公开表</w:t>
      </w:r>
    </w:p>
    <w:p>
      <w:pPr>
        <w:rPr>
          <w:color w:val="000000" w:themeColor="text1"/>
          <w14:textFill>
            <w14:solidFill>
              <w14:schemeClr w14:val="tx1"/>
            </w14:solidFill>
          </w14:textFill>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16AE3B1A"/>
    <w:rsid w:val="2FAA3B6A"/>
    <w:rsid w:val="399A5B1B"/>
    <w:rsid w:val="44070B84"/>
    <w:rsid w:val="497A3B49"/>
    <w:rsid w:val="51203B3E"/>
    <w:rsid w:val="54E45A4C"/>
    <w:rsid w:val="6B060E7A"/>
    <w:rsid w:val="72B33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2022-02-07T14:23:10Z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2C74B25BE6E44726915A40261EF11A90</vt:lpwstr>
  </property>
</Properties>
</file>