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96597"/>
      <w:bookmarkStart w:id="4" w:name="_Toc15377193"/>
      <w:bookmarkStart w:id="5" w:name="_Toc15396475"/>
      <w:bookmarkStart w:id="6" w:name="_Toc17103546"/>
      <w:r>
        <w:rPr>
          <w:rFonts w:ascii="黑体" w:hAnsi="黑体" w:eastAsia="黑体"/>
          <w:color w:val="000000"/>
          <w:sz w:val="72"/>
          <w:szCs w:val="72"/>
        </w:rPr>
        <w:t>2019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7103547"/>
      <w:bookmarkStart w:id="8" w:name="_Toc15377426"/>
      <w:bookmarkStart w:id="9" w:name="_Toc15377194"/>
      <w:bookmarkStart w:id="10" w:name="_Toc15378442"/>
      <w:bookmarkStart w:id="11" w:name="_Toc15396476"/>
      <w:bookmarkStart w:id="12" w:name="_Toc15396598"/>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资阳市雁江区南津镇部门决算</w:t>
      </w:r>
      <w:bookmarkEnd w:id="7"/>
      <w:bookmarkEnd w:id="8"/>
      <w:bookmarkEnd w:id="9"/>
      <w:bookmarkEnd w:id="10"/>
      <w:bookmarkEnd w:id="11"/>
      <w:bookmarkEnd w:id="12"/>
      <w:bookmarkEnd w:id="13"/>
      <w:r>
        <w:rPr>
          <w:rFonts w:hint="eastAsia" w:ascii="方正小标宋简体" w:hAnsi="宋体" w:eastAsia="方正小标宋简体"/>
          <w:color w:val="000000"/>
          <w:sz w:val="72"/>
          <w:szCs w:val="72"/>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14"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公开时间：2020年8月26日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2019</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olor w:val="0000FF" w:themeColor="hyperlink"/>
          <w:sz w:val="28"/>
          <w:szCs w:val="28"/>
          <w:u w:val="single"/>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十、</w:t>
      </w:r>
      <w:r>
        <w:rPr>
          <w:rStyle w:val="16"/>
          <w:rFonts w:hint="eastAsia" w:ascii="仿宋" w:hAnsi="仿宋" w:eastAsia="仿宋"/>
          <w:sz w:val="28"/>
          <w:szCs w:val="28"/>
        </w:rPr>
        <w:t>预算绩效情况说明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rPr>
          <w:rFonts w:hint="eastAsia"/>
        </w:rPr>
        <w:t>12</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rPr>
          <w:rFonts w:hint="eastAsia"/>
        </w:rPr>
        <w:t>17</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17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20</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五、</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r>
        <w:rPr>
          <w:rFonts w:ascii="黑体" w:hAnsi="黑体" w:eastAsia="黑体"/>
          <w:b/>
        </w:rPr>
        <w:br w:type="page"/>
      </w:r>
    </w:p>
    <w:p>
      <w:pPr>
        <w:widowControl/>
        <w:jc w:val="left"/>
        <w:rPr>
          <w:rFonts w:ascii="黑体" w:hAnsi="黑体" w:eastAsia="黑体"/>
          <w:bCs/>
          <w:kern w:val="44"/>
          <w:sz w:val="44"/>
          <w:szCs w:val="44"/>
        </w:rPr>
      </w:pPr>
    </w:p>
    <w:p>
      <w:pPr>
        <w:pStyle w:val="2"/>
        <w:jc w:val="center"/>
        <w:rPr>
          <w:rStyle w:val="25"/>
          <w:rFonts w:ascii="黑体" w:hAnsi="黑体" w:eastAsia="黑体"/>
          <w:b/>
          <w:bCs w:val="0"/>
        </w:rPr>
      </w:pPr>
      <w:bookmarkStart w:id="15" w:name="_Toc17103549"/>
      <w:r>
        <w:rPr>
          <w:rFonts w:hint="eastAsia" w:ascii="黑体" w:hAnsi="黑体" w:eastAsia="黑体"/>
          <w:b w:val="0"/>
        </w:rPr>
        <w:t xml:space="preserve">第一部分 </w:t>
      </w:r>
      <w:r>
        <w:rPr>
          <w:rStyle w:val="25"/>
          <w:rFonts w:hint="eastAsia" w:ascii="黑体" w:hAnsi="黑体" w:eastAsia="黑体"/>
          <w:b w:val="0"/>
          <w:bCs w:val="0"/>
        </w:rPr>
        <w:t>部门概况</w:t>
      </w:r>
      <w:bookmarkEnd w:id="14"/>
      <w:bookmarkEnd w:id="15"/>
    </w:p>
    <w:p>
      <w:pPr>
        <w:widowControl/>
        <w:jc w:val="left"/>
        <w:rPr>
          <w:rFonts w:ascii="黑体" w:eastAsia="黑体"/>
          <w:color w:val="000000"/>
          <w:sz w:val="32"/>
          <w:szCs w:val="32"/>
        </w:rPr>
      </w:pPr>
    </w:p>
    <w:p>
      <w:pPr>
        <w:pStyle w:val="3"/>
        <w:rPr>
          <w:rStyle w:val="26"/>
          <w:rFonts w:ascii="仿宋" w:hAnsi="仿宋" w:eastAsia="仿宋"/>
          <w:b w:val="0"/>
          <w:bCs w:val="0"/>
        </w:rPr>
      </w:pPr>
      <w:bookmarkStart w:id="16" w:name="_Toc15377197"/>
      <w:bookmarkStart w:id="17" w:name="_Toc1710355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6"/>
      <w:bookmarkEnd w:id="17"/>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我镇辖区内共有20个村，285个社，1个社区，3个居民小组。总户数19780户，总人口47584人(其中农业人口44807人，非农业人口2777人)，其政府的主要职能是为南津的群众服好务，带领南津群众致富奔小康，为各项事业的发展服好务。</w:t>
      </w:r>
    </w:p>
    <w:p>
      <w:pPr>
        <w:pStyle w:val="3"/>
        <w:rPr>
          <w:rStyle w:val="26"/>
          <w:b w:val="0"/>
          <w:bCs w:val="0"/>
        </w:rPr>
      </w:pPr>
      <w:bookmarkStart w:id="18" w:name="_Toc17103551"/>
      <w:bookmarkStart w:id="19"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18"/>
      <w:bookmarkEnd w:id="19"/>
    </w:p>
    <w:p>
      <w:pPr>
        <w:widowControl/>
        <w:ind w:firstLine="640" w:firstLineChars="200"/>
        <w:jc w:val="left"/>
        <w:rPr>
          <w:rFonts w:ascii="仿宋" w:hAnsi="仿宋" w:eastAsia="仿宋"/>
          <w:color w:val="000000"/>
          <w:kern w:val="0"/>
          <w:sz w:val="32"/>
          <w:szCs w:val="32"/>
        </w:rPr>
      </w:pPr>
      <w:r>
        <w:rPr>
          <w:rFonts w:hint="eastAsia" w:ascii="宋体" w:hAnsi="宋体"/>
          <w:color w:val="000000"/>
          <w:sz w:val="32"/>
          <w:szCs w:val="32"/>
        </w:rPr>
        <w:t>南津镇人民政府有行政事业单位机构2个，共有财政供养人</w:t>
      </w:r>
      <w:r>
        <w:rPr>
          <w:rFonts w:hint="eastAsia" w:ascii="宋体" w:hAnsi="宋体"/>
          <w:sz w:val="32"/>
          <w:szCs w:val="32"/>
        </w:rPr>
        <w:t>员63人</w:t>
      </w:r>
      <w:r>
        <w:rPr>
          <w:rFonts w:hint="eastAsia" w:ascii="宋体" w:hAnsi="宋体"/>
          <w:color w:val="000000"/>
          <w:sz w:val="32"/>
          <w:szCs w:val="32"/>
        </w:rPr>
        <w:t>。其中：在职63人，行政在编人员41人、事业在编人员22人；其中：遗嘱补助人员16人、政府小车司机1人（临聘人员）。</w:t>
      </w: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0" w:name="_Toc17103552"/>
      <w:bookmarkStart w:id="2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0"/>
      <w:bookmarkEnd w:id="21"/>
    </w:p>
    <w:p/>
    <w:p>
      <w:pPr>
        <w:pStyle w:val="24"/>
        <w:numPr>
          <w:ilvl w:val="0"/>
          <w:numId w:val="1"/>
        </w:numPr>
        <w:spacing w:line="600" w:lineRule="exact"/>
        <w:ind w:firstLineChars="0"/>
        <w:outlineLvl w:val="1"/>
        <w:rPr>
          <w:rStyle w:val="26"/>
          <w:rFonts w:ascii="黑体" w:hAnsi="黑体" w:eastAsia="黑体"/>
          <w:b w:val="0"/>
        </w:rPr>
      </w:pPr>
      <w:bookmarkStart w:id="22" w:name="_Toc17103553"/>
      <w:bookmarkStart w:id="23"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2019年度收、支总计2180万元。与2018年相比，收、支总计各减少213万元，降低8.9</w:t>
      </w:r>
      <w:r>
        <w:rPr>
          <w:rFonts w:ascii="仿宋" w:hAnsi="仿宋" w:eastAsia="仿宋"/>
          <w:color w:val="000000"/>
          <w:sz w:val="32"/>
          <w:szCs w:val="32"/>
        </w:rPr>
        <w:t>%</w:t>
      </w:r>
      <w:r>
        <w:rPr>
          <w:rFonts w:hint="eastAsia" w:ascii="仿宋" w:hAnsi="仿宋" w:eastAsia="仿宋"/>
          <w:color w:val="000000"/>
          <w:sz w:val="32"/>
          <w:szCs w:val="32"/>
        </w:rPr>
        <w:t>。主要变动原因是调资及专项调整。</w:t>
      </w:r>
    </w:p>
    <w:p>
      <w:pPr>
        <w:pStyle w:val="24"/>
        <w:numPr>
          <w:ilvl w:val="0"/>
          <w:numId w:val="1"/>
        </w:numPr>
        <w:spacing w:line="600" w:lineRule="exact"/>
        <w:ind w:firstLineChars="0"/>
        <w:outlineLvl w:val="1"/>
        <w:rPr>
          <w:rStyle w:val="26"/>
          <w:rFonts w:ascii="黑体" w:hAnsi="黑体" w:eastAsia="黑体"/>
          <w:b w:val="0"/>
        </w:rPr>
      </w:pPr>
      <w:bookmarkStart w:id="24" w:name="_Toc17103554"/>
      <w:bookmarkStart w:id="25"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color w:val="000000"/>
          <w:sz w:val="32"/>
          <w:szCs w:val="32"/>
        </w:rPr>
      </w:pPr>
      <w:bookmarkStart w:id="26" w:name="_Toc17103555"/>
      <w:r>
        <w:rPr>
          <w:rFonts w:ascii="仿宋" w:hAnsi="仿宋" w:eastAsia="仿宋"/>
          <w:color w:val="000000"/>
          <w:sz w:val="32"/>
          <w:szCs w:val="32"/>
        </w:rPr>
        <w:t>2019</w:t>
      </w:r>
      <w:r>
        <w:rPr>
          <w:rFonts w:hint="eastAsia" w:ascii="仿宋" w:hAnsi="仿宋" w:eastAsia="仿宋"/>
          <w:color w:val="000000"/>
          <w:sz w:val="32"/>
          <w:szCs w:val="32"/>
        </w:rPr>
        <w:t>年本年收入合计2180万元，其中：一般公共预算财政拨款收入2180万元，占100</w:t>
      </w:r>
      <w:r>
        <w:rPr>
          <w:rFonts w:ascii="仿宋" w:hAnsi="仿宋" w:eastAsia="仿宋"/>
          <w:color w:val="000000"/>
          <w:sz w:val="32"/>
          <w:szCs w:val="32"/>
        </w:rPr>
        <w:t>%</w:t>
      </w:r>
      <w:r>
        <w:rPr>
          <w:rFonts w:hint="eastAsia" w:ascii="仿宋" w:hAnsi="仿宋" w:eastAsia="仿宋"/>
          <w:color w:val="000000"/>
          <w:sz w:val="32"/>
          <w:szCs w:val="32"/>
        </w:rPr>
        <w:t>。</w:t>
      </w:r>
      <w:bookmarkEnd w:id="26"/>
    </w:p>
    <w:p>
      <w:pPr>
        <w:pStyle w:val="24"/>
        <w:numPr>
          <w:ilvl w:val="0"/>
          <w:numId w:val="1"/>
        </w:numPr>
        <w:spacing w:line="600" w:lineRule="exact"/>
        <w:ind w:firstLineChars="0"/>
        <w:outlineLvl w:val="1"/>
        <w:rPr>
          <w:rStyle w:val="26"/>
          <w:rFonts w:ascii="黑体" w:hAnsi="黑体" w:eastAsia="黑体"/>
          <w:b w:val="0"/>
        </w:rPr>
      </w:pPr>
      <w:bookmarkStart w:id="27" w:name="_Toc17103556"/>
      <w:bookmarkStart w:id="28"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7"/>
      <w:bookmarkEnd w:id="28"/>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2019</w:t>
      </w:r>
      <w:r>
        <w:rPr>
          <w:rFonts w:hint="eastAsia" w:ascii="仿宋" w:hAnsi="仿宋" w:eastAsia="仿宋"/>
          <w:color w:val="000000"/>
          <w:sz w:val="32"/>
          <w:szCs w:val="32"/>
        </w:rPr>
        <w:t>年本年支出合计2180万元，其中：基本支出1302万元，占59.72</w:t>
      </w:r>
      <w:r>
        <w:rPr>
          <w:rFonts w:ascii="仿宋" w:hAnsi="仿宋" w:eastAsia="仿宋"/>
          <w:color w:val="000000"/>
          <w:sz w:val="32"/>
          <w:szCs w:val="32"/>
        </w:rPr>
        <w:t>%</w:t>
      </w:r>
      <w:r>
        <w:rPr>
          <w:rFonts w:hint="eastAsia" w:ascii="仿宋" w:hAnsi="仿宋" w:eastAsia="仿宋"/>
          <w:color w:val="000000"/>
          <w:sz w:val="32"/>
          <w:szCs w:val="32"/>
        </w:rPr>
        <w:t>；项目支出878万元，占40.28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6"/>
          <w:rFonts w:ascii="黑体" w:hAnsi="黑体" w:eastAsia="黑体"/>
          <w:b w:val="0"/>
        </w:rPr>
      </w:pPr>
      <w:bookmarkStart w:id="29" w:name="_Toc17103557"/>
      <w:bookmarkStart w:id="30"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9"/>
      <w:bookmarkEnd w:id="3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年财政拨款收、支总计2180万元。与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8年相比，财政拨款收、支总计各减少213万元，降低8.9</w:t>
      </w:r>
      <w:r>
        <w:rPr>
          <w:rFonts w:ascii="仿宋" w:hAnsi="仿宋" w:eastAsia="仿宋"/>
          <w:color w:val="000000"/>
          <w:sz w:val="32"/>
          <w:szCs w:val="32"/>
        </w:rPr>
        <w:t>%</w:t>
      </w:r>
      <w:r>
        <w:rPr>
          <w:rFonts w:hint="eastAsia" w:ascii="仿宋" w:hAnsi="仿宋" w:eastAsia="仿宋"/>
          <w:color w:val="000000"/>
          <w:sz w:val="32"/>
          <w:szCs w:val="32"/>
        </w:rPr>
        <w:t>。主要变动原因是调资及专项调整。</w:t>
      </w:r>
    </w:p>
    <w:p>
      <w:pPr>
        <w:spacing w:line="600" w:lineRule="exact"/>
        <w:ind w:firstLine="640" w:firstLineChars="200"/>
        <w:outlineLvl w:val="1"/>
        <w:rPr>
          <w:rStyle w:val="26"/>
          <w:rFonts w:ascii="黑体" w:hAnsi="黑体" w:eastAsia="黑体"/>
          <w:b w:val="0"/>
        </w:rPr>
      </w:pPr>
      <w:bookmarkStart w:id="31" w:name="_Toc17103558"/>
      <w:bookmarkStart w:id="32"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年一般公共预算财政拨款支出2180万元，占本年支出合计的100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8年相比，一般公共预算财政拨款减少213万元，降低8.9</w:t>
      </w:r>
      <w:r>
        <w:rPr>
          <w:rFonts w:ascii="仿宋" w:hAnsi="仿宋" w:eastAsia="仿宋"/>
          <w:color w:val="000000"/>
          <w:sz w:val="32"/>
          <w:szCs w:val="32"/>
        </w:rPr>
        <w:t>%</w:t>
      </w:r>
      <w:r>
        <w:rPr>
          <w:rFonts w:hint="eastAsia" w:ascii="仿宋" w:hAnsi="仿宋" w:eastAsia="仿宋"/>
          <w:color w:val="000000"/>
          <w:sz w:val="32"/>
          <w:szCs w:val="32"/>
        </w:rPr>
        <w:t>。主要变动原因是调资及专项调整。</w:t>
      </w:r>
    </w:p>
    <w:p>
      <w:pPr>
        <w:spacing w:line="600" w:lineRule="exact"/>
        <w:ind w:firstLine="643" w:firstLineChars="200"/>
        <w:outlineLvl w:val="2"/>
        <w:rPr>
          <w:rFonts w:ascii="仿宋" w:hAnsi="仿宋" w:eastAsia="仿宋"/>
          <w:b/>
          <w:color w:val="000000"/>
          <w:sz w:val="32"/>
          <w:szCs w:val="32"/>
        </w:rPr>
      </w:pPr>
      <w:bookmarkStart w:id="34" w:name="_Toc15377211"/>
      <w:r>
        <w:rPr>
          <w:rFonts w:hint="eastAsia" w:ascii="仿宋" w:hAnsi="仿宋" w:eastAsia="仿宋"/>
          <w:b/>
          <w:color w:val="000000"/>
          <w:sz w:val="32"/>
          <w:szCs w:val="32"/>
        </w:rPr>
        <w:t>（二）一般公共预算财政拨款支出决算结构情况</w:t>
      </w:r>
      <w:bookmarkEnd w:id="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政拨款支出2180万元，主要用于以下方面</w:t>
      </w:r>
      <w:r>
        <w:rPr>
          <w:rFonts w:ascii="仿宋" w:hAnsi="仿宋" w:eastAsia="仿宋"/>
          <w:color w:val="000000" w:themeColor="text1"/>
          <w:sz w:val="32"/>
          <w:szCs w:val="32"/>
        </w:rPr>
        <w:t>:</w:t>
      </w:r>
      <w:r>
        <w:rPr>
          <w:rFonts w:hint="eastAsia" w:ascii="仿宋" w:hAnsi="仿宋" w:eastAsia="仿宋"/>
          <w:b/>
          <w:color w:val="000000"/>
          <w:sz w:val="32"/>
          <w:szCs w:val="32"/>
        </w:rPr>
        <w:t xml:space="preserve"> </w:t>
      </w:r>
      <w:r>
        <w:rPr>
          <w:rFonts w:hint="eastAsia" w:ascii="仿宋" w:hAnsi="仿宋" w:eastAsia="仿宋"/>
          <w:color w:val="000000"/>
          <w:sz w:val="32"/>
          <w:szCs w:val="32"/>
        </w:rPr>
        <w:t>一般公共服务支出497万元；文化体育与传媒支出62万元；社会保障与就业支出165万元；医疗卫生与计划生育支出86万元（基本支出）；</w:t>
      </w:r>
      <w:r>
        <w:rPr>
          <w:rFonts w:hint="eastAsia" w:ascii="仿宋" w:hAnsi="仿宋" w:eastAsia="仿宋"/>
          <w:bCs/>
          <w:color w:val="000000"/>
          <w:sz w:val="32"/>
          <w:szCs w:val="32"/>
        </w:rPr>
        <w:t>城乡社区支出554万元</w:t>
      </w:r>
      <w:r>
        <w:rPr>
          <w:rFonts w:hint="eastAsia" w:ascii="仿宋" w:hAnsi="仿宋" w:eastAsia="仿宋"/>
          <w:color w:val="000000"/>
          <w:sz w:val="32"/>
          <w:szCs w:val="32"/>
        </w:rPr>
        <w:t>；农林水支出701万元；交通运输支出40万元；自然资源海洋气象等支出6万元；</w:t>
      </w:r>
      <w:r>
        <w:rPr>
          <w:rFonts w:hint="eastAsia" w:ascii="仿宋" w:hAnsi="仿宋" w:eastAsia="仿宋"/>
          <w:bCs/>
          <w:color w:val="000000"/>
          <w:sz w:val="32"/>
          <w:szCs w:val="32"/>
        </w:rPr>
        <w:t>住房保障支出69万元</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13335</wp:posOffset>
            </wp:positionH>
            <wp:positionV relativeFrom="paragraph">
              <wp:posOffset>137160</wp:posOffset>
            </wp:positionV>
            <wp:extent cx="5795010" cy="3345180"/>
            <wp:effectExtent l="19050" t="0" r="15240" b="762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bookmarkStart w:id="35" w:name="_Toc15377212"/>
      <w:r>
        <w:rPr>
          <w:rFonts w:hint="eastAsia" w:ascii="仿宋" w:hAnsi="仿宋" w:eastAsia="仿宋"/>
          <w:b/>
          <w:color w:val="000000"/>
          <w:sz w:val="32"/>
          <w:szCs w:val="32"/>
        </w:rPr>
        <w:t>（三）一般公共预算财政拨款支出决算具体情况</w:t>
      </w:r>
      <w:bookmarkEnd w:id="35"/>
    </w:p>
    <w:p>
      <w:pPr>
        <w:spacing w:line="600" w:lineRule="exact"/>
        <w:ind w:firstLine="643" w:firstLineChars="200"/>
        <w:outlineLvl w:val="2"/>
        <w:rPr>
          <w:rStyle w:val="15"/>
          <w:rFonts w:ascii="仿宋" w:hAnsi="仿宋" w:eastAsia="仿宋"/>
          <w:bCs/>
          <w:color w:val="000000"/>
          <w:sz w:val="32"/>
          <w:szCs w:val="32"/>
        </w:rPr>
      </w:pPr>
      <w:bookmarkStart w:id="36" w:name="_Toc15378460"/>
      <w:bookmarkStart w:id="37" w:name="_Toc15377444"/>
      <w:bookmarkStart w:id="38" w:name="_Toc15377213"/>
      <w:r>
        <w:rPr>
          <w:rFonts w:hint="eastAsia" w:ascii="仿宋" w:hAnsi="仿宋" w:eastAsia="仿宋"/>
          <w:b/>
          <w:color w:val="000000" w:themeColor="text1"/>
          <w:sz w:val="32"/>
          <w:szCs w:val="32"/>
        </w:rPr>
        <w:t>2019年般公共预算支出决算数为2180</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6"/>
      <w:bookmarkEnd w:id="37"/>
      <w:bookmarkEnd w:id="38"/>
    </w:p>
    <w:p>
      <w:pPr>
        <w:spacing w:line="600" w:lineRule="exact"/>
        <w:ind w:firstLine="640"/>
        <w:rPr>
          <w:rFonts w:ascii="仿宋" w:hAnsi="仿宋" w:eastAsia="仿宋"/>
          <w:color w:val="000000"/>
          <w:sz w:val="32"/>
          <w:szCs w:val="32"/>
        </w:rPr>
      </w:pPr>
      <w:r>
        <w:rPr>
          <w:rFonts w:hint="eastAsia" w:ascii="仿宋" w:hAnsi="仿宋" w:eastAsia="仿宋"/>
          <w:b/>
          <w:color w:val="000000"/>
          <w:sz w:val="32"/>
          <w:szCs w:val="32"/>
        </w:rPr>
        <w:t>一般公共服务支出497万元</w:t>
      </w:r>
      <w:r>
        <w:rPr>
          <w:rFonts w:hint="eastAsia" w:ascii="仿宋" w:hAnsi="仿宋" w:eastAsia="仿宋"/>
          <w:color w:val="000000"/>
          <w:sz w:val="32"/>
          <w:szCs w:val="32"/>
        </w:rPr>
        <w:t>。其中：人大会议2万元，用于人代会及人大代表活动经费；政府办公厅（室）及相关机构事务行政运行（基本支出）266万元于政府的人员经费及运行费用，用于工会经费 ，全镇信访维稳经费；发展与改革事务行政运行（基本支出）62万元，用于经济发展办公室的人员经费及运行费用；财政事务行政运行（基本支出）的支出73万元，用于财政所的人员经费及运行费用；党委办公厅（室）及相关机构事务行政运行（基本支出）70万元用于党委的人员经费及运行费用；其他一般公共服务支出（项目支出）24万元。</w:t>
      </w:r>
      <w:r>
        <w:rPr>
          <w:rFonts w:hint="eastAsia" w:ascii="仿宋" w:hAnsi="仿宋" w:eastAsia="仿宋"/>
          <w:b/>
          <w:color w:val="000000"/>
          <w:sz w:val="32"/>
          <w:szCs w:val="32"/>
        </w:rPr>
        <w:t>文化体育与传媒支出62万元</w:t>
      </w:r>
      <w:r>
        <w:rPr>
          <w:rFonts w:hint="eastAsia" w:ascii="仿宋" w:hAnsi="仿宋" w:eastAsia="仿宋"/>
          <w:color w:val="000000"/>
          <w:sz w:val="32"/>
          <w:szCs w:val="32"/>
        </w:rPr>
        <w:t>，其中群众文化支出62万元（基本支出），用于社会事业服务办公室的人员经费及运行费用。</w:t>
      </w:r>
      <w:r>
        <w:rPr>
          <w:rFonts w:hint="eastAsia" w:ascii="仿宋" w:hAnsi="仿宋" w:eastAsia="仿宋"/>
          <w:b/>
          <w:color w:val="000000"/>
          <w:sz w:val="32"/>
          <w:szCs w:val="32"/>
        </w:rPr>
        <w:t>社会保障与就业支出165万元</w:t>
      </w:r>
      <w:r>
        <w:rPr>
          <w:rFonts w:hint="eastAsia" w:ascii="仿宋" w:hAnsi="仿宋" w:eastAsia="仿宋"/>
          <w:color w:val="000000"/>
          <w:sz w:val="32"/>
          <w:szCs w:val="32"/>
        </w:rPr>
        <w:t>，其中：民政管理事务-行政运行（基本支出）31万元用于民社办人员经费及运行费用，行政事业单位离退休108万元，用于未归口管理的行政事业单位离退休以及职工养老保险缴费支出；死亡抚恤13万元；特困人员救助供养13万元（基本支出）用于敬老院管理人员的生活补助。</w:t>
      </w:r>
      <w:r>
        <w:rPr>
          <w:rFonts w:hint="eastAsia" w:ascii="仿宋" w:hAnsi="仿宋" w:eastAsia="仿宋"/>
          <w:b/>
          <w:color w:val="000000"/>
          <w:sz w:val="32"/>
          <w:szCs w:val="32"/>
        </w:rPr>
        <w:t>医疗卫生与计划生育支出86万元（基本支出）。</w:t>
      </w:r>
      <w:r>
        <w:rPr>
          <w:rFonts w:hint="eastAsia" w:ascii="仿宋" w:hAnsi="仿宋" w:eastAsia="仿宋"/>
          <w:color w:val="000000"/>
          <w:sz w:val="32"/>
          <w:szCs w:val="32"/>
        </w:rPr>
        <w:t>其中计划生育机构23万元，用于计划生育人员及运行经费；行政事业单位医疗支出63万元，用于职工医疗补助支出。</w:t>
      </w:r>
      <w:r>
        <w:rPr>
          <w:rFonts w:hint="eastAsia" w:ascii="仿宋" w:hAnsi="仿宋" w:eastAsia="仿宋"/>
          <w:b/>
          <w:bCs/>
          <w:color w:val="000000"/>
          <w:sz w:val="32"/>
          <w:szCs w:val="32"/>
        </w:rPr>
        <w:t>城乡社区支出554万元</w:t>
      </w:r>
      <w:r>
        <w:rPr>
          <w:rFonts w:hint="eastAsia" w:ascii="仿宋" w:hAnsi="仿宋" w:eastAsia="仿宋"/>
          <w:color w:val="000000"/>
          <w:sz w:val="32"/>
          <w:szCs w:val="32"/>
        </w:rPr>
        <w:t>，其中：城乡社区规划与管理33万元（基本支出），用于村建环卫服务中心人员与公用支出；城乡社区环境卫生500万元（项目支出），用于南津镇基础设施总体规划；城乡社区环境卫生3万元（项目支出）用于</w:t>
      </w:r>
      <w:r>
        <w:rPr>
          <w:rFonts w:hint="eastAsia" w:ascii="仿宋" w:hAnsi="仿宋" w:eastAsia="仿宋"/>
          <w:color w:val="000000"/>
          <w:sz w:val="32"/>
          <w:szCs w:val="32"/>
          <w:lang w:eastAsia="zh-CN"/>
        </w:rPr>
        <w:t>环境</w:t>
      </w:r>
      <w:r>
        <w:rPr>
          <w:rFonts w:hint="eastAsia" w:ascii="仿宋" w:hAnsi="仿宋" w:eastAsia="仿宋"/>
          <w:color w:val="000000"/>
          <w:sz w:val="32"/>
          <w:szCs w:val="32"/>
        </w:rPr>
        <w:t>治理；其他城乡社区支出14万元（基本支出）、4万元（项目支出）用于居委人员生活补助。</w:t>
      </w:r>
      <w:r>
        <w:rPr>
          <w:rFonts w:hint="eastAsia" w:ascii="仿宋" w:hAnsi="仿宋" w:eastAsia="仿宋"/>
          <w:b/>
          <w:color w:val="000000"/>
          <w:sz w:val="32"/>
          <w:szCs w:val="32"/>
        </w:rPr>
        <w:t>农林水支出701万元</w:t>
      </w:r>
      <w:r>
        <w:rPr>
          <w:rFonts w:hint="eastAsia" w:ascii="仿宋" w:hAnsi="仿宋" w:eastAsia="仿宋"/>
          <w:color w:val="000000"/>
          <w:sz w:val="32"/>
          <w:szCs w:val="32"/>
        </w:rPr>
        <w:t>：农业-事业运行基本支出99万元，用于农业服务中心人员的工资及公用经费；农村道路建设（项目支出）4万元；其他农业支出（项目支出）6万元；扶贫支出（项目支出）8万元对村民委员会和村党支部的补助574万元（基本支出302万元，项目支出272万元），用于村组干部和监委会主任生活补助及办公经费、离职村（社区）干部补助、在职村（社区）干部基本医疗保险及养老保险补助等；对村集体经济组织补助10万元（项目支出），相关工作经费。</w:t>
      </w:r>
      <w:r>
        <w:rPr>
          <w:rFonts w:hint="eastAsia" w:ascii="仿宋" w:hAnsi="仿宋" w:eastAsia="仿宋"/>
          <w:b/>
          <w:color w:val="000000"/>
          <w:sz w:val="32"/>
          <w:szCs w:val="32"/>
        </w:rPr>
        <w:t>交通运输支出40万元，自然资源海洋气象等支出</w:t>
      </w:r>
      <w:r>
        <w:rPr>
          <w:rFonts w:hint="eastAsia" w:ascii="仿宋" w:hAnsi="仿宋" w:eastAsia="仿宋"/>
          <w:color w:val="000000"/>
          <w:sz w:val="32"/>
          <w:szCs w:val="32"/>
        </w:rPr>
        <w:t>6万元；</w:t>
      </w:r>
      <w:r>
        <w:rPr>
          <w:rFonts w:hint="eastAsia" w:ascii="仿宋" w:hAnsi="仿宋" w:eastAsia="仿宋"/>
          <w:b/>
          <w:bCs/>
          <w:color w:val="000000"/>
          <w:sz w:val="32"/>
          <w:szCs w:val="32"/>
        </w:rPr>
        <w:t>住房保障支出69万元</w:t>
      </w:r>
      <w:r>
        <w:rPr>
          <w:rFonts w:hint="eastAsia" w:ascii="仿宋" w:hAnsi="仿宋" w:eastAsia="仿宋"/>
          <w:color w:val="000000"/>
          <w:sz w:val="32"/>
          <w:szCs w:val="32"/>
        </w:rPr>
        <w:t>，用于全镇在职职工住房公积金财政应负担部分。</w:t>
      </w:r>
    </w:p>
    <w:p>
      <w:pPr>
        <w:tabs>
          <w:tab w:val="right" w:pos="8306"/>
        </w:tabs>
        <w:spacing w:line="600" w:lineRule="exact"/>
        <w:ind w:firstLine="640"/>
        <w:outlineLvl w:val="1"/>
        <w:rPr>
          <w:rStyle w:val="26"/>
        </w:rPr>
      </w:pPr>
      <w:bookmarkStart w:id="39" w:name="_Toc17103559"/>
      <w:bookmarkStart w:id="4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9"/>
      <w:bookmarkEnd w:id="40"/>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年一般公共预算财政拨款基本支出1302万元，其中：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人员经费1145万元，主要包括：基本工资、津贴补贴、奖金、伙食补助费、绩效工资、机关事业单位基本养老保险缴费、其他社会保障缴费、其他工资福利支出、生活补助、奖励金、住房公积金支出等。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公用经费157万元，主要包括：办公费、印刷费、手续费、水费、电费、邮电费、差旅费、会议费、培训费、公务接待费、劳务费、工会经费、福利费、其他交通费、其他商品和服务支出等。</w:t>
      </w:r>
    </w:p>
    <w:p>
      <w:pPr>
        <w:spacing w:line="600" w:lineRule="exact"/>
        <w:ind w:firstLine="640"/>
        <w:outlineLvl w:val="1"/>
        <w:rPr>
          <w:rStyle w:val="26"/>
          <w:rFonts w:ascii="黑体" w:hAnsi="黑体" w:eastAsia="黑体"/>
          <w:b w:val="0"/>
        </w:rPr>
      </w:pPr>
      <w:bookmarkStart w:id="41" w:name="_Toc17103560"/>
      <w:bookmarkStart w:id="42"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年“三公”经费财政拨款支出决算为9万元，完成预算100</w:t>
      </w:r>
      <w:r>
        <w:rPr>
          <w:rFonts w:ascii="仿宋" w:hAnsi="仿宋" w:eastAsia="仿宋"/>
          <w:color w:val="000000"/>
          <w:sz w:val="32"/>
          <w:szCs w:val="32"/>
        </w:rPr>
        <w:t>%</w:t>
      </w:r>
      <w:r>
        <w:rPr>
          <w:rFonts w:hint="eastAsia" w:ascii="仿宋" w:hAnsi="仿宋" w:eastAsia="仿宋"/>
          <w:color w:val="000000"/>
          <w:sz w:val="32"/>
          <w:szCs w:val="32"/>
        </w:rPr>
        <w:t>，与预算数持平的主要原因是严格按照预算执行相关经费支出。</w:t>
      </w:r>
    </w:p>
    <w:p>
      <w:pPr>
        <w:spacing w:line="600" w:lineRule="exact"/>
        <w:ind w:firstLine="64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三公”经费支出情况：2019年“三公”经费支出9万元，比上年“三公”经费支出9万元持平。其中2019年公务用车运行维护费支出0元，与上年持平，单位目前无公车。2019年公务接待费支出9万元，比上年9万元持平。公务接待批次162次，接待人数2200人。本年无因公出国（境）经费支出。</w:t>
      </w:r>
    </w:p>
    <w:p>
      <w:pPr>
        <w:spacing w:line="600" w:lineRule="exact"/>
        <w:ind w:firstLine="640"/>
        <w:outlineLvl w:val="1"/>
        <w:rPr>
          <w:rStyle w:val="26"/>
          <w:rFonts w:ascii="黑体" w:hAnsi="黑体" w:eastAsia="黑体"/>
        </w:rPr>
      </w:pPr>
      <w:bookmarkStart w:id="45" w:name="_Toc17103561"/>
      <w:bookmarkStart w:id="46"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5"/>
      <w:bookmarkEnd w:id="4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年政府性基金预算拨款支出0万元。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6"/>
          <w:rFonts w:ascii="黑体" w:hAnsi="黑体" w:eastAsia="黑体"/>
          <w:b w:val="0"/>
        </w:rPr>
      </w:pPr>
      <w:bookmarkStart w:id="47" w:name="_Toc15377219"/>
      <w:bookmarkStart w:id="48" w:name="_Toc17103562"/>
      <w:r>
        <w:rPr>
          <w:rStyle w:val="26"/>
          <w:rFonts w:hint="eastAsia" w:ascii="黑体" w:hAnsi="黑体" w:eastAsia="黑体"/>
          <w:b w:val="0"/>
        </w:rPr>
        <w:t>国有资本经营预算支出决算情况说明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年国有资本经营预算拨款支出0万元。</w:t>
      </w:r>
      <w:bookmarkStart w:id="49" w:name="_Toc15377221"/>
      <w:bookmarkStart w:id="50" w:name="_Toc17103564"/>
    </w:p>
    <w:p>
      <w:pPr>
        <w:pStyle w:val="24"/>
        <w:numPr>
          <w:ilvl w:val="0"/>
          <w:numId w:val="3"/>
        </w:numPr>
        <w:spacing w:line="580" w:lineRule="exact"/>
        <w:ind w:firstLineChars="0"/>
        <w:rPr>
          <w:rStyle w:val="26"/>
          <w:rFonts w:ascii="黑体" w:hAnsi="黑体" w:eastAsia="黑体"/>
          <w:b w:val="0"/>
        </w:rPr>
      </w:pPr>
      <w:bookmarkStart w:id="51" w:name="_Toc17103563"/>
      <w:r>
        <w:rPr>
          <w:rStyle w:val="26"/>
          <w:rFonts w:hint="eastAsia" w:ascii="黑体" w:hAnsi="黑体" w:eastAsia="黑体"/>
        </w:rPr>
        <w:t>预算绩效情况说明</w:t>
      </w:r>
      <w:bookmarkEnd w:id="51"/>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村干部养老保险项目开展了预算事前绩效评估，对2个项目编制了绩效目标，预算执行过程中，选取2个项目开展绩效监控，年终执行完毕后，对2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本部门按要求对2019年部门整体支出开展绩效自评，从评价情况来看，所有项目均</w:t>
      </w:r>
      <w:r>
        <w:rPr>
          <w:rFonts w:ascii="仿宋_GB2312" w:hAnsi="仿宋_GB2312" w:eastAsia="仿宋_GB2312" w:cs="仿宋_GB2312"/>
          <w:sz w:val="32"/>
          <w:szCs w:val="32"/>
        </w:rPr>
        <w:t>遵循预算的项目资金用途</w:t>
      </w:r>
      <w:r>
        <w:rPr>
          <w:rFonts w:hint="eastAsia" w:ascii="仿宋_GB2312" w:hAnsi="仿宋_GB2312" w:eastAsia="仿宋_GB2312" w:cs="仿宋_GB2312"/>
          <w:sz w:val="32"/>
          <w:szCs w:val="32"/>
        </w:rPr>
        <w:t>，不存在挤占挪用的情况</w:t>
      </w:r>
      <w:r>
        <w:rPr>
          <w:rFonts w:ascii="仿宋_GB2312" w:hAnsi="仿宋_GB2312" w:eastAsia="仿宋_GB2312" w:cs="仿宋_GB2312"/>
          <w:sz w:val="32"/>
          <w:szCs w:val="32"/>
        </w:rPr>
        <w:t>，资金使用审批程序规范，严控资金支出标准，完成了各项预定指标</w:t>
      </w:r>
      <w:r>
        <w:rPr>
          <w:rFonts w:hint="eastAsia" w:ascii="仿宋_GB2312" w:hAnsi="仿宋_GB2312" w:eastAsia="仿宋_GB2312" w:cs="仿宋_GB2312"/>
          <w:sz w:val="32"/>
          <w:szCs w:val="32"/>
        </w:rPr>
        <w:t>。本部门还自行组织了2个项目绩效评价，从评价情况来看资金拨付到位情况良好，程序规范合理，预定绩效目标完成情况较好。</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 “村干部养老保险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“小城镇基础设施建设（污水处理厂）”等13个项目中，50万以上项目的绩效目标实际完成情况。 </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村干部养老保险项目绩效目标完成情况综述。项目全年预算数58万元，执行数为58万元，完成预算的100%。通过项目实施，保持了村干部的稳定，也提高了村干部的待遇。</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污水处理厂项目绩效目标完成情况综述。项目全年预算数500万元，执行数为500万元，完成预算的100%。通过项目实施，体现了中央对城镇建设的支持，提高城镇发展。</w:t>
      </w: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本部门按要求对2019年部门整体支出绩效评价情况开展自评，《南津镇2019年部门整体支出绩效评价报告》见附件。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本部门自行组织对村干部养老保险项目补贴开展了绩效评价，《2019年村干部养老保险项目绩效评价报告》见附件。</w:t>
      </w:r>
    </w:p>
    <w:p>
      <w:pPr>
        <w:spacing w:line="600" w:lineRule="exact"/>
        <w:ind w:firstLine="800" w:firstLineChars="250"/>
        <w:outlineLvl w:val="1"/>
        <w:rPr>
          <w:rStyle w:val="26"/>
          <w:rFonts w:ascii="黑体" w:hAnsi="黑体" w:eastAsia="黑体"/>
        </w:rPr>
      </w:pPr>
      <w:r>
        <w:rPr>
          <w:rFonts w:hint="eastAsia" w:ascii="黑体" w:hAnsi="黑体" w:eastAsia="黑体"/>
          <w:color w:val="000000"/>
          <w:sz w:val="32"/>
          <w:szCs w:val="32"/>
        </w:rPr>
        <w:t>十一</w:t>
      </w:r>
      <w:r>
        <w:rPr>
          <w:rStyle w:val="26"/>
          <w:rFonts w:hint="eastAsia" w:ascii="黑体" w:hAnsi="黑体" w:eastAsia="黑体"/>
        </w:rPr>
        <w:t>、</w:t>
      </w:r>
      <w:r>
        <w:rPr>
          <w:rStyle w:val="26"/>
          <w:rFonts w:hint="eastAsia" w:ascii="黑体" w:hAnsi="黑体" w:eastAsia="黑体"/>
          <w:b w:val="0"/>
        </w:rPr>
        <w:t>其他重要事项的情况说明</w:t>
      </w:r>
      <w:bookmarkEnd w:id="49"/>
      <w:bookmarkEnd w:id="50"/>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3"/>
      <w:r>
        <w:rPr>
          <w:rFonts w:hint="eastAsia" w:ascii="仿宋" w:hAnsi="仿宋" w:eastAsia="仿宋"/>
          <w:b/>
          <w:color w:val="000000"/>
          <w:sz w:val="32"/>
          <w:szCs w:val="32"/>
        </w:rPr>
        <w:t>（一）政府采购支出情况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年，南津镇政府采购支出总额4万元，其中：政府采购货物支出0万元、政府采购工程支出0万元、政府采购服务支出4万元。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4"/>
      <w:r>
        <w:rPr>
          <w:rFonts w:hint="eastAsia" w:ascii="仿宋" w:hAnsi="仿宋" w:eastAsia="仿宋"/>
          <w:b/>
          <w:color w:val="000000"/>
          <w:sz w:val="32"/>
          <w:szCs w:val="32"/>
        </w:rPr>
        <w:t>（二）国有资产占有使用情况</w:t>
      </w:r>
      <w:bookmarkEnd w:id="53"/>
    </w:p>
    <w:p>
      <w:pPr>
        <w:autoSpaceDE w:val="0"/>
        <w:autoSpaceDN w:val="0"/>
        <w:adjustRightInd w:val="0"/>
        <w:spacing w:line="600" w:lineRule="exact"/>
        <w:ind w:firstLine="640" w:firstLineChars="200"/>
        <w:jc w:val="left"/>
        <w:rPr>
          <w:rFonts w:ascii="仿宋" w:hAnsi="仿宋" w:eastAsia="仿宋"/>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日，南津镇共有车辆0辆。</w:t>
      </w:r>
    </w:p>
    <w:p>
      <w:pPr>
        <w:numPr>
          <w:ilvl w:val="0"/>
          <w:numId w:val="6"/>
        </w:numPr>
        <w:spacing w:line="600" w:lineRule="exact"/>
        <w:ind w:firstLine="663" w:firstLineChars="150"/>
        <w:jc w:val="center"/>
        <w:outlineLvl w:val="0"/>
        <w:rPr>
          <w:rStyle w:val="25"/>
          <w:rFonts w:ascii="黑体" w:hAnsi="黑体" w:eastAsia="黑体"/>
          <w:b w:val="0"/>
        </w:rPr>
      </w:pPr>
      <w:bookmarkStart w:id="54" w:name="_Toc17103565"/>
      <w:bookmarkStart w:id="55"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4"/>
      <w:bookmarkEnd w:id="55"/>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一般公共服务支出（类）人大事务（款）人大会议（项）：指各级人大召开人民代表大会等专门会议的支出。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 一般公共服务支出（类）政府办公厅（室）及相关机构事务（款）行政运行（项）：指行政事业单位（包括实行公务员管理的事业单位）的基本支出。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 一般公共服务支出（类）政府办公厅（室）及相关机构事务（款）其他政府办公厅（室）及相关机构事务（项）：指除上述项目以外的其他政府办公厅（室）及相关机构事务支出。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 一般公共服务支出（类）发展与改革事务（款）行政运行（项）：指行政单位（包括实行公务员管理的事业单位）的基本支出。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 一般公共服务支出（类）财政事务（款）行政运行（项）：指行政单位（包括实行公务员管理的事业单位）的基本支出。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 一般公共服务支出（类）党委办公厅（室）及相关机构事务（款）行政运行（项）：指行政单位（包括实行公务员管理的事业单位）的基本支出。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 文化旅游体育与传媒支出（类）文化和旅游（款）群众文化（项）：指群众文化方面的支出，包括基层文化馆（站）、群众艺术馆支出等。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 文化旅游体育与传媒支出（类）文化和旅游（款）其他文化旅游支出（项）:指除上述项目以外其他用于文化和旅游方面的支出。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社会保障和就业支出（类）民政管理事务（款）行政运行（项）：指指行政单位（包括实行公务员管理的事业单位）的基本支出。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 xml:space="preserve"> 社会保障和就业支出（类）行政事业单位离退休（款）未归口管理的行政单位离退休（项）：指未实行归口管理的</w:t>
      </w:r>
      <w:r>
        <w:rPr>
          <w:rFonts w:hint="eastAsia" w:ascii="仿宋_GB2312" w:eastAsia="仿宋_GB2312"/>
          <w:color w:val="000000"/>
          <w:sz w:val="32"/>
          <w:szCs w:val="32"/>
          <w:lang w:eastAsia="zh-CN"/>
        </w:rPr>
        <w:t>行政</w:t>
      </w:r>
      <w:bookmarkStart w:id="64" w:name="_GoBack"/>
      <w:bookmarkEnd w:id="64"/>
      <w:r>
        <w:rPr>
          <w:rFonts w:hint="eastAsia" w:ascii="仿宋_GB2312" w:eastAsia="仿宋_GB2312"/>
          <w:color w:val="000000"/>
          <w:sz w:val="32"/>
          <w:szCs w:val="32"/>
        </w:rPr>
        <w:t>单位（包括实行公务员管理的事业单位）开支的离退休支出。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 xml:space="preserve"> 社会保障和就业支出（类）行政事业单位离退休（款）机关事业单位基本养老保险缴费支出（项）：指机关事业单位实施养老保险制度由单位缴纳的基本养老保险费支出。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 社会保障和就业支出（类）特困人员救助供养（款）农村特困人员救助供养（项）：指农村特困人员救助供养支出。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 卫生健康支出（类）计划生育事务（款）计划生育机构（项）：指卫生健康部门所属计划生育机构的支出。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22. 卫生健康支出（类）行政事业单位医疗（款）行政单位医疗（项）：指财政部门安排的行政单位（包括实行公务员管理的事业单位，下同）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23. 卫生健康支出（类）行政事业单位医疗（款）事业单位医疗（项）：指财政部门安排的事业单位基本医疗保险缴费经费，未参加医疗保险的事业单位的公费医疗经费，按国家规定享受离休人员待遇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24.节能环保支出（类）自然生态保护（款）农村环境保护（项）：指用于农村环境保护方面的支出。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25. 城乡社区支出（类）城乡社区规划与管理（款）城乡社区规划与管理（项）：指城乡社区、防灾减灾、历史名城规划制定与管理等方面的支出。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26. 城乡社区支出（类）城乡社区环境卫生（款）城乡社区环境卫生（项）：指城乡社区道路清扫、垃圾清运处理、公厕建立与维护、园林绿化等方面的支出。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27</w:t>
      </w:r>
      <w:r>
        <w:rPr>
          <w:rFonts w:ascii="仿宋_GB2312" w:eastAsia="仿宋_GB2312"/>
          <w:color w:val="000000"/>
          <w:sz w:val="32"/>
          <w:szCs w:val="32"/>
        </w:rPr>
        <w:t>.</w:t>
      </w:r>
      <w:r>
        <w:rPr>
          <w:rFonts w:hint="eastAsia" w:ascii="仿宋_GB2312" w:eastAsia="仿宋_GB2312"/>
          <w:color w:val="000000"/>
          <w:sz w:val="32"/>
          <w:szCs w:val="32"/>
        </w:rPr>
        <w:t>农林水支出（类）农业（款）事业运行（项）：指用于农业事业单位基本支出，事业单位设施、系统运行与资产维护等方面的支出。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28</w:t>
      </w:r>
      <w:r>
        <w:rPr>
          <w:rFonts w:ascii="仿宋_GB2312" w:eastAsia="仿宋_GB2312"/>
          <w:color w:val="000000"/>
          <w:sz w:val="32"/>
          <w:szCs w:val="32"/>
        </w:rPr>
        <w:t>.</w:t>
      </w:r>
      <w:r>
        <w:rPr>
          <w:rFonts w:hint="eastAsia" w:ascii="仿宋_GB2312" w:eastAsia="仿宋_GB2312"/>
          <w:color w:val="000000"/>
          <w:sz w:val="32"/>
          <w:szCs w:val="32"/>
        </w:rPr>
        <w:t xml:space="preserve"> 农林水支出（类）农业（款）其他农业支出（项）：指其他用于农业方面的支出。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29</w:t>
      </w:r>
      <w:r>
        <w:rPr>
          <w:rFonts w:ascii="仿宋_GB2312" w:eastAsia="仿宋_GB2312"/>
          <w:color w:val="000000"/>
          <w:sz w:val="32"/>
          <w:szCs w:val="32"/>
        </w:rPr>
        <w:t>.</w:t>
      </w:r>
      <w:r>
        <w:rPr>
          <w:rFonts w:hint="eastAsia" w:ascii="仿宋_GB2312" w:eastAsia="仿宋_GB2312"/>
          <w:color w:val="000000"/>
          <w:sz w:val="32"/>
          <w:szCs w:val="32"/>
        </w:rPr>
        <w:t xml:space="preserve"> 农林水支出（类）扶贫（款）其他扶贫支出（项）：指其他用于扶贫方面的支出。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30</w:t>
      </w:r>
      <w:r>
        <w:rPr>
          <w:rFonts w:ascii="仿宋_GB2312" w:eastAsia="仿宋_GB2312"/>
          <w:color w:val="000000"/>
          <w:sz w:val="32"/>
          <w:szCs w:val="32"/>
        </w:rPr>
        <w:t>.</w:t>
      </w:r>
      <w:r>
        <w:rPr>
          <w:rFonts w:hint="eastAsia" w:ascii="仿宋_GB2312" w:eastAsia="仿宋_GB2312"/>
          <w:color w:val="000000"/>
          <w:sz w:val="32"/>
          <w:szCs w:val="32"/>
        </w:rPr>
        <w:t>农林水支出（类）农村综合改革（款）对村民委员会和村党支部的补助（项）：指各级财政对村民委员会和村党支部的补助支出，以及支持建立县级基本财力保障机制安排的村级组织运转奖补资金。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31</w:t>
      </w:r>
      <w:r>
        <w:rPr>
          <w:rFonts w:ascii="仿宋_GB2312" w:eastAsia="仿宋_GB2312"/>
          <w:color w:val="000000"/>
          <w:sz w:val="32"/>
          <w:szCs w:val="32"/>
        </w:rPr>
        <w:t>.</w:t>
      </w:r>
      <w:r>
        <w:rPr>
          <w:rFonts w:hint="eastAsia" w:ascii="仿宋_GB2312" w:eastAsia="仿宋_GB2312"/>
          <w:color w:val="000000"/>
          <w:sz w:val="32"/>
          <w:szCs w:val="32"/>
        </w:rPr>
        <w:t xml:space="preserve"> 农林水支出（类）农村综合改革（款）对村集体经济组织的补助（项）：指农村税费改革后对村集体经济组织的补助支出。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32</w:t>
      </w:r>
      <w:r>
        <w:rPr>
          <w:rFonts w:ascii="仿宋_GB2312" w:eastAsia="仿宋_GB2312"/>
          <w:color w:val="000000"/>
          <w:sz w:val="32"/>
          <w:szCs w:val="32"/>
        </w:rPr>
        <w:t>.</w:t>
      </w:r>
      <w:r>
        <w:rPr>
          <w:rFonts w:hint="eastAsia" w:ascii="仿宋_GB2312" w:eastAsia="仿宋_GB2312"/>
          <w:color w:val="000000"/>
          <w:sz w:val="32"/>
          <w:szCs w:val="32"/>
        </w:rPr>
        <w:t>交通运输支出（类）水路公路运输（款）其他水路公路运输支出（项）：指其他用于水路公路运输方面的支出。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33</w:t>
      </w:r>
      <w:r>
        <w:rPr>
          <w:rFonts w:ascii="仿宋_GB2312" w:eastAsia="仿宋_GB2312"/>
          <w:color w:val="000000"/>
          <w:sz w:val="32"/>
          <w:szCs w:val="32"/>
        </w:rPr>
        <w:t>.</w:t>
      </w:r>
      <w:r>
        <w:rPr>
          <w:rFonts w:hint="eastAsia" w:ascii="仿宋_GB2312"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6" w:name="_Toc17103570"/>
      <w:bookmarkStart w:id="57" w:name="_Toc15377226"/>
    </w:p>
    <w:p>
      <w:pPr>
        <w:spacing w:line="600" w:lineRule="exact"/>
        <w:jc w:val="center"/>
        <w:outlineLvl w:val="0"/>
        <w:rPr>
          <w:rStyle w:val="25"/>
          <w:rFonts w:ascii="黑体" w:hAnsi="黑体" w:eastAsia="黑体"/>
          <w:b w:val="0"/>
        </w:rPr>
      </w:pPr>
      <w:bookmarkStart w:id="58" w:name="_Toc17103566"/>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7103567"/>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7103568"/>
      <w:bookmarkStart w:id="61" w:name="_Toc15396616"/>
      <w:r>
        <w:rPr>
          <w:rFonts w:hint="eastAsia" w:ascii="黑体" w:hAnsi="黑体" w:eastAsia="黑体" w:cs="方正小标宋简体"/>
          <w:sz w:val="36"/>
          <w:szCs w:val="36"/>
        </w:rPr>
        <w:t>南津镇人民政府2019年部门整体支出绩效评价报告</w:t>
      </w:r>
      <w:bookmarkEnd w:id="60"/>
      <w:bookmarkEnd w:id="61"/>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一、单位概况</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宋体" w:hAnsi="宋体"/>
          <w:color w:val="000000"/>
          <w:sz w:val="32"/>
          <w:szCs w:val="32"/>
        </w:rPr>
        <w:t>南津镇人民政府有行政事业单位机构2个，共有财政供养人</w:t>
      </w:r>
      <w:r>
        <w:rPr>
          <w:rFonts w:hint="eastAsia" w:ascii="宋体" w:hAnsi="宋体"/>
          <w:sz w:val="32"/>
          <w:szCs w:val="32"/>
        </w:rPr>
        <w:t>员63人</w:t>
      </w:r>
      <w:r>
        <w:rPr>
          <w:rFonts w:hint="eastAsia" w:ascii="宋体" w:hAnsi="宋体"/>
          <w:color w:val="000000"/>
          <w:sz w:val="32"/>
          <w:szCs w:val="32"/>
        </w:rPr>
        <w:t>。其中：在职63人，行政在编人员41人、事业在编人员22人</w:t>
      </w:r>
      <w:r>
        <w:rPr>
          <w:rFonts w:ascii="仿宋" w:hAnsi="仿宋" w:eastAsia="仿宋" w:cs="仿宋_GB2312"/>
          <w:sz w:val="32"/>
          <w:szCs w:val="32"/>
        </w:rPr>
        <w:t>。</w:t>
      </w:r>
      <w:r>
        <w:rPr>
          <w:rFonts w:hint="eastAsia" w:ascii="仿宋" w:hAnsi="仿宋" w:eastAsia="仿宋"/>
          <w:bCs/>
          <w:color w:val="000000"/>
          <w:sz w:val="32"/>
          <w:szCs w:val="32"/>
        </w:rPr>
        <w:t>政府的主要职能是为南津的群众服好务，带领南津群众致富奔小康，为各项事业的发展服好务。</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二、财政资金收支情况</w:t>
      </w:r>
    </w:p>
    <w:p>
      <w:pPr>
        <w:spacing w:line="600" w:lineRule="exact"/>
        <w:ind w:firstLine="640" w:firstLineChars="200"/>
        <w:outlineLvl w:val="1"/>
        <w:rPr>
          <w:rFonts w:ascii="仿宋" w:hAnsi="仿宋" w:eastAsia="仿宋"/>
          <w:color w:val="000000"/>
          <w:sz w:val="32"/>
          <w:szCs w:val="32"/>
        </w:rPr>
      </w:pPr>
      <w:r>
        <w:rPr>
          <w:rFonts w:ascii="仿宋" w:hAnsi="仿宋" w:eastAsia="仿宋" w:cs="仿宋_GB2312"/>
          <w:sz w:val="32"/>
          <w:szCs w:val="32"/>
        </w:rPr>
        <w:t>（一）</w:t>
      </w:r>
      <w:r>
        <w:rPr>
          <w:rFonts w:ascii="仿宋" w:hAnsi="仿宋" w:eastAsia="仿宋"/>
          <w:color w:val="000000"/>
          <w:sz w:val="32"/>
          <w:szCs w:val="32"/>
        </w:rPr>
        <w:t>2019</w:t>
      </w:r>
      <w:r>
        <w:rPr>
          <w:rFonts w:hint="eastAsia" w:ascii="仿宋" w:hAnsi="仿宋" w:eastAsia="仿宋"/>
          <w:color w:val="000000"/>
          <w:sz w:val="32"/>
          <w:szCs w:val="32"/>
        </w:rPr>
        <w:t>年本年收入合计2180万元，其中：一般公共预算财政拨款收入2180万元，占100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rPr>
        <w:t>（二）</w:t>
      </w:r>
      <w:r>
        <w:rPr>
          <w:rFonts w:ascii="仿宋" w:hAnsi="仿宋" w:eastAsia="仿宋"/>
          <w:color w:val="000000"/>
          <w:sz w:val="32"/>
          <w:szCs w:val="32"/>
        </w:rPr>
        <w:t>2019</w:t>
      </w:r>
      <w:r>
        <w:rPr>
          <w:rFonts w:hint="eastAsia" w:ascii="仿宋" w:hAnsi="仿宋" w:eastAsia="仿宋"/>
          <w:color w:val="000000"/>
          <w:sz w:val="32"/>
          <w:szCs w:val="32"/>
        </w:rPr>
        <w:t>年本年支出合计2180万元，其中：基本支出1302万元，占59.72</w:t>
      </w:r>
      <w:r>
        <w:rPr>
          <w:rFonts w:ascii="仿宋" w:hAnsi="仿宋" w:eastAsia="仿宋"/>
          <w:color w:val="000000"/>
          <w:sz w:val="32"/>
          <w:szCs w:val="32"/>
        </w:rPr>
        <w:t>%</w:t>
      </w:r>
      <w:r>
        <w:rPr>
          <w:rFonts w:hint="eastAsia" w:ascii="仿宋" w:hAnsi="仿宋" w:eastAsia="仿宋"/>
          <w:color w:val="000000"/>
          <w:sz w:val="32"/>
          <w:szCs w:val="32"/>
        </w:rPr>
        <w:t>；项目支出878万元，占40.28</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pStyle w:val="12"/>
        <w:shd w:val="clear" w:color="auto" w:fill="FFFFFF"/>
        <w:spacing w:before="93" w:beforeAutospacing="0" w:after="0" w:afterAutospacing="0" w:line="560" w:lineRule="atLeast"/>
        <w:ind w:firstLine="640"/>
        <w:jc w:val="both"/>
        <w:rPr>
          <w:rFonts w:ascii="微软雅黑" w:hAnsi="微软雅黑" w:eastAsia="微软雅黑"/>
          <w:color w:val="333333"/>
          <w:sz w:val="22"/>
          <w:szCs w:val="22"/>
        </w:rPr>
      </w:pPr>
      <w:r>
        <w:rPr>
          <w:rFonts w:hint="eastAsia" w:ascii="仿宋_GB2312" w:hAnsi="微软雅黑" w:eastAsia="仿宋_GB2312"/>
          <w:color w:val="333333"/>
          <w:sz w:val="32"/>
          <w:szCs w:val="32"/>
        </w:rPr>
        <w:t>2019年，本单位认真做好年度财政资金的预算编制工作，在资金使用和管理方面，进一步强化资金统筹，优化资金结构，明确开支范围，细化资金用途，确保我镇职责任务顺利完成。全年基本支出保证了我镇的正常运行和日常工作的正常开展，达到预期绩效目标。</w:t>
      </w:r>
    </w:p>
    <w:p>
      <w:pPr>
        <w:pStyle w:val="12"/>
        <w:shd w:val="clear" w:color="auto" w:fill="FFFFFF"/>
        <w:spacing w:before="93" w:beforeAutospacing="0" w:after="0" w:afterAutospacing="0" w:line="560" w:lineRule="atLeast"/>
        <w:ind w:firstLine="64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（二）存在问题</w:t>
      </w:r>
    </w:p>
    <w:p>
      <w:pPr>
        <w:pStyle w:val="12"/>
        <w:shd w:val="clear" w:color="auto" w:fill="FFFFFF"/>
        <w:spacing w:before="93" w:beforeAutospacing="0" w:after="0" w:afterAutospacing="0" w:line="560" w:lineRule="atLeast"/>
        <w:ind w:firstLine="640"/>
        <w:jc w:val="both"/>
        <w:rPr>
          <w:rFonts w:ascii="微软雅黑" w:hAnsi="微软雅黑" w:eastAsia="微软雅黑"/>
          <w:color w:val="333333"/>
          <w:sz w:val="22"/>
          <w:szCs w:val="22"/>
        </w:rPr>
      </w:pPr>
      <w:r>
        <w:rPr>
          <w:rFonts w:hint="eastAsia" w:ascii="仿宋_GB2312" w:hAnsi="微软雅黑" w:eastAsia="仿宋_GB2312"/>
          <w:color w:val="333333"/>
          <w:sz w:val="32"/>
          <w:szCs w:val="32"/>
        </w:rPr>
        <w:t>1. 绩效目标设立不够明确、细化和量化。项目单位虽然设立了项目资金绩效目标，但目标不够明确、细化和量化。</w:t>
      </w:r>
    </w:p>
    <w:p>
      <w:pPr>
        <w:pStyle w:val="12"/>
        <w:shd w:val="clear" w:color="auto" w:fill="FFFFFF"/>
        <w:spacing w:before="0" w:beforeAutospacing="0" w:after="0" w:afterAutospacing="0" w:line="560" w:lineRule="atLeast"/>
        <w:ind w:firstLine="640"/>
        <w:jc w:val="both"/>
        <w:rPr>
          <w:rFonts w:ascii="微软雅黑" w:hAnsi="微软雅黑" w:eastAsia="微软雅黑"/>
          <w:color w:val="333333"/>
          <w:sz w:val="22"/>
          <w:szCs w:val="22"/>
        </w:rPr>
      </w:pPr>
      <w:r>
        <w:rPr>
          <w:rFonts w:hint="eastAsia" w:ascii="仿宋_GB2312" w:hAnsi="微软雅黑" w:eastAsia="仿宋_GB2312"/>
          <w:color w:val="333333"/>
          <w:sz w:val="32"/>
          <w:szCs w:val="32"/>
        </w:rPr>
        <w:t>2. 资金使用效益有待进一步提高。</w:t>
      </w:r>
    </w:p>
    <w:p>
      <w:pPr>
        <w:pStyle w:val="12"/>
        <w:shd w:val="clear" w:color="auto" w:fill="FFFFFF"/>
        <w:spacing w:before="0" w:beforeAutospacing="0" w:after="0" w:afterAutospacing="0" w:line="560" w:lineRule="atLeast"/>
        <w:ind w:firstLine="640"/>
        <w:rPr>
          <w:rFonts w:ascii="微软雅黑" w:hAnsi="微软雅黑" w:eastAsia="微软雅黑"/>
          <w:color w:val="333333"/>
          <w:sz w:val="22"/>
          <w:szCs w:val="22"/>
        </w:rPr>
      </w:pPr>
      <w:r>
        <w:rPr>
          <w:rFonts w:hint="eastAsia" w:ascii="仿宋_GB2312" w:hAnsi="微软雅黑" w:eastAsia="仿宋_GB2312"/>
          <w:color w:val="333333"/>
          <w:sz w:val="32"/>
          <w:szCs w:val="32"/>
        </w:rPr>
        <w:t>（三）改进建议</w:t>
      </w:r>
    </w:p>
    <w:p>
      <w:pPr>
        <w:pStyle w:val="12"/>
        <w:shd w:val="clear" w:color="auto" w:fill="FFFFFF"/>
        <w:spacing w:before="0" w:beforeAutospacing="0" w:after="0" w:afterAutospacing="0" w:line="560" w:lineRule="atLeast"/>
        <w:ind w:firstLine="640"/>
        <w:jc w:val="both"/>
        <w:rPr>
          <w:rFonts w:ascii="微软雅黑" w:hAnsi="微软雅黑" w:eastAsia="微软雅黑"/>
          <w:color w:val="333333"/>
          <w:sz w:val="22"/>
          <w:szCs w:val="22"/>
        </w:rPr>
      </w:pPr>
      <w:r>
        <w:rPr>
          <w:rFonts w:hint="eastAsia" w:ascii="微软雅黑" w:hAnsi="微软雅黑" w:eastAsia="微软雅黑"/>
          <w:color w:val="333333"/>
          <w:sz w:val="22"/>
          <w:szCs w:val="22"/>
        </w:rPr>
        <w:t> </w:t>
      </w:r>
      <w:r>
        <w:rPr>
          <w:rFonts w:hint="eastAsia" w:ascii="仿宋_GB2312" w:hAnsi="微软雅黑" w:eastAsia="仿宋_GB2312"/>
          <w:color w:val="333333"/>
          <w:sz w:val="32"/>
          <w:szCs w:val="32"/>
        </w:rPr>
        <w:t>1.加强单位预算编制工作，根据人员情况、业务开展需要，逐项做出预算计划，预算合理、不留缺口、不留空项。</w:t>
      </w:r>
    </w:p>
    <w:p>
      <w:pPr>
        <w:pStyle w:val="12"/>
        <w:shd w:val="clear" w:color="auto" w:fill="FFFFFF"/>
        <w:spacing w:before="0" w:beforeAutospacing="0" w:after="0" w:afterAutospacing="0" w:line="560" w:lineRule="atLeast"/>
        <w:ind w:firstLine="640"/>
        <w:jc w:val="both"/>
        <w:rPr>
          <w:rFonts w:ascii="微软雅黑" w:hAnsi="微软雅黑" w:eastAsia="微软雅黑"/>
          <w:color w:val="333333"/>
          <w:sz w:val="22"/>
          <w:szCs w:val="22"/>
        </w:rPr>
      </w:pPr>
      <w:r>
        <w:rPr>
          <w:rFonts w:hint="eastAsia" w:ascii="仿宋_GB2312" w:hAnsi="微软雅黑" w:eastAsia="仿宋_GB2312"/>
          <w:color w:val="333333"/>
          <w:sz w:val="32"/>
          <w:szCs w:val="32"/>
        </w:rPr>
        <w:t>2.加强业务培训，提高评价水平。部门整体绩效评价工作是一项长期性的工作，专业性强，工作量大，建议进一步加强开展部门领导及经办人员相关的政策、业务工作培训，组织开展部门之间、单位之间的经验交流，切实推进绩效评价工作的开展。</w:t>
      </w:r>
    </w:p>
    <w:p>
      <w:pPr>
        <w:pStyle w:val="12"/>
        <w:shd w:val="clear" w:color="auto" w:fill="FFFFFF"/>
        <w:spacing w:before="93" w:beforeAutospacing="0" w:after="0" w:afterAutospacing="0" w:line="560" w:lineRule="atLeast"/>
        <w:ind w:firstLine="640"/>
        <w:jc w:val="both"/>
        <w:rPr>
          <w:rFonts w:ascii="微软雅黑" w:hAnsi="微软雅黑" w:eastAsia="微软雅黑"/>
          <w:color w:val="333333"/>
          <w:sz w:val="22"/>
          <w:szCs w:val="22"/>
        </w:rPr>
      </w:pPr>
      <w:r>
        <w:rPr>
          <w:rFonts w:hint="eastAsia" w:ascii="仿宋_GB2312" w:hAnsi="微软雅黑" w:eastAsia="仿宋_GB2312"/>
          <w:color w:val="333333"/>
          <w:sz w:val="32"/>
          <w:szCs w:val="32"/>
        </w:rPr>
        <w:t>3.预算财务分析常态化，定期做好预算支出财务分析，做好部门整体支出预算评价工作。</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Fonts w:ascii="仿宋" w:hAnsi="仿宋" w:eastAsia="仿宋"/>
          <w:b w:val="0"/>
          <w:bCs w:val="0"/>
          <w:kern w:val="44"/>
        </w:rPr>
      </w:pPr>
      <w:bookmarkStart w:id="62" w:name="_Toc17103569"/>
      <w:r>
        <w:rPr>
          <w:rStyle w:val="25"/>
          <w:rFonts w:hint="eastAsia" w:ascii="仿宋" w:hAnsi="仿宋" w:eastAsia="仿宋"/>
          <w:b w:val="0"/>
          <w:bCs w:val="0"/>
          <w:sz w:val="32"/>
          <w:szCs w:val="32"/>
        </w:rPr>
        <w:t>附件2</w:t>
      </w:r>
      <w:bookmarkEnd w:id="62"/>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2019年村干部养老保险项目支出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color w:val="FF0000"/>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1.项目资金到位情况分析。</w:t>
      </w:r>
      <w:r>
        <w:rPr>
          <w:rFonts w:ascii="仿宋" w:hAnsi="仿宋" w:eastAsia="仿宋" w:cs="仿宋_GB2312"/>
          <w:sz w:val="32"/>
          <w:szCs w:val="32"/>
        </w:rPr>
        <w:br w:type="textWrapping"/>
      </w:r>
      <w:r>
        <w:rPr>
          <w:rFonts w:hint="eastAsia" w:ascii="仿宋" w:hAnsi="仿宋" w:eastAsia="仿宋" w:cs="仿宋_GB2312"/>
          <w:sz w:val="32"/>
          <w:szCs w:val="32"/>
        </w:rPr>
        <w:t xml:space="preserve">    2019</w:t>
      </w:r>
      <w:r>
        <w:rPr>
          <w:rFonts w:ascii="仿宋" w:hAnsi="仿宋" w:eastAsia="仿宋" w:cs="仿宋_GB2312"/>
          <w:sz w:val="32"/>
          <w:szCs w:val="32"/>
        </w:rPr>
        <w:t>年村干部养老保险补助项目资金根据</w:t>
      </w:r>
      <w:r>
        <w:rPr>
          <w:rFonts w:hint="eastAsia" w:ascii="仿宋" w:hAnsi="仿宋" w:eastAsia="仿宋" w:cs="仿宋_GB2312"/>
          <w:sz w:val="32"/>
          <w:szCs w:val="32"/>
        </w:rPr>
        <w:t>相关文件进行预算</w:t>
      </w:r>
      <w:r>
        <w:rPr>
          <w:rFonts w:ascii="仿宋" w:hAnsi="仿宋" w:eastAsia="仿宋" w:cs="仿宋_GB2312"/>
          <w:sz w:val="32"/>
          <w:szCs w:val="32"/>
        </w:rPr>
        <w:t>，实际拨付到位</w:t>
      </w:r>
      <w:r>
        <w:rPr>
          <w:rFonts w:hint="eastAsia" w:ascii="仿宋" w:hAnsi="仿宋" w:eastAsia="仿宋" w:cs="仿宋_GB2312"/>
          <w:sz w:val="32"/>
          <w:szCs w:val="32"/>
        </w:rPr>
        <w:t>58</w:t>
      </w:r>
      <w:r>
        <w:rPr>
          <w:rFonts w:ascii="仿宋" w:hAnsi="仿宋" w:eastAsia="仿宋" w:cs="仿宋_GB2312"/>
          <w:sz w:val="32"/>
          <w:szCs w:val="32"/>
        </w:rPr>
        <w:t>万元。</w:t>
      </w:r>
      <w:r>
        <w:rPr>
          <w:rFonts w:ascii="仿宋" w:hAnsi="仿宋" w:eastAsia="仿宋" w:cs="仿宋_GB2312"/>
          <w:sz w:val="32"/>
          <w:szCs w:val="32"/>
        </w:rPr>
        <w:br w:type="textWrapping"/>
      </w:r>
      <w:r>
        <w:rPr>
          <w:rFonts w:hint="eastAsia" w:ascii="仿宋" w:hAnsi="仿宋" w:eastAsia="仿宋" w:cs="仿宋_GB2312"/>
          <w:sz w:val="32"/>
          <w:szCs w:val="32"/>
        </w:rPr>
        <w:t xml:space="preserve">    </w:t>
      </w:r>
      <w:r>
        <w:rPr>
          <w:rFonts w:ascii="仿宋" w:hAnsi="仿宋" w:eastAsia="仿宋" w:cs="仿宋_GB2312"/>
          <w:sz w:val="32"/>
          <w:szCs w:val="32"/>
        </w:rPr>
        <w:t>2.项目资金执行情况分析。</w:t>
      </w:r>
      <w:r>
        <w:rPr>
          <w:rFonts w:ascii="仿宋" w:hAnsi="仿宋" w:eastAsia="仿宋" w:cs="仿宋_GB2312"/>
          <w:sz w:val="32"/>
          <w:szCs w:val="32"/>
        </w:rPr>
        <w:br w:type="textWrapping"/>
      </w:r>
      <w:r>
        <w:rPr>
          <w:rFonts w:hint="eastAsia" w:ascii="仿宋" w:hAnsi="仿宋" w:eastAsia="仿宋" w:cs="仿宋_GB2312"/>
          <w:sz w:val="32"/>
          <w:szCs w:val="32"/>
        </w:rPr>
        <w:t xml:space="preserve">    2019年</w:t>
      </w:r>
      <w:r>
        <w:rPr>
          <w:rFonts w:ascii="仿宋" w:hAnsi="仿宋" w:eastAsia="仿宋" w:cs="仿宋_GB2312"/>
          <w:sz w:val="32"/>
          <w:szCs w:val="32"/>
        </w:rPr>
        <w:t>村干部养老保险补助项目资金预算</w:t>
      </w:r>
      <w:r>
        <w:rPr>
          <w:rFonts w:hint="eastAsia" w:ascii="仿宋" w:hAnsi="仿宋" w:eastAsia="仿宋" w:cs="仿宋_GB2312"/>
          <w:sz w:val="32"/>
          <w:szCs w:val="32"/>
        </w:rPr>
        <w:t>58</w:t>
      </w:r>
      <w:r>
        <w:rPr>
          <w:rFonts w:ascii="仿宋" w:hAnsi="仿宋" w:eastAsia="仿宋" w:cs="仿宋_GB2312"/>
          <w:sz w:val="32"/>
          <w:szCs w:val="32"/>
        </w:rPr>
        <w:t>万元，实际支出</w:t>
      </w:r>
      <w:r>
        <w:rPr>
          <w:rFonts w:hint="eastAsia" w:ascii="仿宋" w:hAnsi="仿宋" w:eastAsia="仿宋" w:cs="仿宋_GB2312"/>
          <w:sz w:val="32"/>
          <w:szCs w:val="32"/>
        </w:rPr>
        <w:t>58</w:t>
      </w:r>
      <w:r>
        <w:rPr>
          <w:rFonts w:ascii="仿宋" w:hAnsi="仿宋" w:eastAsia="仿宋" w:cs="仿宋_GB2312"/>
          <w:sz w:val="32"/>
          <w:szCs w:val="32"/>
        </w:rPr>
        <w:t>万元，预算执行率100%。</w:t>
      </w:r>
      <w:r>
        <w:rPr>
          <w:rFonts w:ascii="仿宋" w:hAnsi="仿宋" w:eastAsia="仿宋" w:cs="仿宋_GB2312"/>
          <w:sz w:val="32"/>
          <w:szCs w:val="32"/>
        </w:rPr>
        <w:br w:type="textWrapping"/>
      </w:r>
      <w:r>
        <w:rPr>
          <w:rFonts w:hint="eastAsia" w:ascii="仿宋" w:hAnsi="仿宋" w:eastAsia="仿宋" w:cs="仿宋_GB2312"/>
          <w:sz w:val="32"/>
          <w:szCs w:val="32"/>
        </w:rPr>
        <w:t xml:space="preserve">    </w:t>
      </w:r>
      <w:r>
        <w:rPr>
          <w:rFonts w:ascii="仿宋" w:hAnsi="仿宋" w:eastAsia="仿宋" w:cs="仿宋_GB2312"/>
          <w:sz w:val="32"/>
          <w:szCs w:val="32"/>
        </w:rPr>
        <w:t>3.项目资金管理情况分析。</w:t>
      </w:r>
      <w:r>
        <w:rPr>
          <w:rFonts w:ascii="仿宋" w:hAnsi="仿宋" w:eastAsia="仿宋" w:cs="仿宋_GB2312"/>
          <w:sz w:val="32"/>
          <w:szCs w:val="32"/>
        </w:rPr>
        <w:br w:type="textWrapping"/>
      </w:r>
      <w:r>
        <w:rPr>
          <w:rFonts w:hint="eastAsia" w:ascii="仿宋" w:hAnsi="仿宋" w:eastAsia="仿宋" w:cs="仿宋_GB2312"/>
          <w:sz w:val="32"/>
          <w:szCs w:val="32"/>
        </w:rPr>
        <w:t xml:space="preserve">    2019</w:t>
      </w:r>
      <w:r>
        <w:rPr>
          <w:rFonts w:ascii="仿宋" w:hAnsi="仿宋" w:eastAsia="仿宋" w:cs="仿宋_GB2312"/>
          <w:sz w:val="32"/>
          <w:szCs w:val="32"/>
        </w:rPr>
        <w:t>年村干部养老保险补助项目资金根据预算资金用途，从保障民生出发，按照社保基金管理要求，严格项目资金支出审批程序，杜绝挤占挪用等违规违纪案件发生。</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项目资金均按时足额发放到位，提高了农村基层干部的生活待遇，调动了广大基层干部工作的积极性，充分发挥好其在社会主义新农村建设中的引领作用。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村干部是新农村建设的重要力量，具体承担着发展农村经济、带领农民致富、落实惠农政策、规划建设农村公益事业等重要职责,根据中央省市区要求，农村基层组织建设只能加强不能削弱。强化基层组织建设包括很多方面,而村干部养老保险则是村干部激励保障机制的一个重要内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资金按时足额发放到村干部手中。</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村干部养老保险补贴项目资金均按时拨付到位，并按程序按时上卡直发</w:t>
      </w:r>
      <w:r>
        <w:rPr>
          <w:rFonts w:ascii="仿宋" w:hAnsi="仿宋" w:eastAsia="仿宋" w:cs="仿宋_GB2312"/>
          <w:sz w:val="32"/>
          <w:szCs w:val="32"/>
        </w:rPr>
        <w:t>，</w:t>
      </w:r>
      <w:r>
        <w:rPr>
          <w:rFonts w:hint="eastAsia" w:ascii="仿宋" w:hAnsi="仿宋" w:eastAsia="仿宋" w:cs="仿宋_GB2312"/>
          <w:color w:val="000000" w:themeColor="text1"/>
          <w:sz w:val="32"/>
          <w:szCs w:val="32"/>
        </w:rPr>
        <w:t>提高了农村干部待遇，增强农村干部岗位的吸引力，增强基层党组织的凝聚力和</w:t>
      </w:r>
      <w:r>
        <w:rPr>
          <w:rFonts w:hint="eastAsia" w:ascii="仿宋" w:hAnsi="仿宋" w:eastAsia="仿宋" w:cs="仿宋_GB2312"/>
          <w:sz w:val="32"/>
          <w:szCs w:val="32"/>
        </w:rPr>
        <w:t>战斗力，稳定村干部队伍，激发他们工作的主动性、积极性。</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保障在职村干部养老保险从根本上来说解决不了村干部待遇低的问题，部分村干部以村干部工资和务农收入为家庭主要收入来源，村干部养老保险对于部分村干部来说也是杯水车薪，治标不治本。</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firstLine="640" w:firstLineChars="200"/>
        <w:rPr>
          <w:rStyle w:val="25"/>
          <w:rFonts w:ascii="仿宋" w:hAnsi="仿宋" w:eastAsia="仿宋" w:cs="仿宋_GB2312"/>
          <w:b w:val="0"/>
          <w:bCs w:val="0"/>
          <w:kern w:val="2"/>
          <w:sz w:val="32"/>
          <w:szCs w:val="32"/>
        </w:rPr>
      </w:pPr>
      <w:r>
        <w:rPr>
          <w:rStyle w:val="25"/>
          <w:rFonts w:hint="eastAsia" w:ascii="仿宋" w:hAnsi="仿宋" w:eastAsia="仿宋" w:cs="仿宋_GB2312"/>
          <w:b w:val="0"/>
          <w:bCs w:val="0"/>
          <w:kern w:val="2"/>
          <w:sz w:val="32"/>
          <w:szCs w:val="32"/>
        </w:rPr>
        <w:t>要加快发展农村经济，壮大村级经济实力。要进一步发展农村经济，壮大村级经济实力，提高村干部的工作待遇，从根本上缓解广大村干部个人缴纳养老保险费的经济压力。</w:t>
      </w:r>
    </w:p>
    <w:p>
      <w:pPr>
        <w:spacing w:line="580" w:lineRule="exact"/>
        <w:rPr>
          <w:rStyle w:val="25"/>
          <w:rFonts w:ascii="仿宋" w:hAnsi="仿宋" w:eastAsia="仿宋" w:cs="仿宋_GB2312"/>
          <w:b w:val="0"/>
          <w:bCs w:val="0"/>
          <w:kern w:val="2"/>
          <w:sz w:val="32"/>
          <w:szCs w:val="32"/>
        </w:rPr>
      </w:pPr>
    </w:p>
    <w:p>
      <w:pPr>
        <w:spacing w:line="580" w:lineRule="exact"/>
        <w:rPr>
          <w:rStyle w:val="25"/>
          <w:rFonts w:ascii="仿宋" w:hAnsi="仿宋" w:eastAsia="仿宋" w:cs="仿宋_GB2312"/>
          <w:b w:val="0"/>
          <w:bCs w:val="0"/>
          <w:kern w:val="2"/>
          <w:sz w:val="32"/>
          <w:szCs w:val="32"/>
        </w:rPr>
      </w:pPr>
    </w:p>
    <w:p>
      <w:pPr>
        <w:spacing w:line="580" w:lineRule="exact"/>
        <w:rPr>
          <w:rStyle w:val="25"/>
          <w:rFonts w:ascii="仿宋" w:hAnsi="仿宋" w:eastAsia="仿宋" w:cs="仿宋_GB2312"/>
          <w:b w:val="0"/>
          <w:bCs w:val="0"/>
          <w:kern w:val="2"/>
          <w:sz w:val="32"/>
          <w:szCs w:val="32"/>
        </w:rPr>
      </w:pPr>
    </w:p>
    <w:p>
      <w:pPr>
        <w:spacing w:line="580" w:lineRule="exact"/>
        <w:rPr>
          <w:rStyle w:val="25"/>
          <w:rFonts w:ascii="仿宋" w:hAnsi="仿宋" w:eastAsia="仿宋" w:cs="仿宋_GB2312"/>
          <w:b w:val="0"/>
          <w:bCs w:val="0"/>
          <w:kern w:val="2"/>
          <w:sz w:val="32"/>
          <w:szCs w:val="32"/>
        </w:rPr>
      </w:pPr>
    </w:p>
    <w:p>
      <w:pPr>
        <w:spacing w:line="580" w:lineRule="exact"/>
        <w:rPr>
          <w:rStyle w:val="25"/>
          <w:rFonts w:ascii="仿宋" w:hAnsi="仿宋" w:eastAsia="仿宋" w:cs="仿宋_GB2312"/>
          <w:b w:val="0"/>
          <w:bCs w:val="0"/>
          <w:kern w:val="2"/>
          <w:sz w:val="32"/>
          <w:szCs w:val="32"/>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p>
    <w:p>
      <w:pPr>
        <w:pStyle w:val="3"/>
        <w:rPr>
          <w:rFonts w:ascii="仿宋" w:hAnsi="仿宋" w:eastAsia="仿宋"/>
          <w:color w:val="000000"/>
        </w:rPr>
      </w:pPr>
      <w:bookmarkStart w:id="63" w:name="_Toc17103571"/>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3"/>
        <w:rPr>
          <w:rFonts w:ascii="仿宋" w:hAnsi="仿宋" w:eastAsia="仿宋"/>
          <w:color w:val="000000"/>
        </w:rPr>
      </w:pPr>
      <w:r>
        <w:rPr>
          <w:rFonts w:hint="eastAsia" w:ascii="仿宋" w:hAnsi="仿宋" w:eastAsia="仿宋"/>
          <w:b w:val="0"/>
          <w:color w:val="000000"/>
        </w:rPr>
        <w:t>二、收</w:t>
      </w:r>
      <w:r>
        <w:rPr>
          <w:rStyle w:val="26"/>
          <w:rFonts w:hint="eastAsia" w:ascii="仿宋" w:hAnsi="仿宋" w:eastAsia="仿宋"/>
          <w:b w:val="0"/>
          <w:bCs w:val="0"/>
        </w:rPr>
        <w:t>入决算表</w:t>
      </w:r>
    </w:p>
    <w:p>
      <w:pPr>
        <w:pStyle w:val="3"/>
        <w:rPr>
          <w:rFonts w:ascii="仿宋" w:hAnsi="仿宋" w:eastAsia="仿宋"/>
          <w:color w:val="000000"/>
        </w:rPr>
      </w:pPr>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p>
    <w:p>
      <w:pPr>
        <w:pStyle w:val="3"/>
        <w:rPr>
          <w:rFonts w:ascii="仿宋" w:hAnsi="仿宋" w:eastAsia="仿宋"/>
          <w:b w:val="0"/>
          <w:color w:val="000000"/>
        </w:rPr>
      </w:pPr>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p>
    <w:p>
      <w:pPr>
        <w:pStyle w:val="3"/>
        <w:rPr>
          <w:rFonts w:ascii="仿宋" w:hAnsi="仿宋" w:eastAsia="仿宋"/>
          <w:color w:val="000000"/>
        </w:rPr>
      </w:pPr>
      <w:r>
        <w:rPr>
          <w:rStyle w:val="26"/>
          <w:rFonts w:hint="eastAsia" w:ascii="仿宋" w:hAnsi="仿宋" w:eastAsia="仿宋"/>
          <w:b w:val="0"/>
          <w:bCs w:val="0"/>
        </w:rPr>
        <w:t>五、</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p>
    <w:p>
      <w:pPr>
        <w:pStyle w:val="3"/>
        <w:rPr>
          <w:rFonts w:ascii="仿宋" w:hAnsi="仿宋" w:eastAsia="仿宋"/>
          <w:color w:val="000000"/>
        </w:rPr>
      </w:pPr>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p>
    <w:p>
      <w:pPr>
        <w:pStyle w:val="3"/>
        <w:rPr>
          <w:rStyle w:val="26"/>
          <w:rFonts w:ascii="仿宋" w:hAnsi="仿宋" w:eastAsia="仿宋"/>
          <w:b w:val="0"/>
          <w:bCs w:val="0"/>
        </w:rPr>
      </w:pPr>
      <w:r>
        <w:rPr>
          <w:rStyle w:val="26"/>
          <w:rFonts w:hint="eastAsia" w:ascii="仿宋" w:hAnsi="仿宋" w:eastAsia="仿宋"/>
          <w:b w:val="0"/>
          <w:bCs w:val="0"/>
        </w:rPr>
        <w:t>八、</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56"/>
      <w:bookmarkEnd w:id="57"/>
    </w:p>
    <w:p/>
    <w:p/>
    <w:p/>
    <w:p/>
    <w:p/>
    <w:p/>
    <w:p/>
    <w:p/>
    <w:p/>
    <w:p/>
    <w:p/>
    <w:p/>
    <w:p/>
    <w:p/>
    <w:p/>
    <w:p/>
    <w:p/>
    <w:p/>
    <w:tbl>
      <w:tblPr>
        <w:tblStyle w:val="13"/>
        <w:tblW w:w="10921" w:type="dxa"/>
        <w:tblInd w:w="-318" w:type="dxa"/>
        <w:tblLayout w:type="autofit"/>
        <w:tblCellMar>
          <w:top w:w="0" w:type="dxa"/>
          <w:left w:w="108" w:type="dxa"/>
          <w:bottom w:w="0" w:type="dxa"/>
          <w:right w:w="108" w:type="dxa"/>
        </w:tblCellMar>
      </w:tblPr>
      <w:tblGrid>
        <w:gridCol w:w="4044"/>
        <w:gridCol w:w="509"/>
        <w:gridCol w:w="236"/>
        <w:gridCol w:w="5052"/>
        <w:gridCol w:w="464"/>
        <w:gridCol w:w="616"/>
      </w:tblGrid>
      <w:tr>
        <w:tblPrEx>
          <w:tblCellMar>
            <w:top w:w="0" w:type="dxa"/>
            <w:left w:w="108" w:type="dxa"/>
            <w:bottom w:w="0" w:type="dxa"/>
            <w:right w:w="108" w:type="dxa"/>
          </w:tblCellMar>
        </w:tblPrEx>
        <w:trPr>
          <w:trHeight w:val="384" w:hRule="atLeast"/>
        </w:trPr>
        <w:tc>
          <w:tcPr>
            <w:tcW w:w="404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0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noWrap/>
            <w:vAlign w:val="bottom"/>
          </w:tcPr>
          <w:p>
            <w:pPr>
              <w:widowControl/>
              <w:rPr>
                <w:rFonts w:ascii="宋体" w:hAnsi="宋体" w:cs="Arial"/>
                <w:color w:val="000000"/>
                <w:kern w:val="0"/>
                <w:sz w:val="30"/>
                <w:szCs w:val="30"/>
              </w:rPr>
            </w:pPr>
          </w:p>
        </w:tc>
        <w:tc>
          <w:tcPr>
            <w:tcW w:w="505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6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bl>
    <w:p>
      <w:r>
        <w:object>
          <v:shape id="_x0000_i1025" o:spt="75" type="#_x0000_t75" style="height:532.8pt;width:430.8pt;" o:ole="t" filled="f" o:preferrelative="t" stroked="f" coordsize="21600,21600">
            <v:path/>
            <v:fill on="f" focussize="0,0"/>
            <v:stroke on="f" joinstyle="miter"/>
            <v:imagedata r:id="rId6" o:title=""/>
            <o:lock v:ext="edit" aspectratio="t"/>
            <w10:wrap type="none"/>
            <w10:anchorlock/>
          </v:shape>
          <o:OLEObject Type="Embed" ProgID="Office12.Excel.Template" ShapeID="_x0000_i1025" DrawAspect="Content" ObjectID="_1468075725" r:id="rId5">
            <o:LockedField>false</o:LockedField>
          </o:OLEObject>
        </w:object>
      </w:r>
    </w:p>
    <w:p/>
    <w:p/>
    <w:p/>
    <w:p/>
    <w:p/>
    <w:p/>
    <w:p/>
    <w:p/>
    <w:p>
      <w:r>
        <w:object>
          <v:shape id="_x0000_i1026" o:spt="75" type="#_x0000_t75" style="height:1117.2pt;width:417.6pt;" o:ole="t" filled="f" o:preferrelative="t" stroked="f" coordsize="21600,21600">
            <v:path/>
            <v:fill on="f" focussize="0,0"/>
            <v:stroke on="f" joinstyle="miter"/>
            <v:imagedata r:id="rId8" o:title=""/>
            <o:lock v:ext="edit" aspectratio="t"/>
            <w10:wrap type="none"/>
            <w10:anchorlock/>
          </v:shape>
          <o:OLEObject Type="Embed" ProgID="Office12.Excel.Template" ShapeID="_x0000_i1026" DrawAspect="Content" ObjectID="_1468075726" r:id="rId7">
            <o:LockedField>false</o:LockedField>
          </o:OLEObject>
        </w:object>
      </w:r>
      <w:r>
        <w:object>
          <v:shape id="_x0000_i1027" o:spt="75" type="#_x0000_t75" style="height:538.8pt;width:413.4pt;" o:ole="t" filled="f" o:preferrelative="t" stroked="f" coordsize="21600,21600">
            <v:path/>
            <v:fill on="f" focussize="0,0"/>
            <v:stroke on="f" joinstyle="miter"/>
            <v:imagedata r:id="rId10" o:title=""/>
            <o:lock v:ext="edit" aspectratio="t"/>
            <w10:wrap type="none"/>
            <w10:anchorlock/>
          </v:shape>
          <o:OLEObject Type="Embed" ProgID="Office12.Excel.Template" ShapeID="_x0000_i1027" DrawAspect="Content" ObjectID="_1468075727" r:id="rId9">
            <o:LockedField>false</o:LockedField>
          </o:OLEObject>
        </w:object>
      </w:r>
    </w:p>
    <w:p/>
    <w:p/>
    <w:p/>
    <w:p/>
    <w:p/>
    <w:p/>
    <w:p/>
    <w:p/>
    <w:p/>
    <w:p>
      <w:r>
        <w:object>
          <v:shape id="_x0000_i1028" o:spt="75" type="#_x0000_t75" style="height:697.8pt;width:389.4pt;" o:ole="t" filled="f" o:preferrelative="t" stroked="f" coordsize="21600,21600">
            <v:path/>
            <v:fill on="f" focussize="0,0"/>
            <v:stroke on="f" joinstyle="miter"/>
            <v:imagedata r:id="rId12" o:title=""/>
            <o:lock v:ext="edit" aspectratio="t"/>
            <w10:wrap type="none"/>
            <w10:anchorlock/>
          </v:shape>
          <o:OLEObject Type="Embed" ProgID="Office12.Excel.Template" ShapeID="_x0000_i1028" DrawAspect="Content" ObjectID="_1468075728" r:id="rId11">
            <o:LockedField>false</o:LockedField>
          </o:OLEObject>
        </w:object>
      </w:r>
    </w:p>
    <w:p/>
    <w:p>
      <w:r>
        <w:object>
          <v:shape id="_x0000_i1029" o:spt="75" type="#_x0000_t75" style="height:523.8pt;width:406.2pt;" o:ole="t" filled="f" o:preferrelative="t" stroked="f" coordsize="21600,21600">
            <v:path/>
            <v:fill on="f" focussize="0,0"/>
            <v:stroke on="f" joinstyle="miter"/>
            <v:imagedata r:id="rId14" o:title=""/>
            <o:lock v:ext="edit" aspectratio="t"/>
            <w10:wrap type="none"/>
            <w10:anchorlock/>
          </v:shape>
          <o:OLEObject Type="Embed" ProgID="Office12.Excel.Template" ShapeID="_x0000_i1029" DrawAspect="Content" ObjectID="_1468075729" r:id="rId13">
            <o:LockedField>false</o:LockedField>
          </o:OLEObject>
        </w:object>
      </w:r>
    </w:p>
    <w:p/>
    <w:p/>
    <w:p/>
    <w:p/>
    <w:p/>
    <w:p/>
    <w:p/>
    <w:p/>
    <w:p/>
    <w:p>
      <w:r>
        <w:object>
          <v:shape id="_x0000_i1030" o:spt="75" type="#_x0000_t75" style="height:553.8pt;width:426pt;" o:ole="t" filled="f" o:preferrelative="t" stroked="f" coordsize="21600,21600">
            <v:path/>
            <v:fill on="f" focussize="0,0"/>
            <v:stroke on="f" joinstyle="miter"/>
            <v:imagedata r:id="rId16" o:title=""/>
            <o:lock v:ext="edit" aspectratio="t"/>
            <w10:wrap type="none"/>
            <w10:anchorlock/>
          </v:shape>
          <o:OLEObject Type="Embed" ProgID="Office12.Excel.Template" ShapeID="_x0000_i1030" DrawAspect="Content" ObjectID="_1468075730" r:id="rId15">
            <o:LockedField>false</o:LockedField>
          </o:OLEObject>
        </w:object>
      </w:r>
    </w:p>
    <w:p/>
    <w:p/>
    <w:p/>
    <w:p/>
    <w:p/>
    <w:p/>
    <w:p/>
    <w:p>
      <w:r>
        <w:object>
          <v:shape id="_x0000_i1031" o:spt="75" type="#_x0000_t75" style="height:702pt;width:399.6pt;" o:ole="t" filled="f" o:preferrelative="t" stroked="f" coordsize="21600,21600">
            <v:path/>
            <v:fill on="f" focussize="0,0"/>
            <v:stroke on="f" joinstyle="miter"/>
            <v:imagedata r:id="rId18" o:title=""/>
            <o:lock v:ext="edit" aspectratio="t"/>
            <w10:wrap type="none"/>
            <w10:anchorlock/>
          </v:shape>
          <o:OLEObject Type="Embed" ProgID="Office12.Excel.Template" ShapeID="_x0000_i1031" DrawAspect="Content" ObjectID="_1468075731" r:id="rId17">
            <o:LockedField>false</o:LockedField>
          </o:OLEObject>
        </w:object>
      </w:r>
    </w:p>
    <w:p>
      <w:r>
        <w:object>
          <v:shape id="_x0000_i1032" o:spt="75" type="#_x0000_t75" style="height:538.8pt;width:395.4pt;" o:ole="t" filled="f" o:preferrelative="t" stroked="f" coordsize="21600,21600">
            <v:path/>
            <v:fill on="f" focussize="0,0"/>
            <v:stroke on="f" joinstyle="miter"/>
            <v:imagedata r:id="rId20" o:title=""/>
            <o:lock v:ext="edit" aspectratio="t"/>
            <w10:wrap type="none"/>
            <w10:anchorlock/>
          </v:shape>
          <o:OLEObject Type="Embed" ProgID="Office12.Excel.Template" ShapeID="_x0000_i1032" DrawAspect="Content" ObjectID="_1468075732" r:id="rId19">
            <o:LockedField>false</o:LockedField>
          </o:OLEObject>
        </w:object>
      </w:r>
    </w:p>
    <w:p/>
    <w:p/>
    <w:p/>
    <w:p/>
    <w:p/>
    <w:p/>
    <w:p/>
    <w:p/>
    <w:p/>
    <w:p>
      <w:r>
        <w:object>
          <v:shape id="_x0000_i1033" o:spt="75" type="#_x0000_t75" style="height:539.4pt;width:408pt;" o:ole="t" filled="f" o:preferrelative="t" stroked="f" coordsize="21600,21600">
            <v:path/>
            <v:fill on="f" focussize="0,0"/>
            <v:stroke on="f" joinstyle="miter"/>
            <v:imagedata r:id="rId22" o:title=""/>
            <o:lock v:ext="edit" aspectratio="t"/>
            <w10:wrap type="none"/>
            <w10:anchorlock/>
          </v:shape>
          <o:OLEObject Type="Embed" ProgID="Office12.Excel.Template" ShapeID="_x0000_i1033" DrawAspect="Content" ObjectID="_1468075733" r:id="rId21">
            <o:LockedField>false</o:LockedField>
          </o:OLEObject>
        </w:object>
      </w:r>
    </w:p>
    <w:p/>
    <w:p/>
    <w:p/>
    <w:p/>
    <w:p/>
    <w:p/>
    <w:p/>
    <w:p/>
    <w:p/>
    <w:p>
      <w:r>
        <w:object>
          <v:shape id="_x0000_i1034" o:spt="75" type="#_x0000_t75" style="height:175.2pt;width:406.2pt;" o:ole="t" filled="f" o:preferrelative="t" stroked="f" coordsize="21600,21600">
            <v:path/>
            <v:fill on="f" focussize="0,0"/>
            <v:stroke on="f" joinstyle="miter"/>
            <v:imagedata r:id="rId24" o:title=""/>
            <o:lock v:ext="edit" aspectratio="t"/>
            <w10:wrap type="none"/>
            <w10:anchorlock/>
          </v:shape>
          <o:OLEObject Type="Embed" ProgID="Office12.Excel.Template" ShapeID="_x0000_i1034" DrawAspect="Content" ObjectID="_1468075734" r:id="rId23">
            <o:LockedField>false</o:LockedField>
          </o:OLEObject>
        </w:object>
      </w:r>
    </w:p>
    <w:p/>
    <w:p/>
    <w:p/>
    <w:p/>
    <w:p/>
    <w:p/>
    <w:p/>
    <w:p/>
    <w:p/>
    <w:p/>
    <w:p/>
    <w:p/>
    <w:p/>
    <w:p/>
    <w:p/>
    <w:p/>
    <w:p/>
    <w:p/>
    <w:p/>
    <w:p/>
    <w:p/>
    <w:p/>
    <w:p/>
    <w:p/>
    <w:p/>
    <w:p/>
    <w:p/>
    <w:p/>
    <w:p/>
    <w:p/>
    <w:p/>
    <w:p/>
    <w:p>
      <w:r>
        <w:object>
          <v:shape id="_x0000_i1035" o:spt="75" type="#_x0000_t75" style="height:241.2pt;width:411.6pt;" o:ole="t" filled="f" o:preferrelative="t" stroked="f" coordsize="21600,21600">
            <v:path/>
            <v:fill on="f" focussize="0,0"/>
            <v:stroke on="f" joinstyle="miter"/>
            <v:imagedata r:id="rId26" o:title=""/>
            <o:lock v:ext="edit" aspectratio="t"/>
            <w10:wrap type="none"/>
            <w10:anchorlock/>
          </v:shape>
          <o:OLEObject Type="Embed" ProgID="Office12.Excel.Template" ShapeID="_x0000_i1035" DrawAspect="Content" ObjectID="_1468075735" r:id="rId25">
            <o:LockedField>false</o:LockedField>
          </o:OLEObject>
        </w:object>
      </w:r>
    </w:p>
    <w:p/>
    <w:p/>
    <w:p/>
    <w:p/>
    <w:p/>
    <w:p/>
    <w:p/>
    <w:p/>
    <w:p/>
    <w:p/>
    <w:p/>
    <w:p/>
    <w:p/>
    <w:p/>
    <w:p/>
    <w:p>
      <w:pPr>
        <w:jc w:val="center"/>
      </w:pPr>
    </w:p>
    <w:sectPr>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60E8"/>
    <w:rsid w:val="000222C6"/>
    <w:rsid w:val="0002549F"/>
    <w:rsid w:val="0003385C"/>
    <w:rsid w:val="00046DB1"/>
    <w:rsid w:val="00061B2E"/>
    <w:rsid w:val="0006487A"/>
    <w:rsid w:val="00065F8F"/>
    <w:rsid w:val="0007144E"/>
    <w:rsid w:val="000768F2"/>
    <w:rsid w:val="0009184B"/>
    <w:rsid w:val="0009593C"/>
    <w:rsid w:val="000B047F"/>
    <w:rsid w:val="000B5923"/>
    <w:rsid w:val="000B5A48"/>
    <w:rsid w:val="000B6FF3"/>
    <w:rsid w:val="000C3467"/>
    <w:rsid w:val="000C3CA6"/>
    <w:rsid w:val="000D1267"/>
    <w:rsid w:val="000D167F"/>
    <w:rsid w:val="000D1D50"/>
    <w:rsid w:val="000D5782"/>
    <w:rsid w:val="000E03AC"/>
    <w:rsid w:val="000E153D"/>
    <w:rsid w:val="000E6613"/>
    <w:rsid w:val="000E7119"/>
    <w:rsid w:val="001003AA"/>
    <w:rsid w:val="00105055"/>
    <w:rsid w:val="00114E9B"/>
    <w:rsid w:val="00126ABF"/>
    <w:rsid w:val="0014729F"/>
    <w:rsid w:val="00152D65"/>
    <w:rsid w:val="00157BAB"/>
    <w:rsid w:val="001654D1"/>
    <w:rsid w:val="00167548"/>
    <w:rsid w:val="00175FC9"/>
    <w:rsid w:val="00177FEF"/>
    <w:rsid w:val="0018106D"/>
    <w:rsid w:val="001877A7"/>
    <w:rsid w:val="00191536"/>
    <w:rsid w:val="00196687"/>
    <w:rsid w:val="001A7127"/>
    <w:rsid w:val="001C0962"/>
    <w:rsid w:val="001D7531"/>
    <w:rsid w:val="001E737D"/>
    <w:rsid w:val="001F0336"/>
    <w:rsid w:val="001F0592"/>
    <w:rsid w:val="001F7506"/>
    <w:rsid w:val="002006CD"/>
    <w:rsid w:val="00202B36"/>
    <w:rsid w:val="00204B7A"/>
    <w:rsid w:val="002076D1"/>
    <w:rsid w:val="0021010A"/>
    <w:rsid w:val="0021101A"/>
    <w:rsid w:val="00220536"/>
    <w:rsid w:val="00226D11"/>
    <w:rsid w:val="00235629"/>
    <w:rsid w:val="00260C38"/>
    <w:rsid w:val="002616C0"/>
    <w:rsid w:val="002662AA"/>
    <w:rsid w:val="00274A45"/>
    <w:rsid w:val="00280496"/>
    <w:rsid w:val="00295495"/>
    <w:rsid w:val="002A49F6"/>
    <w:rsid w:val="002B2613"/>
    <w:rsid w:val="002C4AFF"/>
    <w:rsid w:val="002C4E4C"/>
    <w:rsid w:val="002E47B1"/>
    <w:rsid w:val="002F1818"/>
    <w:rsid w:val="002F567B"/>
    <w:rsid w:val="003216A9"/>
    <w:rsid w:val="0037013F"/>
    <w:rsid w:val="00380C92"/>
    <w:rsid w:val="00395AFE"/>
    <w:rsid w:val="003A484F"/>
    <w:rsid w:val="003B0BE0"/>
    <w:rsid w:val="003B0C1B"/>
    <w:rsid w:val="003B19CB"/>
    <w:rsid w:val="003B688C"/>
    <w:rsid w:val="003C0291"/>
    <w:rsid w:val="003C39AE"/>
    <w:rsid w:val="003C7B60"/>
    <w:rsid w:val="003D1FB2"/>
    <w:rsid w:val="003D66DA"/>
    <w:rsid w:val="003E1310"/>
    <w:rsid w:val="003E6F55"/>
    <w:rsid w:val="003E7F17"/>
    <w:rsid w:val="003F08F0"/>
    <w:rsid w:val="00406254"/>
    <w:rsid w:val="004223DE"/>
    <w:rsid w:val="0043100C"/>
    <w:rsid w:val="00434489"/>
    <w:rsid w:val="00437085"/>
    <w:rsid w:val="00443880"/>
    <w:rsid w:val="004464F4"/>
    <w:rsid w:val="004522C3"/>
    <w:rsid w:val="00460E71"/>
    <w:rsid w:val="00471401"/>
    <w:rsid w:val="00473F31"/>
    <w:rsid w:val="0048263A"/>
    <w:rsid w:val="00487E5D"/>
    <w:rsid w:val="004A711F"/>
    <w:rsid w:val="004B199D"/>
    <w:rsid w:val="004B4690"/>
    <w:rsid w:val="004B5815"/>
    <w:rsid w:val="004D5D18"/>
    <w:rsid w:val="004E0A2D"/>
    <w:rsid w:val="004E206B"/>
    <w:rsid w:val="004E6DF7"/>
    <w:rsid w:val="004F0FBD"/>
    <w:rsid w:val="004F38DD"/>
    <w:rsid w:val="00505A47"/>
    <w:rsid w:val="005117CA"/>
    <w:rsid w:val="00512FDA"/>
    <w:rsid w:val="00520DA0"/>
    <w:rsid w:val="005664BB"/>
    <w:rsid w:val="0057481D"/>
    <w:rsid w:val="0058486E"/>
    <w:rsid w:val="005D1C8B"/>
    <w:rsid w:val="005D5CED"/>
    <w:rsid w:val="005E3C53"/>
    <w:rsid w:val="005E6A13"/>
    <w:rsid w:val="005F1A4C"/>
    <w:rsid w:val="005F6EEC"/>
    <w:rsid w:val="00605688"/>
    <w:rsid w:val="006058E5"/>
    <w:rsid w:val="006070AF"/>
    <w:rsid w:val="00607E6C"/>
    <w:rsid w:val="006101B1"/>
    <w:rsid w:val="00614E44"/>
    <w:rsid w:val="00622830"/>
    <w:rsid w:val="00630AEF"/>
    <w:rsid w:val="006325F8"/>
    <w:rsid w:val="00634C9A"/>
    <w:rsid w:val="00635242"/>
    <w:rsid w:val="006440E4"/>
    <w:rsid w:val="0066343B"/>
    <w:rsid w:val="00664777"/>
    <w:rsid w:val="006748A4"/>
    <w:rsid w:val="00683E73"/>
    <w:rsid w:val="006A3141"/>
    <w:rsid w:val="006A5E34"/>
    <w:rsid w:val="006B2422"/>
    <w:rsid w:val="006B2A97"/>
    <w:rsid w:val="006B2B9A"/>
    <w:rsid w:val="006C1937"/>
    <w:rsid w:val="006D2A89"/>
    <w:rsid w:val="006D5E89"/>
    <w:rsid w:val="006D7510"/>
    <w:rsid w:val="006E765A"/>
    <w:rsid w:val="006F0038"/>
    <w:rsid w:val="006F020C"/>
    <w:rsid w:val="006F5C4B"/>
    <w:rsid w:val="00702421"/>
    <w:rsid w:val="007127B7"/>
    <w:rsid w:val="00716C92"/>
    <w:rsid w:val="007416B6"/>
    <w:rsid w:val="00746F48"/>
    <w:rsid w:val="0075404D"/>
    <w:rsid w:val="0076182A"/>
    <w:rsid w:val="00767B7E"/>
    <w:rsid w:val="00771078"/>
    <w:rsid w:val="00773A7C"/>
    <w:rsid w:val="007770C3"/>
    <w:rsid w:val="00784D24"/>
    <w:rsid w:val="00785FBA"/>
    <w:rsid w:val="00786E4A"/>
    <w:rsid w:val="007875EB"/>
    <w:rsid w:val="0079426B"/>
    <w:rsid w:val="007D312A"/>
    <w:rsid w:val="007D3F19"/>
    <w:rsid w:val="007D43BF"/>
    <w:rsid w:val="007E1DE8"/>
    <w:rsid w:val="007E23B0"/>
    <w:rsid w:val="007E299F"/>
    <w:rsid w:val="007E6A10"/>
    <w:rsid w:val="007F0477"/>
    <w:rsid w:val="007F1991"/>
    <w:rsid w:val="007F2C2F"/>
    <w:rsid w:val="007F55FC"/>
    <w:rsid w:val="007F5665"/>
    <w:rsid w:val="00800112"/>
    <w:rsid w:val="00800D9C"/>
    <w:rsid w:val="00801DDE"/>
    <w:rsid w:val="008076A0"/>
    <w:rsid w:val="00824201"/>
    <w:rsid w:val="008253BB"/>
    <w:rsid w:val="0083706E"/>
    <w:rsid w:val="008423A5"/>
    <w:rsid w:val="008455BA"/>
    <w:rsid w:val="00850625"/>
    <w:rsid w:val="00851A00"/>
    <w:rsid w:val="00853718"/>
    <w:rsid w:val="00854F91"/>
    <w:rsid w:val="00855221"/>
    <w:rsid w:val="00860645"/>
    <w:rsid w:val="00871F71"/>
    <w:rsid w:val="00885AF4"/>
    <w:rsid w:val="008905C7"/>
    <w:rsid w:val="008939CD"/>
    <w:rsid w:val="008B5558"/>
    <w:rsid w:val="008B768C"/>
    <w:rsid w:val="008C4DB1"/>
    <w:rsid w:val="008C4EAF"/>
    <w:rsid w:val="008C5176"/>
    <w:rsid w:val="008C7FD0"/>
    <w:rsid w:val="008D4750"/>
    <w:rsid w:val="008D67EA"/>
    <w:rsid w:val="008E1DE7"/>
    <w:rsid w:val="008E707C"/>
    <w:rsid w:val="00900B08"/>
    <w:rsid w:val="00902155"/>
    <w:rsid w:val="00902FA3"/>
    <w:rsid w:val="00923564"/>
    <w:rsid w:val="0092392E"/>
    <w:rsid w:val="009315F9"/>
    <w:rsid w:val="00931E04"/>
    <w:rsid w:val="00945609"/>
    <w:rsid w:val="0094647B"/>
    <w:rsid w:val="00946945"/>
    <w:rsid w:val="00951248"/>
    <w:rsid w:val="0095152F"/>
    <w:rsid w:val="00954C49"/>
    <w:rsid w:val="00967139"/>
    <w:rsid w:val="0097099F"/>
    <w:rsid w:val="00971997"/>
    <w:rsid w:val="00971FFC"/>
    <w:rsid w:val="0098660A"/>
    <w:rsid w:val="00986B99"/>
    <w:rsid w:val="009931C3"/>
    <w:rsid w:val="009A40AC"/>
    <w:rsid w:val="009A43B7"/>
    <w:rsid w:val="009B2C43"/>
    <w:rsid w:val="009B4EAE"/>
    <w:rsid w:val="009B7573"/>
    <w:rsid w:val="009C22F4"/>
    <w:rsid w:val="009C2E98"/>
    <w:rsid w:val="009C4FBB"/>
    <w:rsid w:val="009D3447"/>
    <w:rsid w:val="009D4711"/>
    <w:rsid w:val="009E2D89"/>
    <w:rsid w:val="009E3924"/>
    <w:rsid w:val="009F1185"/>
    <w:rsid w:val="009F18CD"/>
    <w:rsid w:val="009F2A13"/>
    <w:rsid w:val="009F388C"/>
    <w:rsid w:val="00A04EB0"/>
    <w:rsid w:val="00A13CC1"/>
    <w:rsid w:val="00A13D5D"/>
    <w:rsid w:val="00A16847"/>
    <w:rsid w:val="00A237D8"/>
    <w:rsid w:val="00A24C3D"/>
    <w:rsid w:val="00A268C4"/>
    <w:rsid w:val="00A307CD"/>
    <w:rsid w:val="00A40A00"/>
    <w:rsid w:val="00A4142F"/>
    <w:rsid w:val="00A56DF2"/>
    <w:rsid w:val="00A57DB6"/>
    <w:rsid w:val="00A61AE1"/>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4E79"/>
    <w:rsid w:val="00B53C56"/>
    <w:rsid w:val="00B645A0"/>
    <w:rsid w:val="00B77EA6"/>
    <w:rsid w:val="00B81598"/>
    <w:rsid w:val="00B841F1"/>
    <w:rsid w:val="00B944D6"/>
    <w:rsid w:val="00B96797"/>
    <w:rsid w:val="00BB4DF0"/>
    <w:rsid w:val="00BC289F"/>
    <w:rsid w:val="00BC5361"/>
    <w:rsid w:val="00BC5460"/>
    <w:rsid w:val="00BC6B50"/>
    <w:rsid w:val="00BD0E25"/>
    <w:rsid w:val="00BF19AB"/>
    <w:rsid w:val="00BF5BD6"/>
    <w:rsid w:val="00BF7739"/>
    <w:rsid w:val="00C03E31"/>
    <w:rsid w:val="00C22A98"/>
    <w:rsid w:val="00C33E72"/>
    <w:rsid w:val="00C354B2"/>
    <w:rsid w:val="00C35554"/>
    <w:rsid w:val="00C42709"/>
    <w:rsid w:val="00C45873"/>
    <w:rsid w:val="00C533CC"/>
    <w:rsid w:val="00C5751C"/>
    <w:rsid w:val="00C61BFC"/>
    <w:rsid w:val="00C62B85"/>
    <w:rsid w:val="00C65438"/>
    <w:rsid w:val="00C91CBB"/>
    <w:rsid w:val="00C930C4"/>
    <w:rsid w:val="00CB7DE3"/>
    <w:rsid w:val="00CC09B6"/>
    <w:rsid w:val="00CC666F"/>
    <w:rsid w:val="00CD1E3F"/>
    <w:rsid w:val="00CE0A41"/>
    <w:rsid w:val="00CE44F6"/>
    <w:rsid w:val="00CE49DA"/>
    <w:rsid w:val="00CE7B61"/>
    <w:rsid w:val="00CF4E65"/>
    <w:rsid w:val="00D00095"/>
    <w:rsid w:val="00D06FFD"/>
    <w:rsid w:val="00D20620"/>
    <w:rsid w:val="00D26091"/>
    <w:rsid w:val="00D34E7C"/>
    <w:rsid w:val="00D35489"/>
    <w:rsid w:val="00D51276"/>
    <w:rsid w:val="00D7035F"/>
    <w:rsid w:val="00D76462"/>
    <w:rsid w:val="00DA65AC"/>
    <w:rsid w:val="00DB1913"/>
    <w:rsid w:val="00DB283C"/>
    <w:rsid w:val="00DC410D"/>
    <w:rsid w:val="00DC68CA"/>
    <w:rsid w:val="00DC7CBA"/>
    <w:rsid w:val="00DD73B7"/>
    <w:rsid w:val="00DF28BC"/>
    <w:rsid w:val="00DF34B9"/>
    <w:rsid w:val="00E01053"/>
    <w:rsid w:val="00E07ACF"/>
    <w:rsid w:val="00E2376B"/>
    <w:rsid w:val="00E331A1"/>
    <w:rsid w:val="00E33202"/>
    <w:rsid w:val="00E336A9"/>
    <w:rsid w:val="00E441FF"/>
    <w:rsid w:val="00E50624"/>
    <w:rsid w:val="00E568DF"/>
    <w:rsid w:val="00E64269"/>
    <w:rsid w:val="00E67036"/>
    <w:rsid w:val="00E82267"/>
    <w:rsid w:val="00E83CB2"/>
    <w:rsid w:val="00E857D3"/>
    <w:rsid w:val="00EA010F"/>
    <w:rsid w:val="00EB1BDB"/>
    <w:rsid w:val="00EB1E03"/>
    <w:rsid w:val="00ED1B63"/>
    <w:rsid w:val="00ED3C1F"/>
    <w:rsid w:val="00ED4085"/>
    <w:rsid w:val="00ED420E"/>
    <w:rsid w:val="00EE0360"/>
    <w:rsid w:val="00EE2F57"/>
    <w:rsid w:val="00EF4C34"/>
    <w:rsid w:val="00EF77C6"/>
    <w:rsid w:val="00F05438"/>
    <w:rsid w:val="00F10560"/>
    <w:rsid w:val="00F1361C"/>
    <w:rsid w:val="00F160C7"/>
    <w:rsid w:val="00F25F79"/>
    <w:rsid w:val="00F36D8F"/>
    <w:rsid w:val="00F417B1"/>
    <w:rsid w:val="00F43BA3"/>
    <w:rsid w:val="00F57E98"/>
    <w:rsid w:val="00F602DF"/>
    <w:rsid w:val="00F7561E"/>
    <w:rsid w:val="00F81FD9"/>
    <w:rsid w:val="00F841AA"/>
    <w:rsid w:val="00FA23E8"/>
    <w:rsid w:val="00FA46CA"/>
    <w:rsid w:val="00FB1848"/>
    <w:rsid w:val="00FD3CC1"/>
    <w:rsid w:val="00FE6090"/>
    <w:rsid w:val="00FF1E02"/>
    <w:rsid w:val="00FF30B4"/>
    <w:rsid w:val="10C055FF"/>
    <w:rsid w:val="16BB723D"/>
    <w:rsid w:val="240371BF"/>
    <w:rsid w:val="29FD04D3"/>
    <w:rsid w:val="319F7F4E"/>
    <w:rsid w:val="663B60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styleId="30">
    <w:name w:val="No Spacing"/>
    <w:link w:val="31"/>
    <w:qFormat/>
    <w:uiPriority w:val="1"/>
    <w:rPr>
      <w:rFonts w:asciiTheme="minorHAnsi" w:hAnsiTheme="minorHAnsi" w:eastAsiaTheme="minorEastAsia" w:cstheme="minorBidi"/>
      <w:sz w:val="22"/>
      <w:szCs w:val="22"/>
      <w:lang w:val="en-US" w:eastAsia="zh-CN" w:bidi="ar-SA"/>
    </w:rPr>
  </w:style>
  <w:style w:type="character" w:customStyle="1" w:styleId="31">
    <w:name w:val="无间隔 Char"/>
    <w:basedOn w:val="14"/>
    <w:link w:val="30"/>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chart" Target="charts/chart1.xml"/><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numbering" Target="numbering.xml"/><Relationship Id="rId26" Type="http://schemas.openxmlformats.org/officeDocument/2006/relationships/image" Target="media/image11.emf"/><Relationship Id="rId25" Type="http://schemas.openxmlformats.org/officeDocument/2006/relationships/oleObject" Target="embeddings/oleObject11.bin"/><Relationship Id="rId24" Type="http://schemas.openxmlformats.org/officeDocument/2006/relationships/image" Target="media/image10.emf"/><Relationship Id="rId23" Type="http://schemas.openxmlformats.org/officeDocument/2006/relationships/oleObject" Target="embeddings/oleObject10.bin"/><Relationship Id="rId22" Type="http://schemas.openxmlformats.org/officeDocument/2006/relationships/image" Target="media/image9.emf"/><Relationship Id="rId21" Type="http://schemas.openxmlformats.org/officeDocument/2006/relationships/oleObject" Target="embeddings/oleObject9.bin"/><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elete val="1"/>
          </c:dLbls>
          <c:cat>
            <c:strRef>
              <c:f>Sheet1!$A$2:$A$10</c:f>
              <c:strCache>
                <c:ptCount val="9"/>
                <c:pt idx="0">
                  <c:v>一般公共服务支出</c:v>
                </c:pt>
                <c:pt idx="1">
                  <c:v>文化体育与传媒支出</c:v>
                </c:pt>
                <c:pt idx="2">
                  <c:v>社会保障与就业支出</c:v>
                </c:pt>
                <c:pt idx="3">
                  <c:v>医疗卫生与计划生育支出</c:v>
                </c:pt>
                <c:pt idx="4">
                  <c:v>城乡社区支出</c:v>
                </c:pt>
                <c:pt idx="5">
                  <c:v>农林水支出</c:v>
                </c:pt>
                <c:pt idx="6">
                  <c:v>交通运输支出</c:v>
                </c:pt>
                <c:pt idx="7">
                  <c:v>自然资源海洋气象等支出</c:v>
                </c:pt>
                <c:pt idx="8">
                  <c:v>住房保障支出</c:v>
                </c:pt>
              </c:strCache>
            </c:strRef>
          </c:cat>
          <c:val>
            <c:numRef>
              <c:f>Sheet1!$B$2:$B$10</c:f>
              <c:numCache>
                <c:formatCode>General</c:formatCode>
                <c:ptCount val="9"/>
                <c:pt idx="0">
                  <c:v>497</c:v>
                </c:pt>
                <c:pt idx="1">
                  <c:v>62</c:v>
                </c:pt>
                <c:pt idx="2">
                  <c:v>165</c:v>
                </c:pt>
                <c:pt idx="3">
                  <c:v>86</c:v>
                </c:pt>
                <c:pt idx="4">
                  <c:v>554</c:v>
                </c:pt>
                <c:pt idx="5">
                  <c:v>701</c:v>
                </c:pt>
                <c:pt idx="6">
                  <c:v>40</c:v>
                </c:pt>
                <c:pt idx="7">
                  <c:v>6</c:v>
                </c:pt>
                <c:pt idx="8">
                  <c:v>69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FB01-933E-4EA8-A966-9F5E0E4932BC}">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32</Pages>
  <Words>1493</Words>
  <Characters>8515</Characters>
  <Lines>70</Lines>
  <Paragraphs>19</Paragraphs>
  <TotalTime>28</TotalTime>
  <ScaleCrop>false</ScaleCrop>
  <LinksUpToDate>false</LinksUpToDate>
  <CharactersWithSpaces>9989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2020-08-26T09:09:00Z</dcterms:created>
  <dc:creator>张彬茜</dc:creator>
  <cp:lastModifiedBy>Jade</cp:lastModifiedBy>
  <cp:lastPrinted>2020-08-26T07:51:00Z</cp:lastPrinted>
  <dcterms:modified xsi:type="dcterms:W3CDTF">2022-10-18T02:30:24Z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BC532228A36D469388FCE985B62990F3</vt:lpwstr>
  </property>
</Properties>
</file>