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280"/>
        <w:rPr>
          <w:rFonts w:hint="eastAsia" w:ascii="黑体" w:hAnsi="黑体" w:eastAsia="黑体" w:cs="黑体"/>
          <w:b w:val="0"/>
          <w:bCs w:val="0"/>
          <w:sz w:val="32"/>
          <w:szCs w:val="32"/>
        </w:rPr>
      </w:pPr>
      <w:r>
        <w:rPr>
          <w:rFonts w:hint="eastAsia" w:ascii="黑体" w:hAnsi="黑体" w:eastAsia="黑体" w:cs="黑体"/>
          <w:b w:val="0"/>
          <w:bCs w:val="0"/>
          <w:sz w:val="32"/>
          <w:szCs w:val="32"/>
        </w:rPr>
        <w:t>附件2</w:t>
      </w:r>
    </w:p>
    <w:p>
      <w:pPr>
        <w:spacing w:line="600" w:lineRule="exact"/>
        <w:ind w:firstLine="880" w:firstLineChars="200"/>
        <w:jc w:val="center"/>
        <w:rPr>
          <w:rFonts w:hint="eastAsia" w:ascii="黑体" w:hAnsi="黑体" w:eastAsia="黑体" w:cs="黑体"/>
          <w:b w:val="0"/>
          <w:bCs w:val="0"/>
          <w:sz w:val="44"/>
          <w:szCs w:val="44"/>
        </w:rPr>
      </w:pPr>
    </w:p>
    <w:p>
      <w:pPr>
        <w:spacing w:line="600" w:lineRule="exact"/>
        <w:ind w:firstLine="880" w:firstLineChars="200"/>
        <w:jc w:val="center"/>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rPr>
        <w:t>资阳市</w:t>
      </w:r>
      <w:r>
        <w:rPr>
          <w:rFonts w:hint="eastAsia" w:ascii="黑体" w:hAnsi="黑体" w:eastAsia="黑体" w:cs="黑体"/>
          <w:b w:val="0"/>
          <w:bCs w:val="0"/>
          <w:sz w:val="44"/>
          <w:szCs w:val="44"/>
          <w:lang w:eastAsia="zh-CN"/>
        </w:rPr>
        <w:t>雁江区丹山</w:t>
      </w:r>
      <w:r>
        <w:rPr>
          <w:rFonts w:hint="eastAsia" w:ascii="黑体" w:hAnsi="黑体" w:eastAsia="黑体" w:cs="黑体"/>
          <w:b w:val="0"/>
          <w:bCs w:val="0"/>
          <w:sz w:val="44"/>
          <w:szCs w:val="44"/>
        </w:rPr>
        <w:t>镇</w:t>
      </w:r>
      <w:r>
        <w:rPr>
          <w:rFonts w:hint="eastAsia" w:ascii="黑体" w:hAnsi="黑体" w:eastAsia="黑体" w:cs="黑体"/>
          <w:b w:val="0"/>
          <w:bCs w:val="0"/>
          <w:sz w:val="44"/>
          <w:szCs w:val="44"/>
          <w:lang w:eastAsia="zh-CN"/>
        </w:rPr>
        <w:t>人民政府</w:t>
      </w:r>
    </w:p>
    <w:p>
      <w:pPr>
        <w:spacing w:line="600" w:lineRule="exact"/>
        <w:ind w:firstLine="880" w:firstLineChars="200"/>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2022年单位预算编制说明</w:t>
      </w:r>
    </w:p>
    <w:p>
      <w:pPr>
        <w:spacing w:line="600" w:lineRule="exact"/>
        <w:ind w:firstLine="640" w:firstLineChars="200"/>
        <w:rPr>
          <w:rFonts w:hint="eastAsia" w:ascii="黑体" w:hAnsi="黑体" w:eastAsia="黑体" w:cs="黑体"/>
          <w:b w:val="0"/>
          <w:bCs w:val="0"/>
          <w:sz w:val="32"/>
          <w:szCs w:val="32"/>
        </w:rPr>
      </w:pP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一、基本职能及主要工作</w:t>
      </w:r>
    </w:p>
    <w:p>
      <w:pPr>
        <w:spacing w:line="600" w:lineRule="exact"/>
        <w:ind w:left="596" w:leftChars="284"/>
        <w:rPr>
          <w:rFonts w:hint="eastAsia" w:ascii="黑体" w:hAnsi="黑体" w:eastAsia="黑体" w:cs="黑体"/>
          <w:b w:val="0"/>
          <w:bCs w:val="0"/>
          <w:sz w:val="32"/>
          <w:szCs w:val="32"/>
        </w:rPr>
      </w:pPr>
      <w:r>
        <w:rPr>
          <w:rFonts w:hint="eastAsia" w:ascii="黑体" w:hAnsi="黑体" w:eastAsia="黑体" w:cs="黑体"/>
          <w:b w:val="0"/>
          <w:bCs w:val="0"/>
          <w:sz w:val="32"/>
          <w:szCs w:val="32"/>
        </w:rPr>
        <w:t>（一）职能简介</w:t>
      </w:r>
    </w:p>
    <w:p>
      <w:pPr>
        <w:keepNext w:val="0"/>
        <w:keepLines w:val="0"/>
        <w:pageBreakBefore w:val="0"/>
        <w:kinsoku/>
        <w:wordWrap w:val="0"/>
        <w:overflowPunct/>
        <w:topLinePunct w:val="0"/>
        <w:autoSpaceDE/>
        <w:autoSpaceDN/>
        <w:bidi w:val="0"/>
        <w:adjustRightInd/>
        <w:snapToGrid/>
        <w:spacing w:line="600" w:lineRule="exact"/>
        <w:ind w:firstLine="640" w:firstLineChars="200"/>
        <w:rPr>
          <w:rFonts w:hint="eastAsia" w:ascii="黑体" w:hAnsi="黑体" w:eastAsia="黑体" w:cs="黑体"/>
          <w:b w:val="0"/>
          <w:bCs w:val="0"/>
          <w:i w:val="0"/>
          <w:caps w:val="0"/>
          <w:color w:val="auto"/>
          <w:spacing w:val="0"/>
          <w:kern w:val="0"/>
          <w:sz w:val="32"/>
          <w:szCs w:val="32"/>
          <w:shd w:val="clear" w:color="auto" w:fill="FFFFFF"/>
          <w:lang w:val="en-US" w:eastAsia="zh-CN" w:bidi="ar"/>
        </w:rPr>
      </w:pPr>
      <w:r>
        <w:rPr>
          <w:rFonts w:hint="eastAsia" w:ascii="黑体" w:hAnsi="黑体" w:eastAsia="黑体" w:cs="黑体"/>
          <w:b w:val="0"/>
          <w:bCs w:val="0"/>
          <w:i w:val="0"/>
          <w:caps w:val="0"/>
          <w:color w:val="auto"/>
          <w:spacing w:val="0"/>
          <w:kern w:val="0"/>
          <w:sz w:val="32"/>
          <w:szCs w:val="32"/>
          <w:shd w:val="clear" w:color="auto" w:fill="FFFFFF"/>
          <w:lang w:val="en-US" w:eastAsia="zh-CN" w:bidi="ar"/>
        </w:rPr>
        <w:t>宣传贯彻和执行党和国家的方针政策和法律法规；执行本镇人民代表大会的决议和上级行政机关的决定和命令；组织制定全镇经济和社会发展的中长期规划，搞好经济发展的总体布局和产业布局，组织和领导经济建设，发展农村经济，制定并组织实施全镇社会主义新农村建设的规划和措施；制定和组织实施村镇建设规划，加强公共设施的建设和管理，发展各项服务事业，不断推进新农村、新集镇建设；指导组织村（居）民委员会工作；承办区委、区政府及其工作部门、镇党委交办的其它事项。 </w:t>
      </w:r>
    </w:p>
    <w:p>
      <w:pPr>
        <w:spacing w:line="600" w:lineRule="exact"/>
        <w:ind w:firstLine="614" w:firstLineChars="192"/>
        <w:rPr>
          <w:rFonts w:hint="eastAsia" w:ascii="黑体" w:hAnsi="黑体" w:eastAsia="黑体" w:cs="黑体"/>
          <w:b w:val="0"/>
          <w:bCs w:val="0"/>
          <w:sz w:val="32"/>
          <w:szCs w:val="32"/>
        </w:rPr>
      </w:pPr>
      <w:r>
        <w:rPr>
          <w:rFonts w:hint="eastAsia" w:ascii="黑体" w:hAnsi="黑体" w:eastAsia="黑体" w:cs="黑体"/>
          <w:b w:val="0"/>
          <w:bCs w:val="0"/>
          <w:sz w:val="32"/>
          <w:szCs w:val="32"/>
        </w:rPr>
        <w:t>（二）2022年重点工作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auto"/>
          <w:spacing w:val="0"/>
          <w:kern w:val="0"/>
          <w:sz w:val="32"/>
          <w:szCs w:val="32"/>
          <w:shd w:val="clear" w:color="auto" w:fill="FFFFFF"/>
          <w:lang w:val="en-US" w:eastAsia="zh-CN" w:bidi="ar"/>
        </w:rPr>
      </w:pPr>
      <w:r>
        <w:rPr>
          <w:rFonts w:hint="eastAsia" w:ascii="黑体" w:hAnsi="黑体" w:eastAsia="黑体" w:cs="黑体"/>
          <w:b w:val="0"/>
          <w:bCs w:val="0"/>
          <w:i w:val="0"/>
          <w:caps w:val="0"/>
          <w:color w:val="auto"/>
          <w:spacing w:val="0"/>
          <w:kern w:val="0"/>
          <w:sz w:val="32"/>
          <w:szCs w:val="32"/>
          <w:shd w:val="clear" w:color="auto" w:fill="FFFFFF"/>
          <w:lang w:val="en-US" w:eastAsia="zh-CN" w:bidi="ar"/>
        </w:rPr>
        <w:t>2022年丹山镇人民政府工作的基本思路是：全面深入贯彻落实党的各项精神，坚持以习近平新时代中国特色社会主义思想为指导，认真贯彻执行中央、省委、市委、区委的决策部署，坚持把加快发展作为第一要务，优化财政支出结构，强化财政监管，加强国有资产管理，推动实现稳增长、调结构、惠民生、防风险的宏观调控目标，积极推进农村集体经济产业发展，以建设稻虾产业园区为中心，同步发展各类乡村产业发展，以建设“农业强镇、产业兴镇”为发展路径，推动经济高质量发展、打好精准脱贫攻坚战、实施乡村振兴战略、保障和改善民生、加强党的政治建设，加强农村基层组织建设、民主政治建设和精神文明建设，提高农村社会管理能力，建设文明和谐新农村。</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二、收支预算情况说明</w:t>
      </w:r>
    </w:p>
    <w:p>
      <w:pPr>
        <w:spacing w:line="600" w:lineRule="exact"/>
        <w:ind w:firstLine="614" w:firstLineChars="192"/>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按照综合预算的原则，资阳市雁江区</w:t>
      </w:r>
      <w:r>
        <w:rPr>
          <w:rFonts w:hint="eastAsia" w:ascii="黑体" w:hAnsi="黑体" w:eastAsia="黑体" w:cs="黑体"/>
          <w:b w:val="0"/>
          <w:bCs w:val="0"/>
          <w:color w:val="000000" w:themeColor="text1"/>
          <w:sz w:val="32"/>
          <w:szCs w:val="32"/>
          <w:lang w:eastAsia="zh-CN"/>
          <w14:textFill>
            <w14:solidFill>
              <w14:schemeClr w14:val="tx1"/>
            </w14:solidFill>
          </w14:textFill>
        </w:rPr>
        <w:t>丹山镇人民政府</w:t>
      </w:r>
      <w:r>
        <w:rPr>
          <w:rFonts w:hint="eastAsia" w:ascii="黑体" w:hAnsi="黑体" w:eastAsia="黑体" w:cs="黑体"/>
          <w:b w:val="0"/>
          <w:bCs w:val="0"/>
          <w:color w:val="000000" w:themeColor="text1"/>
          <w:sz w:val="32"/>
          <w:szCs w:val="32"/>
          <w14:textFill>
            <w14:solidFill>
              <w14:schemeClr w14:val="tx1"/>
            </w14:solidFill>
          </w14:textFill>
        </w:rPr>
        <w:t>所有收入和支出均纳入部门预算管理。收入包括：一般公共预算拨款收入；支出包括：一般公共服务支出、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文化旅游体育与传媒支出</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14:textFill>
            <w14:solidFill>
              <w14:schemeClr w14:val="tx1"/>
            </w14:solidFill>
          </w14:textFill>
        </w:rPr>
        <w:t>社会保障和就业支出、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卫生健康</w:t>
      </w:r>
      <w:r>
        <w:rPr>
          <w:rFonts w:hint="eastAsia" w:ascii="黑体" w:hAnsi="黑体" w:eastAsia="黑体" w:cs="黑体"/>
          <w:b w:val="0"/>
          <w:bCs w:val="0"/>
          <w:color w:val="000000" w:themeColor="text1"/>
          <w:sz w:val="32"/>
          <w:szCs w:val="32"/>
          <w14:textFill>
            <w14:solidFill>
              <w14:schemeClr w14:val="tx1"/>
            </w14:solidFill>
          </w14:textFill>
        </w:rPr>
        <w:t>支出</w:t>
      </w:r>
      <w:r>
        <w:rPr>
          <w:rFonts w:hint="eastAsia" w:ascii="黑体" w:hAnsi="黑体" w:eastAsia="黑体" w:cs="黑体"/>
          <w:b w:val="0"/>
          <w:bCs w:val="0"/>
          <w:color w:val="000000" w:themeColor="text1"/>
          <w:sz w:val="32"/>
          <w:szCs w:val="32"/>
          <w:lang w:eastAsia="zh-CN"/>
          <w14:textFill>
            <w14:solidFill>
              <w14:schemeClr w14:val="tx1"/>
            </w14:solidFill>
          </w14:textFill>
        </w:rPr>
        <w:t>、城乡社区支出、农林水支出、交通运输支出、住房保障支出</w:t>
      </w:r>
      <w:r>
        <w:rPr>
          <w:rFonts w:hint="eastAsia" w:ascii="黑体" w:hAnsi="黑体" w:eastAsia="黑体" w:cs="黑体"/>
          <w:b w:val="0"/>
          <w:bCs w:val="0"/>
          <w:color w:val="000000" w:themeColor="text1"/>
          <w:sz w:val="32"/>
          <w:szCs w:val="32"/>
          <w14:textFill>
            <w14:solidFill>
              <w14:schemeClr w14:val="tx1"/>
            </w14:solidFill>
          </w14:textFill>
        </w:rPr>
        <w:t>。资阳市雁江区</w:t>
      </w:r>
      <w:r>
        <w:rPr>
          <w:rFonts w:hint="eastAsia" w:ascii="黑体" w:hAnsi="黑体" w:eastAsia="黑体" w:cs="黑体"/>
          <w:b w:val="0"/>
          <w:bCs w:val="0"/>
          <w:color w:val="000000" w:themeColor="text1"/>
          <w:sz w:val="32"/>
          <w:szCs w:val="32"/>
          <w:lang w:eastAsia="zh-CN"/>
          <w14:textFill>
            <w14:solidFill>
              <w14:schemeClr w14:val="tx1"/>
            </w14:solidFill>
          </w14:textFill>
        </w:rPr>
        <w:t>丹山镇人民政府</w:t>
      </w:r>
      <w:r>
        <w:rPr>
          <w:rFonts w:hint="eastAsia" w:ascii="黑体" w:hAnsi="黑体" w:eastAsia="黑体" w:cs="黑体"/>
          <w:b w:val="0"/>
          <w:bCs w:val="0"/>
          <w:color w:val="000000" w:themeColor="text1"/>
          <w:sz w:val="32"/>
          <w:szCs w:val="32"/>
          <w14:textFill>
            <w14:solidFill>
              <w14:schemeClr w14:val="tx1"/>
            </w14:solidFill>
          </w14:textFill>
        </w:rPr>
        <w:t>2022年收支总预算</w:t>
      </w:r>
      <w:r>
        <w:rPr>
          <w:rFonts w:hint="eastAsia" w:ascii="黑体" w:hAnsi="黑体" w:eastAsia="黑体" w:cs="黑体"/>
          <w:b w:val="0"/>
          <w:bCs w:val="0"/>
          <w:color w:val="000000" w:themeColor="text1"/>
          <w:sz w:val="32"/>
          <w:szCs w:val="32"/>
          <w:lang w:val="en-US" w:eastAsia="zh-CN"/>
          <w14:textFill>
            <w14:solidFill>
              <w14:schemeClr w14:val="tx1"/>
            </w14:solidFill>
          </w14:textFill>
        </w:rPr>
        <w:t>3242.22</w:t>
      </w:r>
      <w:r>
        <w:rPr>
          <w:rFonts w:hint="eastAsia" w:ascii="黑体" w:hAnsi="黑体" w:eastAsia="黑体" w:cs="黑体"/>
          <w:b w:val="0"/>
          <w:bCs w:val="0"/>
          <w:color w:val="000000" w:themeColor="text1"/>
          <w:sz w:val="32"/>
          <w:szCs w:val="32"/>
          <w14:textFill>
            <w14:solidFill>
              <w14:schemeClr w14:val="tx1"/>
            </w14:solidFill>
          </w14:textFill>
        </w:rPr>
        <w:t>万元，比2021年收支预算总数减少</w:t>
      </w:r>
      <w:r>
        <w:rPr>
          <w:rFonts w:hint="eastAsia" w:ascii="黑体" w:hAnsi="黑体" w:eastAsia="黑体" w:cs="黑体"/>
          <w:b w:val="0"/>
          <w:bCs w:val="0"/>
          <w:color w:val="000000" w:themeColor="text1"/>
          <w:sz w:val="32"/>
          <w:szCs w:val="32"/>
          <w:lang w:val="en-US" w:eastAsia="zh-CN"/>
          <w14:textFill>
            <w14:solidFill>
              <w14:schemeClr w14:val="tx1"/>
            </w14:solidFill>
          </w14:textFill>
        </w:rPr>
        <w:t>50.78</w:t>
      </w:r>
      <w:r>
        <w:rPr>
          <w:rFonts w:hint="eastAsia" w:ascii="黑体" w:hAnsi="黑体" w:eastAsia="黑体" w:cs="黑体"/>
          <w:b w:val="0"/>
          <w:bCs w:val="0"/>
          <w:color w:val="000000" w:themeColor="text1"/>
          <w:sz w:val="32"/>
          <w:szCs w:val="32"/>
          <w14:textFill>
            <w14:solidFill>
              <w14:schemeClr w14:val="tx1"/>
            </w14:solidFill>
          </w14:textFill>
        </w:rPr>
        <w:t>万元，主要原因是</w:t>
      </w:r>
      <w:r>
        <w:rPr>
          <w:rFonts w:hint="eastAsia" w:ascii="黑体" w:hAnsi="黑体" w:eastAsia="黑体" w:cs="黑体"/>
          <w:b w:val="0"/>
          <w:bCs w:val="0"/>
          <w:color w:val="000000" w:themeColor="text1"/>
          <w:sz w:val="32"/>
          <w:szCs w:val="32"/>
          <w:lang w:eastAsia="zh-CN"/>
          <w14:textFill>
            <w14:solidFill>
              <w14:schemeClr w14:val="tx1"/>
            </w14:solidFill>
          </w14:textFill>
        </w:rPr>
        <w:t>严格按照预算文件编制预算，严格控制人员和项目预算</w:t>
      </w:r>
      <w:r>
        <w:rPr>
          <w:rFonts w:hint="eastAsia" w:ascii="黑体" w:hAnsi="黑体" w:eastAsia="黑体" w:cs="黑体"/>
          <w:b w:val="0"/>
          <w:bCs w:val="0"/>
          <w:color w:val="000000" w:themeColor="text1"/>
          <w:sz w:val="32"/>
          <w:szCs w:val="32"/>
          <w14:textFill>
            <w14:solidFill>
              <w14:schemeClr w14:val="tx1"/>
            </w14:solidFill>
          </w14:textFill>
        </w:rPr>
        <w:t>。</w:t>
      </w:r>
    </w:p>
    <w:p>
      <w:pPr>
        <w:spacing w:line="600" w:lineRule="exact"/>
        <w:ind w:firstLine="614" w:firstLineChars="192"/>
        <w:rPr>
          <w:rFonts w:hint="eastAsia" w:ascii="黑体" w:hAnsi="黑体" w:eastAsia="黑体" w:cs="黑体"/>
          <w:b w:val="0"/>
          <w:bCs w:val="0"/>
          <w:sz w:val="32"/>
          <w:szCs w:val="32"/>
        </w:rPr>
      </w:pPr>
      <w:r>
        <w:rPr>
          <w:rFonts w:hint="eastAsia" w:ascii="黑体" w:hAnsi="黑体" w:eastAsia="黑体" w:cs="黑体"/>
          <w:b w:val="0"/>
          <w:bCs w:val="0"/>
          <w:sz w:val="32"/>
          <w:szCs w:val="32"/>
        </w:rPr>
        <w:t>（一）收入预算情况</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资阳市雁江区</w:t>
      </w:r>
      <w:r>
        <w:rPr>
          <w:rFonts w:hint="eastAsia" w:ascii="黑体" w:hAnsi="黑体" w:eastAsia="黑体" w:cs="黑体"/>
          <w:b w:val="0"/>
          <w:bCs w:val="0"/>
          <w:color w:val="000000" w:themeColor="text1"/>
          <w:sz w:val="32"/>
          <w:szCs w:val="32"/>
          <w:lang w:eastAsia="zh-CN"/>
          <w14:textFill>
            <w14:solidFill>
              <w14:schemeClr w14:val="tx1"/>
            </w14:solidFill>
          </w14:textFill>
        </w:rPr>
        <w:t>丹山镇人民政府</w:t>
      </w:r>
      <w:r>
        <w:rPr>
          <w:rFonts w:hint="eastAsia" w:ascii="黑体" w:hAnsi="黑体" w:eastAsia="黑体" w:cs="黑体"/>
          <w:b w:val="0"/>
          <w:bCs w:val="0"/>
          <w:color w:val="000000" w:themeColor="text1"/>
          <w:sz w:val="32"/>
          <w:szCs w:val="32"/>
          <w14:textFill>
            <w14:solidFill>
              <w14:schemeClr w14:val="tx1"/>
            </w14:solidFill>
          </w14:textFill>
        </w:rPr>
        <w:t>2022年收入预算</w:t>
      </w:r>
      <w:r>
        <w:rPr>
          <w:rFonts w:hint="eastAsia" w:ascii="黑体" w:hAnsi="黑体" w:eastAsia="黑体" w:cs="黑体"/>
          <w:b w:val="0"/>
          <w:bCs w:val="0"/>
          <w:color w:val="000000" w:themeColor="text1"/>
          <w:sz w:val="32"/>
          <w:szCs w:val="32"/>
          <w:lang w:val="en-US" w:eastAsia="zh-CN"/>
          <w14:textFill>
            <w14:solidFill>
              <w14:schemeClr w14:val="tx1"/>
            </w14:solidFill>
          </w14:textFill>
        </w:rPr>
        <w:t>3242.22</w:t>
      </w:r>
      <w:r>
        <w:rPr>
          <w:rFonts w:hint="eastAsia" w:ascii="黑体" w:hAnsi="黑体" w:eastAsia="黑体" w:cs="黑体"/>
          <w:b w:val="0"/>
          <w:bCs w:val="0"/>
          <w:color w:val="000000" w:themeColor="text1"/>
          <w:sz w:val="32"/>
          <w:szCs w:val="32"/>
          <w14:textFill>
            <w14:solidFill>
              <w14:schemeClr w14:val="tx1"/>
            </w14:solidFill>
          </w14:textFill>
        </w:rPr>
        <w:t>万元，其中：一般公共预算拨款收入</w:t>
      </w:r>
      <w:r>
        <w:rPr>
          <w:rFonts w:hint="eastAsia" w:ascii="黑体" w:hAnsi="黑体" w:eastAsia="黑体" w:cs="黑体"/>
          <w:b w:val="0"/>
          <w:bCs w:val="0"/>
          <w:color w:val="000000" w:themeColor="text1"/>
          <w:sz w:val="32"/>
          <w:szCs w:val="32"/>
          <w:lang w:val="en-US" w:eastAsia="zh-CN"/>
          <w14:textFill>
            <w14:solidFill>
              <w14:schemeClr w14:val="tx1"/>
            </w14:solidFill>
          </w14:textFill>
        </w:rPr>
        <w:t>3242.22</w:t>
      </w:r>
      <w:r>
        <w:rPr>
          <w:rFonts w:hint="eastAsia" w:ascii="黑体" w:hAnsi="黑体" w:eastAsia="黑体" w:cs="黑体"/>
          <w:b w:val="0"/>
          <w:bCs w:val="0"/>
          <w:color w:val="000000" w:themeColor="text1"/>
          <w:sz w:val="32"/>
          <w:szCs w:val="32"/>
          <w14:textFill>
            <w14:solidFill>
              <w14:schemeClr w14:val="tx1"/>
            </w14:solidFill>
          </w14:textFill>
        </w:rPr>
        <w:t>万元，占</w:t>
      </w:r>
      <w:r>
        <w:rPr>
          <w:rFonts w:hint="eastAsia" w:ascii="黑体" w:hAnsi="黑体" w:eastAsia="黑体" w:cs="黑体"/>
          <w:b w:val="0"/>
          <w:bCs w:val="0"/>
          <w:color w:val="000000" w:themeColor="text1"/>
          <w:sz w:val="32"/>
          <w:szCs w:val="32"/>
          <w:lang w:val="en-US" w:eastAsia="zh-CN"/>
          <w14:textFill>
            <w14:solidFill>
              <w14:schemeClr w14:val="tx1"/>
            </w14:solidFill>
          </w14:textFill>
        </w:rPr>
        <w:t>100</w:t>
      </w:r>
      <w:r>
        <w:rPr>
          <w:rFonts w:hint="eastAsia" w:ascii="黑体" w:hAnsi="黑体" w:eastAsia="黑体" w:cs="黑体"/>
          <w:b w:val="0"/>
          <w:bCs w:val="0"/>
          <w:color w:val="000000" w:themeColor="text1"/>
          <w:sz w:val="32"/>
          <w:szCs w:val="32"/>
          <w14:textFill>
            <w14:solidFill>
              <w14:schemeClr w14:val="tx1"/>
            </w14:solidFill>
          </w14:textFill>
        </w:rPr>
        <w:t>%。</w:t>
      </w:r>
    </w:p>
    <w:p>
      <w:pPr>
        <w:spacing w:line="600" w:lineRule="exact"/>
        <w:ind w:firstLine="614" w:firstLineChars="192"/>
        <w:rPr>
          <w:rFonts w:hint="eastAsia" w:ascii="黑体" w:hAnsi="黑体" w:eastAsia="黑体" w:cs="黑体"/>
          <w:b w:val="0"/>
          <w:bCs w:val="0"/>
          <w:sz w:val="32"/>
          <w:szCs w:val="32"/>
        </w:rPr>
      </w:pPr>
      <w:r>
        <w:rPr>
          <w:rFonts w:hint="eastAsia" w:ascii="黑体" w:hAnsi="黑体" w:eastAsia="黑体" w:cs="黑体"/>
          <w:b w:val="0"/>
          <w:bCs w:val="0"/>
          <w:sz w:val="32"/>
          <w:szCs w:val="32"/>
        </w:rPr>
        <w:t>（二）支出预算情况</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color w:val="000000" w:themeColor="text1"/>
          <w:sz w:val="32"/>
          <w:szCs w:val="32"/>
          <w14:textFill>
            <w14:solidFill>
              <w14:schemeClr w14:val="tx1"/>
            </w14:solidFill>
          </w14:textFill>
        </w:rPr>
        <w:t>资阳市雁江区</w:t>
      </w:r>
      <w:r>
        <w:rPr>
          <w:rFonts w:hint="eastAsia" w:ascii="黑体" w:hAnsi="黑体" w:eastAsia="黑体" w:cs="黑体"/>
          <w:b w:val="0"/>
          <w:bCs w:val="0"/>
          <w:color w:val="000000" w:themeColor="text1"/>
          <w:sz w:val="32"/>
          <w:szCs w:val="32"/>
          <w:lang w:eastAsia="zh-CN"/>
          <w14:textFill>
            <w14:solidFill>
              <w14:schemeClr w14:val="tx1"/>
            </w14:solidFill>
          </w14:textFill>
        </w:rPr>
        <w:t>丹山镇人民政府</w:t>
      </w:r>
      <w:r>
        <w:rPr>
          <w:rFonts w:hint="eastAsia" w:ascii="黑体" w:hAnsi="黑体" w:eastAsia="黑体" w:cs="黑体"/>
          <w:b w:val="0"/>
          <w:bCs w:val="0"/>
          <w:color w:val="000000" w:themeColor="text1"/>
          <w:sz w:val="32"/>
          <w:szCs w:val="32"/>
          <w14:textFill>
            <w14:solidFill>
              <w14:schemeClr w14:val="tx1"/>
            </w14:solidFill>
          </w14:textFill>
        </w:rPr>
        <w:t>2022年支出预算</w:t>
      </w:r>
      <w:r>
        <w:rPr>
          <w:rFonts w:hint="eastAsia" w:ascii="黑体" w:hAnsi="黑体" w:eastAsia="黑体" w:cs="黑体"/>
          <w:b w:val="0"/>
          <w:bCs w:val="0"/>
          <w:color w:val="000000" w:themeColor="text1"/>
          <w:sz w:val="32"/>
          <w:szCs w:val="32"/>
          <w:lang w:val="en-US" w:eastAsia="zh-CN"/>
          <w14:textFill>
            <w14:solidFill>
              <w14:schemeClr w14:val="tx1"/>
            </w14:solidFill>
          </w14:textFill>
        </w:rPr>
        <w:t>3242.22</w:t>
      </w:r>
      <w:r>
        <w:rPr>
          <w:rFonts w:hint="eastAsia" w:ascii="黑体" w:hAnsi="黑体" w:eastAsia="黑体" w:cs="黑体"/>
          <w:b w:val="0"/>
          <w:bCs w:val="0"/>
          <w:color w:val="000000" w:themeColor="text1"/>
          <w:sz w:val="32"/>
          <w:szCs w:val="32"/>
          <w14:textFill>
            <w14:solidFill>
              <w14:schemeClr w14:val="tx1"/>
            </w14:solidFill>
          </w14:textFill>
        </w:rPr>
        <w:t>万元，其中：基本支出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1426.75</w:t>
      </w:r>
      <w:r>
        <w:rPr>
          <w:rFonts w:hint="eastAsia" w:ascii="黑体" w:hAnsi="黑体" w:eastAsia="黑体" w:cs="黑体"/>
          <w:b w:val="0"/>
          <w:bCs w:val="0"/>
          <w:color w:val="000000" w:themeColor="text1"/>
          <w:sz w:val="32"/>
          <w:szCs w:val="32"/>
          <w14:textFill>
            <w14:solidFill>
              <w14:schemeClr w14:val="tx1"/>
            </w14:solidFill>
          </w14:textFill>
        </w:rPr>
        <w:t>万元，占</w:t>
      </w:r>
      <w:r>
        <w:rPr>
          <w:rFonts w:hint="eastAsia" w:ascii="黑体" w:hAnsi="黑体" w:eastAsia="黑体" w:cs="黑体"/>
          <w:b w:val="0"/>
          <w:bCs w:val="0"/>
          <w:color w:val="000000" w:themeColor="text1"/>
          <w:sz w:val="32"/>
          <w:szCs w:val="32"/>
          <w:lang w:val="en-US" w:eastAsia="zh-CN"/>
          <w14:textFill>
            <w14:solidFill>
              <w14:schemeClr w14:val="tx1"/>
            </w14:solidFill>
          </w14:textFill>
        </w:rPr>
        <w:t>44</w:t>
      </w:r>
      <w:r>
        <w:rPr>
          <w:rFonts w:hint="eastAsia" w:ascii="黑体" w:hAnsi="黑体" w:eastAsia="黑体" w:cs="黑体"/>
          <w:b w:val="0"/>
          <w:bCs w:val="0"/>
          <w:color w:val="000000" w:themeColor="text1"/>
          <w:sz w:val="32"/>
          <w:szCs w:val="32"/>
          <w14:textFill>
            <w14:solidFill>
              <w14:schemeClr w14:val="tx1"/>
            </w14:solidFill>
          </w14:textFill>
        </w:rPr>
        <w:t>%；项目支出1815.47</w:t>
      </w:r>
      <w:r>
        <w:rPr>
          <w:rFonts w:hint="eastAsia" w:ascii="黑体" w:hAnsi="黑体" w:eastAsia="黑体" w:cs="黑体"/>
          <w:b w:val="0"/>
          <w:bCs w:val="0"/>
          <w:color w:val="000000" w:themeColor="text1"/>
          <w:sz w:val="28"/>
          <w:szCs w:val="28"/>
          <w14:textFill>
            <w14:solidFill>
              <w14:schemeClr w14:val="tx1"/>
            </w14:solidFill>
          </w14:textFill>
        </w:rPr>
        <w:t>万元</w:t>
      </w:r>
      <w:r>
        <w:rPr>
          <w:rFonts w:hint="eastAsia" w:ascii="黑体" w:hAnsi="黑体" w:eastAsia="黑体" w:cs="黑体"/>
          <w:b w:val="0"/>
          <w:bCs w:val="0"/>
          <w:color w:val="000000" w:themeColor="text1"/>
          <w:sz w:val="32"/>
          <w:szCs w:val="32"/>
          <w14:textFill>
            <w14:solidFill>
              <w14:schemeClr w14:val="tx1"/>
            </w14:solidFill>
          </w14:textFill>
        </w:rPr>
        <w:t>，占</w:t>
      </w:r>
      <w:r>
        <w:rPr>
          <w:rFonts w:hint="eastAsia" w:ascii="黑体" w:hAnsi="黑体" w:eastAsia="黑体" w:cs="黑体"/>
          <w:b w:val="0"/>
          <w:bCs w:val="0"/>
          <w:color w:val="000000" w:themeColor="text1"/>
          <w:sz w:val="32"/>
          <w:szCs w:val="32"/>
          <w:lang w:val="en-US" w:eastAsia="zh-CN"/>
          <w14:textFill>
            <w14:solidFill>
              <w14:schemeClr w14:val="tx1"/>
            </w14:solidFill>
          </w14:textFill>
        </w:rPr>
        <w:t>56</w:t>
      </w:r>
      <w:r>
        <w:rPr>
          <w:rFonts w:hint="eastAsia" w:ascii="黑体" w:hAnsi="黑体" w:eastAsia="黑体" w:cs="黑体"/>
          <w:b w:val="0"/>
          <w:bCs w:val="0"/>
          <w:color w:val="000000" w:themeColor="text1"/>
          <w:sz w:val="32"/>
          <w:szCs w:val="32"/>
          <w14:textFill>
            <w14:solidFill>
              <w14:schemeClr w14:val="tx1"/>
            </w14:solidFill>
          </w14:textFill>
        </w:rPr>
        <w:t>%。</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三、财政拨款收支预算情况说明</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资阳市雁江区</w:t>
      </w:r>
      <w:r>
        <w:rPr>
          <w:rFonts w:hint="eastAsia" w:ascii="黑体" w:hAnsi="黑体" w:eastAsia="黑体" w:cs="黑体"/>
          <w:b w:val="0"/>
          <w:bCs w:val="0"/>
          <w:color w:val="000000" w:themeColor="text1"/>
          <w:sz w:val="32"/>
          <w:szCs w:val="32"/>
          <w:lang w:eastAsia="zh-CN"/>
          <w14:textFill>
            <w14:solidFill>
              <w14:schemeClr w14:val="tx1"/>
            </w14:solidFill>
          </w14:textFill>
        </w:rPr>
        <w:t>丹山镇人民政府</w:t>
      </w:r>
      <w:r>
        <w:rPr>
          <w:rFonts w:hint="eastAsia" w:ascii="黑体" w:hAnsi="黑体" w:eastAsia="黑体" w:cs="黑体"/>
          <w:b w:val="0"/>
          <w:bCs w:val="0"/>
          <w:color w:val="000000" w:themeColor="text1"/>
          <w:sz w:val="32"/>
          <w:szCs w:val="32"/>
          <w14:textFill>
            <w14:solidFill>
              <w14:schemeClr w14:val="tx1"/>
            </w14:solidFill>
          </w14:textFill>
        </w:rPr>
        <w:t>2022年财政拨款收支总预算</w:t>
      </w:r>
      <w:r>
        <w:rPr>
          <w:rFonts w:hint="eastAsia" w:ascii="黑体" w:hAnsi="黑体" w:eastAsia="黑体" w:cs="黑体"/>
          <w:b w:val="0"/>
          <w:bCs w:val="0"/>
          <w:color w:val="000000" w:themeColor="text1"/>
          <w:sz w:val="32"/>
          <w:szCs w:val="32"/>
          <w:lang w:val="en-US" w:eastAsia="zh-CN"/>
          <w14:textFill>
            <w14:solidFill>
              <w14:schemeClr w14:val="tx1"/>
            </w14:solidFill>
          </w14:textFill>
        </w:rPr>
        <w:t>3242.22</w:t>
      </w:r>
      <w:r>
        <w:rPr>
          <w:rFonts w:hint="eastAsia" w:ascii="黑体" w:hAnsi="黑体" w:eastAsia="黑体" w:cs="黑体"/>
          <w:b w:val="0"/>
          <w:bCs w:val="0"/>
          <w:color w:val="000000" w:themeColor="text1"/>
          <w:sz w:val="32"/>
          <w:szCs w:val="32"/>
          <w14:textFill>
            <w14:solidFill>
              <w14:schemeClr w14:val="tx1"/>
            </w14:solidFill>
          </w14:textFill>
        </w:rPr>
        <w:t>万元，比2021年财政拨款收支总预算减少</w:t>
      </w:r>
      <w:r>
        <w:rPr>
          <w:rFonts w:hint="eastAsia" w:ascii="黑体" w:hAnsi="黑体" w:eastAsia="黑体" w:cs="黑体"/>
          <w:b w:val="0"/>
          <w:bCs w:val="0"/>
          <w:color w:val="000000" w:themeColor="text1"/>
          <w:sz w:val="32"/>
          <w:szCs w:val="32"/>
          <w:lang w:val="en-US" w:eastAsia="zh-CN"/>
          <w14:textFill>
            <w14:solidFill>
              <w14:schemeClr w14:val="tx1"/>
            </w14:solidFill>
          </w14:textFill>
        </w:rPr>
        <w:t>50.78</w:t>
      </w:r>
      <w:r>
        <w:rPr>
          <w:rFonts w:hint="eastAsia" w:ascii="黑体" w:hAnsi="黑体" w:eastAsia="黑体" w:cs="黑体"/>
          <w:b w:val="0"/>
          <w:bCs w:val="0"/>
          <w:color w:val="000000" w:themeColor="text1"/>
          <w:sz w:val="32"/>
          <w:szCs w:val="32"/>
          <w14:textFill>
            <w14:solidFill>
              <w14:schemeClr w14:val="tx1"/>
            </w14:solidFill>
          </w14:textFill>
        </w:rPr>
        <w:t>万元，主要原因是</w:t>
      </w:r>
      <w:r>
        <w:rPr>
          <w:rFonts w:hint="eastAsia" w:ascii="黑体" w:hAnsi="黑体" w:eastAsia="黑体" w:cs="黑体"/>
          <w:b w:val="0"/>
          <w:bCs w:val="0"/>
          <w:color w:val="000000" w:themeColor="text1"/>
          <w:sz w:val="32"/>
          <w:szCs w:val="32"/>
          <w:lang w:eastAsia="zh-CN"/>
          <w14:textFill>
            <w14:solidFill>
              <w14:schemeClr w14:val="tx1"/>
            </w14:solidFill>
          </w14:textFill>
        </w:rPr>
        <w:t>严格按照预算文件编制预算，严格控制人员和项目预算</w:t>
      </w:r>
      <w:r>
        <w:rPr>
          <w:rFonts w:hint="eastAsia" w:ascii="黑体" w:hAnsi="黑体" w:eastAsia="黑体" w:cs="黑体"/>
          <w:b w:val="0"/>
          <w:bCs w:val="0"/>
          <w:color w:val="000000" w:themeColor="text1"/>
          <w:sz w:val="32"/>
          <w:szCs w:val="32"/>
          <w14:textFill>
            <w14:solidFill>
              <w14:schemeClr w14:val="tx1"/>
            </w14:solidFill>
          </w14:textFill>
        </w:rPr>
        <w:t>。</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color w:val="000000" w:themeColor="text1"/>
          <w:sz w:val="32"/>
          <w:szCs w:val="32"/>
          <w14:textFill>
            <w14:solidFill>
              <w14:schemeClr w14:val="tx1"/>
            </w14:solidFill>
          </w14:textFill>
        </w:rPr>
        <w:t>收入包括：本年一般公共预算拨款收入</w:t>
      </w:r>
      <w:r>
        <w:rPr>
          <w:rFonts w:hint="eastAsia" w:ascii="黑体" w:hAnsi="黑体" w:eastAsia="黑体" w:cs="黑体"/>
          <w:b w:val="0"/>
          <w:bCs w:val="0"/>
          <w:color w:val="000000" w:themeColor="text1"/>
          <w:sz w:val="32"/>
          <w:szCs w:val="32"/>
          <w:lang w:val="en-US" w:eastAsia="zh-CN"/>
          <w14:textFill>
            <w14:solidFill>
              <w14:schemeClr w14:val="tx1"/>
            </w14:solidFill>
          </w14:textFill>
        </w:rPr>
        <w:t>3242.22</w:t>
      </w:r>
      <w:r>
        <w:rPr>
          <w:rFonts w:hint="eastAsia" w:ascii="黑体" w:hAnsi="黑体" w:eastAsia="黑体" w:cs="黑体"/>
          <w:b w:val="0"/>
          <w:bCs w:val="0"/>
          <w:color w:val="000000" w:themeColor="text1"/>
          <w:sz w:val="32"/>
          <w:szCs w:val="32"/>
          <w14:textFill>
            <w14:solidFill>
              <w14:schemeClr w14:val="tx1"/>
            </w14:solidFill>
          </w14:textFill>
        </w:rPr>
        <w:t>万元、上年结转一般公共预算拨款收入</w:t>
      </w:r>
      <w:r>
        <w:rPr>
          <w:rFonts w:hint="eastAsia" w:ascii="黑体" w:hAnsi="黑体" w:eastAsia="黑体" w:cs="黑体"/>
          <w:b w:val="0"/>
          <w:bCs w:val="0"/>
          <w:color w:val="000000" w:themeColor="text1"/>
          <w:sz w:val="32"/>
          <w:szCs w:val="32"/>
          <w:lang w:val="en-US" w:eastAsia="zh-CN"/>
          <w14:textFill>
            <w14:solidFill>
              <w14:schemeClr w14:val="tx1"/>
            </w14:solidFill>
          </w14:textFill>
        </w:rPr>
        <w:t>0</w:t>
      </w:r>
      <w:r>
        <w:rPr>
          <w:rFonts w:hint="eastAsia" w:ascii="黑体" w:hAnsi="黑体" w:eastAsia="黑体" w:cs="黑体"/>
          <w:b w:val="0"/>
          <w:bCs w:val="0"/>
          <w:color w:val="000000" w:themeColor="text1"/>
          <w:sz w:val="32"/>
          <w:szCs w:val="32"/>
          <w14:textFill>
            <w14:solidFill>
              <w14:schemeClr w14:val="tx1"/>
            </w14:solidFill>
          </w14:textFill>
        </w:rPr>
        <w:t>万元；支出包括：一般公共服务支出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1097.87</w:t>
      </w:r>
      <w:r>
        <w:rPr>
          <w:rFonts w:hint="eastAsia" w:ascii="黑体" w:hAnsi="黑体" w:eastAsia="黑体" w:cs="黑体"/>
          <w:b w:val="0"/>
          <w:bCs w:val="0"/>
          <w:color w:val="000000" w:themeColor="text1"/>
          <w:sz w:val="32"/>
          <w:szCs w:val="32"/>
          <w14:textFill>
            <w14:solidFill>
              <w14:schemeClr w14:val="tx1"/>
            </w14:solidFill>
          </w14:textFill>
        </w:rPr>
        <w:t>万元、</w:t>
      </w:r>
      <w:r>
        <w:rPr>
          <w:rFonts w:hint="eastAsia" w:ascii="黑体" w:hAnsi="黑体" w:eastAsia="黑体" w:cs="黑体"/>
          <w:b w:val="0"/>
          <w:bCs w:val="0"/>
          <w:color w:val="000000" w:themeColor="text1"/>
          <w:sz w:val="32"/>
          <w:szCs w:val="32"/>
          <w:lang w:eastAsia="zh-CN"/>
          <w14:textFill>
            <w14:solidFill>
              <w14:schemeClr w14:val="tx1"/>
            </w14:solidFill>
          </w14:textFill>
        </w:rPr>
        <w:t>文化旅游体育与传媒</w:t>
      </w:r>
      <w:r>
        <w:rPr>
          <w:rFonts w:hint="eastAsia" w:ascii="黑体" w:hAnsi="黑体" w:eastAsia="黑体" w:cs="黑体"/>
          <w:b w:val="0"/>
          <w:bCs w:val="0"/>
          <w:color w:val="000000" w:themeColor="text1"/>
          <w:sz w:val="32"/>
          <w:szCs w:val="32"/>
          <w14:textFill>
            <w14:solidFill>
              <w14:schemeClr w14:val="tx1"/>
            </w14:solidFill>
          </w14:textFill>
        </w:rPr>
        <w:t>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3.84</w:t>
      </w:r>
      <w:r>
        <w:rPr>
          <w:rFonts w:hint="eastAsia" w:ascii="黑体" w:hAnsi="黑体" w:eastAsia="黑体" w:cs="黑体"/>
          <w:b w:val="0"/>
          <w:bCs w:val="0"/>
          <w:color w:val="000000" w:themeColor="text1"/>
          <w:sz w:val="32"/>
          <w:szCs w:val="32"/>
          <w14:textFill>
            <w14:solidFill>
              <w14:schemeClr w14:val="tx1"/>
            </w14:solidFill>
          </w14:textFill>
        </w:rPr>
        <w:t>万元、社会保障和就业支出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227.35</w:t>
      </w:r>
      <w:r>
        <w:rPr>
          <w:rFonts w:hint="eastAsia" w:ascii="黑体" w:hAnsi="黑体" w:eastAsia="黑体" w:cs="黑体"/>
          <w:b w:val="0"/>
          <w:bCs w:val="0"/>
          <w:color w:val="000000" w:themeColor="text1"/>
          <w:sz w:val="32"/>
          <w:szCs w:val="32"/>
          <w14:textFill>
            <w14:solidFill>
              <w14:schemeClr w14:val="tx1"/>
            </w14:solidFill>
          </w14:textFill>
        </w:rPr>
        <w:t>万元、卫生健康支出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73.08</w:t>
      </w:r>
      <w:r>
        <w:rPr>
          <w:rFonts w:hint="eastAsia" w:ascii="黑体" w:hAnsi="黑体" w:eastAsia="黑体" w:cs="黑体"/>
          <w:b w:val="0"/>
          <w:bCs w:val="0"/>
          <w:color w:val="000000" w:themeColor="text1"/>
          <w:sz w:val="32"/>
          <w:szCs w:val="32"/>
          <w14:textFill>
            <w14:solidFill>
              <w14:schemeClr w14:val="tx1"/>
            </w14:solidFill>
          </w14:textFill>
        </w:rPr>
        <w:t>万元、</w:t>
      </w:r>
      <w:r>
        <w:rPr>
          <w:rFonts w:hint="eastAsia" w:ascii="黑体" w:hAnsi="黑体" w:eastAsia="黑体" w:cs="黑体"/>
          <w:b w:val="0"/>
          <w:bCs w:val="0"/>
          <w:color w:val="000000" w:themeColor="text1"/>
          <w:sz w:val="32"/>
          <w:szCs w:val="32"/>
          <w:lang w:eastAsia="zh-CN"/>
          <w14:textFill>
            <w14:solidFill>
              <w14:schemeClr w14:val="tx1"/>
            </w14:solidFill>
          </w14:textFill>
        </w:rPr>
        <w:t>城乡社区支出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115.7万元、农林水支出1622.2万元、交通运输支出7万元、</w:t>
      </w:r>
      <w:r>
        <w:rPr>
          <w:rFonts w:hint="eastAsia" w:ascii="黑体" w:hAnsi="黑体" w:eastAsia="黑体" w:cs="黑体"/>
          <w:b w:val="0"/>
          <w:bCs w:val="0"/>
          <w:color w:val="000000" w:themeColor="text1"/>
          <w:sz w:val="32"/>
          <w:szCs w:val="32"/>
          <w14:textFill>
            <w14:solidFill>
              <w14:schemeClr w14:val="tx1"/>
            </w14:solidFill>
          </w14:textFill>
        </w:rPr>
        <w:t>住房保障支出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95.17</w:t>
      </w:r>
      <w:r>
        <w:rPr>
          <w:rFonts w:hint="eastAsia" w:ascii="黑体" w:hAnsi="黑体" w:eastAsia="黑体" w:cs="黑体"/>
          <w:b w:val="0"/>
          <w:bCs w:val="0"/>
          <w:color w:val="000000" w:themeColor="text1"/>
          <w:sz w:val="32"/>
          <w:szCs w:val="32"/>
          <w14:textFill>
            <w14:solidFill>
              <w14:schemeClr w14:val="tx1"/>
            </w14:solidFill>
          </w14:textFill>
        </w:rPr>
        <w:t>万元。</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四、一般公共预算当年拨款情况说明</w:t>
      </w:r>
    </w:p>
    <w:p>
      <w:pPr>
        <w:spacing w:line="600" w:lineRule="exact"/>
        <w:ind w:firstLine="614" w:firstLineChars="192"/>
        <w:rPr>
          <w:rFonts w:hint="eastAsia" w:ascii="黑体" w:hAnsi="黑体" w:eastAsia="黑体" w:cs="黑体"/>
          <w:b w:val="0"/>
          <w:bCs w:val="0"/>
          <w:sz w:val="32"/>
          <w:szCs w:val="32"/>
        </w:rPr>
      </w:pPr>
      <w:r>
        <w:rPr>
          <w:rFonts w:hint="eastAsia" w:ascii="黑体" w:hAnsi="黑体" w:eastAsia="黑体" w:cs="黑体"/>
          <w:b w:val="0"/>
          <w:bCs w:val="0"/>
          <w:sz w:val="32"/>
          <w:szCs w:val="32"/>
        </w:rPr>
        <w:t>（一）一般公共预算当年拨款规模变化情况</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color w:val="000000" w:themeColor="text1"/>
          <w:sz w:val="32"/>
          <w:szCs w:val="32"/>
          <w14:textFill>
            <w14:solidFill>
              <w14:schemeClr w14:val="tx1"/>
            </w14:solidFill>
          </w14:textFill>
        </w:rPr>
        <w:t>资阳市雁江区</w:t>
      </w:r>
      <w:r>
        <w:rPr>
          <w:rFonts w:hint="eastAsia" w:ascii="黑体" w:hAnsi="黑体" w:eastAsia="黑体" w:cs="黑体"/>
          <w:b w:val="0"/>
          <w:bCs w:val="0"/>
          <w:color w:val="000000" w:themeColor="text1"/>
          <w:sz w:val="32"/>
          <w:szCs w:val="32"/>
          <w:lang w:eastAsia="zh-CN"/>
          <w14:textFill>
            <w14:solidFill>
              <w14:schemeClr w14:val="tx1"/>
            </w14:solidFill>
          </w14:textFill>
        </w:rPr>
        <w:t>丹山镇人民政府</w:t>
      </w:r>
      <w:r>
        <w:rPr>
          <w:rFonts w:hint="eastAsia" w:ascii="黑体" w:hAnsi="黑体" w:eastAsia="黑体" w:cs="黑体"/>
          <w:b w:val="0"/>
          <w:bCs w:val="0"/>
          <w:color w:val="000000" w:themeColor="text1"/>
          <w:sz w:val="32"/>
          <w:szCs w:val="32"/>
          <w14:textFill>
            <w14:solidFill>
              <w14:schemeClr w14:val="tx1"/>
            </w14:solidFill>
          </w14:textFill>
        </w:rPr>
        <w:t>2022年一般公共预算当年拨款</w:t>
      </w:r>
      <w:r>
        <w:rPr>
          <w:rFonts w:hint="eastAsia" w:ascii="黑体" w:hAnsi="黑体" w:eastAsia="黑体" w:cs="黑体"/>
          <w:b w:val="0"/>
          <w:bCs w:val="0"/>
          <w:color w:val="000000" w:themeColor="text1"/>
          <w:sz w:val="32"/>
          <w:szCs w:val="32"/>
          <w:lang w:val="en-US" w:eastAsia="zh-CN"/>
          <w14:textFill>
            <w14:solidFill>
              <w14:schemeClr w14:val="tx1"/>
            </w14:solidFill>
          </w14:textFill>
        </w:rPr>
        <w:t>3242.22</w:t>
      </w:r>
      <w:r>
        <w:rPr>
          <w:rFonts w:hint="eastAsia" w:ascii="黑体" w:hAnsi="黑体" w:eastAsia="黑体" w:cs="黑体"/>
          <w:b w:val="0"/>
          <w:bCs w:val="0"/>
          <w:color w:val="000000" w:themeColor="text1"/>
          <w:sz w:val="32"/>
          <w:szCs w:val="32"/>
          <w14:textFill>
            <w14:solidFill>
              <w14:schemeClr w14:val="tx1"/>
            </w14:solidFill>
          </w14:textFill>
        </w:rPr>
        <w:t>万元，比2021年预算数减少</w:t>
      </w:r>
      <w:r>
        <w:rPr>
          <w:rFonts w:hint="eastAsia" w:ascii="黑体" w:hAnsi="黑体" w:eastAsia="黑体" w:cs="黑体"/>
          <w:b w:val="0"/>
          <w:bCs w:val="0"/>
          <w:color w:val="000000" w:themeColor="text1"/>
          <w:sz w:val="32"/>
          <w:szCs w:val="32"/>
          <w:lang w:val="en-US" w:eastAsia="zh-CN"/>
          <w14:textFill>
            <w14:solidFill>
              <w14:schemeClr w14:val="tx1"/>
            </w14:solidFill>
          </w14:textFill>
        </w:rPr>
        <w:t>50.78</w:t>
      </w:r>
      <w:r>
        <w:rPr>
          <w:rFonts w:hint="eastAsia" w:ascii="黑体" w:hAnsi="黑体" w:eastAsia="黑体" w:cs="黑体"/>
          <w:b w:val="0"/>
          <w:bCs w:val="0"/>
          <w:color w:val="000000" w:themeColor="text1"/>
          <w:sz w:val="32"/>
          <w:szCs w:val="32"/>
          <w14:textFill>
            <w14:solidFill>
              <w14:schemeClr w14:val="tx1"/>
            </w14:solidFill>
          </w14:textFill>
        </w:rPr>
        <w:t>万元，主要原因是</w:t>
      </w:r>
      <w:r>
        <w:rPr>
          <w:rFonts w:hint="eastAsia" w:ascii="黑体" w:hAnsi="黑体" w:eastAsia="黑体" w:cs="黑体"/>
          <w:b w:val="0"/>
          <w:bCs w:val="0"/>
          <w:color w:val="000000" w:themeColor="text1"/>
          <w:sz w:val="32"/>
          <w:szCs w:val="32"/>
          <w:lang w:eastAsia="zh-CN"/>
          <w14:textFill>
            <w14:solidFill>
              <w14:schemeClr w14:val="tx1"/>
            </w14:solidFill>
          </w14:textFill>
        </w:rPr>
        <w:t>严格按照预算文件编制预算，严格控制人员和项目预算</w:t>
      </w:r>
      <w:r>
        <w:rPr>
          <w:rFonts w:hint="eastAsia" w:ascii="黑体" w:hAnsi="黑体" w:eastAsia="黑体" w:cs="黑体"/>
          <w:b w:val="0"/>
          <w:bCs w:val="0"/>
          <w:color w:val="000000" w:themeColor="text1"/>
          <w:sz w:val="32"/>
          <w:szCs w:val="32"/>
          <w14:textFill>
            <w14:solidFill>
              <w14:schemeClr w14:val="tx1"/>
            </w14:solidFill>
          </w14:textFill>
        </w:rPr>
        <w:t>。</w:t>
      </w:r>
    </w:p>
    <w:p>
      <w:pPr>
        <w:spacing w:line="600" w:lineRule="exact"/>
        <w:ind w:firstLine="614" w:firstLineChars="192"/>
        <w:rPr>
          <w:rFonts w:hint="eastAsia" w:ascii="黑体" w:hAnsi="黑体" w:eastAsia="黑体" w:cs="黑体"/>
          <w:b w:val="0"/>
          <w:bCs w:val="0"/>
          <w:color w:val="333333"/>
          <w:sz w:val="28"/>
          <w:szCs w:val="28"/>
        </w:rPr>
      </w:pPr>
      <w:r>
        <w:rPr>
          <w:rFonts w:hint="eastAsia" w:ascii="黑体" w:hAnsi="黑体" w:eastAsia="黑体" w:cs="黑体"/>
          <w:b w:val="0"/>
          <w:bCs w:val="0"/>
          <w:sz w:val="32"/>
          <w:szCs w:val="32"/>
        </w:rPr>
        <w:t>（二）一般公共预算当年拨款结构情况</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color w:val="000000" w:themeColor="text1"/>
          <w:sz w:val="32"/>
          <w:szCs w:val="32"/>
          <w14:textFill>
            <w14:solidFill>
              <w14:schemeClr w14:val="tx1"/>
            </w14:solidFill>
          </w14:textFill>
        </w:rPr>
        <w:t>一般公共服务支出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1097.87</w:t>
      </w:r>
      <w:r>
        <w:rPr>
          <w:rFonts w:hint="eastAsia" w:ascii="黑体" w:hAnsi="黑体" w:eastAsia="黑体" w:cs="黑体"/>
          <w:b w:val="0"/>
          <w:bCs w:val="0"/>
          <w:color w:val="000000" w:themeColor="text1"/>
          <w:sz w:val="32"/>
          <w:szCs w:val="32"/>
          <w14:textFill>
            <w14:solidFill>
              <w14:schemeClr w14:val="tx1"/>
            </w14:solidFill>
          </w14:textFill>
        </w:rPr>
        <w:t>万元，占</w:t>
      </w:r>
      <w:r>
        <w:rPr>
          <w:rFonts w:hint="eastAsia" w:ascii="黑体" w:hAnsi="黑体" w:eastAsia="黑体" w:cs="黑体"/>
          <w:b w:val="0"/>
          <w:bCs w:val="0"/>
          <w:color w:val="000000" w:themeColor="text1"/>
          <w:sz w:val="32"/>
          <w:szCs w:val="32"/>
          <w:lang w:val="en-US" w:eastAsia="zh-CN"/>
          <w14:textFill>
            <w14:solidFill>
              <w14:schemeClr w14:val="tx1"/>
            </w14:solidFill>
          </w14:textFill>
        </w:rPr>
        <w:t>33.86</w:t>
      </w:r>
      <w:r>
        <w:rPr>
          <w:rFonts w:hint="eastAsia" w:ascii="黑体" w:hAnsi="黑体" w:eastAsia="黑体" w:cs="黑体"/>
          <w:b w:val="0"/>
          <w:bCs w:val="0"/>
          <w:color w:val="000000" w:themeColor="text1"/>
          <w:sz w:val="32"/>
          <w:szCs w:val="32"/>
          <w14:textFill>
            <w14:solidFill>
              <w14:schemeClr w14:val="tx1"/>
            </w14:solidFill>
          </w14:textFill>
        </w:rPr>
        <w:t>%；</w:t>
      </w:r>
      <w:r>
        <w:rPr>
          <w:rFonts w:hint="eastAsia" w:ascii="黑体" w:hAnsi="黑体" w:eastAsia="黑体" w:cs="黑体"/>
          <w:b w:val="0"/>
          <w:bCs w:val="0"/>
          <w:color w:val="000000" w:themeColor="text1"/>
          <w:sz w:val="32"/>
          <w:szCs w:val="32"/>
          <w:lang w:eastAsia="zh-CN"/>
          <w14:textFill>
            <w14:solidFill>
              <w14:schemeClr w14:val="tx1"/>
            </w14:solidFill>
          </w14:textFill>
        </w:rPr>
        <w:t>文化旅游体育与传媒</w:t>
      </w:r>
      <w:r>
        <w:rPr>
          <w:rFonts w:hint="eastAsia" w:ascii="黑体" w:hAnsi="黑体" w:eastAsia="黑体" w:cs="黑体"/>
          <w:b w:val="0"/>
          <w:bCs w:val="0"/>
          <w:color w:val="000000" w:themeColor="text1"/>
          <w:sz w:val="32"/>
          <w:szCs w:val="32"/>
          <w14:textFill>
            <w14:solidFill>
              <w14:schemeClr w14:val="tx1"/>
            </w14:solidFill>
          </w14:textFill>
        </w:rPr>
        <w:t>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3.84</w:t>
      </w:r>
      <w:r>
        <w:rPr>
          <w:rFonts w:hint="eastAsia" w:ascii="黑体" w:hAnsi="黑体" w:eastAsia="黑体" w:cs="黑体"/>
          <w:b w:val="0"/>
          <w:bCs w:val="0"/>
          <w:color w:val="000000" w:themeColor="text1"/>
          <w:sz w:val="32"/>
          <w:szCs w:val="32"/>
          <w14:textFill>
            <w14:solidFill>
              <w14:schemeClr w14:val="tx1"/>
            </w14:solidFill>
          </w14:textFill>
        </w:rPr>
        <w:t>万元，占</w:t>
      </w:r>
      <w:r>
        <w:rPr>
          <w:rFonts w:hint="eastAsia" w:ascii="黑体" w:hAnsi="黑体" w:eastAsia="黑体" w:cs="黑体"/>
          <w:b w:val="0"/>
          <w:bCs w:val="0"/>
          <w:color w:val="000000" w:themeColor="text1"/>
          <w:sz w:val="32"/>
          <w:szCs w:val="32"/>
          <w:lang w:val="en-US" w:eastAsia="zh-CN"/>
          <w14:textFill>
            <w14:solidFill>
              <w14:schemeClr w14:val="tx1"/>
            </w14:solidFill>
          </w14:textFill>
        </w:rPr>
        <w:t>0.12</w:t>
      </w:r>
      <w:r>
        <w:rPr>
          <w:rFonts w:hint="eastAsia" w:ascii="黑体" w:hAnsi="黑体" w:eastAsia="黑体" w:cs="黑体"/>
          <w:b w:val="0"/>
          <w:bCs w:val="0"/>
          <w:color w:val="000000" w:themeColor="text1"/>
          <w:sz w:val="32"/>
          <w:szCs w:val="32"/>
          <w14:textFill>
            <w14:solidFill>
              <w14:schemeClr w14:val="tx1"/>
            </w14:solidFill>
          </w14:textFill>
        </w:rPr>
        <w:t>%；社会保障和就业支出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227.35</w:t>
      </w:r>
      <w:r>
        <w:rPr>
          <w:rFonts w:hint="eastAsia" w:ascii="黑体" w:hAnsi="黑体" w:eastAsia="黑体" w:cs="黑体"/>
          <w:b w:val="0"/>
          <w:bCs w:val="0"/>
          <w:color w:val="000000" w:themeColor="text1"/>
          <w:sz w:val="32"/>
          <w:szCs w:val="32"/>
          <w14:textFill>
            <w14:solidFill>
              <w14:schemeClr w14:val="tx1"/>
            </w14:solidFill>
          </w14:textFill>
        </w:rPr>
        <w:t>万元，占</w:t>
      </w:r>
      <w:r>
        <w:rPr>
          <w:rFonts w:hint="eastAsia" w:ascii="黑体" w:hAnsi="黑体" w:eastAsia="黑体" w:cs="黑体"/>
          <w:b w:val="0"/>
          <w:bCs w:val="0"/>
          <w:color w:val="000000" w:themeColor="text1"/>
          <w:sz w:val="32"/>
          <w:szCs w:val="32"/>
          <w:lang w:val="en-US" w:eastAsia="zh-CN"/>
          <w14:textFill>
            <w14:solidFill>
              <w14:schemeClr w14:val="tx1"/>
            </w14:solidFill>
          </w14:textFill>
        </w:rPr>
        <w:t>7.01</w:t>
      </w:r>
      <w:r>
        <w:rPr>
          <w:rFonts w:hint="eastAsia" w:ascii="黑体" w:hAnsi="黑体" w:eastAsia="黑体" w:cs="黑体"/>
          <w:b w:val="0"/>
          <w:bCs w:val="0"/>
          <w:color w:val="000000" w:themeColor="text1"/>
          <w:sz w:val="32"/>
          <w:szCs w:val="32"/>
          <w14:textFill>
            <w14:solidFill>
              <w14:schemeClr w14:val="tx1"/>
            </w14:solidFill>
          </w14:textFill>
        </w:rPr>
        <w:t>%；医疗卫生与计划生育支出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73.08</w:t>
      </w:r>
      <w:r>
        <w:rPr>
          <w:rFonts w:hint="eastAsia" w:ascii="黑体" w:hAnsi="黑体" w:eastAsia="黑体" w:cs="黑体"/>
          <w:b w:val="0"/>
          <w:bCs w:val="0"/>
          <w:color w:val="000000" w:themeColor="text1"/>
          <w:sz w:val="32"/>
          <w:szCs w:val="32"/>
          <w14:textFill>
            <w14:solidFill>
              <w14:schemeClr w14:val="tx1"/>
            </w14:solidFill>
          </w14:textFill>
        </w:rPr>
        <w:t>万元，占</w:t>
      </w:r>
      <w:r>
        <w:rPr>
          <w:rFonts w:hint="eastAsia" w:ascii="黑体" w:hAnsi="黑体" w:eastAsia="黑体" w:cs="黑体"/>
          <w:b w:val="0"/>
          <w:bCs w:val="0"/>
          <w:color w:val="000000" w:themeColor="text1"/>
          <w:sz w:val="32"/>
          <w:szCs w:val="32"/>
          <w:lang w:val="en-US" w:eastAsia="zh-CN"/>
          <w14:textFill>
            <w14:solidFill>
              <w14:schemeClr w14:val="tx1"/>
            </w14:solidFill>
          </w14:textFill>
        </w:rPr>
        <w:t>2.25</w:t>
      </w:r>
      <w:r>
        <w:rPr>
          <w:rFonts w:hint="eastAsia" w:ascii="黑体" w:hAnsi="黑体" w:eastAsia="黑体" w:cs="黑体"/>
          <w:b w:val="0"/>
          <w:bCs w:val="0"/>
          <w:color w:val="000000" w:themeColor="text1"/>
          <w:sz w:val="32"/>
          <w:szCs w:val="32"/>
          <w14:textFill>
            <w14:solidFill>
              <w14:schemeClr w14:val="tx1"/>
            </w14:solidFill>
          </w14:textFill>
        </w:rPr>
        <w:t>%；</w:t>
      </w:r>
      <w:r>
        <w:rPr>
          <w:rFonts w:hint="eastAsia" w:ascii="黑体" w:hAnsi="黑体" w:eastAsia="黑体" w:cs="黑体"/>
          <w:b w:val="0"/>
          <w:bCs w:val="0"/>
          <w:color w:val="000000" w:themeColor="text1"/>
          <w:sz w:val="32"/>
          <w:szCs w:val="32"/>
          <w:lang w:eastAsia="zh-CN"/>
          <w14:textFill>
            <w14:solidFill>
              <w14:schemeClr w14:val="tx1"/>
            </w14:solidFill>
          </w14:textFill>
        </w:rPr>
        <w:t>城乡社区支出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115.7万元，</w:t>
      </w:r>
      <w:r>
        <w:rPr>
          <w:rFonts w:hint="eastAsia" w:ascii="黑体" w:hAnsi="黑体" w:eastAsia="黑体" w:cs="黑体"/>
          <w:b w:val="0"/>
          <w:bCs w:val="0"/>
          <w:color w:val="000000" w:themeColor="text1"/>
          <w:sz w:val="32"/>
          <w:szCs w:val="32"/>
          <w14:textFill>
            <w14:solidFill>
              <w14:schemeClr w14:val="tx1"/>
            </w14:solidFill>
          </w14:textFill>
        </w:rPr>
        <w:t>占</w:t>
      </w:r>
      <w:r>
        <w:rPr>
          <w:rFonts w:hint="eastAsia" w:ascii="黑体" w:hAnsi="黑体" w:eastAsia="黑体" w:cs="黑体"/>
          <w:b w:val="0"/>
          <w:bCs w:val="0"/>
          <w:color w:val="000000" w:themeColor="text1"/>
          <w:sz w:val="32"/>
          <w:szCs w:val="32"/>
          <w:lang w:val="en-US" w:eastAsia="zh-CN"/>
          <w14:textFill>
            <w14:solidFill>
              <w14:schemeClr w14:val="tx1"/>
            </w14:solidFill>
          </w14:textFill>
        </w:rPr>
        <w:t>3.57</w:t>
      </w:r>
      <w:r>
        <w:rPr>
          <w:rFonts w:hint="eastAsia" w:ascii="黑体" w:hAnsi="黑体" w:eastAsia="黑体" w:cs="黑体"/>
          <w:b w:val="0"/>
          <w:bCs w:val="0"/>
          <w:color w:val="000000" w:themeColor="text1"/>
          <w:sz w:val="32"/>
          <w:szCs w:val="32"/>
          <w14:textFill>
            <w14:solidFill>
              <w14:schemeClr w14:val="tx1"/>
            </w14:solidFill>
          </w14:textFill>
        </w:rPr>
        <w:t>%；</w:t>
      </w:r>
      <w:r>
        <w:rPr>
          <w:rFonts w:hint="eastAsia" w:ascii="黑体" w:hAnsi="黑体" w:eastAsia="黑体" w:cs="黑体"/>
          <w:b w:val="0"/>
          <w:bCs w:val="0"/>
          <w:color w:val="000000" w:themeColor="text1"/>
          <w:sz w:val="32"/>
          <w:szCs w:val="32"/>
          <w:lang w:val="en-US" w:eastAsia="zh-CN"/>
          <w14:textFill>
            <w14:solidFill>
              <w14:schemeClr w14:val="tx1"/>
            </w14:solidFill>
          </w14:textFill>
        </w:rPr>
        <w:t>农林水支出1622.2万元，</w:t>
      </w:r>
      <w:r>
        <w:rPr>
          <w:rFonts w:hint="eastAsia" w:ascii="黑体" w:hAnsi="黑体" w:eastAsia="黑体" w:cs="黑体"/>
          <w:b w:val="0"/>
          <w:bCs w:val="0"/>
          <w:color w:val="000000" w:themeColor="text1"/>
          <w:sz w:val="32"/>
          <w:szCs w:val="32"/>
          <w14:textFill>
            <w14:solidFill>
              <w14:schemeClr w14:val="tx1"/>
            </w14:solidFill>
          </w14:textFill>
        </w:rPr>
        <w:t>占</w:t>
      </w:r>
      <w:r>
        <w:rPr>
          <w:rFonts w:hint="eastAsia" w:ascii="黑体" w:hAnsi="黑体" w:eastAsia="黑体" w:cs="黑体"/>
          <w:b w:val="0"/>
          <w:bCs w:val="0"/>
          <w:color w:val="000000" w:themeColor="text1"/>
          <w:sz w:val="32"/>
          <w:szCs w:val="32"/>
          <w:lang w:val="en-US" w:eastAsia="zh-CN"/>
          <w14:textFill>
            <w14:solidFill>
              <w14:schemeClr w14:val="tx1"/>
            </w14:solidFill>
          </w14:textFill>
        </w:rPr>
        <w:t>50.03</w:t>
      </w:r>
      <w:r>
        <w:rPr>
          <w:rFonts w:hint="eastAsia" w:ascii="黑体" w:hAnsi="黑体" w:eastAsia="黑体" w:cs="黑体"/>
          <w:b w:val="0"/>
          <w:bCs w:val="0"/>
          <w:color w:val="000000" w:themeColor="text1"/>
          <w:sz w:val="32"/>
          <w:szCs w:val="32"/>
          <w14:textFill>
            <w14:solidFill>
              <w14:schemeClr w14:val="tx1"/>
            </w14:solidFill>
          </w14:textFill>
        </w:rPr>
        <w:t>%；</w:t>
      </w:r>
      <w:r>
        <w:rPr>
          <w:rFonts w:hint="eastAsia" w:ascii="黑体" w:hAnsi="黑体" w:eastAsia="黑体" w:cs="黑体"/>
          <w:b w:val="0"/>
          <w:bCs w:val="0"/>
          <w:color w:val="000000" w:themeColor="text1"/>
          <w:sz w:val="32"/>
          <w:szCs w:val="32"/>
          <w:lang w:val="en-US" w:eastAsia="zh-CN"/>
          <w14:textFill>
            <w14:solidFill>
              <w14:schemeClr w14:val="tx1"/>
            </w14:solidFill>
          </w14:textFill>
        </w:rPr>
        <w:t>交通运输支出7万元，</w:t>
      </w:r>
      <w:r>
        <w:rPr>
          <w:rFonts w:hint="eastAsia" w:ascii="黑体" w:hAnsi="黑体" w:eastAsia="黑体" w:cs="黑体"/>
          <w:b w:val="0"/>
          <w:bCs w:val="0"/>
          <w:color w:val="000000" w:themeColor="text1"/>
          <w:sz w:val="32"/>
          <w:szCs w:val="32"/>
          <w14:textFill>
            <w14:solidFill>
              <w14:schemeClr w14:val="tx1"/>
            </w14:solidFill>
          </w14:textFill>
        </w:rPr>
        <w:t>占</w:t>
      </w:r>
      <w:r>
        <w:rPr>
          <w:rFonts w:hint="eastAsia" w:ascii="黑体" w:hAnsi="黑体" w:eastAsia="黑体" w:cs="黑体"/>
          <w:b w:val="0"/>
          <w:bCs w:val="0"/>
          <w:color w:val="000000" w:themeColor="text1"/>
          <w:sz w:val="32"/>
          <w:szCs w:val="32"/>
          <w:lang w:val="en-US" w:eastAsia="zh-CN"/>
          <w14:textFill>
            <w14:solidFill>
              <w14:schemeClr w14:val="tx1"/>
            </w14:solidFill>
          </w14:textFill>
        </w:rPr>
        <w:t>0.22</w:t>
      </w:r>
      <w:r>
        <w:rPr>
          <w:rFonts w:hint="eastAsia" w:ascii="黑体" w:hAnsi="黑体" w:eastAsia="黑体" w:cs="黑体"/>
          <w:b w:val="0"/>
          <w:bCs w:val="0"/>
          <w:color w:val="000000" w:themeColor="text1"/>
          <w:sz w:val="32"/>
          <w:szCs w:val="32"/>
          <w14:textFill>
            <w14:solidFill>
              <w14:schemeClr w14:val="tx1"/>
            </w14:solidFill>
          </w14:textFill>
        </w:rPr>
        <w:t>%；住房保障支出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95.17</w:t>
      </w:r>
      <w:r>
        <w:rPr>
          <w:rFonts w:hint="eastAsia" w:ascii="黑体" w:hAnsi="黑体" w:eastAsia="黑体" w:cs="黑体"/>
          <w:b w:val="0"/>
          <w:bCs w:val="0"/>
          <w:color w:val="000000" w:themeColor="text1"/>
          <w:sz w:val="32"/>
          <w:szCs w:val="32"/>
          <w14:textFill>
            <w14:solidFill>
              <w14:schemeClr w14:val="tx1"/>
            </w14:solidFill>
          </w14:textFill>
        </w:rPr>
        <w:t>万元，占</w:t>
      </w:r>
      <w:r>
        <w:rPr>
          <w:rFonts w:hint="eastAsia" w:ascii="黑体" w:hAnsi="黑体" w:eastAsia="黑体" w:cs="黑体"/>
          <w:b w:val="0"/>
          <w:bCs w:val="0"/>
          <w:color w:val="000000" w:themeColor="text1"/>
          <w:sz w:val="32"/>
          <w:szCs w:val="32"/>
          <w:lang w:val="en-US" w:eastAsia="zh-CN"/>
          <w14:textFill>
            <w14:solidFill>
              <w14:schemeClr w14:val="tx1"/>
            </w14:solidFill>
          </w14:textFill>
        </w:rPr>
        <w:t>2.94</w:t>
      </w:r>
      <w:r>
        <w:rPr>
          <w:rFonts w:hint="eastAsia" w:ascii="黑体" w:hAnsi="黑体" w:eastAsia="黑体" w:cs="黑体"/>
          <w:b w:val="0"/>
          <w:bCs w:val="0"/>
          <w:color w:val="000000" w:themeColor="text1"/>
          <w:sz w:val="32"/>
          <w:szCs w:val="32"/>
          <w14:textFill>
            <w14:solidFill>
              <w14:schemeClr w14:val="tx1"/>
            </w14:solidFill>
          </w14:textFill>
        </w:rPr>
        <w:t>%。</w:t>
      </w:r>
    </w:p>
    <w:p>
      <w:pPr>
        <w:spacing w:line="600" w:lineRule="exact"/>
        <w:ind w:firstLine="614" w:firstLineChars="192"/>
        <w:rPr>
          <w:rFonts w:hint="eastAsia" w:ascii="黑体" w:hAnsi="黑体" w:eastAsia="黑体" w:cs="黑体"/>
          <w:b w:val="0"/>
          <w:bCs w:val="0"/>
          <w:sz w:val="32"/>
          <w:szCs w:val="32"/>
        </w:rPr>
      </w:pPr>
      <w:r>
        <w:rPr>
          <w:rFonts w:hint="eastAsia" w:ascii="黑体" w:hAnsi="黑体" w:eastAsia="黑体" w:cs="黑体"/>
          <w:b w:val="0"/>
          <w:bCs w:val="0"/>
          <w:sz w:val="32"/>
          <w:szCs w:val="32"/>
        </w:rPr>
        <w:t>（三）一般公共预算当年拨款具体使用情况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right="0" w:firstLine="640" w:firstLineChars="200"/>
        <w:jc w:val="left"/>
        <w:textAlignment w:val="center"/>
        <w:rPr>
          <w:rFonts w:hint="eastAsia" w:ascii="黑体" w:hAnsi="黑体" w:eastAsia="黑体" w:cs="黑体"/>
          <w:b w:val="0"/>
          <w:bCs w:val="0"/>
          <w:i w:val="0"/>
          <w:caps w:val="0"/>
          <w:color w:val="000000" w:themeColor="text1"/>
          <w:spacing w:val="0"/>
          <w:sz w:val="24"/>
          <w:szCs w:val="24"/>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一般公共服务支出（类）人大事务（款）人大会议（项）：2022年预算数为6万元，主要用于：人大代表活动会议的基本支出。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一般公共服务支出（类）政府办公厅(室)及相关机构事务（款）行政运行（项）：2022年预算数为578.62万元，主要用于：党政办、旅建办、执法办、社治办、乡村振兴办正常运转的基本支出，包括基本工资、津贴补贴等人员经费、办公费、印刷费、水电费等日常公用经费和其他政府办公厅(室)及相关机构事务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一般公共服务支出（类）政府办公厅(室)及相关机构事务（款）事业运行（项）：2022年预算数为144.5万元，主要用于：便民中心正常运转的基本支出，包括基本工资、津贴补贴等人员经费、办公费、印刷费、水电费等日常公用经费和其他政府办公厅(室)及相关机构事务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一般公共服务支出（类）政府办公厅(室)及相关机构事务（款）其他政府办公厅(室)及相关机构事务支出（项）：2022年预算数为4万元，主要用于：其他部门的人员工资、津补贴等人员经费以及开展日常工作的基本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sz w:val="24"/>
          <w:szCs w:val="24"/>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一般公共服务支出（类）发展与改革事务（款）行政运行（项）：2022年预算数为52.27万元，主要用于：经济与发展办公室人员工资、津补贴等人员经费以及开展日常工作的基本支出。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一般公共服务支出（类）财政事务（款）行政运行（项）：2022年预算数为115.5万元，主要用于：财政所机关人员工资、津补贴等人员经费以及开展日常工作的基本支出。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一般公共服务支出（类）商贸事务（款）事业运行（项）：2022年预算数为30.95万元，主要用于：产业中心人员工资、津补贴等人员经费以及开展日常工作的基本支出。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一般公共服务支出（类）群众团体事务（款）行政运行（项）：2020年预算数为17.86万元，主要用于：团委、妇联、工会等群众团体开展日常工作的基本支出。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一般公共服务支出（类）群众团体事务（款）一般行政管理事务（项）：2020年预算数为6万元，主要用于：乡镇关工委开展日常工作的基本支出。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一般公共服务支出（类）党委办公厅(室)及相关机构事务（款）行政运行（项）：2022年预算数为138.15万元，主要用于：镇党委机关、党建办人员工资、津补贴等人员经费以及开展日常工作的基本支出。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一般公共服务支出（类）党委办公厅(室)及相关机构事务（款）一般行政管理事务（项）：2022年预算数为4万元，主要用于：镇乡党代会常任制工作经费。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文化旅游体育与传媒支出（类）电影（款）电影（项）：2022年预算数为3.84万元，主要用于：老放映员人员补助。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社会保障和就业支出（类）人力资源和社会保障管理事务（款）事业运行（项）：2022年预算数为11.34万元，主要用于：镇农民工服务中心人员工资、津补贴等人员经费以及开展日常工作的基本支出。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社会保障和就业支出（类）民政管理事务（款）行政运行（项）：2022年预算数为48.26万元，主要用于：社会事务办公室人员工资、津补贴以及开展日常工作的基本支出。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社会保障和就业支出（类）民政管理事务（款）其他民政管理事务（项）：2022年预算数为36.52万元，主要用于：敬老院人员工资以及开展日常工作的基本支出。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社会保障和就业（类）行政事业单位离退休（款）机关事业单位基本养老保险缴费支出（项）：2022年预算数为126.89万元，主要用于：保障政府机关及所属事业单位人员基本养老保险缴费支出。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社会保障和就业（类）行政事业单位离退休（款）其他社会保障和就业支出（项）：2022年预算数为4.35万元，主要用于：保障政府机关及所属事业单位人员工伤、事业等其他社会保险缴费支出。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卫生健康支出（类）行政事业单位医疗（款）行政单位医疗（项）：2022年预算35.85万元，主要用于：保障政府机关的基本医疗保险缴费支出。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卫生健康支出（类）行政事业单位医疗（款）事业单位医疗（项）：2022年预算23.63万元，主要用于：保障事业单位的基本医疗保险缴费支出。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卫生健康支出（类）行政事业单位医疗（款）公务员医疗补助（项）：2022年预算13.6万元，主要用于：保障政府机关及事业单位的公务员医疗补助缴费支出。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城乡社区支出（类）城乡社区规划与管理（款）城乡社区规划与管理（项）：2022年预算数为75.7万元，主要用于：村镇建设综合服务中心人员工资、津补贴等人员经费以及开展日常工作的基本支出。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城乡社区支出（类）城乡社区环境卫生（款）城乡社区环境卫生（项）：2022年预算数为40万元，主要用于：城乡社区环境卫生管理相关支出。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农林水支出（类）农业（款）事业运行（项）：2022年预算数为150.25万元，主要用于：农业综合服务中心人员工资、津补贴等人员经费以及开展日常工作的基本支出。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农林水支出（类）扶贫（款）其他巩固脱贫衔接乡村振兴支出（项）：2022年预算数为32万元，主要用于：乡村振兴驻村工作经费支出。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农林水支出（类）农村综合改革（款）对村民委员会和党支部的补助（项）：2022年预算数为1439.95万元，主要用于：对村社干部、监委会主任的生活补助，以及村级组织运行及公共服务运行维护纳入年初预算部分用于村级开展日常工作的基本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交通运输支出（类）公路水路运输（款）公路和运输安全（项）：2022年预算数为7万元，主要用于对农村道路交通安全管理经费支出。</w:t>
      </w:r>
    </w:p>
    <w:p>
      <w:pPr>
        <w:spacing w:line="600" w:lineRule="exact"/>
        <w:ind w:left="147" w:leftChars="70" w:firstLine="480" w:firstLineChars="150"/>
        <w:rPr>
          <w:rFonts w:hint="eastAsia" w:ascii="黑体" w:hAnsi="黑体" w:eastAsia="黑体" w:cs="黑体"/>
          <w:b w:val="0"/>
          <w:bCs w:val="0"/>
          <w:color w:val="FF0000"/>
          <w:sz w:val="32"/>
          <w:szCs w:val="32"/>
          <w:u w:val="single"/>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住房保障支出（类）住房改革支出（款）住房公积金（项）：2022年预算数为95.17万元，主要用于：部门按人力资源和社会保障部、财政部规定的基本工资和津贴补贴以及规定比例为职工缴纳的住房公积金支出。</w:t>
      </w:r>
    </w:p>
    <w:p>
      <w:pPr>
        <w:spacing w:line="600" w:lineRule="exact"/>
        <w:ind w:left="147" w:leftChars="70" w:firstLine="480" w:firstLineChars="150"/>
        <w:rPr>
          <w:rFonts w:hint="eastAsia" w:ascii="黑体" w:hAnsi="黑体" w:eastAsia="黑体" w:cs="黑体"/>
          <w:b w:val="0"/>
          <w:bCs w:val="0"/>
          <w:sz w:val="32"/>
          <w:szCs w:val="32"/>
        </w:rPr>
      </w:pPr>
      <w:r>
        <w:rPr>
          <w:rFonts w:hint="eastAsia" w:ascii="黑体" w:hAnsi="黑体" w:eastAsia="黑体" w:cs="黑体"/>
          <w:b w:val="0"/>
          <w:bCs w:val="0"/>
          <w:sz w:val="32"/>
          <w:szCs w:val="32"/>
        </w:rPr>
        <w:t>五、一般公共预算基本支出情况说明</w:t>
      </w:r>
    </w:p>
    <w:p>
      <w:pPr>
        <w:spacing w:line="600" w:lineRule="exact"/>
        <w:ind w:left="147" w:leftChars="70" w:firstLine="480" w:firstLineChars="15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资阳市雁江区丹山镇人民政府</w:t>
      </w:r>
      <w:r>
        <w:rPr>
          <w:rFonts w:hint="eastAsia" w:ascii="黑体" w:hAnsi="黑体" w:eastAsia="黑体" w:cs="黑体"/>
          <w:b w:val="0"/>
          <w:bCs w:val="0"/>
          <w:color w:val="000000" w:themeColor="text1"/>
          <w:sz w:val="32"/>
          <w:szCs w:val="32"/>
          <w14:textFill>
            <w14:solidFill>
              <w14:schemeClr w14:val="tx1"/>
            </w14:solidFill>
          </w14:textFill>
        </w:rPr>
        <w:t>2022年一般公共预算基本支出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1426.75</w:t>
      </w:r>
      <w:r>
        <w:rPr>
          <w:rFonts w:hint="eastAsia" w:ascii="黑体" w:hAnsi="黑体" w:eastAsia="黑体" w:cs="黑体"/>
          <w:b w:val="0"/>
          <w:bCs w:val="0"/>
          <w:color w:val="000000" w:themeColor="text1"/>
          <w:sz w:val="32"/>
          <w:szCs w:val="32"/>
          <w14:textFill>
            <w14:solidFill>
              <w14:schemeClr w14:val="tx1"/>
            </w14:solidFill>
          </w14:textFill>
        </w:rPr>
        <w:t>万元，其中：</w:t>
      </w:r>
    </w:p>
    <w:p>
      <w:pPr>
        <w:spacing w:line="600" w:lineRule="exact"/>
        <w:ind w:left="147" w:leftChars="70" w:firstLine="480" w:firstLineChars="15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人员经费</w:t>
      </w:r>
      <w:r>
        <w:rPr>
          <w:rFonts w:hint="eastAsia" w:ascii="黑体" w:hAnsi="黑体" w:eastAsia="黑体" w:cs="黑体"/>
          <w:b w:val="0"/>
          <w:bCs w:val="0"/>
          <w:color w:val="000000" w:themeColor="text1"/>
          <w:sz w:val="32"/>
          <w:szCs w:val="32"/>
          <w:lang w:val="en-US" w:eastAsia="zh-CN"/>
          <w14:textFill>
            <w14:solidFill>
              <w14:schemeClr w14:val="tx1"/>
            </w14:solidFill>
          </w14:textFill>
        </w:rPr>
        <w:t>1121.39</w:t>
      </w:r>
      <w:r>
        <w:rPr>
          <w:rFonts w:hint="eastAsia" w:ascii="黑体" w:hAnsi="黑体" w:eastAsia="黑体" w:cs="黑体"/>
          <w:b w:val="0"/>
          <w:bCs w:val="0"/>
          <w:color w:val="000000" w:themeColor="text1"/>
          <w:sz w:val="32"/>
          <w:szCs w:val="32"/>
          <w14:textFill>
            <w14:solidFill>
              <w14:schemeClr w14:val="tx1"/>
            </w14:solidFill>
          </w14:textFill>
        </w:rPr>
        <w:t>万元，主要包括：基本工资、津贴补贴、</w:t>
      </w:r>
      <w:r>
        <w:rPr>
          <w:rFonts w:hint="eastAsia" w:ascii="黑体" w:hAnsi="黑体" w:eastAsia="黑体" w:cs="黑体"/>
          <w:b w:val="0"/>
          <w:bCs w:val="0"/>
          <w:color w:val="000000" w:themeColor="text1"/>
          <w:sz w:val="32"/>
          <w:szCs w:val="32"/>
          <w:lang w:eastAsia="zh-CN"/>
          <w14:textFill>
            <w14:solidFill>
              <w14:schemeClr w14:val="tx1"/>
            </w14:solidFill>
          </w14:textFill>
        </w:rPr>
        <w:t>住房公积金、</w:t>
      </w:r>
      <w:r>
        <w:rPr>
          <w:rFonts w:hint="eastAsia" w:ascii="黑体" w:hAnsi="黑体" w:eastAsia="黑体" w:cs="黑体"/>
          <w:b w:val="0"/>
          <w:bCs w:val="0"/>
          <w:color w:val="000000" w:themeColor="text1"/>
          <w:sz w:val="32"/>
          <w:szCs w:val="32"/>
          <w14:textFill>
            <w14:solidFill>
              <w14:schemeClr w14:val="tx1"/>
            </w14:solidFill>
          </w14:textFill>
        </w:rPr>
        <w:t>社会保险缴费等。</w:t>
      </w:r>
    </w:p>
    <w:p>
      <w:pPr>
        <w:spacing w:line="600" w:lineRule="exact"/>
        <w:ind w:left="147" w:leftChars="70" w:firstLine="480" w:firstLineChars="150"/>
        <w:rPr>
          <w:rFonts w:hint="eastAsia" w:ascii="黑体" w:hAnsi="黑体" w:eastAsia="黑体" w:cs="黑体"/>
          <w:b w:val="0"/>
          <w:bCs w:val="0"/>
          <w:sz w:val="32"/>
          <w:szCs w:val="32"/>
        </w:rPr>
      </w:pPr>
      <w:r>
        <w:rPr>
          <w:rFonts w:hint="eastAsia" w:ascii="黑体" w:hAnsi="黑体" w:eastAsia="黑体" w:cs="黑体"/>
          <w:b w:val="0"/>
          <w:bCs w:val="0"/>
          <w:color w:val="000000" w:themeColor="text1"/>
          <w:sz w:val="32"/>
          <w:szCs w:val="32"/>
          <w14:textFill>
            <w14:solidFill>
              <w14:schemeClr w14:val="tx1"/>
            </w14:solidFill>
          </w14:textFill>
        </w:rPr>
        <w:t>公用经费</w:t>
      </w:r>
      <w:r>
        <w:rPr>
          <w:rFonts w:hint="eastAsia" w:ascii="黑体" w:hAnsi="黑体" w:eastAsia="黑体" w:cs="黑体"/>
          <w:b w:val="0"/>
          <w:bCs w:val="0"/>
          <w:color w:val="000000" w:themeColor="text1"/>
          <w:sz w:val="32"/>
          <w:szCs w:val="32"/>
          <w:lang w:val="en-US" w:eastAsia="zh-CN"/>
          <w14:textFill>
            <w14:solidFill>
              <w14:schemeClr w14:val="tx1"/>
            </w14:solidFill>
          </w14:textFill>
        </w:rPr>
        <w:t>305.36</w:t>
      </w:r>
      <w:r>
        <w:rPr>
          <w:rFonts w:hint="eastAsia" w:ascii="黑体" w:hAnsi="黑体" w:eastAsia="黑体" w:cs="黑体"/>
          <w:b w:val="0"/>
          <w:bCs w:val="0"/>
          <w:color w:val="000000" w:themeColor="text1"/>
          <w:sz w:val="32"/>
          <w:szCs w:val="32"/>
          <w14:textFill>
            <w14:solidFill>
              <w14:schemeClr w14:val="tx1"/>
            </w14:solidFill>
          </w14:textFill>
        </w:rPr>
        <w:t>万元，主要包括：办公费、水费、电费、邮电费、印刷费、差旅费、维修（护）费、劳务费</w:t>
      </w:r>
      <w:r>
        <w:rPr>
          <w:rFonts w:hint="eastAsia" w:ascii="黑体" w:hAnsi="黑体" w:eastAsia="黑体" w:cs="黑体"/>
          <w:b w:val="0"/>
          <w:bCs w:val="0"/>
          <w:color w:val="000000" w:themeColor="text1"/>
          <w:sz w:val="32"/>
          <w:szCs w:val="32"/>
          <w:lang w:eastAsia="zh-CN"/>
          <w14:textFill>
            <w14:solidFill>
              <w14:schemeClr w14:val="tx1"/>
            </w14:solidFill>
          </w14:textFill>
        </w:rPr>
        <w:t>、公务接待费、会议费</w:t>
      </w:r>
      <w:r>
        <w:rPr>
          <w:rFonts w:hint="eastAsia" w:ascii="黑体" w:hAnsi="黑体" w:eastAsia="黑体" w:cs="黑体"/>
          <w:b w:val="0"/>
          <w:bCs w:val="0"/>
          <w:color w:val="000000" w:themeColor="text1"/>
          <w:sz w:val="32"/>
          <w:szCs w:val="32"/>
          <w14:textFill>
            <w14:solidFill>
              <w14:schemeClr w14:val="tx1"/>
            </w14:solidFill>
          </w14:textFill>
        </w:rPr>
        <w:t>等。</w:t>
      </w:r>
    </w:p>
    <w:p>
      <w:pPr>
        <w:spacing w:line="600" w:lineRule="exact"/>
        <w:ind w:left="147" w:leftChars="70" w:firstLine="640" w:firstLineChars="200"/>
        <w:rPr>
          <w:rFonts w:hint="eastAsia" w:ascii="黑体" w:hAnsi="黑体" w:eastAsia="黑体" w:cs="黑体"/>
          <w:b w:val="0"/>
          <w:bCs w:val="0"/>
          <w:color w:val="FF0000"/>
          <w:sz w:val="32"/>
          <w:szCs w:val="32"/>
        </w:rPr>
      </w:pPr>
      <w:r>
        <w:rPr>
          <w:rFonts w:hint="eastAsia" w:ascii="黑体" w:hAnsi="黑体" w:eastAsia="黑体" w:cs="黑体"/>
          <w:b w:val="0"/>
          <w:bCs w:val="0"/>
          <w:sz w:val="32"/>
          <w:szCs w:val="32"/>
        </w:rPr>
        <w:t>六、“三公”经费财政拨款预算安排情况说明</w:t>
      </w:r>
    </w:p>
    <w:p>
      <w:pPr>
        <w:spacing w:line="600" w:lineRule="exact"/>
        <w:ind w:left="147" w:leftChars="70" w:firstLine="640" w:firstLineChars="200"/>
        <w:rPr>
          <w:rFonts w:hint="eastAsia" w:ascii="黑体" w:hAnsi="黑体" w:eastAsia="黑体" w:cs="黑体"/>
          <w:b w:val="0"/>
          <w:bCs w:val="0"/>
          <w:sz w:val="32"/>
          <w:szCs w:val="32"/>
        </w:rPr>
      </w:pPr>
      <w:r>
        <w:rPr>
          <w:rFonts w:hint="eastAsia" w:ascii="黑体" w:hAnsi="黑体" w:eastAsia="黑体" w:cs="黑体"/>
          <w:b w:val="0"/>
          <w:bCs w:val="0"/>
          <w:color w:val="000000" w:themeColor="text1"/>
          <w:sz w:val="32"/>
          <w:szCs w:val="32"/>
          <w:lang w:eastAsia="zh-CN"/>
          <w14:textFill>
            <w14:solidFill>
              <w14:schemeClr w14:val="tx1"/>
            </w14:solidFill>
          </w14:textFill>
        </w:rPr>
        <w:t>资阳市雁江区丹山镇人民政府</w:t>
      </w:r>
      <w:r>
        <w:rPr>
          <w:rFonts w:hint="eastAsia" w:ascii="黑体" w:hAnsi="黑体" w:eastAsia="黑体" w:cs="黑体"/>
          <w:b w:val="0"/>
          <w:bCs w:val="0"/>
          <w:color w:val="000000" w:themeColor="text1"/>
          <w:sz w:val="32"/>
          <w:szCs w:val="32"/>
          <w14:textFill>
            <w14:solidFill>
              <w14:schemeClr w14:val="tx1"/>
            </w14:solidFill>
          </w14:textFill>
        </w:rPr>
        <w:t>2022年“三公”经费财政拨款预算数</w:t>
      </w:r>
      <w:r>
        <w:rPr>
          <w:rFonts w:hint="eastAsia" w:ascii="黑体" w:hAnsi="黑体" w:eastAsia="黑体" w:cs="黑体"/>
          <w:b w:val="0"/>
          <w:bCs w:val="0"/>
          <w:color w:val="000000" w:themeColor="text1"/>
          <w:sz w:val="32"/>
          <w:szCs w:val="32"/>
          <w:lang w:val="en-US" w:eastAsia="zh-CN"/>
          <w14:textFill>
            <w14:solidFill>
              <w14:schemeClr w14:val="tx1"/>
            </w14:solidFill>
          </w14:textFill>
        </w:rPr>
        <w:t>111</w:t>
      </w:r>
      <w:r>
        <w:rPr>
          <w:rFonts w:hint="eastAsia" w:ascii="黑体" w:hAnsi="黑体" w:eastAsia="黑体" w:cs="黑体"/>
          <w:b w:val="0"/>
          <w:bCs w:val="0"/>
          <w:color w:val="000000" w:themeColor="text1"/>
          <w:sz w:val="32"/>
          <w:szCs w:val="32"/>
          <w14:textFill>
            <w14:solidFill>
              <w14:schemeClr w14:val="tx1"/>
            </w14:solidFill>
          </w14:textFill>
        </w:rPr>
        <w:t>万元，其中：因公出国（境）经费</w:t>
      </w:r>
      <w:r>
        <w:rPr>
          <w:rFonts w:hint="eastAsia" w:ascii="黑体" w:hAnsi="黑体" w:eastAsia="黑体" w:cs="黑体"/>
          <w:b w:val="0"/>
          <w:bCs w:val="0"/>
          <w:color w:val="000000" w:themeColor="text1"/>
          <w:sz w:val="32"/>
          <w:szCs w:val="32"/>
          <w:lang w:val="en-US" w:eastAsia="zh-CN"/>
          <w14:textFill>
            <w14:solidFill>
              <w14:schemeClr w14:val="tx1"/>
            </w14:solidFill>
          </w14:textFill>
        </w:rPr>
        <w:t>0</w:t>
      </w:r>
      <w:r>
        <w:rPr>
          <w:rFonts w:hint="eastAsia" w:ascii="黑体" w:hAnsi="黑体" w:eastAsia="黑体" w:cs="黑体"/>
          <w:b w:val="0"/>
          <w:bCs w:val="0"/>
          <w:color w:val="000000" w:themeColor="text1"/>
          <w:sz w:val="32"/>
          <w:szCs w:val="32"/>
          <w14:textFill>
            <w14:solidFill>
              <w14:schemeClr w14:val="tx1"/>
            </w14:solidFill>
          </w14:textFill>
        </w:rPr>
        <w:t>万元，公务接待费</w:t>
      </w:r>
      <w:r>
        <w:rPr>
          <w:rFonts w:hint="eastAsia" w:ascii="黑体" w:hAnsi="黑体" w:eastAsia="黑体" w:cs="黑体"/>
          <w:b w:val="0"/>
          <w:bCs w:val="0"/>
          <w:color w:val="000000" w:themeColor="text1"/>
          <w:sz w:val="32"/>
          <w:szCs w:val="32"/>
          <w:lang w:val="en-US" w:eastAsia="zh-CN"/>
          <w14:textFill>
            <w14:solidFill>
              <w14:schemeClr w14:val="tx1"/>
            </w14:solidFill>
          </w14:textFill>
        </w:rPr>
        <w:t>55</w:t>
      </w:r>
      <w:r>
        <w:rPr>
          <w:rFonts w:hint="eastAsia" w:ascii="黑体" w:hAnsi="黑体" w:eastAsia="黑体" w:cs="黑体"/>
          <w:b w:val="0"/>
          <w:bCs w:val="0"/>
          <w:color w:val="000000" w:themeColor="text1"/>
          <w:sz w:val="32"/>
          <w:szCs w:val="32"/>
          <w14:textFill>
            <w14:solidFill>
              <w14:schemeClr w14:val="tx1"/>
            </w14:solidFill>
          </w14:textFill>
        </w:rPr>
        <w:t>万元，公务用车购置及运行维护费</w:t>
      </w:r>
      <w:r>
        <w:rPr>
          <w:rFonts w:hint="eastAsia" w:ascii="黑体" w:hAnsi="黑体" w:eastAsia="黑体" w:cs="黑体"/>
          <w:b w:val="0"/>
          <w:bCs w:val="0"/>
          <w:color w:val="000000" w:themeColor="text1"/>
          <w:sz w:val="32"/>
          <w:szCs w:val="32"/>
          <w:lang w:val="en-US" w:eastAsia="zh-CN"/>
          <w14:textFill>
            <w14:solidFill>
              <w14:schemeClr w14:val="tx1"/>
            </w14:solidFill>
          </w14:textFill>
        </w:rPr>
        <w:t>56</w:t>
      </w:r>
      <w:r>
        <w:rPr>
          <w:rFonts w:hint="eastAsia" w:ascii="黑体" w:hAnsi="黑体" w:eastAsia="黑体" w:cs="黑体"/>
          <w:b w:val="0"/>
          <w:bCs w:val="0"/>
          <w:color w:val="000000" w:themeColor="text1"/>
          <w:sz w:val="32"/>
          <w:szCs w:val="32"/>
          <w14:textFill>
            <w14:solidFill>
              <w14:schemeClr w14:val="tx1"/>
            </w14:solidFill>
          </w14:textFill>
        </w:rPr>
        <w:t>万元。</w:t>
      </w:r>
    </w:p>
    <w:p>
      <w:pPr>
        <w:spacing w:line="600" w:lineRule="exact"/>
        <w:ind w:left="147" w:leftChars="70" w:firstLine="480" w:firstLineChars="15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sz w:val="32"/>
          <w:szCs w:val="32"/>
        </w:rPr>
        <w:t>（一）</w:t>
      </w:r>
      <w:r>
        <w:rPr>
          <w:rFonts w:hint="eastAsia" w:ascii="黑体" w:hAnsi="黑体" w:eastAsia="黑体" w:cs="黑体"/>
          <w:b w:val="0"/>
          <w:bCs w:val="0"/>
          <w:color w:val="000000" w:themeColor="text1"/>
          <w:sz w:val="32"/>
          <w:szCs w:val="32"/>
          <w14:textFill>
            <w14:solidFill>
              <w14:schemeClr w14:val="tx1"/>
            </w14:solidFill>
          </w14:textFill>
        </w:rPr>
        <w:t>因公出国（境）经费较2021年预算持平。主要原因是</w:t>
      </w:r>
      <w:r>
        <w:rPr>
          <w:rFonts w:hint="eastAsia" w:ascii="黑体" w:hAnsi="黑体" w:eastAsia="黑体" w:cs="黑体"/>
          <w:b w:val="0"/>
          <w:bCs w:val="0"/>
          <w:color w:val="000000" w:themeColor="text1"/>
          <w:sz w:val="32"/>
          <w:szCs w:val="32"/>
          <w:lang w:eastAsia="zh-CN"/>
          <w14:textFill>
            <w14:solidFill>
              <w14:schemeClr w14:val="tx1"/>
            </w14:solidFill>
          </w14:textFill>
        </w:rPr>
        <w:t>均无因公出国（镜）经费预算</w:t>
      </w:r>
      <w:r>
        <w:rPr>
          <w:rFonts w:hint="eastAsia" w:ascii="黑体" w:hAnsi="黑体" w:eastAsia="黑体" w:cs="黑体"/>
          <w:b w:val="0"/>
          <w:bCs w:val="0"/>
          <w:color w:val="000000" w:themeColor="text1"/>
          <w:sz w:val="32"/>
          <w:szCs w:val="32"/>
          <w14:textFill>
            <w14:solidFill>
              <w14:schemeClr w14:val="tx1"/>
            </w14:solidFill>
          </w14:textFill>
        </w:rPr>
        <w:t>。</w:t>
      </w:r>
    </w:p>
    <w:p>
      <w:pPr>
        <w:spacing w:line="600" w:lineRule="exact"/>
        <w:ind w:left="147" w:leftChars="70" w:firstLine="480" w:firstLineChars="150"/>
        <w:rPr>
          <w:rFonts w:hint="eastAsia" w:ascii="黑体" w:hAnsi="黑体" w:eastAsia="黑体" w:cs="黑体"/>
          <w:b w:val="0"/>
          <w:bCs w:val="0"/>
          <w:sz w:val="32"/>
          <w:szCs w:val="32"/>
        </w:rPr>
      </w:pPr>
      <w:r>
        <w:rPr>
          <w:rFonts w:hint="eastAsia" w:ascii="黑体" w:hAnsi="黑体" w:eastAsia="黑体" w:cs="黑体"/>
          <w:b w:val="0"/>
          <w:bCs w:val="0"/>
          <w:color w:val="000000" w:themeColor="text1"/>
          <w:sz w:val="32"/>
          <w:szCs w:val="32"/>
          <w14:textFill>
            <w14:solidFill>
              <w14:schemeClr w14:val="tx1"/>
            </w14:solidFill>
          </w14:textFill>
        </w:rPr>
        <w:t>本年度拟安排出国（境）</w:t>
      </w:r>
      <w:r>
        <w:rPr>
          <w:rFonts w:hint="eastAsia" w:ascii="黑体" w:hAnsi="黑体" w:eastAsia="黑体" w:cs="黑体"/>
          <w:b w:val="0"/>
          <w:bCs w:val="0"/>
          <w:color w:val="000000" w:themeColor="text1"/>
          <w:sz w:val="32"/>
          <w:szCs w:val="32"/>
          <w:lang w:val="en-US" w:eastAsia="zh-CN"/>
          <w14:textFill>
            <w14:solidFill>
              <w14:schemeClr w14:val="tx1"/>
            </w14:solidFill>
          </w14:textFill>
        </w:rPr>
        <w:t>0</w:t>
      </w:r>
      <w:r>
        <w:rPr>
          <w:rFonts w:hint="eastAsia" w:ascii="黑体" w:hAnsi="黑体" w:eastAsia="黑体" w:cs="黑体"/>
          <w:b w:val="0"/>
          <w:bCs w:val="0"/>
          <w:color w:val="000000" w:themeColor="text1"/>
          <w:sz w:val="32"/>
          <w:szCs w:val="32"/>
          <w14:textFill>
            <w14:solidFill>
              <w14:schemeClr w14:val="tx1"/>
            </w14:solidFill>
          </w14:textFill>
        </w:rPr>
        <w:t>人次。</w:t>
      </w:r>
    </w:p>
    <w:p>
      <w:pPr>
        <w:spacing w:line="600" w:lineRule="exact"/>
        <w:ind w:left="147" w:leftChars="70" w:firstLine="480" w:firstLineChars="15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sz w:val="32"/>
          <w:szCs w:val="32"/>
        </w:rPr>
        <w:t>（二）</w:t>
      </w:r>
      <w:r>
        <w:rPr>
          <w:rFonts w:hint="eastAsia" w:ascii="黑体" w:hAnsi="黑体" w:eastAsia="黑体" w:cs="黑体"/>
          <w:b w:val="0"/>
          <w:bCs w:val="0"/>
          <w:color w:val="000000" w:themeColor="text1"/>
          <w:sz w:val="32"/>
          <w:szCs w:val="32"/>
          <w14:textFill>
            <w14:solidFill>
              <w14:schemeClr w14:val="tx1"/>
            </w14:solidFill>
          </w14:textFill>
        </w:rPr>
        <w:t>公务接待费较2021年预算</w:t>
      </w:r>
      <w:r>
        <w:rPr>
          <w:rFonts w:hint="eastAsia" w:ascii="黑体" w:hAnsi="黑体" w:eastAsia="黑体" w:cs="黑体"/>
          <w:b w:val="0"/>
          <w:bCs w:val="0"/>
          <w:color w:val="000000" w:themeColor="text1"/>
          <w:sz w:val="32"/>
          <w:szCs w:val="32"/>
          <w:lang w:val="en-US" w:eastAsia="zh-CN"/>
          <w14:textFill>
            <w14:solidFill>
              <w14:schemeClr w14:val="tx1"/>
            </w14:solidFill>
          </w14:textFill>
        </w:rPr>
        <w:t>增加137.5</w:t>
      </w:r>
      <w:r>
        <w:rPr>
          <w:rFonts w:hint="eastAsia" w:ascii="黑体" w:hAnsi="黑体" w:eastAsia="黑体" w:cs="黑体"/>
          <w:b w:val="0"/>
          <w:bCs w:val="0"/>
          <w:color w:val="000000" w:themeColor="text1"/>
          <w:sz w:val="32"/>
          <w:szCs w:val="32"/>
          <w14:textFill>
            <w14:solidFill>
              <w14:schemeClr w14:val="tx1"/>
            </w14:solidFill>
          </w14:textFill>
        </w:rPr>
        <w:t>%。主要原因是</w:t>
      </w:r>
      <w:r>
        <w:rPr>
          <w:rFonts w:hint="eastAsia" w:ascii="黑体" w:hAnsi="黑体" w:eastAsia="黑体" w:cs="黑体"/>
          <w:b w:val="0"/>
          <w:bCs w:val="0"/>
          <w:color w:val="000000" w:themeColor="text1"/>
          <w:sz w:val="32"/>
          <w:szCs w:val="32"/>
          <w:lang w:val="en-US" w:eastAsia="zh-CN"/>
          <w14:textFill>
            <w14:solidFill>
              <w14:schemeClr w14:val="tx1"/>
            </w14:solidFill>
          </w14:textFill>
        </w:rPr>
        <w:t>行政区划调整后，丹山镇增大，公务检查接待较区划调整前大幅度增加</w:t>
      </w:r>
      <w:r>
        <w:rPr>
          <w:rFonts w:hint="eastAsia" w:ascii="黑体" w:hAnsi="黑体" w:eastAsia="黑体" w:cs="黑体"/>
          <w:b w:val="0"/>
          <w:bCs w:val="0"/>
          <w:i w:val="0"/>
          <w:caps w:val="0"/>
          <w:color w:val="000000" w:themeColor="text1"/>
          <w:spacing w:val="0"/>
          <w:sz w:val="32"/>
          <w:szCs w:val="32"/>
          <w:shd w:val="clear" w:color="auto" w:fill="FFFFFF"/>
          <w14:textFill>
            <w14:solidFill>
              <w14:schemeClr w14:val="tx1"/>
            </w14:solidFill>
          </w14:textFill>
        </w:rPr>
        <w:t>。</w:t>
      </w:r>
    </w:p>
    <w:p>
      <w:pPr>
        <w:spacing w:line="600" w:lineRule="exact"/>
        <w:ind w:left="147" w:leftChars="70" w:firstLine="800" w:firstLineChars="250"/>
        <w:rPr>
          <w:rFonts w:hint="eastAsia" w:ascii="黑体" w:hAnsi="黑体" w:eastAsia="黑体" w:cs="黑体"/>
          <w:b w:val="0"/>
          <w:bCs w:val="0"/>
          <w:sz w:val="32"/>
          <w:szCs w:val="32"/>
        </w:rPr>
      </w:pPr>
      <w:r>
        <w:rPr>
          <w:rFonts w:hint="eastAsia" w:ascii="黑体" w:hAnsi="黑体" w:eastAsia="黑体" w:cs="黑体"/>
          <w:b w:val="0"/>
          <w:bCs w:val="0"/>
          <w:color w:val="000000" w:themeColor="text1"/>
          <w:sz w:val="32"/>
          <w:szCs w:val="32"/>
          <w14:textFill>
            <w14:solidFill>
              <w14:schemeClr w14:val="tx1"/>
            </w14:solidFill>
          </w14:textFill>
        </w:rPr>
        <w:t>2022年公务接待费计划用于</w:t>
      </w:r>
      <w:r>
        <w:rPr>
          <w:rFonts w:hint="eastAsia" w:ascii="黑体" w:hAnsi="黑体" w:eastAsia="黑体" w:cs="黑体"/>
          <w:b w:val="0"/>
          <w:bCs w:val="0"/>
          <w:i w:val="0"/>
          <w:caps w:val="0"/>
          <w:color w:val="000000" w:themeColor="text1"/>
          <w:spacing w:val="0"/>
          <w:sz w:val="32"/>
          <w:szCs w:val="32"/>
          <w:shd w:val="clear" w:color="auto" w:fill="FFFFFF"/>
          <w14:textFill>
            <w14:solidFill>
              <w14:schemeClr w14:val="tx1"/>
            </w14:solidFill>
          </w14:textFill>
        </w:rPr>
        <w:t>一是上级单位和部门来镇指导、调研</w:t>
      </w:r>
      <w:r>
        <w:rPr>
          <w:rFonts w:hint="eastAsia" w:ascii="黑体" w:hAnsi="黑体" w:eastAsia="黑体" w:cs="黑体"/>
          <w:b w:val="0"/>
          <w:bCs w:val="0"/>
          <w:i w:val="0"/>
          <w:caps w:val="0"/>
          <w:color w:val="000000" w:themeColor="text1"/>
          <w:spacing w:val="0"/>
          <w:sz w:val="32"/>
          <w:szCs w:val="32"/>
          <w:shd w:val="clear" w:color="auto" w:fill="FFFFFF"/>
          <w:lang w:eastAsia="zh-CN"/>
          <w14:textFill>
            <w14:solidFill>
              <w14:schemeClr w14:val="tx1"/>
            </w14:solidFill>
          </w14:textFill>
        </w:rPr>
        <w:t>、</w:t>
      </w:r>
      <w:r>
        <w:rPr>
          <w:rFonts w:hint="eastAsia" w:ascii="黑体" w:hAnsi="黑体" w:eastAsia="黑体" w:cs="黑体"/>
          <w:b w:val="0"/>
          <w:bCs w:val="0"/>
          <w:i w:val="0"/>
          <w:caps w:val="0"/>
          <w:color w:val="000000" w:themeColor="text1"/>
          <w:spacing w:val="0"/>
          <w:sz w:val="32"/>
          <w:szCs w:val="32"/>
          <w:shd w:val="clear" w:color="auto" w:fill="FFFFFF"/>
          <w:lang w:val="en-US" w:eastAsia="zh-CN"/>
          <w14:textFill>
            <w14:solidFill>
              <w14:schemeClr w14:val="tx1"/>
            </w14:solidFill>
          </w14:textFill>
        </w:rPr>
        <w:t>督查</w:t>
      </w:r>
      <w:r>
        <w:rPr>
          <w:rFonts w:hint="eastAsia" w:ascii="黑体" w:hAnsi="黑体" w:eastAsia="黑体" w:cs="黑体"/>
          <w:b w:val="0"/>
          <w:bCs w:val="0"/>
          <w:i w:val="0"/>
          <w:caps w:val="0"/>
          <w:color w:val="000000" w:themeColor="text1"/>
          <w:spacing w:val="0"/>
          <w:sz w:val="32"/>
          <w:szCs w:val="32"/>
          <w:shd w:val="clear" w:color="auto" w:fill="FFFFFF"/>
          <w14:textFill>
            <w14:solidFill>
              <w14:schemeClr w14:val="tx1"/>
            </w14:solidFill>
          </w14:textFill>
        </w:rPr>
        <w:t>工作；二是外地单位和部门来镇参观学习和工作交流；三是其它必不可少的公务接待。</w:t>
      </w:r>
      <w:r>
        <w:rPr>
          <w:rFonts w:hint="eastAsia" w:ascii="黑体" w:hAnsi="黑体" w:eastAsia="黑体" w:cs="黑体"/>
          <w:b w:val="0"/>
          <w:bCs w:val="0"/>
          <w:sz w:val="32"/>
          <w:szCs w:val="32"/>
        </w:rPr>
        <w:t xml:space="preserve"> </w:t>
      </w:r>
    </w:p>
    <w:p>
      <w:pPr>
        <w:adjustRightInd w:val="0"/>
        <w:snapToGrid w:val="0"/>
        <w:spacing w:before="93" w:beforeLines="30"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sz w:val="32"/>
          <w:szCs w:val="32"/>
        </w:rPr>
        <w:t>（三）</w:t>
      </w:r>
      <w:r>
        <w:rPr>
          <w:rFonts w:hint="eastAsia" w:ascii="黑体" w:hAnsi="黑体" w:eastAsia="黑体" w:cs="黑体"/>
          <w:b w:val="0"/>
          <w:bCs w:val="0"/>
          <w:color w:val="000000" w:themeColor="text1"/>
          <w:sz w:val="32"/>
          <w:szCs w:val="32"/>
          <w14:textFill>
            <w14:solidFill>
              <w14:schemeClr w14:val="tx1"/>
            </w14:solidFill>
          </w14:textFill>
        </w:rPr>
        <w:t>公务用车购置及运行维护费较2021年预算</w:t>
      </w:r>
      <w:r>
        <w:rPr>
          <w:rFonts w:hint="eastAsia" w:ascii="黑体" w:hAnsi="黑体" w:eastAsia="黑体" w:cs="黑体"/>
          <w:b w:val="0"/>
          <w:bCs w:val="0"/>
          <w:color w:val="000000" w:themeColor="text1"/>
          <w:sz w:val="32"/>
          <w:szCs w:val="32"/>
          <w:lang w:eastAsia="zh-CN"/>
          <w14:textFill>
            <w14:solidFill>
              <w14:schemeClr w14:val="tx1"/>
            </w14:solidFill>
          </w14:textFill>
        </w:rPr>
        <w:t>增加</w:t>
      </w:r>
      <w:r>
        <w:rPr>
          <w:rFonts w:hint="eastAsia" w:ascii="黑体" w:hAnsi="黑体" w:eastAsia="黑体" w:cs="黑体"/>
          <w:b w:val="0"/>
          <w:bCs w:val="0"/>
          <w:color w:val="000000" w:themeColor="text1"/>
          <w:sz w:val="32"/>
          <w:szCs w:val="32"/>
          <w:lang w:val="en-US" w:eastAsia="zh-CN"/>
          <w14:textFill>
            <w14:solidFill>
              <w14:schemeClr w14:val="tx1"/>
            </w14:solidFill>
          </w14:textFill>
        </w:rPr>
        <w:t>55.56</w:t>
      </w:r>
      <w:r>
        <w:rPr>
          <w:rFonts w:hint="eastAsia" w:ascii="黑体" w:hAnsi="黑体" w:eastAsia="黑体" w:cs="黑体"/>
          <w:b w:val="0"/>
          <w:bCs w:val="0"/>
          <w:color w:val="000000" w:themeColor="text1"/>
          <w:sz w:val="32"/>
          <w:szCs w:val="32"/>
          <w14:textFill>
            <w14:solidFill>
              <w14:schemeClr w14:val="tx1"/>
            </w14:solidFill>
          </w14:textFill>
        </w:rPr>
        <w:t>%。</w:t>
      </w:r>
    </w:p>
    <w:p>
      <w:pPr>
        <w:adjustRightInd w:val="0"/>
        <w:snapToGrid w:val="0"/>
        <w:spacing w:before="93" w:beforeLines="30" w:line="600" w:lineRule="exact"/>
        <w:ind w:firstLine="640" w:firstLineChars="200"/>
        <w:rPr>
          <w:rFonts w:hint="eastAsia" w:ascii="黑体" w:hAnsi="黑体" w:eastAsia="黑体" w:cs="黑体"/>
          <w:b w:val="0"/>
          <w:bCs w:val="0"/>
          <w:sz w:val="32"/>
          <w:szCs w:val="32"/>
          <w:lang w:eastAsia="zh-CN"/>
        </w:rPr>
      </w:pPr>
      <w:r>
        <w:rPr>
          <w:rFonts w:hint="eastAsia" w:ascii="黑体" w:hAnsi="黑体" w:eastAsia="黑体" w:cs="黑体"/>
          <w:b w:val="0"/>
          <w:bCs w:val="0"/>
          <w:color w:val="000000" w:themeColor="text1"/>
          <w:sz w:val="32"/>
          <w:szCs w:val="32"/>
          <w:lang w:eastAsia="zh-CN"/>
          <w14:textFill>
            <w14:solidFill>
              <w14:schemeClr w14:val="tx1"/>
            </w14:solidFill>
          </w14:textFill>
        </w:rPr>
        <w:t>资阳市雁江区丹山镇人民政府</w:t>
      </w:r>
      <w:r>
        <w:rPr>
          <w:rFonts w:hint="eastAsia" w:ascii="黑体" w:hAnsi="黑体" w:eastAsia="黑体" w:cs="黑体"/>
          <w:b w:val="0"/>
          <w:bCs w:val="0"/>
          <w:color w:val="000000" w:themeColor="text1"/>
          <w:sz w:val="32"/>
          <w:szCs w:val="32"/>
          <w14:textFill>
            <w14:solidFill>
              <w14:schemeClr w14:val="tx1"/>
            </w14:solidFill>
          </w14:textFill>
        </w:rPr>
        <w:t>现有公务用车</w:t>
      </w:r>
      <w:r>
        <w:rPr>
          <w:rFonts w:hint="eastAsia" w:ascii="黑体" w:hAnsi="黑体" w:eastAsia="黑体" w:cs="黑体"/>
          <w:b w:val="0"/>
          <w:bCs w:val="0"/>
          <w:color w:val="000000" w:themeColor="text1"/>
          <w:sz w:val="32"/>
          <w:szCs w:val="32"/>
          <w:lang w:val="en-US" w:eastAsia="zh-CN"/>
          <w14:textFill>
            <w14:solidFill>
              <w14:schemeClr w14:val="tx1"/>
            </w14:solidFill>
          </w14:textFill>
        </w:rPr>
        <w:t>4</w:t>
      </w:r>
      <w:r>
        <w:rPr>
          <w:rFonts w:hint="eastAsia" w:ascii="黑体" w:hAnsi="黑体" w:eastAsia="黑体" w:cs="黑体"/>
          <w:b w:val="0"/>
          <w:bCs w:val="0"/>
          <w:color w:val="000000" w:themeColor="text1"/>
          <w:sz w:val="32"/>
          <w:szCs w:val="32"/>
          <w14:textFill>
            <w14:solidFill>
              <w14:schemeClr w14:val="tx1"/>
            </w14:solidFill>
          </w14:textFill>
        </w:rPr>
        <w:t>辆，其中：轿车</w:t>
      </w:r>
      <w:r>
        <w:rPr>
          <w:rFonts w:hint="eastAsia" w:ascii="黑体" w:hAnsi="黑体" w:eastAsia="黑体" w:cs="黑体"/>
          <w:b w:val="0"/>
          <w:bCs w:val="0"/>
          <w:color w:val="000000" w:themeColor="text1"/>
          <w:sz w:val="32"/>
          <w:szCs w:val="32"/>
          <w:lang w:val="en-US" w:eastAsia="zh-CN"/>
          <w14:textFill>
            <w14:solidFill>
              <w14:schemeClr w14:val="tx1"/>
            </w14:solidFill>
          </w14:textFill>
        </w:rPr>
        <w:t>1</w:t>
      </w:r>
      <w:r>
        <w:rPr>
          <w:rFonts w:hint="eastAsia" w:ascii="黑体" w:hAnsi="黑体" w:eastAsia="黑体" w:cs="黑体"/>
          <w:b w:val="0"/>
          <w:bCs w:val="0"/>
          <w:color w:val="000000" w:themeColor="text1"/>
          <w:sz w:val="32"/>
          <w:szCs w:val="32"/>
          <w14:textFill>
            <w14:solidFill>
              <w14:schemeClr w14:val="tx1"/>
            </w14:solidFill>
          </w14:textFill>
        </w:rPr>
        <w:t>辆，越野车</w:t>
      </w:r>
      <w:r>
        <w:rPr>
          <w:rFonts w:hint="eastAsia" w:ascii="黑体" w:hAnsi="黑体" w:eastAsia="黑体" w:cs="黑体"/>
          <w:b w:val="0"/>
          <w:bCs w:val="0"/>
          <w:color w:val="000000" w:themeColor="text1"/>
          <w:sz w:val="32"/>
          <w:szCs w:val="32"/>
          <w:lang w:val="en-US" w:eastAsia="zh-CN"/>
          <w14:textFill>
            <w14:solidFill>
              <w14:schemeClr w14:val="tx1"/>
            </w14:solidFill>
          </w14:textFill>
        </w:rPr>
        <w:t>1</w:t>
      </w:r>
      <w:r>
        <w:rPr>
          <w:rFonts w:hint="eastAsia" w:ascii="黑体" w:hAnsi="黑体" w:eastAsia="黑体" w:cs="黑体"/>
          <w:b w:val="0"/>
          <w:bCs w:val="0"/>
          <w:color w:val="000000" w:themeColor="text1"/>
          <w:sz w:val="32"/>
          <w:szCs w:val="32"/>
          <w14:textFill>
            <w14:solidFill>
              <w14:schemeClr w14:val="tx1"/>
            </w14:solidFill>
          </w14:textFill>
        </w:rPr>
        <w:t>辆，</w:t>
      </w:r>
      <w:r>
        <w:rPr>
          <w:rFonts w:hint="eastAsia" w:ascii="黑体" w:hAnsi="黑体" w:eastAsia="黑体" w:cs="黑体"/>
          <w:b w:val="0"/>
          <w:bCs w:val="0"/>
          <w:color w:val="000000" w:themeColor="text1"/>
          <w:sz w:val="32"/>
          <w:szCs w:val="32"/>
          <w:lang w:eastAsia="zh-CN"/>
          <w14:textFill>
            <w14:solidFill>
              <w14:schemeClr w14:val="tx1"/>
            </w14:solidFill>
          </w14:textFill>
        </w:rPr>
        <w:t>商务车</w:t>
      </w:r>
      <w:r>
        <w:rPr>
          <w:rFonts w:hint="eastAsia" w:ascii="黑体" w:hAnsi="黑体" w:eastAsia="黑体" w:cs="黑体"/>
          <w:b w:val="0"/>
          <w:bCs w:val="0"/>
          <w:color w:val="000000" w:themeColor="text1"/>
          <w:sz w:val="32"/>
          <w:szCs w:val="32"/>
          <w:lang w:val="en-US" w:eastAsia="zh-CN"/>
          <w14:textFill>
            <w14:solidFill>
              <w14:schemeClr w14:val="tx1"/>
            </w14:solidFill>
          </w14:textFill>
        </w:rPr>
        <w:t>2</w:t>
      </w:r>
      <w:r>
        <w:rPr>
          <w:rFonts w:hint="eastAsia" w:ascii="黑体" w:hAnsi="黑体" w:eastAsia="黑体" w:cs="黑体"/>
          <w:b w:val="0"/>
          <w:bCs w:val="0"/>
          <w:color w:val="000000" w:themeColor="text1"/>
          <w:sz w:val="32"/>
          <w:szCs w:val="32"/>
          <w14:textFill>
            <w14:solidFill>
              <w14:schemeClr w14:val="tx1"/>
            </w14:solidFill>
          </w14:textFill>
        </w:rPr>
        <w:t>辆</w:t>
      </w:r>
      <w:r>
        <w:rPr>
          <w:rFonts w:hint="eastAsia" w:ascii="黑体" w:hAnsi="黑体" w:eastAsia="黑体" w:cs="黑体"/>
          <w:b w:val="0"/>
          <w:bCs w:val="0"/>
          <w:color w:val="000000" w:themeColor="text1"/>
          <w:sz w:val="32"/>
          <w:szCs w:val="32"/>
          <w:lang w:eastAsia="zh-CN"/>
          <w14:textFill>
            <w14:solidFill>
              <w14:schemeClr w14:val="tx1"/>
            </w14:solidFill>
          </w14:textFill>
        </w:rPr>
        <w:t>。</w:t>
      </w:r>
    </w:p>
    <w:p>
      <w:pPr>
        <w:adjustRightInd w:val="0"/>
        <w:snapToGrid w:val="0"/>
        <w:spacing w:before="93" w:beforeLines="30"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公务用车购置费</w:t>
      </w:r>
      <w:r>
        <w:rPr>
          <w:rFonts w:hint="eastAsia" w:ascii="黑体" w:hAnsi="黑体" w:eastAsia="黑体" w:cs="黑体"/>
          <w:b w:val="0"/>
          <w:bCs w:val="0"/>
          <w:color w:val="000000" w:themeColor="text1"/>
          <w:sz w:val="32"/>
          <w:szCs w:val="32"/>
          <w:lang w:val="en-US" w:eastAsia="zh-CN"/>
          <w14:textFill>
            <w14:solidFill>
              <w14:schemeClr w14:val="tx1"/>
            </w14:solidFill>
          </w14:textFill>
        </w:rPr>
        <w:t>0</w:t>
      </w:r>
      <w:r>
        <w:rPr>
          <w:rFonts w:hint="eastAsia" w:ascii="黑体" w:hAnsi="黑体" w:eastAsia="黑体" w:cs="黑体"/>
          <w:b w:val="0"/>
          <w:bCs w:val="0"/>
          <w:color w:val="000000" w:themeColor="text1"/>
          <w:sz w:val="32"/>
          <w:szCs w:val="32"/>
          <w14:textFill>
            <w14:solidFill>
              <w14:schemeClr w14:val="tx1"/>
            </w14:solidFill>
          </w14:textFill>
        </w:rPr>
        <w:t>万元，较2021年预算</w:t>
      </w:r>
      <w:r>
        <w:rPr>
          <w:rFonts w:hint="eastAsia" w:ascii="黑体" w:hAnsi="黑体" w:eastAsia="黑体" w:cs="黑体"/>
          <w:b w:val="0"/>
          <w:bCs w:val="0"/>
          <w:color w:val="000000" w:themeColor="text1"/>
          <w:sz w:val="32"/>
          <w:szCs w:val="32"/>
          <w:lang w:eastAsia="zh-CN"/>
          <w14:textFill>
            <w14:solidFill>
              <w14:schemeClr w14:val="tx1"/>
            </w14:solidFill>
          </w14:textFill>
        </w:rPr>
        <w:t>持平</w:t>
      </w:r>
      <w:r>
        <w:rPr>
          <w:rFonts w:hint="eastAsia" w:ascii="黑体" w:hAnsi="黑体" w:eastAsia="黑体" w:cs="黑体"/>
          <w:b w:val="0"/>
          <w:bCs w:val="0"/>
          <w:color w:val="000000" w:themeColor="text1"/>
          <w:sz w:val="32"/>
          <w:szCs w:val="32"/>
          <w14:textFill>
            <w14:solidFill>
              <w14:schemeClr w14:val="tx1"/>
            </w14:solidFill>
          </w14:textFill>
        </w:rPr>
        <w:t>。</w:t>
      </w:r>
    </w:p>
    <w:p>
      <w:pPr>
        <w:adjustRightInd w:val="0"/>
        <w:snapToGrid w:val="0"/>
        <w:spacing w:before="93" w:beforeLines="30"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color w:val="000000" w:themeColor="text1"/>
          <w:sz w:val="32"/>
          <w:szCs w:val="32"/>
          <w14:textFill>
            <w14:solidFill>
              <w14:schemeClr w14:val="tx1"/>
            </w14:solidFill>
          </w14:textFill>
        </w:rPr>
        <w:t>公务用车运行维护费</w:t>
      </w:r>
      <w:r>
        <w:rPr>
          <w:rFonts w:hint="eastAsia" w:ascii="黑体" w:hAnsi="黑体" w:eastAsia="黑体" w:cs="黑体"/>
          <w:b w:val="0"/>
          <w:bCs w:val="0"/>
          <w:color w:val="000000" w:themeColor="text1"/>
          <w:sz w:val="32"/>
          <w:szCs w:val="32"/>
          <w:lang w:val="en-US" w:eastAsia="zh-CN"/>
          <w14:textFill>
            <w14:solidFill>
              <w14:schemeClr w14:val="tx1"/>
            </w14:solidFill>
          </w14:textFill>
        </w:rPr>
        <w:t>55</w:t>
      </w:r>
      <w:r>
        <w:rPr>
          <w:rFonts w:hint="eastAsia" w:ascii="黑体" w:hAnsi="黑体" w:eastAsia="黑体" w:cs="黑体"/>
          <w:b w:val="0"/>
          <w:bCs w:val="0"/>
          <w:color w:val="000000" w:themeColor="text1"/>
          <w:sz w:val="32"/>
          <w:szCs w:val="32"/>
          <w14:textFill>
            <w14:solidFill>
              <w14:schemeClr w14:val="tx1"/>
            </w14:solidFill>
          </w14:textFill>
        </w:rPr>
        <w:t>万元，较2021年预算</w:t>
      </w:r>
      <w:r>
        <w:rPr>
          <w:rFonts w:hint="eastAsia" w:ascii="黑体" w:hAnsi="黑体" w:eastAsia="黑体" w:cs="黑体"/>
          <w:b w:val="0"/>
          <w:bCs w:val="0"/>
          <w:color w:val="000000" w:themeColor="text1"/>
          <w:sz w:val="32"/>
          <w:szCs w:val="32"/>
          <w:lang w:eastAsia="zh-CN"/>
          <w14:textFill>
            <w14:solidFill>
              <w14:schemeClr w14:val="tx1"/>
            </w14:solidFill>
          </w14:textFill>
        </w:rPr>
        <w:t>增加</w:t>
      </w:r>
      <w:r>
        <w:rPr>
          <w:rFonts w:hint="eastAsia" w:ascii="黑体" w:hAnsi="黑体" w:eastAsia="黑体" w:cs="黑体"/>
          <w:b w:val="0"/>
          <w:bCs w:val="0"/>
          <w:color w:val="000000" w:themeColor="text1"/>
          <w:sz w:val="32"/>
          <w:szCs w:val="32"/>
          <w:lang w:val="en-US" w:eastAsia="zh-CN"/>
          <w14:textFill>
            <w14:solidFill>
              <w14:schemeClr w14:val="tx1"/>
            </w14:solidFill>
          </w14:textFill>
        </w:rPr>
        <w:t>55.56</w:t>
      </w:r>
      <w:r>
        <w:rPr>
          <w:rFonts w:hint="eastAsia" w:ascii="黑体" w:hAnsi="黑体" w:eastAsia="黑体" w:cs="黑体"/>
          <w:b w:val="0"/>
          <w:bCs w:val="0"/>
          <w:color w:val="000000" w:themeColor="text1"/>
          <w:sz w:val="32"/>
          <w:szCs w:val="32"/>
          <w14:textFill>
            <w14:solidFill>
              <w14:schemeClr w14:val="tx1"/>
            </w14:solidFill>
          </w14:textFill>
        </w:rPr>
        <w:t>%。用于</w:t>
      </w:r>
      <w:r>
        <w:rPr>
          <w:rFonts w:hint="eastAsia" w:ascii="黑体" w:hAnsi="黑体" w:eastAsia="黑体" w:cs="黑体"/>
          <w:b w:val="0"/>
          <w:bCs w:val="0"/>
          <w:color w:val="000000" w:themeColor="text1"/>
          <w:sz w:val="32"/>
          <w:szCs w:val="32"/>
          <w:lang w:val="en-US" w:eastAsia="zh-CN"/>
          <w14:textFill>
            <w14:solidFill>
              <w14:schemeClr w14:val="tx1"/>
            </w14:solidFill>
          </w14:textFill>
        </w:rPr>
        <w:t>4</w:t>
      </w:r>
      <w:r>
        <w:rPr>
          <w:rFonts w:hint="eastAsia" w:ascii="黑体" w:hAnsi="黑体" w:eastAsia="黑体" w:cs="黑体"/>
          <w:b w:val="0"/>
          <w:bCs w:val="0"/>
          <w:color w:val="000000" w:themeColor="text1"/>
          <w:sz w:val="32"/>
          <w:szCs w:val="32"/>
          <w14:textFill>
            <w14:solidFill>
              <w14:schemeClr w14:val="tx1"/>
            </w14:solidFill>
          </w14:textFill>
        </w:rPr>
        <w:t>辆公务用车燃油、维修、保险等方面支出。</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七、政府性基金预算支出情况说明</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color w:val="000000" w:themeColor="text1"/>
          <w:sz w:val="32"/>
          <w:szCs w:val="32"/>
          <w:lang w:eastAsia="zh-CN"/>
          <w14:textFill>
            <w14:solidFill>
              <w14:schemeClr w14:val="tx1"/>
            </w14:solidFill>
          </w14:textFill>
        </w:rPr>
        <w:t>资阳市雁江区丹山镇人民政府</w:t>
      </w:r>
      <w:r>
        <w:rPr>
          <w:rFonts w:hint="eastAsia" w:ascii="黑体" w:hAnsi="黑体" w:eastAsia="黑体" w:cs="黑体"/>
          <w:b w:val="0"/>
          <w:bCs w:val="0"/>
          <w:color w:val="000000" w:themeColor="text1"/>
          <w:sz w:val="32"/>
          <w:szCs w:val="32"/>
          <w14:textFill>
            <w14:solidFill>
              <w14:schemeClr w14:val="tx1"/>
            </w14:solidFill>
          </w14:textFill>
        </w:rPr>
        <w:t>2022年没有使用政府性基金预算拨款安排的支出</w:t>
      </w:r>
      <w:r>
        <w:rPr>
          <w:rFonts w:hint="eastAsia" w:ascii="黑体" w:hAnsi="黑体" w:eastAsia="黑体" w:cs="黑体"/>
          <w:b w:val="0"/>
          <w:bCs w:val="0"/>
          <w:color w:val="000000" w:themeColor="text1"/>
          <w:sz w:val="32"/>
          <w:szCs w:val="32"/>
          <w:lang w:eastAsia="zh-CN"/>
          <w14:textFill>
            <w14:solidFill>
              <w14:schemeClr w14:val="tx1"/>
            </w14:solidFill>
          </w14:textFill>
        </w:rPr>
        <w:t>。</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八、国有资本经营预算支出情况说明</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资阳市雁江区丹山镇人民政府</w:t>
      </w:r>
      <w:r>
        <w:rPr>
          <w:rFonts w:hint="eastAsia" w:ascii="黑体" w:hAnsi="黑体" w:eastAsia="黑体" w:cs="黑体"/>
          <w:b w:val="0"/>
          <w:bCs w:val="0"/>
          <w:color w:val="000000" w:themeColor="text1"/>
          <w:sz w:val="32"/>
          <w:szCs w:val="32"/>
          <w14:textFill>
            <w14:solidFill>
              <w14:schemeClr w14:val="tx1"/>
            </w14:solidFill>
          </w14:textFill>
        </w:rPr>
        <w:t>2022年没有使用国有资本经营预算拨款安排的支出。</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九、其他重要事项的情况说明</w:t>
      </w:r>
    </w:p>
    <w:p>
      <w:pPr>
        <w:spacing w:line="600" w:lineRule="exact"/>
        <w:ind w:firstLine="614" w:firstLineChars="192"/>
        <w:rPr>
          <w:rFonts w:hint="eastAsia" w:ascii="黑体" w:hAnsi="黑体" w:eastAsia="黑体" w:cs="黑体"/>
          <w:b w:val="0"/>
          <w:bCs w:val="0"/>
          <w:sz w:val="32"/>
          <w:szCs w:val="32"/>
        </w:rPr>
      </w:pPr>
      <w:r>
        <w:rPr>
          <w:rFonts w:hint="eastAsia" w:ascii="黑体" w:hAnsi="黑体" w:eastAsia="黑体" w:cs="黑体"/>
          <w:b w:val="0"/>
          <w:bCs w:val="0"/>
          <w:sz w:val="32"/>
          <w:szCs w:val="32"/>
        </w:rPr>
        <w:t>（一）机关运行经费</w:t>
      </w:r>
    </w:p>
    <w:p>
      <w:pPr>
        <w:spacing w:line="600" w:lineRule="exact"/>
        <w:ind w:firstLine="63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资阳市雁江区丹山镇人民政府</w:t>
      </w:r>
      <w:r>
        <w:rPr>
          <w:rFonts w:hint="eastAsia" w:ascii="黑体" w:hAnsi="黑体" w:eastAsia="黑体" w:cs="黑体"/>
          <w:b w:val="0"/>
          <w:bCs w:val="0"/>
          <w:color w:val="000000" w:themeColor="text1"/>
          <w:sz w:val="32"/>
          <w:szCs w:val="32"/>
          <w14:textFill>
            <w14:solidFill>
              <w14:schemeClr w14:val="tx1"/>
            </w14:solidFill>
          </w14:textFill>
        </w:rPr>
        <w:t>2022年机关运行经费财政拨款预算为</w:t>
      </w:r>
      <w:r>
        <w:rPr>
          <w:rFonts w:hint="eastAsia" w:ascii="黑体" w:hAnsi="黑体" w:eastAsia="黑体" w:cs="黑体"/>
          <w:b w:val="0"/>
          <w:bCs w:val="0"/>
          <w:color w:val="000000" w:themeColor="text1"/>
          <w:sz w:val="32"/>
          <w:szCs w:val="32"/>
          <w:lang w:val="en-US" w:eastAsia="zh-CN"/>
          <w14:textFill>
            <w14:solidFill>
              <w14:schemeClr w14:val="tx1"/>
            </w14:solidFill>
          </w14:textFill>
        </w:rPr>
        <w:t>305.36</w:t>
      </w:r>
      <w:r>
        <w:rPr>
          <w:rFonts w:hint="eastAsia" w:ascii="黑体" w:hAnsi="黑体" w:eastAsia="黑体" w:cs="黑体"/>
          <w:b w:val="0"/>
          <w:bCs w:val="0"/>
          <w:color w:val="000000" w:themeColor="text1"/>
          <w:sz w:val="32"/>
          <w:szCs w:val="32"/>
          <w14:textFill>
            <w14:solidFill>
              <w14:schemeClr w14:val="tx1"/>
            </w14:solidFill>
          </w14:textFill>
        </w:rPr>
        <w:t>万元，比2021年预算减少</w:t>
      </w:r>
      <w:r>
        <w:rPr>
          <w:rFonts w:hint="eastAsia" w:ascii="黑体" w:hAnsi="黑体" w:eastAsia="黑体" w:cs="黑体"/>
          <w:b w:val="0"/>
          <w:bCs w:val="0"/>
          <w:color w:val="000000" w:themeColor="text1"/>
          <w:sz w:val="32"/>
          <w:szCs w:val="32"/>
          <w:lang w:val="en-US" w:eastAsia="zh-CN"/>
          <w14:textFill>
            <w14:solidFill>
              <w14:schemeClr w14:val="tx1"/>
            </w14:solidFill>
          </w14:textFill>
        </w:rPr>
        <w:t>314.64</w:t>
      </w:r>
      <w:r>
        <w:rPr>
          <w:rFonts w:hint="eastAsia" w:ascii="黑体" w:hAnsi="黑体" w:eastAsia="黑体" w:cs="黑体"/>
          <w:b w:val="0"/>
          <w:bCs w:val="0"/>
          <w:color w:val="000000" w:themeColor="text1"/>
          <w:sz w:val="32"/>
          <w:szCs w:val="32"/>
          <w14:textFill>
            <w14:solidFill>
              <w14:schemeClr w14:val="tx1"/>
            </w14:solidFill>
          </w14:textFill>
        </w:rPr>
        <w:t>万元，下降</w:t>
      </w:r>
      <w:r>
        <w:rPr>
          <w:rFonts w:hint="eastAsia" w:ascii="黑体" w:hAnsi="黑体" w:eastAsia="黑体" w:cs="黑体"/>
          <w:b w:val="0"/>
          <w:bCs w:val="0"/>
          <w:color w:val="000000" w:themeColor="text1"/>
          <w:sz w:val="32"/>
          <w:szCs w:val="32"/>
          <w:lang w:val="en-US" w:eastAsia="zh-CN"/>
          <w14:textFill>
            <w14:solidFill>
              <w14:schemeClr w14:val="tx1"/>
            </w14:solidFill>
          </w14:textFill>
        </w:rPr>
        <w:t>50.75</w:t>
      </w:r>
      <w:r>
        <w:rPr>
          <w:rFonts w:hint="eastAsia" w:ascii="黑体" w:hAnsi="黑体" w:eastAsia="黑体" w:cs="黑体"/>
          <w:b w:val="0"/>
          <w:bCs w:val="0"/>
          <w:color w:val="000000" w:themeColor="text1"/>
          <w:sz w:val="32"/>
          <w:szCs w:val="32"/>
          <w14:textFill>
            <w14:solidFill>
              <w14:schemeClr w14:val="tx1"/>
            </w14:solidFill>
          </w14:textFill>
        </w:rPr>
        <w:t>%。</w:t>
      </w:r>
    </w:p>
    <w:p>
      <w:pPr>
        <w:spacing w:line="600" w:lineRule="exact"/>
        <w:ind w:firstLine="614" w:firstLineChars="192"/>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（二）政府采购情况</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2022年，</w:t>
      </w:r>
      <w:r>
        <w:rPr>
          <w:rFonts w:hint="eastAsia" w:ascii="黑体" w:hAnsi="黑体" w:eastAsia="黑体" w:cs="黑体"/>
          <w:b w:val="0"/>
          <w:bCs w:val="0"/>
          <w:color w:val="000000" w:themeColor="text1"/>
          <w:sz w:val="32"/>
          <w:szCs w:val="32"/>
          <w:lang w:eastAsia="zh-CN"/>
          <w14:textFill>
            <w14:solidFill>
              <w14:schemeClr w14:val="tx1"/>
            </w14:solidFill>
          </w14:textFill>
        </w:rPr>
        <w:t>资阳市雁江区丹山镇人民政府</w:t>
      </w:r>
      <w:r>
        <w:rPr>
          <w:rFonts w:hint="eastAsia" w:ascii="黑体" w:hAnsi="黑体" w:eastAsia="黑体" w:cs="黑体"/>
          <w:b w:val="0"/>
          <w:bCs w:val="0"/>
          <w:color w:val="000000" w:themeColor="text1"/>
          <w:sz w:val="32"/>
          <w:szCs w:val="32"/>
          <w14:textFill>
            <w14:solidFill>
              <w14:schemeClr w14:val="tx1"/>
            </w14:solidFill>
          </w14:textFill>
        </w:rPr>
        <w:t>安排政府采购预算</w:t>
      </w:r>
      <w:r>
        <w:rPr>
          <w:rFonts w:hint="eastAsia" w:ascii="黑体" w:hAnsi="黑体" w:eastAsia="黑体" w:cs="黑体"/>
          <w:b w:val="0"/>
          <w:bCs w:val="0"/>
          <w:color w:val="000000" w:themeColor="text1"/>
          <w:sz w:val="32"/>
          <w:szCs w:val="32"/>
          <w:lang w:val="en-US" w:eastAsia="zh-CN"/>
          <w14:textFill>
            <w14:solidFill>
              <w14:schemeClr w14:val="tx1"/>
            </w14:solidFill>
          </w14:textFill>
        </w:rPr>
        <w:t>5</w:t>
      </w:r>
      <w:r>
        <w:rPr>
          <w:rFonts w:hint="eastAsia" w:ascii="黑体" w:hAnsi="黑体" w:eastAsia="黑体" w:cs="黑体"/>
          <w:b w:val="0"/>
          <w:bCs w:val="0"/>
          <w:color w:val="000000" w:themeColor="text1"/>
          <w:sz w:val="32"/>
          <w:szCs w:val="32"/>
          <w14:textFill>
            <w14:solidFill>
              <w14:schemeClr w14:val="tx1"/>
            </w14:solidFill>
          </w14:textFill>
        </w:rPr>
        <w:t>万元，主要用于采购</w:t>
      </w:r>
      <w:r>
        <w:rPr>
          <w:rFonts w:hint="eastAsia" w:ascii="黑体" w:hAnsi="黑体" w:eastAsia="黑体" w:cs="黑体"/>
          <w:b w:val="0"/>
          <w:bCs w:val="0"/>
          <w:color w:val="000000" w:themeColor="text1"/>
          <w:sz w:val="32"/>
          <w:szCs w:val="32"/>
          <w:lang w:eastAsia="zh-CN"/>
          <w14:textFill>
            <w14:solidFill>
              <w14:schemeClr w14:val="tx1"/>
            </w14:solidFill>
          </w14:textFill>
        </w:rPr>
        <w:t>办公设备</w:t>
      </w:r>
      <w:r>
        <w:rPr>
          <w:rFonts w:hint="eastAsia" w:ascii="黑体" w:hAnsi="黑体" w:eastAsia="黑体" w:cs="黑体"/>
          <w:b w:val="0"/>
          <w:bCs w:val="0"/>
          <w:color w:val="000000" w:themeColor="text1"/>
          <w:sz w:val="32"/>
          <w:szCs w:val="32"/>
          <w14:textFill>
            <w14:solidFill>
              <w14:schemeClr w14:val="tx1"/>
            </w14:solidFill>
          </w14:textFill>
        </w:rPr>
        <w:t>等。</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（三）国有资产占有使用情况</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截至2021年底，</w:t>
      </w:r>
      <w:r>
        <w:rPr>
          <w:rFonts w:hint="eastAsia" w:ascii="黑体" w:hAnsi="黑体" w:eastAsia="黑体" w:cs="黑体"/>
          <w:b w:val="0"/>
          <w:bCs w:val="0"/>
          <w:color w:val="000000" w:themeColor="text1"/>
          <w:sz w:val="32"/>
          <w:szCs w:val="32"/>
          <w:lang w:eastAsia="zh-CN"/>
          <w14:textFill>
            <w14:solidFill>
              <w14:schemeClr w14:val="tx1"/>
            </w14:solidFill>
          </w14:textFill>
        </w:rPr>
        <w:t>资阳市雁江区丹山镇人民政府</w:t>
      </w:r>
      <w:r>
        <w:rPr>
          <w:rFonts w:hint="eastAsia" w:ascii="黑体" w:hAnsi="黑体" w:eastAsia="黑体" w:cs="黑体"/>
          <w:b w:val="0"/>
          <w:bCs w:val="0"/>
          <w:color w:val="000000" w:themeColor="text1"/>
          <w:sz w:val="32"/>
          <w:szCs w:val="32"/>
          <w14:textFill>
            <w14:solidFill>
              <w14:schemeClr w14:val="tx1"/>
            </w14:solidFill>
          </w14:textFill>
        </w:rPr>
        <w:t>所属各预算单位共有车辆</w:t>
      </w:r>
      <w:r>
        <w:rPr>
          <w:rFonts w:hint="eastAsia" w:ascii="黑体" w:hAnsi="黑体" w:eastAsia="黑体" w:cs="黑体"/>
          <w:b w:val="0"/>
          <w:bCs w:val="0"/>
          <w:color w:val="000000" w:themeColor="text1"/>
          <w:sz w:val="32"/>
          <w:szCs w:val="32"/>
          <w:lang w:val="en-US" w:eastAsia="zh-CN"/>
          <w14:textFill>
            <w14:solidFill>
              <w14:schemeClr w14:val="tx1"/>
            </w14:solidFill>
          </w14:textFill>
        </w:rPr>
        <w:t>5</w:t>
      </w:r>
      <w:r>
        <w:rPr>
          <w:rFonts w:hint="eastAsia" w:ascii="黑体" w:hAnsi="黑体" w:eastAsia="黑体" w:cs="黑体"/>
          <w:b w:val="0"/>
          <w:bCs w:val="0"/>
          <w:color w:val="000000" w:themeColor="text1"/>
          <w:sz w:val="32"/>
          <w:szCs w:val="32"/>
          <w14:textFill>
            <w14:solidFill>
              <w14:schemeClr w14:val="tx1"/>
            </w14:solidFill>
          </w14:textFill>
        </w:rPr>
        <w:t>辆，其中，领导干部用车</w:t>
      </w:r>
      <w:r>
        <w:rPr>
          <w:rFonts w:hint="eastAsia" w:ascii="黑体" w:hAnsi="黑体" w:eastAsia="黑体" w:cs="黑体"/>
          <w:b w:val="0"/>
          <w:bCs w:val="0"/>
          <w:color w:val="000000" w:themeColor="text1"/>
          <w:sz w:val="32"/>
          <w:szCs w:val="32"/>
          <w:lang w:val="en-US" w:eastAsia="zh-CN"/>
          <w14:textFill>
            <w14:solidFill>
              <w14:schemeClr w14:val="tx1"/>
            </w14:solidFill>
          </w14:textFill>
        </w:rPr>
        <w:t>0</w:t>
      </w:r>
      <w:r>
        <w:rPr>
          <w:rFonts w:hint="eastAsia" w:ascii="黑体" w:hAnsi="黑体" w:eastAsia="黑体" w:cs="黑体"/>
          <w:b w:val="0"/>
          <w:bCs w:val="0"/>
          <w:color w:val="000000" w:themeColor="text1"/>
          <w:sz w:val="32"/>
          <w:szCs w:val="32"/>
          <w14:textFill>
            <w14:solidFill>
              <w14:schemeClr w14:val="tx1"/>
            </w14:solidFill>
          </w14:textFill>
        </w:rPr>
        <w:t>辆、定向保障用车</w:t>
      </w:r>
      <w:r>
        <w:rPr>
          <w:rFonts w:hint="eastAsia" w:ascii="黑体" w:hAnsi="黑体" w:eastAsia="黑体" w:cs="黑体"/>
          <w:b w:val="0"/>
          <w:bCs w:val="0"/>
          <w:color w:val="000000" w:themeColor="text1"/>
          <w:sz w:val="32"/>
          <w:szCs w:val="32"/>
          <w:lang w:val="en-US" w:eastAsia="zh-CN"/>
          <w14:textFill>
            <w14:solidFill>
              <w14:schemeClr w14:val="tx1"/>
            </w14:solidFill>
          </w14:textFill>
        </w:rPr>
        <w:t>0</w:t>
      </w:r>
      <w:r>
        <w:rPr>
          <w:rFonts w:hint="eastAsia" w:ascii="黑体" w:hAnsi="黑体" w:eastAsia="黑体" w:cs="黑体"/>
          <w:b w:val="0"/>
          <w:bCs w:val="0"/>
          <w:color w:val="000000" w:themeColor="text1"/>
          <w:sz w:val="32"/>
          <w:szCs w:val="32"/>
          <w14:textFill>
            <w14:solidFill>
              <w14:schemeClr w14:val="tx1"/>
            </w14:solidFill>
          </w14:textFill>
        </w:rPr>
        <w:t>辆、执法执勤用车</w:t>
      </w:r>
      <w:r>
        <w:rPr>
          <w:rFonts w:hint="eastAsia" w:ascii="黑体" w:hAnsi="黑体" w:eastAsia="黑体" w:cs="黑体"/>
          <w:b w:val="0"/>
          <w:bCs w:val="0"/>
          <w:color w:val="000000" w:themeColor="text1"/>
          <w:sz w:val="32"/>
          <w:szCs w:val="32"/>
          <w:lang w:val="en-US" w:eastAsia="zh-CN"/>
          <w14:textFill>
            <w14:solidFill>
              <w14:schemeClr w14:val="tx1"/>
            </w14:solidFill>
          </w14:textFill>
        </w:rPr>
        <w:t>0</w:t>
      </w:r>
      <w:r>
        <w:rPr>
          <w:rFonts w:hint="eastAsia" w:ascii="黑体" w:hAnsi="黑体" w:eastAsia="黑体" w:cs="黑体"/>
          <w:b w:val="0"/>
          <w:bCs w:val="0"/>
          <w:color w:val="000000" w:themeColor="text1"/>
          <w:sz w:val="32"/>
          <w:szCs w:val="32"/>
          <w14:textFill>
            <w14:solidFill>
              <w14:schemeClr w14:val="tx1"/>
            </w14:solidFill>
          </w14:textFill>
        </w:rPr>
        <w:t>辆</w:t>
      </w:r>
      <w:r>
        <w:rPr>
          <w:rFonts w:hint="eastAsia" w:ascii="黑体" w:hAnsi="黑体" w:eastAsia="黑体" w:cs="黑体"/>
          <w:b w:val="0"/>
          <w:bCs w:val="0"/>
          <w:color w:val="000000" w:themeColor="text1"/>
          <w:sz w:val="32"/>
          <w:szCs w:val="32"/>
          <w:lang w:eastAsia="zh-CN"/>
          <w14:textFill>
            <w14:solidFill>
              <w14:schemeClr w14:val="tx1"/>
            </w14:solidFill>
          </w14:textFill>
        </w:rPr>
        <w:t>、其他用车</w:t>
      </w:r>
      <w:r>
        <w:rPr>
          <w:rFonts w:hint="eastAsia" w:ascii="黑体" w:hAnsi="黑体" w:eastAsia="黑体" w:cs="黑体"/>
          <w:b w:val="0"/>
          <w:bCs w:val="0"/>
          <w:color w:val="000000" w:themeColor="text1"/>
          <w:sz w:val="32"/>
          <w:szCs w:val="32"/>
          <w:lang w:val="en-US" w:eastAsia="zh-CN"/>
          <w14:textFill>
            <w14:solidFill>
              <w14:schemeClr w14:val="tx1"/>
            </w14:solidFill>
          </w14:textFill>
        </w:rPr>
        <w:t>5辆</w:t>
      </w:r>
      <w:r>
        <w:rPr>
          <w:rFonts w:hint="eastAsia" w:ascii="黑体" w:hAnsi="黑体" w:eastAsia="黑体" w:cs="黑体"/>
          <w:b w:val="0"/>
          <w:bCs w:val="0"/>
          <w:color w:val="000000" w:themeColor="text1"/>
          <w:sz w:val="32"/>
          <w:szCs w:val="32"/>
          <w14:textFill>
            <w14:solidFill>
              <w14:schemeClr w14:val="tx1"/>
            </w14:solidFill>
          </w14:textFill>
        </w:rPr>
        <w:t>。单位价值100万元以上大型设备</w:t>
      </w:r>
      <w:r>
        <w:rPr>
          <w:rFonts w:hint="eastAsia" w:ascii="黑体" w:hAnsi="黑体" w:eastAsia="黑体" w:cs="黑体"/>
          <w:b w:val="0"/>
          <w:bCs w:val="0"/>
          <w:color w:val="000000" w:themeColor="text1"/>
          <w:sz w:val="32"/>
          <w:szCs w:val="32"/>
          <w:lang w:val="en-US" w:eastAsia="zh-CN"/>
          <w14:textFill>
            <w14:solidFill>
              <w14:schemeClr w14:val="tx1"/>
            </w14:solidFill>
          </w14:textFill>
        </w:rPr>
        <w:t>0</w:t>
      </w:r>
      <w:r>
        <w:rPr>
          <w:rFonts w:hint="eastAsia" w:ascii="黑体" w:hAnsi="黑体" w:eastAsia="黑体" w:cs="黑体"/>
          <w:b w:val="0"/>
          <w:bCs w:val="0"/>
          <w:color w:val="000000" w:themeColor="text1"/>
          <w:sz w:val="32"/>
          <w:szCs w:val="32"/>
          <w14:textFill>
            <w14:solidFill>
              <w14:schemeClr w14:val="tx1"/>
            </w14:solidFill>
          </w14:textFill>
        </w:rPr>
        <w:t>台（套）。</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2022年部门预算未安排购置车辆及单位价值100万元以上大型设备。</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（四）绩效目标设置情况</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color w:val="000000" w:themeColor="text1"/>
          <w:sz w:val="32"/>
          <w:szCs w:val="32"/>
          <w14:textFill>
            <w14:solidFill>
              <w14:schemeClr w14:val="tx1"/>
            </w14:solidFill>
          </w14:textFill>
        </w:rPr>
        <w:t>绩效目标是预算编制的前提</w:t>
      </w:r>
      <w:bookmarkStart w:id="0" w:name="_GoBack"/>
      <w:bookmarkEnd w:id="0"/>
      <w:r>
        <w:rPr>
          <w:rFonts w:hint="eastAsia" w:ascii="黑体" w:hAnsi="黑体" w:eastAsia="黑体" w:cs="黑体"/>
          <w:b w:val="0"/>
          <w:bCs w:val="0"/>
          <w:color w:val="000000" w:themeColor="text1"/>
          <w:sz w:val="32"/>
          <w:szCs w:val="32"/>
          <w14:textFill>
            <w14:solidFill>
              <w14:schemeClr w14:val="tx1"/>
            </w14:solidFill>
          </w14:textFill>
        </w:rPr>
        <w:t>和基础，按照“费随事定”的原则，2022年</w:t>
      </w:r>
      <w:r>
        <w:rPr>
          <w:rFonts w:hint="eastAsia" w:ascii="黑体" w:hAnsi="黑体" w:eastAsia="黑体" w:cs="黑体"/>
          <w:b w:val="0"/>
          <w:bCs w:val="0"/>
          <w:color w:val="000000" w:themeColor="text1"/>
          <w:sz w:val="32"/>
          <w:szCs w:val="32"/>
          <w:lang w:eastAsia="zh-CN"/>
          <w14:textFill>
            <w14:solidFill>
              <w14:schemeClr w14:val="tx1"/>
            </w14:solidFill>
          </w14:textFill>
        </w:rPr>
        <w:t>资阳市雁江区丹山镇人民政府</w:t>
      </w:r>
      <w:r>
        <w:rPr>
          <w:rFonts w:hint="eastAsia" w:ascii="黑体" w:hAnsi="黑体" w:eastAsia="黑体" w:cs="黑体"/>
          <w:b w:val="0"/>
          <w:bCs w:val="0"/>
          <w:color w:val="000000" w:themeColor="text1"/>
          <w:sz w:val="32"/>
          <w:szCs w:val="32"/>
          <w14:textFill>
            <w14:solidFill>
              <w14:schemeClr w14:val="tx1"/>
            </w14:solidFill>
          </w14:textFill>
        </w:rPr>
        <w:t>就部门整体支出和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十、名词解释</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（一）一般公共预算拨款收入：指区级财政当年拨付的资金。</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（二）上年结转：指以前年度尚未完成，结转到本年仍按原规定用途继续使用的资金。</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（三）一般公共服务（类）财政事务（款）行政运行（项）：指局机关及参公管理事业单位用于保障机构正常运行、开展日常工作的基本支出。</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（五）一般公共服务（类）财政事务（款）机关服务（项）：指后勤服务中心、信息中心为本单位正常运行提供服务的基本支出。</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（六）一般公共服务（类）财政事务（款）信息化建设（项）：指财政局用于业务软件开发、硬件购置、系统升级等信息化建设方面的项目支出。</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（七）一般公共服务（类）财政事务（款）事业运行（项）：指资阳市雁江区财政投资评审中心、资阳市雁江区政府与社会资本合作中心用于保障机构正常运行、开展日常工作的基本支出。</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（八）一般公共服务（类）财政事务（款）其他财政事务支出（项）：指财政局除上述项目外，开展其他财政事务方面专门性工作任务的项目支出，如高级会计师评审工作的相关支出。</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（九）教育（类）进修及培训（款）培训支出（项）：指为配合财政业务开展，用于单位在职人员参加相关业务培训及举办财政管理业务培训的经费支出。</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（十）社会保障和就业（类）行政事业单位养老支出（款）行政单位离退休（项）：指局机关离退休人员的支出。</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（十三）卫生健康（类）行政事业单位医疗（款）行政单位医疗（项）：指局机关及参公管理事业单位用于单位应缴纳基本医疗保险支出。</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（十四）卫生健康（类）行政事业单位医疗（款）事业单位医疗（项）：指事业单位用于单位应缴纳基本医疗保险支出。</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（十五）卫生健康（类）行政事业单位医疗（款）公务员医疗补助（项）：指局机关及参公管理事业单位用于集中缴纳公务员医疗补助支出。</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（十六）住房保障（类）住房改革支出（款）住房公积金（项）：指按照《住房公积金管理条例》的规定，由单位及其在职职工缴存的长期住房储金。</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（十七）基本支出：指为保证机构正常运转，完成日常工作任务而发生的人员支出和公用支出。</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（十八）项目支出：指在基本支出之外为完成特定行政任务和事业发展目标所发生的支出。</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附件：2022年单位预算公开表</w:t>
      </w:r>
    </w:p>
    <w:p>
      <w:pPr>
        <w:spacing w:line="600" w:lineRule="exact"/>
        <w:ind w:right="640"/>
        <w:jc w:val="left"/>
        <w:rPr>
          <w:rFonts w:hint="eastAsia" w:ascii="黑体" w:hAnsi="黑体" w:eastAsia="黑体" w:cs="黑体"/>
          <w:b w:val="0"/>
          <w:bCs w:val="0"/>
          <w:sz w:val="32"/>
          <w:szCs w:val="32"/>
        </w:rPr>
      </w:pPr>
    </w:p>
    <w:p>
      <w:pPr>
        <w:rPr>
          <w:rFonts w:hint="eastAsia" w:ascii="黑体" w:hAnsi="黑体" w:eastAsia="黑体" w:cs="黑体"/>
          <w:b w:val="0"/>
          <w:bCs w:val="0"/>
        </w:rPr>
      </w:pPr>
    </w:p>
    <w:sectPr>
      <w:pgSz w:w="11906" w:h="16838"/>
      <w:pgMar w:top="1440" w:right="158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45A4C"/>
    <w:rsid w:val="32DA2858"/>
    <w:rsid w:val="4E6411F6"/>
    <w:rsid w:val="54E45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2022-01-17T08:31:00Z</dcterms:created>
  <dc:creator>张晶</dc:creator>
  <cp:lastModifiedBy>pisces</cp:lastModifiedBy>
  <dcterms:modified xsi:type="dcterms:W3CDTF">2022-03-22T02:20:17Z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2C74B25BE6E44726915A40261EF11A90</vt:lpwstr>
  </property>
</Properties>
</file>