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eastAsia="黑体"/>
          <w:color w:val="000000"/>
          <w:sz w:val="72"/>
          <w:szCs w:val="72"/>
        </w:rPr>
      </w:pPr>
      <w:bookmarkStart w:id="0" w:name="_Toc15377425"/>
      <w:bookmarkStart w:id="1" w:name="_Toc15396597"/>
      <w:bookmarkStart w:id="2" w:name="_Toc15377193"/>
      <w:bookmarkStart w:id="3" w:name="_Toc15396475"/>
      <w:bookmarkStart w:id="4" w:name="_Toc15378441"/>
    </w:p>
    <w:p>
      <w:pPr>
        <w:adjustRightInd w:val="0"/>
        <w:snapToGrid w:val="0"/>
        <w:spacing w:line="360" w:lineRule="auto"/>
        <w:jc w:val="center"/>
        <w:outlineLvl w:val="0"/>
        <w:rPr>
          <w:rFonts w:eastAsia="黑体"/>
          <w:color w:val="000000"/>
          <w:sz w:val="72"/>
          <w:szCs w:val="72"/>
        </w:rPr>
      </w:pPr>
    </w:p>
    <w:p>
      <w:pPr>
        <w:adjustRightInd w:val="0"/>
        <w:snapToGrid w:val="0"/>
        <w:spacing w:line="360" w:lineRule="auto"/>
        <w:jc w:val="center"/>
        <w:outlineLvl w:val="0"/>
        <w:rPr>
          <w:rFonts w:eastAsia="方正小标宋简体"/>
          <w:color w:val="000000"/>
          <w:sz w:val="72"/>
          <w:szCs w:val="72"/>
        </w:rPr>
      </w:pPr>
      <w:r>
        <w:rPr>
          <w:rFonts w:eastAsia="黑体"/>
          <w:color w:val="000000"/>
          <w:sz w:val="72"/>
          <w:szCs w:val="72"/>
        </w:rPr>
        <w:t>2022</w:t>
      </w:r>
      <w:r>
        <w:rPr>
          <w:rFonts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eastAsia="方正小标宋简体"/>
          <w:color w:val="000000"/>
          <w:sz w:val="72"/>
          <w:szCs w:val="72"/>
          <w:highlight w:val="yellow"/>
        </w:rPr>
      </w:pPr>
      <w:bookmarkStart w:id="5" w:name="_Toc15396476"/>
      <w:bookmarkStart w:id="6" w:name="_Toc15378442"/>
      <w:bookmarkStart w:id="7" w:name="_Toc15377426"/>
      <w:bookmarkStart w:id="8" w:name="_Toc15377194"/>
      <w:bookmarkStart w:id="9" w:name="_Toc15396598"/>
      <w:r>
        <w:rPr>
          <w:rFonts w:eastAsia="方正小标宋简体"/>
          <w:color w:val="000000"/>
          <w:sz w:val="72"/>
          <w:szCs w:val="72"/>
        </w:rPr>
        <w:t>资</w:t>
      </w:r>
      <w:bookmarkEnd w:id="5"/>
      <w:bookmarkEnd w:id="6"/>
      <w:bookmarkEnd w:id="7"/>
      <w:bookmarkEnd w:id="8"/>
      <w:bookmarkEnd w:id="9"/>
      <w:bookmarkStart w:id="10" w:name="_Toc15306268"/>
      <w:r>
        <w:rPr>
          <w:rFonts w:eastAsia="方正小标宋简体"/>
          <w:color w:val="000000"/>
          <w:sz w:val="72"/>
          <w:szCs w:val="72"/>
        </w:rPr>
        <w:t>阳市</w:t>
      </w:r>
      <w:r>
        <w:rPr>
          <w:rFonts w:hint="eastAsia" w:eastAsia="方正小标宋简体"/>
          <w:color w:val="000000"/>
          <w:sz w:val="72"/>
          <w:szCs w:val="72"/>
        </w:rPr>
        <w:t>雁江区审计局</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部门决算</w:t>
      </w:r>
      <w:bookmarkEnd w:id="10"/>
    </w:p>
    <w:p>
      <w:pPr>
        <w:pStyle w:val="2"/>
        <w:spacing w:before="93"/>
        <w:rPr>
          <w:rFonts w:eastAsia="方正小标宋简体"/>
          <w:color w:val="000000"/>
          <w:sz w:val="72"/>
          <w:szCs w:val="72"/>
        </w:rPr>
      </w:pPr>
    </w:p>
    <w:p>
      <w:pPr>
        <w:pStyle w:val="2"/>
        <w:spacing w:before="93"/>
        <w:rPr>
          <w:rFonts w:eastAsia="方正小标宋简体"/>
          <w:color w:val="000000"/>
          <w:sz w:val="72"/>
          <w:szCs w:val="72"/>
        </w:rPr>
      </w:pPr>
    </w:p>
    <w:p>
      <w:pPr>
        <w:pStyle w:val="2"/>
        <w:spacing w:before="93"/>
        <w:rPr>
          <w:rFonts w:eastAsia="方正小标宋简体"/>
          <w:color w:val="000000"/>
          <w:sz w:val="72"/>
          <w:szCs w:val="72"/>
        </w:rPr>
      </w:pPr>
    </w:p>
    <w:p>
      <w:pPr>
        <w:pStyle w:val="2"/>
        <w:spacing w:before="93"/>
        <w:rPr>
          <w:rFonts w:eastAsia="方正小标宋简体"/>
          <w:color w:val="000000"/>
          <w:sz w:val="72"/>
          <w:szCs w:val="72"/>
        </w:rPr>
      </w:pPr>
    </w:p>
    <w:p>
      <w:pPr>
        <w:pStyle w:val="2"/>
        <w:spacing w:before="93"/>
        <w:rPr>
          <w:rFonts w:eastAsia="方正小标宋简体"/>
          <w:color w:val="000000"/>
          <w:sz w:val="72"/>
          <w:szCs w:val="72"/>
        </w:rPr>
      </w:pPr>
    </w:p>
    <w:p>
      <w:pPr>
        <w:widowControl/>
        <w:jc w:val="center"/>
        <w:rPr>
          <w:rFonts w:eastAsia="黑体"/>
          <w:color w:val="000000"/>
          <w:sz w:val="48"/>
          <w:szCs w:val="48"/>
        </w:rPr>
      </w:pPr>
    </w:p>
    <w:p>
      <w:pPr>
        <w:widowControl/>
        <w:jc w:val="center"/>
        <w:rPr>
          <w:rFonts w:eastAsia="黑体"/>
          <w:color w:val="000000"/>
          <w:sz w:val="48"/>
          <w:szCs w:val="48"/>
        </w:rPr>
      </w:pPr>
    </w:p>
    <w:p>
      <w:pPr>
        <w:pStyle w:val="3"/>
        <w:jc w:val="center"/>
      </w:pPr>
      <w:r>
        <w:t>目录</w:t>
      </w:r>
    </w:p>
    <w:p>
      <w:pPr>
        <w:tabs>
          <w:tab w:val="right" w:leader="dot" w:pos="8296"/>
        </w:tabs>
        <w:spacing w:before="93"/>
        <w:jc w:val="center"/>
        <w:rPr>
          <w:rFonts w:eastAsia="方正楷体简体"/>
          <w:sz w:val="28"/>
          <w:szCs w:val="28"/>
        </w:rPr>
      </w:pPr>
      <w:bookmarkStart w:id="11" w:name="_Hlk144131428"/>
      <w:bookmarkStart w:id="12" w:name="_Toc12458_WPSOffice_Level1"/>
      <w:bookmarkStart w:id="13" w:name="_Toc15377196"/>
      <w:bookmarkStart w:id="14" w:name="_Toc15396599"/>
      <w:bookmarkStart w:id="15" w:name="_Toc21543_WPSOffice_Level1"/>
      <w:r>
        <w:rPr>
          <w:rFonts w:hint="eastAsia" w:eastAsia="方正楷体简体"/>
          <w:sz w:val="28"/>
          <w:szCs w:val="28"/>
        </w:rPr>
        <w:t>公开时间：</w:t>
      </w:r>
      <w:r>
        <w:rPr>
          <w:rFonts w:eastAsia="方正楷体简体"/>
          <w:sz w:val="28"/>
          <w:szCs w:val="28"/>
        </w:rPr>
        <w:t>20</w:t>
      </w:r>
      <w:r>
        <w:rPr>
          <w:rFonts w:hint="eastAsia" w:eastAsia="方正楷体简体"/>
          <w:sz w:val="28"/>
          <w:szCs w:val="28"/>
        </w:rPr>
        <w:t>23年8月28日</w:t>
      </w:r>
    </w:p>
    <w:p>
      <w:pPr>
        <w:rPr>
          <w:szCs w:val="21"/>
        </w:rPr>
      </w:pPr>
    </w:p>
    <w:p>
      <w:pPr>
        <w:tabs>
          <w:tab w:val="right" w:leader="dot" w:pos="8296"/>
        </w:tabs>
        <w:spacing w:line="320" w:lineRule="exact"/>
        <w:rPr>
          <w:rFonts w:eastAsia="方正仿宋简体"/>
          <w:sz w:val="28"/>
          <w:szCs w:val="28"/>
        </w:rPr>
      </w:pPr>
      <w:r>
        <w:fldChar w:fldCharType="begin"/>
      </w:r>
      <w:r>
        <w:instrText xml:space="preserve"> HYPERLINK \l "_Toc15396599" </w:instrText>
      </w:r>
      <w:r>
        <w:fldChar w:fldCharType="separate"/>
      </w:r>
      <w:r>
        <w:rPr>
          <w:rFonts w:hint="eastAsia" w:eastAsia="方正仿宋简体"/>
          <w:sz w:val="28"/>
          <w:szCs w:val="28"/>
        </w:rPr>
        <w:t>第一部分 部门概况</w:t>
      </w:r>
      <w:r>
        <w:rPr>
          <w:rFonts w:eastAsia="方正仿宋简体"/>
          <w:sz w:val="28"/>
          <w:szCs w:val="28"/>
        </w:rPr>
        <w:tab/>
      </w:r>
      <w:r>
        <w:rPr>
          <w:rFonts w:eastAsia="方正仿宋简体"/>
          <w:sz w:val="28"/>
          <w:szCs w:val="28"/>
        </w:rPr>
        <w:fldChar w:fldCharType="end"/>
      </w:r>
      <w:r>
        <w:rPr>
          <w:rFonts w:eastAsia="方正仿宋简体"/>
          <w:sz w:val="28"/>
          <w:szCs w:val="28"/>
        </w:rPr>
        <w:t>3</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"_Toc15396600" </w:instrText>
      </w:r>
      <w:r>
        <w:fldChar w:fldCharType="separate"/>
      </w:r>
      <w:r>
        <w:rPr>
          <w:rFonts w:hint="eastAsia" w:eastAsia="方正仿宋简体"/>
          <w:sz w:val="28"/>
          <w:szCs w:val="28"/>
        </w:rPr>
        <w:t>一、主要职责</w:t>
      </w:r>
      <w:r>
        <w:rPr>
          <w:rFonts w:eastAsia="方正仿宋简体"/>
          <w:sz w:val="28"/>
          <w:szCs w:val="28"/>
        </w:rPr>
        <w:tab/>
      </w:r>
      <w:r>
        <w:rPr>
          <w:rFonts w:eastAsia="方正仿宋简体"/>
          <w:sz w:val="28"/>
          <w:szCs w:val="28"/>
        </w:rPr>
        <w:fldChar w:fldCharType="end"/>
      </w:r>
      <w:r>
        <w:rPr>
          <w:rFonts w:eastAsia="方正仿宋简体"/>
          <w:sz w:val="28"/>
          <w:szCs w:val="28"/>
        </w:rPr>
        <w:t>3</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"_Toc15396601" </w:instrText>
      </w:r>
      <w:r>
        <w:fldChar w:fldCharType="separate"/>
      </w:r>
      <w:r>
        <w:rPr>
          <w:rFonts w:hint="eastAsia" w:eastAsia="方正仿宋简体"/>
          <w:sz w:val="28"/>
          <w:szCs w:val="28"/>
        </w:rPr>
        <w:t>二、机构设置</w:t>
      </w:r>
      <w:r>
        <w:rPr>
          <w:rFonts w:eastAsia="方正仿宋简体"/>
          <w:sz w:val="28"/>
          <w:szCs w:val="28"/>
        </w:rPr>
        <w:tab/>
      </w:r>
      <w:r>
        <w:rPr>
          <w:rFonts w:eastAsia="方正仿宋简体"/>
          <w:sz w:val="28"/>
          <w:szCs w:val="28"/>
        </w:rPr>
        <w:fldChar w:fldCharType="end"/>
      </w:r>
      <w:r>
        <w:rPr>
          <w:rFonts w:eastAsia="方正仿宋简体"/>
          <w:sz w:val="28"/>
          <w:szCs w:val="28"/>
        </w:rPr>
        <w:t>6</w:t>
      </w:r>
    </w:p>
    <w:p>
      <w:pPr>
        <w:tabs>
          <w:tab w:val="right" w:leader="dot" w:pos="8296"/>
        </w:tabs>
        <w:spacing w:line="320" w:lineRule="exact"/>
        <w:rPr>
          <w:rFonts w:eastAsia="方正仿宋简体"/>
          <w:sz w:val="28"/>
          <w:szCs w:val="28"/>
        </w:rPr>
      </w:pPr>
      <w:r>
        <w:fldChar w:fldCharType="begin"/>
      </w:r>
      <w:r>
        <w:instrText xml:space="preserve"> HYPERLINK \l "_Toc15396602" </w:instrText>
      </w:r>
      <w:r>
        <w:fldChar w:fldCharType="separate"/>
      </w:r>
      <w:r>
        <w:rPr>
          <w:rFonts w:hint="eastAsia" w:eastAsia="方正仿宋简体"/>
          <w:sz w:val="28"/>
          <w:szCs w:val="28"/>
        </w:rPr>
        <w:t>第二部分</w:t>
      </w:r>
      <w:r>
        <w:rPr>
          <w:rFonts w:eastAsia="方正仿宋简体"/>
          <w:sz w:val="28"/>
          <w:szCs w:val="28"/>
        </w:rPr>
        <w:t xml:space="preserve"> 20</w:t>
      </w:r>
      <w:r>
        <w:rPr>
          <w:rFonts w:hint="eastAsia" w:eastAsia="方正仿宋简体"/>
          <w:sz w:val="28"/>
          <w:szCs w:val="28"/>
        </w:rPr>
        <w:t>22年度部门决算情况说明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6</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"_Toc15396603" </w:instrText>
      </w:r>
      <w:r>
        <w:fldChar w:fldCharType="separate"/>
      </w:r>
      <w:r>
        <w:rPr>
          <w:rFonts w:hint="eastAsia" w:eastAsia="方正仿宋简体"/>
          <w:bCs/>
          <w:sz w:val="28"/>
          <w:szCs w:val="28"/>
        </w:rPr>
        <w:t>一、</w:t>
      </w:r>
      <w:r>
        <w:rPr>
          <w:rFonts w:hint="eastAsia" w:eastAsia="方正仿宋简体"/>
          <w:sz w:val="28"/>
          <w:szCs w:val="28"/>
        </w:rPr>
        <w:t>收</w:t>
      </w:r>
      <w:r>
        <w:rPr>
          <w:rFonts w:hint="eastAsia" w:eastAsia="方正仿宋简体"/>
          <w:bCs/>
          <w:sz w:val="28"/>
          <w:szCs w:val="28"/>
        </w:rPr>
        <w:t>入支出决算总体情况说明</w:t>
      </w:r>
      <w:r>
        <w:rPr>
          <w:rFonts w:eastAsia="方正仿宋简体"/>
          <w:sz w:val="28"/>
          <w:szCs w:val="28"/>
        </w:rPr>
        <w:tab/>
      </w:r>
      <w:r>
        <w:rPr>
          <w:rFonts w:eastAsia="方正仿宋简体"/>
          <w:sz w:val="28"/>
          <w:szCs w:val="28"/>
        </w:rPr>
        <w:fldChar w:fldCharType="end"/>
      </w:r>
      <w:r>
        <w:rPr>
          <w:rFonts w:eastAsia="方正仿宋简体"/>
          <w:sz w:val="28"/>
          <w:szCs w:val="28"/>
        </w:rPr>
        <w:t>6</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"_Toc15396604" </w:instrText>
      </w:r>
      <w:r>
        <w:fldChar w:fldCharType="separate"/>
      </w:r>
      <w:r>
        <w:rPr>
          <w:rFonts w:hint="eastAsia" w:eastAsia="方正仿宋简体"/>
          <w:bCs/>
          <w:sz w:val="28"/>
          <w:szCs w:val="28"/>
        </w:rPr>
        <w:t>二、</w:t>
      </w:r>
      <w:r>
        <w:rPr>
          <w:rFonts w:hint="eastAsia" w:eastAsia="方正仿宋简体"/>
          <w:sz w:val="28"/>
          <w:szCs w:val="28"/>
        </w:rPr>
        <w:t>收</w:t>
      </w:r>
      <w:r>
        <w:rPr>
          <w:rFonts w:hint="eastAsia" w:eastAsia="方正仿宋简体"/>
          <w:bCs/>
          <w:sz w:val="28"/>
          <w:szCs w:val="28"/>
        </w:rPr>
        <w:t>入决算情况说明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7</w:t>
      </w:r>
    </w:p>
    <w:p>
      <w:pPr>
        <w:tabs>
          <w:tab w:val="right" w:leader="dot" w:pos="8296"/>
        </w:tabs>
        <w:spacing w:line="320" w:lineRule="exact"/>
        <w:ind w:left="420" w:leftChars="200"/>
      </w:pPr>
      <w:r>
        <w:fldChar w:fldCharType="begin"/>
      </w:r>
      <w:r>
        <w:instrText xml:space="preserve"> HYPERLINK \l "_Toc15396605" </w:instrText>
      </w:r>
      <w:r>
        <w:fldChar w:fldCharType="separate"/>
      </w:r>
      <w:r>
        <w:rPr>
          <w:rFonts w:hint="eastAsia" w:eastAsia="方正仿宋简体"/>
          <w:bCs/>
          <w:sz w:val="28"/>
          <w:szCs w:val="28"/>
        </w:rPr>
        <w:t>三、</w:t>
      </w:r>
      <w:r>
        <w:rPr>
          <w:rFonts w:hint="eastAsia" w:eastAsia="方正仿宋简体"/>
          <w:sz w:val="28"/>
          <w:szCs w:val="28"/>
        </w:rPr>
        <w:t>支</w:t>
      </w:r>
      <w:r>
        <w:rPr>
          <w:rFonts w:hint="eastAsia" w:eastAsia="方正仿宋简体"/>
          <w:bCs/>
          <w:sz w:val="28"/>
          <w:szCs w:val="28"/>
        </w:rPr>
        <w:t>出决算情况说明</w:t>
      </w:r>
      <w:r>
        <w:tab/>
      </w:r>
      <w:r>
        <w:fldChar w:fldCharType="end"/>
      </w:r>
      <w:r>
        <w:rPr>
          <w:rFonts w:eastAsia="方正仿宋简体"/>
          <w:sz w:val="28"/>
          <w:szCs w:val="28"/>
        </w:rPr>
        <w:t>8</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"_Toc15396606" </w:instrText>
      </w:r>
      <w:r>
        <w:fldChar w:fldCharType="separate"/>
      </w:r>
      <w:r>
        <w:rPr>
          <w:rFonts w:hint="eastAsia" w:eastAsia="方正仿宋简体"/>
          <w:sz w:val="28"/>
          <w:szCs w:val="28"/>
        </w:rPr>
        <w:t>四、财</w:t>
      </w:r>
      <w:r>
        <w:rPr>
          <w:rFonts w:hint="eastAsia" w:eastAsia="方正仿宋简体"/>
          <w:bCs/>
          <w:sz w:val="28"/>
          <w:szCs w:val="28"/>
        </w:rPr>
        <w:t>政拨款收入支出决算总体情况说明</w:t>
      </w:r>
      <w:r>
        <w:rPr>
          <w:rFonts w:eastAsia="方正仿宋简体"/>
          <w:sz w:val="28"/>
          <w:szCs w:val="28"/>
        </w:rPr>
        <w:tab/>
      </w:r>
      <w:r>
        <w:rPr>
          <w:rFonts w:eastAsia="方正仿宋简体"/>
          <w:sz w:val="28"/>
          <w:szCs w:val="28"/>
        </w:rPr>
        <w:fldChar w:fldCharType="end"/>
      </w:r>
      <w:r>
        <w:rPr>
          <w:rFonts w:eastAsia="方正仿宋简体"/>
          <w:sz w:val="28"/>
          <w:szCs w:val="28"/>
        </w:rPr>
        <w:t>8</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"_Toc15396607" </w:instrText>
      </w:r>
      <w:r>
        <w:fldChar w:fldCharType="separate"/>
      </w:r>
      <w:r>
        <w:rPr>
          <w:rFonts w:hint="eastAsia" w:eastAsia="方正仿宋简体"/>
          <w:sz w:val="28"/>
          <w:szCs w:val="28"/>
        </w:rPr>
        <w:t>五、一</w:t>
      </w:r>
      <w:r>
        <w:rPr>
          <w:rFonts w:hint="eastAsia" w:eastAsia="方正仿宋简体"/>
          <w:bCs/>
          <w:sz w:val="28"/>
          <w:szCs w:val="28"/>
        </w:rPr>
        <w:t>般公共预算财政拨款支出决算情况说明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9</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"_Toc15396608" </w:instrText>
      </w:r>
      <w:r>
        <w:fldChar w:fldCharType="separate"/>
      </w:r>
      <w:r>
        <w:rPr>
          <w:rFonts w:hint="eastAsia" w:eastAsia="方正仿宋简体"/>
          <w:sz w:val="28"/>
          <w:szCs w:val="28"/>
        </w:rPr>
        <w:t>六、一</w:t>
      </w:r>
      <w:r>
        <w:rPr>
          <w:rFonts w:hint="eastAsia" w:eastAsia="方正仿宋简体"/>
          <w:bCs/>
          <w:sz w:val="28"/>
          <w:szCs w:val="28"/>
        </w:rPr>
        <w:t>般公共预算财政拨款基本支出决算情况说明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12</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"_Toc15396609" </w:instrText>
      </w:r>
      <w:r>
        <w:fldChar w:fldCharType="separate"/>
      </w:r>
      <w:r>
        <w:rPr>
          <w:rFonts w:hint="eastAsia" w:eastAsia="方正仿宋简体"/>
          <w:sz w:val="28"/>
          <w:szCs w:val="28"/>
        </w:rPr>
        <w:t>七、财政拨款“</w:t>
      </w:r>
      <w:r>
        <w:rPr>
          <w:rFonts w:hint="eastAsia" w:eastAsia="方正仿宋简体"/>
          <w:bCs/>
          <w:sz w:val="28"/>
          <w:szCs w:val="28"/>
        </w:rPr>
        <w:t>三公”经费支出决算情况说明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12</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"_Toc15396610" </w:instrText>
      </w:r>
      <w:r>
        <w:fldChar w:fldCharType="separate"/>
      </w:r>
      <w:r>
        <w:rPr>
          <w:rFonts w:hint="eastAsia" w:eastAsia="方正仿宋简体"/>
          <w:sz w:val="28"/>
          <w:szCs w:val="28"/>
        </w:rPr>
        <w:t>八、</w:t>
      </w:r>
      <w:r>
        <w:rPr>
          <w:rFonts w:hint="eastAsia" w:eastAsia="方正仿宋简体"/>
          <w:bCs/>
          <w:sz w:val="28"/>
          <w:szCs w:val="28"/>
        </w:rPr>
        <w:t>政府性基金预算支出决算情况说明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14</w:t>
      </w:r>
    </w:p>
    <w:p>
      <w:pPr>
        <w:tabs>
          <w:tab w:val="right" w:leader="dot" w:pos="8296"/>
        </w:tabs>
        <w:spacing w:line="320" w:lineRule="exact"/>
        <w:ind w:left="420" w:leftChars="200"/>
        <w:rPr>
          <w:rFonts w:eastAsia="方正仿宋简体"/>
          <w:sz w:val="28"/>
          <w:szCs w:val="28"/>
        </w:rPr>
      </w:pPr>
      <w:r>
        <w:fldChar w:fldCharType="begin"/>
      </w:r>
      <w:r>
        <w:instrText xml:space="preserve"> HYPERLINK \l "_Toc15396611" </w:instrText>
      </w:r>
      <w:r>
        <w:fldChar w:fldCharType="separate"/>
      </w:r>
      <w:r>
        <w:rPr>
          <w:rFonts w:hint="eastAsia" w:eastAsia="方正仿宋简体"/>
          <w:bCs/>
          <w:sz w:val="28"/>
          <w:szCs w:val="28"/>
        </w:rPr>
        <w:t>九、</w:t>
      </w:r>
      <w:r>
        <w:rPr>
          <w:rFonts w:hint="eastAsia" w:eastAsia="方正仿宋简体"/>
          <w:sz w:val="28"/>
          <w:szCs w:val="28"/>
        </w:rPr>
        <w:t>国</w:t>
      </w:r>
      <w:r>
        <w:rPr>
          <w:rFonts w:hint="eastAsia" w:eastAsia="方正仿宋简体"/>
          <w:bCs/>
          <w:sz w:val="28"/>
          <w:szCs w:val="28"/>
        </w:rPr>
        <w:t>有资本经营预算支出决算情况说明</w:t>
      </w:r>
      <w:r>
        <w:rPr>
          <w:rFonts w:eastAsia="方正仿宋简体"/>
          <w:sz w:val="28"/>
          <w:szCs w:val="28"/>
        </w:rPr>
        <w:tab/>
      </w:r>
      <w:r>
        <w:rPr>
          <w:rFonts w:eastAsia="方正仿宋简体"/>
          <w:sz w:val="28"/>
          <w:szCs w:val="28"/>
        </w:rPr>
        <w:fldChar w:fldCharType="end"/>
      </w:r>
      <w:r>
        <w:rPr>
          <w:rFonts w:eastAsia="方正仿宋简体"/>
          <w:sz w:val="28"/>
          <w:szCs w:val="28"/>
        </w:rPr>
        <w:t>14</w:t>
      </w:r>
    </w:p>
    <w:p>
      <w:pPr>
        <w:tabs>
          <w:tab w:val="right" w:leader="dot" w:pos="8296"/>
        </w:tabs>
        <w:spacing w:line="320" w:lineRule="exact"/>
        <w:ind w:left="420"/>
        <w:rPr>
          <w:rFonts w:eastAsia="方正仿宋简体"/>
          <w:sz w:val="28"/>
          <w:szCs w:val="28"/>
        </w:rPr>
      </w:pPr>
      <w:r>
        <w:fldChar w:fldCharType="begin"/>
      </w:r>
      <w:r>
        <w:instrText xml:space="preserve"> HYPERLINK \l "_Toc15396612" </w:instrText>
      </w:r>
      <w:r>
        <w:fldChar w:fldCharType="separate"/>
      </w:r>
      <w:r>
        <w:rPr>
          <w:rFonts w:hint="eastAsia" w:eastAsia="方正仿宋简体"/>
          <w:sz w:val="28"/>
          <w:szCs w:val="28"/>
        </w:rPr>
        <w:t>十</w:t>
      </w:r>
      <w:r>
        <w:rPr>
          <w:rFonts w:hint="eastAsia" w:eastAsia="方正仿宋简体"/>
          <w:bCs/>
          <w:sz w:val="28"/>
          <w:szCs w:val="28"/>
        </w:rPr>
        <w:t>、其他重要事项的情况说明</w:t>
      </w:r>
      <w:r>
        <w:rPr>
          <w:rFonts w:eastAsia="方正仿宋简体"/>
          <w:sz w:val="28"/>
          <w:szCs w:val="28"/>
        </w:rPr>
        <w:tab/>
      </w:r>
      <w:r>
        <w:rPr>
          <w:rFonts w:eastAsia="方正仿宋简体"/>
          <w:sz w:val="28"/>
          <w:szCs w:val="28"/>
        </w:rPr>
        <w:fldChar w:fldCharType="end"/>
      </w:r>
      <w:r>
        <w:rPr>
          <w:rFonts w:eastAsia="方正仿宋简体"/>
          <w:sz w:val="28"/>
          <w:szCs w:val="28"/>
        </w:rPr>
        <w:t>14</w:t>
      </w:r>
    </w:p>
    <w:p>
      <w:pPr>
        <w:tabs>
          <w:tab w:val="right" w:leader="dot" w:pos="8296"/>
        </w:tabs>
        <w:spacing w:line="320" w:lineRule="exact"/>
        <w:rPr>
          <w:rFonts w:eastAsia="方正仿宋简体"/>
          <w:sz w:val="28"/>
          <w:szCs w:val="28"/>
        </w:rPr>
      </w:pPr>
      <w:r>
        <w:fldChar w:fldCharType="begin"/>
      </w:r>
      <w:r>
        <w:instrText xml:space="preserve"> HYPERLINK \l "_Toc15396613" </w:instrText>
      </w:r>
      <w:r>
        <w:fldChar w:fldCharType="separate"/>
      </w:r>
      <w:r>
        <w:rPr>
          <w:rFonts w:hint="eastAsia" w:eastAsia="方正仿宋简体"/>
          <w:bCs/>
          <w:kern w:val="44"/>
          <w:sz w:val="28"/>
          <w:szCs w:val="28"/>
        </w:rPr>
        <w:t>第三部分</w:t>
      </w:r>
      <w:r>
        <w:rPr>
          <w:rFonts w:eastAsia="方正仿宋简体"/>
          <w:sz w:val="28"/>
          <w:szCs w:val="28"/>
        </w:rPr>
        <w:t xml:space="preserve"> </w:t>
      </w:r>
      <w:r>
        <w:rPr>
          <w:rFonts w:hint="eastAsia" w:eastAsia="方正仿宋简体"/>
          <w:sz w:val="28"/>
          <w:szCs w:val="28"/>
        </w:rPr>
        <w:t>名</w:t>
      </w:r>
      <w:r>
        <w:rPr>
          <w:rFonts w:hint="eastAsia" w:eastAsia="方正仿宋简体"/>
          <w:bCs/>
          <w:kern w:val="44"/>
          <w:sz w:val="28"/>
          <w:szCs w:val="28"/>
        </w:rPr>
        <w:t>词解释</w:t>
      </w:r>
      <w:r>
        <w:rPr>
          <w:rFonts w:eastAsia="方正仿宋简体"/>
          <w:sz w:val="28"/>
          <w:szCs w:val="28"/>
        </w:rPr>
        <w:tab/>
      </w:r>
      <w:r>
        <w:rPr>
          <w:rFonts w:eastAsia="方正仿宋简体"/>
          <w:sz w:val="28"/>
          <w:szCs w:val="28"/>
        </w:rPr>
        <w:fldChar w:fldCharType="end"/>
      </w:r>
      <w:r>
        <w:rPr>
          <w:rFonts w:eastAsia="方正仿宋简体"/>
          <w:sz w:val="28"/>
          <w:szCs w:val="28"/>
        </w:rPr>
        <w:t>16</w:t>
      </w:r>
    </w:p>
    <w:p>
      <w:pPr>
        <w:tabs>
          <w:tab w:val="right" w:leader="dot" w:pos="8296"/>
        </w:tabs>
        <w:adjustRightInd w:val="0"/>
        <w:snapToGrid w:val="0"/>
        <w:spacing w:line="320" w:lineRule="exact"/>
        <w:jc w:val="left"/>
        <w:rPr>
          <w:rFonts w:eastAsia="方正仿宋简体"/>
          <w:sz w:val="28"/>
          <w:szCs w:val="28"/>
        </w:rPr>
      </w:pPr>
      <w:r>
        <w:rPr>
          <w:rFonts w:hint="eastAsia" w:eastAsia="方正仿宋简体"/>
          <w:sz w:val="28"/>
          <w:szCs w:val="28"/>
        </w:rPr>
        <w:t>第四部分 附件</w:t>
      </w:r>
      <w:r>
        <w:rPr>
          <w:rFonts w:eastAsia="方正仿宋简体" w:cs="方正仿宋简体"/>
          <w:sz w:val="28"/>
          <w:szCs w:val="28"/>
        </w:rPr>
        <w:tab/>
      </w:r>
      <w:r>
        <w:rPr>
          <w:rFonts w:eastAsia="方正仿宋简体" w:cs="方正仿宋简体"/>
          <w:sz w:val="28"/>
          <w:szCs w:val="28"/>
        </w:rPr>
        <w:t>19</w:t>
      </w:r>
    </w:p>
    <w:p>
      <w:pPr>
        <w:tabs>
          <w:tab w:val="right" w:leader="dot" w:pos="8296"/>
        </w:tabs>
        <w:adjustRightInd w:val="0"/>
        <w:snapToGrid w:val="0"/>
        <w:spacing w:line="320" w:lineRule="exact"/>
        <w:jc w:val="left"/>
        <w:rPr>
          <w:rFonts w:eastAsia="方正仿宋简体"/>
          <w:sz w:val="28"/>
          <w:szCs w:val="28"/>
        </w:rPr>
      </w:pPr>
      <w:r>
        <w:fldChar w:fldCharType="begin"/>
      </w:r>
      <w:r>
        <w:instrText xml:space="preserve"> HYPERLINK \l "_Toc15396618" </w:instrText>
      </w:r>
      <w:r>
        <w:fldChar w:fldCharType="separate"/>
      </w:r>
      <w:r>
        <w:rPr>
          <w:rFonts w:hint="eastAsia" w:eastAsia="方正仿宋简体"/>
          <w:sz w:val="28"/>
          <w:szCs w:val="28"/>
        </w:rPr>
        <w:t>第</w:t>
      </w:r>
      <w:r>
        <w:rPr>
          <w:rFonts w:hint="eastAsia" w:eastAsia="方正仿宋简体"/>
          <w:bCs/>
          <w:kern w:val="44"/>
          <w:sz w:val="28"/>
          <w:szCs w:val="28"/>
        </w:rPr>
        <w:t>五部分 2022年部门决算公开附表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一、</w:t>
      </w:r>
      <w:r>
        <w:fldChar w:fldCharType="begin"/>
      </w:r>
      <w:r>
        <w:instrText xml:space="preserve"> HYPERLINK \l "_Toc15396619" </w:instrText>
      </w:r>
      <w:r>
        <w:fldChar w:fldCharType="separate"/>
      </w:r>
      <w:r>
        <w:rPr>
          <w:rFonts w:hint="eastAsia" w:eastAsia="方正仿宋简体"/>
          <w:sz w:val="28"/>
          <w:szCs w:val="28"/>
        </w:rPr>
        <w:t>收入支出决算总表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二、</w:t>
      </w:r>
      <w:r>
        <w:fldChar w:fldCharType="begin"/>
      </w:r>
      <w:r>
        <w:instrText xml:space="preserve"> HYPERLINK \l "_Toc15396620" </w:instrText>
      </w:r>
      <w:r>
        <w:fldChar w:fldCharType="separate"/>
      </w:r>
      <w:r>
        <w:rPr>
          <w:rFonts w:hint="eastAsia" w:eastAsia="方正仿宋简体"/>
          <w:sz w:val="28"/>
          <w:szCs w:val="28"/>
        </w:rPr>
        <w:t>收入决算表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三、</w:t>
      </w:r>
      <w:r>
        <w:fldChar w:fldCharType="begin"/>
      </w:r>
      <w:r>
        <w:instrText xml:space="preserve"> HYPERLINK \l "_Toc15396621" </w:instrText>
      </w:r>
      <w:r>
        <w:fldChar w:fldCharType="separate"/>
      </w:r>
      <w:r>
        <w:rPr>
          <w:rFonts w:hint="eastAsia" w:eastAsia="方正仿宋简体"/>
          <w:sz w:val="28"/>
          <w:szCs w:val="28"/>
        </w:rPr>
        <w:t>支出决算表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四、</w:t>
      </w:r>
      <w:r>
        <w:fldChar w:fldCharType="begin"/>
      </w:r>
      <w:r>
        <w:instrText xml:space="preserve"> HYPERLINK \l "_Toc15396622" </w:instrText>
      </w:r>
      <w:r>
        <w:fldChar w:fldCharType="separate"/>
      </w:r>
      <w:r>
        <w:rPr>
          <w:rFonts w:hint="eastAsia" w:eastAsia="方正仿宋简体"/>
          <w:sz w:val="28"/>
          <w:szCs w:val="28"/>
        </w:rPr>
        <w:t>财政拨款收入支出决算总表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五、</w:t>
      </w:r>
      <w:r>
        <w:fldChar w:fldCharType="begin"/>
      </w:r>
      <w:r>
        <w:instrText xml:space="preserve"> HYPERLINK \l "_Toc15396623" </w:instrText>
      </w:r>
      <w:r>
        <w:fldChar w:fldCharType="separate"/>
      </w:r>
      <w:r>
        <w:rPr>
          <w:rFonts w:hint="eastAsia" w:eastAsia="方正仿宋简体"/>
          <w:sz w:val="28"/>
          <w:szCs w:val="28"/>
        </w:rPr>
        <w:t>财政拨款支出决算明细表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六、</w:t>
      </w:r>
      <w:r>
        <w:fldChar w:fldCharType="begin"/>
      </w:r>
      <w:r>
        <w:instrText xml:space="preserve"> HYPERLINK \l "_Toc15396624" </w:instrText>
      </w:r>
      <w:r>
        <w:fldChar w:fldCharType="separate"/>
      </w:r>
      <w:r>
        <w:rPr>
          <w:rFonts w:hint="eastAsia" w:eastAsia="方正仿宋简体"/>
          <w:sz w:val="28"/>
          <w:szCs w:val="28"/>
        </w:rPr>
        <w:t>一般公共预算财政拨款支出决算表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sz w:val="28"/>
          <w:szCs w:val="28"/>
        </w:rPr>
      </w:pPr>
      <w:r>
        <w:rPr>
          <w:rFonts w:hint="eastAsia" w:eastAsia="方正仿宋简体"/>
          <w:sz w:val="28"/>
          <w:szCs w:val="28"/>
        </w:rPr>
        <w:t>七、</w:t>
      </w:r>
      <w:r>
        <w:fldChar w:fldCharType="begin"/>
      </w:r>
      <w:r>
        <w:instrText xml:space="preserve"> HYPERLINK \l "_Toc15396625" </w:instrText>
      </w:r>
      <w:r>
        <w:fldChar w:fldCharType="separate"/>
      </w:r>
      <w:r>
        <w:rPr>
          <w:rFonts w:hint="eastAsia" w:eastAsia="方正仿宋简体"/>
          <w:sz w:val="28"/>
          <w:szCs w:val="28"/>
        </w:rPr>
        <w:t>一般公共预算财政拨款支出决算明细表</w:t>
      </w:r>
      <w:r>
        <w:rPr>
          <w:rFonts w:eastAsia="方正仿宋简体"/>
          <w:sz w:val="28"/>
          <w:szCs w:val="28"/>
        </w:rPr>
        <w:tab/>
      </w:r>
      <w:r>
        <w:rPr>
          <w:rFonts w:eastAsia="方正仿宋简体"/>
          <w:sz w:val="28"/>
          <w:szCs w:val="28"/>
        </w:rPr>
        <w:fldChar w:fldCharType="end"/>
      </w:r>
      <w:r>
        <w:rPr>
          <w:rFonts w:eastAsia="方正仿宋简体"/>
          <w:sz w:val="28"/>
          <w:szCs w:val="28"/>
        </w:rPr>
        <w:t>68</w:t>
      </w:r>
    </w:p>
    <w:p>
      <w:pPr>
        <w:tabs>
          <w:tab w:val="right" w:leader="dot" w:pos="8296"/>
        </w:tabs>
        <w:spacing w:line="320" w:lineRule="exact"/>
        <w:ind w:left="420" w:leftChars="200"/>
        <w:rPr>
          <w:rFonts w:eastAsia="方正仿宋简体" w:cs="方正仿宋简体"/>
          <w:sz w:val="28"/>
          <w:szCs w:val="28"/>
        </w:rPr>
      </w:pPr>
      <w:r>
        <w:rPr>
          <w:rFonts w:hint="eastAsia" w:eastAsia="方正仿宋简体" w:cs="方正仿宋简体"/>
          <w:sz w:val="28"/>
          <w:szCs w:val="28"/>
        </w:rPr>
        <w:t>八、一般公共预算财政拨款基本支出决算明细表</w:t>
      </w:r>
      <w:r>
        <w:fldChar w:fldCharType="begin"/>
      </w:r>
      <w:r>
        <w:instrText xml:space="preserve"> HYPERLINK \l "_Toc15396626" </w:instrText>
      </w:r>
      <w:r>
        <w:fldChar w:fldCharType="separate"/>
      </w:r>
      <w:r>
        <w:rPr>
          <w:rFonts w:eastAsia="方正仿宋简体" w:cs="方正仿宋简体"/>
          <w:sz w:val="28"/>
          <w:szCs w:val="28"/>
        </w:rPr>
        <w:tab/>
      </w:r>
      <w:r>
        <w:rPr>
          <w:rFonts w:eastAsia="方正仿宋简体" w:cs="方正仿宋简体"/>
          <w:sz w:val="28"/>
          <w:szCs w:val="28"/>
        </w:rPr>
        <w:fldChar w:fldCharType="end"/>
      </w:r>
      <w:r>
        <w:rPr>
          <w:rFonts w:eastAsia="方正仿宋简体" w:cs="方正仿宋简体"/>
          <w:sz w:val="28"/>
          <w:szCs w:val="28"/>
        </w:rPr>
        <w:t>68</w:t>
      </w:r>
    </w:p>
    <w:p>
      <w:pPr>
        <w:tabs>
          <w:tab w:val="right" w:leader="dot" w:pos="8296"/>
        </w:tabs>
        <w:adjustRightInd w:val="0"/>
        <w:snapToGrid w:val="0"/>
        <w:spacing w:line="320" w:lineRule="exact"/>
        <w:ind w:left="420" w:leftChars="200"/>
        <w:jc w:val="left"/>
        <w:rPr>
          <w:rFonts w:eastAsia="方正仿宋简体" w:cs="方正仿宋简体"/>
          <w:sz w:val="28"/>
          <w:szCs w:val="28"/>
        </w:rPr>
      </w:pPr>
      <w:r>
        <w:rPr>
          <w:rFonts w:hint="eastAsia" w:eastAsia="方正仿宋简体" w:cs="方正仿宋简体"/>
          <w:sz w:val="28"/>
          <w:szCs w:val="28"/>
        </w:rPr>
        <w:t>九、一般公共预算财政拨款项目支出决算表</w:t>
      </w:r>
      <w:r>
        <w:rPr>
          <w:rFonts w:eastAsia="方正仿宋简体" w:cs="方正仿宋简体"/>
          <w:sz w:val="28"/>
          <w:szCs w:val="28"/>
        </w:rPr>
        <w:tab/>
      </w:r>
      <w:r>
        <w:rPr>
          <w:rFonts w:eastAsia="方正仿宋简体" w:cs="方正仿宋简体"/>
          <w:sz w:val="28"/>
          <w:szCs w:val="28"/>
        </w:rPr>
        <w:t>68</w:t>
      </w:r>
    </w:p>
    <w:p>
      <w:pPr>
        <w:tabs>
          <w:tab w:val="right" w:leader="dot" w:pos="8296"/>
        </w:tabs>
        <w:adjustRightInd w:val="0"/>
        <w:snapToGrid w:val="0"/>
        <w:spacing w:line="320" w:lineRule="exact"/>
        <w:ind w:left="420" w:leftChars="200"/>
        <w:jc w:val="left"/>
        <w:rPr>
          <w:rFonts w:eastAsia="方正仿宋简体" w:cs="方正仿宋简体"/>
          <w:sz w:val="28"/>
          <w:szCs w:val="28"/>
        </w:rPr>
      </w:pPr>
      <w:r>
        <w:rPr>
          <w:rFonts w:hint="eastAsia" w:eastAsia="方正仿宋简体" w:cs="方正仿宋简体"/>
          <w:sz w:val="28"/>
          <w:szCs w:val="28"/>
        </w:rPr>
        <w:t>十、政府性基金预算财政拨款收入支出决算表</w:t>
      </w:r>
      <w:r>
        <w:rPr>
          <w:rFonts w:eastAsia="方正仿宋简体" w:cs="方正仿宋简体"/>
          <w:sz w:val="28"/>
          <w:szCs w:val="28"/>
        </w:rPr>
        <w:tab/>
      </w:r>
      <w:r>
        <w:rPr>
          <w:rFonts w:eastAsia="方正仿宋简体" w:cs="方正仿宋简体"/>
          <w:sz w:val="28"/>
          <w:szCs w:val="28"/>
        </w:rPr>
        <w:t>68</w:t>
      </w:r>
    </w:p>
    <w:p>
      <w:pPr>
        <w:tabs>
          <w:tab w:val="right" w:leader="dot" w:pos="8296"/>
        </w:tabs>
        <w:adjustRightInd w:val="0"/>
        <w:snapToGrid w:val="0"/>
        <w:spacing w:line="320" w:lineRule="exact"/>
        <w:ind w:left="420" w:leftChars="200"/>
        <w:jc w:val="left"/>
        <w:rPr>
          <w:rFonts w:eastAsia="方正仿宋简体" w:cs="方正仿宋简体"/>
          <w:sz w:val="28"/>
          <w:szCs w:val="28"/>
        </w:rPr>
      </w:pPr>
      <w:r>
        <w:rPr>
          <w:rFonts w:hint="eastAsia" w:eastAsia="方正仿宋简体" w:cs="方正仿宋简体"/>
          <w:sz w:val="28"/>
          <w:szCs w:val="28"/>
        </w:rPr>
        <w:t>十一、国有资本经营预算财政拨款收入支出决算表</w:t>
      </w:r>
      <w:r>
        <w:rPr>
          <w:rFonts w:eastAsia="方正仿宋简体" w:cs="方正仿宋简体"/>
          <w:sz w:val="28"/>
          <w:szCs w:val="28"/>
        </w:rPr>
        <w:tab/>
      </w:r>
      <w:r>
        <w:rPr>
          <w:rFonts w:eastAsia="方正仿宋简体" w:cs="方正仿宋简体"/>
          <w:sz w:val="28"/>
          <w:szCs w:val="28"/>
        </w:rPr>
        <w:t>68</w:t>
      </w:r>
    </w:p>
    <w:p>
      <w:pPr>
        <w:tabs>
          <w:tab w:val="right" w:leader="dot" w:pos="8296"/>
        </w:tabs>
        <w:spacing w:line="320" w:lineRule="exact"/>
        <w:ind w:left="420" w:leftChars="200"/>
        <w:rPr>
          <w:rFonts w:eastAsia="方正仿宋简体" w:cs="方正仿宋简体"/>
          <w:sz w:val="28"/>
          <w:szCs w:val="28"/>
        </w:rPr>
      </w:pPr>
      <w:r>
        <w:rPr>
          <w:rFonts w:hint="eastAsia" w:eastAsia="方正仿宋简体" w:cs="方正仿宋简体"/>
          <w:sz w:val="28"/>
          <w:szCs w:val="28"/>
        </w:rPr>
        <w:t>十二、国有资本经营预算财政拨款支出决算表</w:t>
      </w:r>
      <w:r>
        <w:rPr>
          <w:rFonts w:eastAsia="方正仿宋简体" w:cs="方正仿宋简体"/>
          <w:sz w:val="28"/>
          <w:szCs w:val="28"/>
        </w:rPr>
        <w:tab/>
      </w:r>
      <w:r>
        <w:rPr>
          <w:rFonts w:eastAsia="方正仿宋简体" w:cs="方正仿宋简体"/>
          <w:sz w:val="28"/>
          <w:szCs w:val="28"/>
        </w:rPr>
        <w:t>68</w:t>
      </w:r>
    </w:p>
    <w:p>
      <w:pPr>
        <w:tabs>
          <w:tab w:val="right" w:leader="dot" w:pos="8296"/>
        </w:tabs>
        <w:spacing w:line="320" w:lineRule="exact"/>
        <w:ind w:left="420" w:leftChars="200"/>
        <w:rPr>
          <w:rFonts w:eastAsia="方正仿宋简体" w:cs="方正仿宋简体"/>
          <w:sz w:val="28"/>
          <w:szCs w:val="28"/>
        </w:rPr>
      </w:pPr>
      <w:r>
        <w:rPr>
          <w:rFonts w:hint="eastAsia" w:eastAsia="方正仿宋简体" w:cs="方正仿宋简体"/>
          <w:sz w:val="28"/>
          <w:szCs w:val="28"/>
        </w:rPr>
        <w:t>十三、财政拨款“三公”经费支出决算表</w:t>
      </w:r>
      <w:r>
        <w:rPr>
          <w:rFonts w:eastAsia="方正仿宋简体" w:cs="方正仿宋简体"/>
          <w:sz w:val="28"/>
          <w:szCs w:val="28"/>
        </w:rPr>
        <w:tab/>
      </w:r>
      <w:r>
        <w:rPr>
          <w:rFonts w:eastAsia="方正仿宋简体" w:cs="方正仿宋简体"/>
          <w:sz w:val="28"/>
          <w:szCs w:val="28"/>
        </w:rPr>
        <w:t>68</w:t>
      </w:r>
    </w:p>
    <w:bookmarkEnd w:id="11"/>
    <w:p>
      <w:pPr>
        <w:pStyle w:val="3"/>
        <w:jc w:val="center"/>
        <w:rPr>
          <w:rStyle w:val="23"/>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bookmarkEnd w:id="14"/>
      <w:bookmarkEnd w:id="15"/>
    </w:p>
    <w:p>
      <w:pPr>
        <w:pStyle w:val="4"/>
        <w:ind w:left="640" w:hanging="640" w:hangingChars="200"/>
        <w:rPr>
          <w:rFonts w:ascii="仿宋" w:hAnsi="仿宋" w:eastAsia="仿宋" w:cs="方正仿宋简体"/>
          <w:b w:val="0"/>
          <w:kern w:val="0"/>
        </w:rPr>
      </w:pPr>
      <w:bookmarkStart w:id="16" w:name="_Toc15396600"/>
      <w:bookmarkStart w:id="17" w:name="_Toc15377197"/>
      <w:bookmarkStart w:id="18" w:name="_Toc4621_WPSOffice_Level2"/>
      <w:bookmarkStart w:id="19" w:name="_Toc18847_WPSOffice_Level2"/>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6"/>
      <w:bookmarkEnd w:id="17"/>
      <w:bookmarkStart w:id="20" w:name="_Toc15378445"/>
      <w:bookmarkStart w:id="21" w:name="_Toc15377198"/>
      <w:r>
        <w:rPr>
          <w:rStyle w:val="24"/>
          <w:rFonts w:hint="eastAsia" w:ascii="黑体" w:hAnsi="黑体" w:eastAsia="黑体"/>
          <w:b w:val="0"/>
          <w:bCs w:val="0"/>
        </w:rPr>
        <w:br w:type="textWrapping"/>
      </w:r>
      <w:r>
        <w:rPr>
          <w:rFonts w:hint="eastAsia" w:ascii="仿宋" w:hAnsi="仿宋" w:eastAsia="仿宋" w:cs="方正仿宋简体"/>
          <w:b w:val="0"/>
          <w:kern w:val="0"/>
        </w:rPr>
        <w:t>（一）主要职能</w:t>
      </w:r>
      <w:bookmarkEnd w:id="18"/>
      <w:bookmarkEnd w:id="19"/>
      <w:bookmarkEnd w:id="20"/>
      <w:bookmarkEnd w:id="21"/>
    </w:p>
    <w:p>
      <w:pPr>
        <w:spacing w:line="360" w:lineRule="auto"/>
        <w:ind w:firstLine="640" w:firstLineChars="200"/>
        <w:rPr>
          <w:rFonts w:ascii="仿宋" w:hAnsi="仿宋" w:eastAsia="仿宋" w:cs="方正仿宋简体"/>
          <w:bCs/>
          <w:kern w:val="0"/>
          <w:sz w:val="32"/>
          <w:szCs w:val="32"/>
        </w:rPr>
      </w:pPr>
      <w:r>
        <w:rPr>
          <w:rFonts w:hint="eastAsia" w:ascii="仿宋" w:hAnsi="仿宋" w:eastAsia="仿宋" w:cs="方正仿宋简体"/>
          <w:bCs/>
          <w:kern w:val="0"/>
          <w:sz w:val="32"/>
          <w:szCs w:val="32"/>
        </w:rPr>
        <w:t>1.</w:t>
      </w:r>
      <w:r>
        <w:rPr>
          <w:rFonts w:ascii="仿宋" w:hAnsi="仿宋" w:eastAsia="仿宋" w:cs="方正仿宋简体"/>
          <w:bCs/>
          <w:kern w:val="0"/>
          <w:sz w:val="32"/>
          <w:szCs w:val="32"/>
        </w:rPr>
        <w:t>主管全区审计工作。负责对区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区有关重大政策措施贯彻落实情况进行跟踪审计。对审计、专项审计调查和核查社会审计机构相关审计报告的结果承担责任，并负有督促被审计单位整改的责任。</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 xml:space="preserve"> </w:t>
      </w:r>
      <w:r>
        <w:rPr>
          <w:rFonts w:hint="eastAsia" w:ascii="仿宋" w:hAnsi="仿宋" w:eastAsia="仿宋" w:cs="仿宋"/>
          <w:bCs/>
          <w:kern w:val="0"/>
          <w:sz w:val="32"/>
          <w:szCs w:val="32"/>
        </w:rPr>
        <w:t>2.</w:t>
      </w:r>
      <w:r>
        <w:rPr>
          <w:rFonts w:ascii="仿宋" w:hAnsi="仿宋" w:eastAsia="仿宋" w:cs="方正仿宋简体"/>
          <w:bCs/>
          <w:kern w:val="0"/>
          <w:sz w:val="32"/>
          <w:szCs w:val="32"/>
        </w:rPr>
        <w:t>贯彻执行国家有关审计工作的方针政策和法律法规。起草相关政策草案。制定并组织实施全区专业领域审计工作规划。参与起草地方性财政经济及相关政策草案。对直接审计、调查和核查的事项依法进行审计评价，作出审计决定或提出审计建议。</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3.</w:t>
      </w:r>
      <w:r>
        <w:rPr>
          <w:rFonts w:ascii="仿宋" w:hAnsi="仿宋" w:eastAsia="仿宋" w:cs="方正仿宋简体"/>
          <w:bCs/>
          <w:kern w:val="0"/>
          <w:sz w:val="32"/>
          <w:szCs w:val="32"/>
        </w:rPr>
        <w:t>向区委审计委提出年度区级预算执行和其他财政支出情况审计报告。向区政府和市审计局提出年度区级预算执行及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级有关部门和乡镇（街道）通报审计情况和审计结果。</w:t>
      </w:r>
      <w:r>
        <w:rPr>
          <w:rFonts w:ascii="仿宋" w:hAnsi="仿宋" w:eastAsia="仿宋" w:cs="方正仿宋简体"/>
          <w:bCs/>
          <w:kern w:val="0"/>
          <w:sz w:val="32"/>
          <w:szCs w:val="32"/>
        </w:rPr>
        <w:br w:type="textWrapping"/>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仿宋"/>
          <w:bCs/>
          <w:kern w:val="0"/>
          <w:sz w:val="32"/>
          <w:szCs w:val="32"/>
        </w:rPr>
        <w:t>4.</w:t>
      </w:r>
      <w:r>
        <w:rPr>
          <w:rFonts w:ascii="仿宋" w:hAnsi="仿宋" w:eastAsia="仿宋" w:cs="方正仿宋简体"/>
          <w:bCs/>
          <w:kern w:val="0"/>
          <w:sz w:val="32"/>
          <w:szCs w:val="32"/>
        </w:rPr>
        <w:t>直接审计下列事项，出具审计报告，在法定职权范围内作出审计决定。包括国家和省、市、区有关重大政策措施贯彻落实情况；区级预算执行情况和其他财政收支，区级各部门（含直属单位）预算执行情况、决算草案和其他财政收支；街道办事处和乡镇人民政府预算执行情况、决算草案和其他财政收支，区级财政转移支付资金；使用区级财政资金的事业单位（含直属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地方金融机构、国有资本占控股或主导地位的企业和金融机构境内外资产、负债和损益，区政府及有关部门驻外非经营性机构的财务收支；有关社会保障基金、社会捐赠资金、安全生产和职业健康财政资金以及其他基金、资金的财务收支；国际组织和外国政府援助、贷款项目；法律法规规定的其他事项。</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 xml:space="preserve"> </w:t>
      </w:r>
      <w:r>
        <w:rPr>
          <w:rFonts w:hint="eastAsia" w:ascii="仿宋" w:hAnsi="仿宋" w:eastAsia="仿宋" w:cs="仿宋"/>
          <w:bCs/>
          <w:kern w:val="0"/>
          <w:sz w:val="32"/>
          <w:szCs w:val="32"/>
        </w:rPr>
        <w:t>5.</w:t>
      </w:r>
      <w:r>
        <w:rPr>
          <w:rFonts w:ascii="仿宋" w:hAnsi="仿宋" w:eastAsia="仿宋" w:cs="方正仿宋简体"/>
          <w:bCs/>
          <w:kern w:val="0"/>
          <w:sz w:val="32"/>
          <w:szCs w:val="32"/>
        </w:rPr>
        <w:t>按规定对区管党政主要领导干部及其他单位主要负责人实施经济责任审计和自然资源资产离任审计。</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仿宋"/>
          <w:bCs/>
          <w:kern w:val="0"/>
          <w:sz w:val="32"/>
          <w:szCs w:val="32"/>
        </w:rPr>
        <w:t>6.</w:t>
      </w:r>
      <w:r>
        <w:rPr>
          <w:rFonts w:ascii="仿宋" w:hAnsi="仿宋" w:eastAsia="仿宋" w:cs="方正仿宋简体"/>
          <w:bCs/>
          <w:kern w:val="0"/>
          <w:sz w:val="32"/>
          <w:szCs w:val="32"/>
        </w:rPr>
        <w:t>组织实施对国家财经法律法规、规章、政策和宏观调控措施执行情况、财政预算管理及国有资产管理使用等与区级财政收支有关的特定事项进行专项审计调查。</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7.</w:t>
      </w:r>
      <w:r>
        <w:rPr>
          <w:rFonts w:ascii="仿宋" w:hAnsi="仿宋" w:eastAsia="仿宋" w:cs="方正仿宋简体"/>
          <w:bCs/>
          <w:kern w:val="0"/>
          <w:sz w:val="32"/>
          <w:szCs w:val="32"/>
        </w:rPr>
        <w:t>依法检查审计决定执行情况，督促整改审计查出的问题，依法办理被审计单位对审计决定提请行政复议、行政诉讼或区政府裁决中的有关事项，协助配合有关部门查处相关重大案件。</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 xml:space="preserve"> </w:t>
      </w:r>
      <w:r>
        <w:rPr>
          <w:rFonts w:hint="eastAsia" w:ascii="仿宋" w:hAnsi="仿宋" w:eastAsia="仿宋" w:cs="仿宋"/>
          <w:bCs/>
          <w:kern w:val="0"/>
          <w:sz w:val="32"/>
          <w:szCs w:val="32"/>
        </w:rPr>
        <w:t>8.</w:t>
      </w:r>
      <w:r>
        <w:rPr>
          <w:rFonts w:ascii="仿宋" w:hAnsi="仿宋" w:eastAsia="仿宋" w:cs="方正仿宋简体"/>
          <w:bCs/>
          <w:kern w:val="0"/>
          <w:sz w:val="32"/>
          <w:szCs w:val="32"/>
        </w:rPr>
        <w:t>指导和监督内部审计工作，核查社会审计机构对依法属于审计监督对象的单位出具的相关审计报告。</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方正仿宋简体"/>
          <w:bCs/>
          <w:kern w:val="0"/>
          <w:sz w:val="32"/>
          <w:szCs w:val="32"/>
        </w:rPr>
        <w:t>9.</w:t>
      </w:r>
      <w:r>
        <w:rPr>
          <w:rFonts w:ascii="仿宋" w:hAnsi="仿宋" w:eastAsia="仿宋" w:cs="方正仿宋简体"/>
          <w:bCs/>
          <w:kern w:val="0"/>
          <w:sz w:val="32"/>
          <w:szCs w:val="32"/>
        </w:rPr>
        <w:t>接受区委、区政府和上级审计机关的共同领导，配合上级审计机关实施特定项目的专项审计或审计调查。</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仿宋"/>
          <w:bCs/>
          <w:kern w:val="0"/>
          <w:sz w:val="32"/>
          <w:szCs w:val="32"/>
        </w:rPr>
        <w:t>10.</w:t>
      </w:r>
      <w:r>
        <w:rPr>
          <w:rFonts w:ascii="仿宋" w:hAnsi="仿宋" w:eastAsia="仿宋" w:cs="方正仿宋简体"/>
          <w:bCs/>
          <w:kern w:val="0"/>
          <w:sz w:val="32"/>
          <w:szCs w:val="32"/>
        </w:rPr>
        <w:t>组织开展审计领域内的国际交流与合作，组织开展信息技术在审计领域的应用。</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hint="eastAsia" w:ascii="仿宋" w:hAnsi="仿宋" w:eastAsia="仿宋" w:cs="仿宋"/>
          <w:bCs/>
          <w:kern w:val="0"/>
          <w:sz w:val="32"/>
          <w:szCs w:val="32"/>
        </w:rPr>
        <w:t>11.</w:t>
      </w:r>
      <w:r>
        <w:rPr>
          <w:rFonts w:ascii="仿宋" w:hAnsi="仿宋" w:eastAsia="仿宋" w:cs="方正仿宋简体"/>
          <w:bCs/>
          <w:kern w:val="0"/>
          <w:sz w:val="32"/>
          <w:szCs w:val="32"/>
        </w:rPr>
        <w:t>负责职责范围内的安生生产和职业健康、生态环境保护、审批服务便民化等工作。</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hint="eastAsia" w:ascii="仿宋" w:hAnsi="仿宋" w:eastAsia="仿宋" w:cs="仿宋"/>
          <w:bCs/>
          <w:kern w:val="0"/>
          <w:sz w:val="32"/>
          <w:szCs w:val="32"/>
        </w:rPr>
        <w:t>12.</w:t>
      </w:r>
      <w:r>
        <w:rPr>
          <w:rFonts w:ascii="仿宋" w:hAnsi="仿宋" w:eastAsia="仿宋" w:cs="方正仿宋简体"/>
          <w:bCs/>
          <w:kern w:val="0"/>
          <w:sz w:val="32"/>
          <w:szCs w:val="32"/>
        </w:rPr>
        <w:t>完成区委、区政府交办的其他任务。</w:t>
      </w:r>
      <w:r>
        <w:rPr>
          <w:rFonts w:ascii="仿宋" w:hAnsi="仿宋" w:eastAsia="仿宋" w:cs="方正仿宋简体"/>
          <w:bCs/>
          <w:kern w:val="0"/>
          <w:sz w:val="32"/>
          <w:szCs w:val="32"/>
        </w:rPr>
        <w:br w:type="textWrapping"/>
      </w:r>
      <w:r>
        <w:rPr>
          <w:rFonts w:hint="eastAsia" w:ascii="仿宋" w:hAnsi="仿宋" w:eastAsia="仿宋" w:cs="方正仿宋简体"/>
          <w:bCs/>
          <w:kern w:val="0"/>
          <w:sz w:val="32"/>
          <w:szCs w:val="32"/>
        </w:rPr>
        <w:t xml:space="preserve"> </w:t>
      </w:r>
      <w:r>
        <w:rPr>
          <w:rFonts w:ascii="仿宋" w:hAnsi="仿宋" w:eastAsia="仿宋" w:cs="方正仿宋简体"/>
          <w:bCs/>
          <w:kern w:val="0"/>
          <w:sz w:val="32"/>
          <w:szCs w:val="32"/>
        </w:rPr>
        <w:t xml:space="preserve">   </w:t>
      </w:r>
      <w:r>
        <w:rPr>
          <w:rFonts w:hint="eastAsia" w:ascii="仿宋" w:hAnsi="仿宋" w:eastAsia="仿宋" w:cs="仿宋"/>
          <w:bCs/>
          <w:kern w:val="0"/>
          <w:sz w:val="32"/>
          <w:szCs w:val="32"/>
        </w:rPr>
        <w:t>13.</w:t>
      </w:r>
      <w:r>
        <w:rPr>
          <w:rFonts w:ascii="仿宋" w:hAnsi="仿宋" w:eastAsia="仿宋" w:cs="方正仿宋简体"/>
          <w:bCs/>
          <w:kern w:val="0"/>
          <w:sz w:val="32"/>
          <w:szCs w:val="32"/>
        </w:rPr>
        <w:t>职能转变。进一步完善审计管理体制，加强全区审计工作统筹，明晰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pStyle w:val="4"/>
        <w:ind w:firstLine="640" w:firstLineChars="200"/>
        <w:rPr>
          <w:rStyle w:val="24"/>
          <w:rFonts w:ascii="黑体" w:hAnsi="黑体" w:eastAsia="黑体"/>
          <w:b w:val="0"/>
          <w:bCs w:val="0"/>
        </w:rPr>
      </w:pPr>
      <w:bookmarkStart w:id="22" w:name="_Toc7222_WPSOffice_Level2"/>
      <w:bookmarkStart w:id="23" w:name="_Toc20284_WPSOffice_Level2"/>
      <w:bookmarkStart w:id="24" w:name="_Toc15396601"/>
      <w:bookmarkStart w:id="25" w:name="_Toc15377200"/>
      <w:r>
        <w:rPr>
          <w:rFonts w:hint="eastAsia" w:ascii="黑体" w:hAnsi="黑体" w:eastAsia="黑体"/>
          <w:b w:val="0"/>
          <w:color w:val="000000"/>
        </w:rPr>
        <w:t>二、机</w:t>
      </w:r>
      <w:r>
        <w:rPr>
          <w:rStyle w:val="24"/>
          <w:rFonts w:hint="eastAsia" w:ascii="黑体" w:hAnsi="黑体" w:eastAsia="黑体"/>
          <w:b w:val="0"/>
          <w:bCs w:val="0"/>
        </w:rPr>
        <w:t>构设置</w:t>
      </w:r>
      <w:bookmarkEnd w:id="22"/>
      <w:bookmarkEnd w:id="23"/>
      <w:bookmarkEnd w:id="24"/>
      <w:bookmarkEnd w:id="25"/>
    </w:p>
    <w:p>
      <w:pPr>
        <w:ind w:firstLine="800" w:firstLineChars="250"/>
        <w:rPr>
          <w:rFonts w:ascii="仿宋" w:hAnsi="仿宋" w:eastAsia="仿宋"/>
          <w:sz w:val="32"/>
          <w:szCs w:val="32"/>
        </w:rPr>
      </w:pPr>
      <w:r>
        <w:rPr>
          <w:rFonts w:hint="eastAsia" w:ascii="仿宋" w:hAnsi="仿宋" w:eastAsia="仿宋"/>
          <w:sz w:val="32"/>
          <w:szCs w:val="32"/>
        </w:rPr>
        <w:t>资阳市雁江区审计局（含投资审计中心）是</w:t>
      </w:r>
      <w:r>
        <w:rPr>
          <w:rFonts w:eastAsia="仿宋"/>
          <w:sz w:val="32"/>
          <w:szCs w:val="32"/>
        </w:rPr>
        <w:t>属一级预算单位</w:t>
      </w:r>
      <w:r>
        <w:rPr>
          <w:rFonts w:hint="eastAsia" w:eastAsia="仿宋"/>
          <w:sz w:val="32"/>
          <w:szCs w:val="32"/>
        </w:rPr>
        <w:t>，</w:t>
      </w:r>
      <w:r>
        <w:rPr>
          <w:rFonts w:eastAsia="仿宋"/>
          <w:sz w:val="32"/>
          <w:szCs w:val="32"/>
        </w:rPr>
        <w:t>下</w:t>
      </w:r>
      <w:r>
        <w:rPr>
          <w:rFonts w:hint="eastAsia" w:eastAsia="仿宋"/>
          <w:sz w:val="32"/>
          <w:szCs w:val="32"/>
        </w:rPr>
        <w:t>属预算单位1</w:t>
      </w:r>
      <w:r>
        <w:rPr>
          <w:rFonts w:eastAsia="仿宋"/>
          <w:sz w:val="32"/>
          <w:szCs w:val="32"/>
        </w:rPr>
        <w:t>个，其中行政</w:t>
      </w:r>
      <w:r>
        <w:rPr>
          <w:rFonts w:hint="eastAsia" w:eastAsia="仿宋"/>
          <w:sz w:val="32"/>
          <w:szCs w:val="32"/>
        </w:rPr>
        <w:t>单位1</w:t>
      </w:r>
      <w:r>
        <w:rPr>
          <w:rFonts w:eastAsia="仿宋"/>
          <w:sz w:val="32"/>
          <w:szCs w:val="32"/>
        </w:rPr>
        <w:t>个，参照公务员法管理的事业</w:t>
      </w:r>
      <w:r>
        <w:rPr>
          <w:rFonts w:hint="eastAsia" w:eastAsia="仿宋"/>
          <w:sz w:val="32"/>
          <w:szCs w:val="32"/>
        </w:rPr>
        <w:t>单位</w:t>
      </w:r>
      <w:r>
        <w:rPr>
          <w:rFonts w:hint="eastAsia" w:eastAsia="仿宋"/>
          <w:bCs/>
          <w:sz w:val="32"/>
          <w:szCs w:val="32"/>
        </w:rPr>
        <w:t>0</w:t>
      </w:r>
      <w:r>
        <w:rPr>
          <w:rFonts w:eastAsia="仿宋"/>
          <w:sz w:val="32"/>
          <w:szCs w:val="32"/>
        </w:rPr>
        <w:t>个，其他事业</w:t>
      </w:r>
      <w:r>
        <w:rPr>
          <w:rFonts w:hint="eastAsia" w:eastAsia="仿宋"/>
          <w:sz w:val="32"/>
          <w:szCs w:val="32"/>
        </w:rPr>
        <w:t>单位0</w:t>
      </w:r>
      <w:r>
        <w:rPr>
          <w:rFonts w:eastAsia="仿宋"/>
          <w:sz w:val="32"/>
          <w:szCs w:val="32"/>
        </w:rPr>
        <w:t>个。</w:t>
      </w:r>
      <w:r>
        <w:rPr>
          <w:rFonts w:hint="eastAsia" w:ascii="仿宋" w:hAnsi="仿宋" w:eastAsia="仿宋"/>
          <w:sz w:val="32"/>
          <w:szCs w:val="32"/>
        </w:rPr>
        <w:t>核定编制</w:t>
      </w:r>
      <w:r>
        <w:rPr>
          <w:rFonts w:ascii="仿宋" w:hAnsi="仿宋" w:eastAsia="仿宋"/>
          <w:sz w:val="32"/>
          <w:szCs w:val="32"/>
        </w:rPr>
        <w:t>30</w:t>
      </w:r>
      <w:r>
        <w:rPr>
          <w:rFonts w:hint="eastAsia" w:ascii="仿宋" w:hAnsi="仿宋" w:eastAsia="仿宋"/>
          <w:sz w:val="32"/>
          <w:szCs w:val="32"/>
        </w:rPr>
        <w:t>人（其中：公务员编制1</w:t>
      </w:r>
      <w:r>
        <w:rPr>
          <w:rFonts w:ascii="仿宋" w:hAnsi="仿宋" w:eastAsia="仿宋"/>
          <w:sz w:val="32"/>
          <w:szCs w:val="32"/>
        </w:rPr>
        <w:t>9</w:t>
      </w:r>
      <w:r>
        <w:rPr>
          <w:rFonts w:hint="eastAsia" w:ascii="仿宋" w:hAnsi="仿宋" w:eastAsia="仿宋"/>
          <w:sz w:val="32"/>
          <w:szCs w:val="32"/>
        </w:rPr>
        <w:t>人，工勤编制2人，投资审计中心事业编制9人）。年末实有人数27人（其中：公务员18人，工勤编制2人，投资审计中心7人），退休人员17人。</w:t>
      </w:r>
    </w:p>
    <w:p>
      <w:pPr>
        <w:pStyle w:val="3"/>
        <w:ind w:right="880"/>
        <w:jc w:val="right"/>
      </w:pPr>
      <w:bookmarkStart w:id="26" w:name="_Toc4621_WPSOffice_Level1"/>
      <w:bookmarkStart w:id="27" w:name="_Toc15377204"/>
      <w:bookmarkStart w:id="28" w:name="_Toc15396602"/>
      <w:r>
        <w:rPr>
          <w:rFonts w:eastAsia="黑体"/>
          <w:b w:val="0"/>
          <w:color w:val="000000"/>
        </w:rPr>
        <w:t>第二部分</w:t>
      </w:r>
      <w:r>
        <w:rPr>
          <w:rFonts w:eastAsia="黑体"/>
          <w:color w:val="000000"/>
        </w:rPr>
        <w:t xml:space="preserve"> </w:t>
      </w:r>
      <w:r>
        <w:rPr>
          <w:rStyle w:val="23"/>
          <w:rFonts w:eastAsia="黑体"/>
          <w:b w:val="0"/>
          <w:bCs w:val="0"/>
        </w:rPr>
        <w:t>202</w:t>
      </w:r>
      <w:r>
        <w:rPr>
          <w:rStyle w:val="23"/>
          <w:rFonts w:hint="eastAsia" w:eastAsia="黑体"/>
          <w:b w:val="0"/>
          <w:bCs w:val="0"/>
        </w:rPr>
        <w:t>2</w:t>
      </w:r>
      <w:r>
        <w:rPr>
          <w:rStyle w:val="23"/>
          <w:rFonts w:eastAsia="黑体"/>
          <w:b w:val="0"/>
          <w:bCs w:val="0"/>
        </w:rPr>
        <w:t>年度部门决算情况说明</w:t>
      </w:r>
      <w:bookmarkEnd w:id="26"/>
      <w:bookmarkEnd w:id="27"/>
      <w:bookmarkEnd w:id="28"/>
    </w:p>
    <w:p>
      <w:pPr>
        <w:pStyle w:val="25"/>
        <w:numPr>
          <w:ilvl w:val="0"/>
          <w:numId w:val="1"/>
        </w:numPr>
        <w:spacing w:line="600" w:lineRule="exact"/>
        <w:ind w:firstLineChars="0"/>
        <w:outlineLvl w:val="1"/>
        <w:rPr>
          <w:rStyle w:val="24"/>
          <w:rFonts w:ascii="黑体" w:hAnsi="黑体" w:eastAsia="黑体"/>
          <w:b w:val="0"/>
        </w:rPr>
      </w:pPr>
      <w:bookmarkStart w:id="29" w:name="_Toc17356_WPSOffice_Level2"/>
      <w:bookmarkStart w:id="30" w:name="_Toc15396603"/>
      <w:bookmarkStart w:id="31" w:name="_Toc3091_WPSOffice_Level2"/>
      <w:bookmarkStart w:id="32" w:name="_Toc15377205"/>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29"/>
      <w:bookmarkEnd w:id="30"/>
      <w:bookmarkEnd w:id="31"/>
      <w:bookmarkEnd w:id="32"/>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2022年度年初结转和结余37.63万元，</w:t>
      </w:r>
      <w:bookmarkStart w:id="33" w:name="_Hlk17984104"/>
      <w:r>
        <w:rPr>
          <w:rFonts w:hint="eastAsia" w:ascii="仿宋" w:hAnsi="仿宋" w:eastAsia="仿宋"/>
          <w:color w:val="000000"/>
          <w:sz w:val="32"/>
          <w:szCs w:val="32"/>
        </w:rPr>
        <w:t>财政拨款</w:t>
      </w:r>
      <w:bookmarkEnd w:id="33"/>
      <w:r>
        <w:rPr>
          <w:rFonts w:hint="eastAsia" w:ascii="仿宋" w:hAnsi="仿宋" w:eastAsia="仿宋"/>
          <w:color w:val="000000"/>
          <w:sz w:val="32"/>
          <w:szCs w:val="32"/>
        </w:rPr>
        <w:t>收入686.63万元、财政拨款支出696.63万元，年末结转和结余27.63万元。与2021年相比，</w:t>
      </w:r>
      <w:bookmarkStart w:id="34" w:name="_Hlk48572704"/>
      <w:r>
        <w:rPr>
          <w:rFonts w:hint="eastAsia" w:ascii="仿宋" w:hAnsi="仿宋" w:eastAsia="仿宋"/>
          <w:color w:val="000000"/>
          <w:sz w:val="32"/>
          <w:szCs w:val="32"/>
        </w:rPr>
        <w:t>财政拨款收入增加0.97万元，增长0.14%，支出减少70.23万元，减少9.28%。主要变动原因是财政资金紧张，按规定压减支出，控制非必要支出。</w:t>
      </w:r>
      <w:bookmarkEnd w:id="34"/>
    </w:p>
    <w:p>
      <w:pPr>
        <w:ind w:firstLine="420" w:firstLineChars="200"/>
        <w:jc w:val="left"/>
        <w:rPr>
          <w:rStyle w:val="24"/>
          <w:rFonts w:ascii="黑体" w:hAnsi="黑体" w:eastAsia="黑体"/>
          <w:b w:val="0"/>
        </w:rPr>
      </w:pPr>
      <w:bookmarkStart w:id="35" w:name="_Toc24270_WPSOffice_Level2"/>
      <w:bookmarkStart w:id="36" w:name="_Toc15396604"/>
      <w:bookmarkStart w:id="37" w:name="_Toc15377206"/>
      <w:r>
        <w:drawing>
          <wp:inline distT="0" distB="0" distL="0" distR="0">
            <wp:extent cx="5274310" cy="3076575"/>
            <wp:effectExtent l="4445" t="4445" r="1714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hint="eastAsia" w:ascii="仿宋_GB2312" w:eastAsia="仿宋_GB2312"/>
          <w:color w:val="000000"/>
          <w:sz w:val="32"/>
          <w:szCs w:val="32"/>
        </w:rPr>
        <w:t xml:space="preserve">    二、</w:t>
      </w:r>
      <w:r>
        <w:rPr>
          <w:rFonts w:hint="eastAsia" w:ascii="黑体" w:hAnsi="黑体" w:eastAsia="黑体"/>
          <w:color w:val="000000"/>
          <w:sz w:val="32"/>
          <w:szCs w:val="32"/>
        </w:rPr>
        <w:t>收</w:t>
      </w:r>
      <w:r>
        <w:rPr>
          <w:rStyle w:val="24"/>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2年本年收入合计686.63万元，其中：一般公共预算财政拨款收入686.63万元，占100.00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；其他收入0.00万元，占0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5"/>
        <w:ind w:left="640" w:firstLine="0" w:firstLineChars="0"/>
        <w:outlineLvl w:val="1"/>
        <w:rPr>
          <w:rStyle w:val="24"/>
          <w:rFonts w:ascii="黑体" w:hAnsi="黑体" w:eastAsia="黑体"/>
          <w:b w:val="0"/>
        </w:rPr>
      </w:pPr>
      <w:bookmarkStart w:id="38" w:name="_Toc15377207"/>
      <w:bookmarkStart w:id="39" w:name="_Toc15396605"/>
      <w:r>
        <w:drawing>
          <wp:inline distT="0" distB="0" distL="0" distR="0">
            <wp:extent cx="5274310" cy="3076575"/>
            <wp:effectExtent l="4445" t="4445" r="1714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黑体" w:hAnsi="黑体" w:eastAsia="黑体"/>
          <w:color w:val="000000"/>
          <w:sz w:val="32"/>
          <w:szCs w:val="32"/>
        </w:rPr>
        <w:t>三、支</w:t>
      </w:r>
      <w:r>
        <w:rPr>
          <w:rStyle w:val="24"/>
          <w:rFonts w:hint="eastAsia" w:ascii="黑体" w:hAnsi="黑体" w:eastAsia="黑体"/>
          <w:b w:val="0"/>
        </w:rPr>
        <w:t>出决算情况说明</w:t>
      </w:r>
      <w:bookmarkEnd w:id="38"/>
      <w:bookmarkEnd w:id="3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2年本年支出合计696.63万元，其中：基本支出456.57万元，占65.54</w:t>
      </w:r>
      <w:r>
        <w:rPr>
          <w:rFonts w:ascii="仿宋" w:hAnsi="仿宋" w:eastAsia="仿宋"/>
          <w:color w:val="000000"/>
          <w:sz w:val="32"/>
          <w:szCs w:val="32"/>
        </w:rPr>
        <w:t>%</w:t>
      </w:r>
      <w:r>
        <w:rPr>
          <w:rFonts w:hint="eastAsia" w:ascii="仿宋" w:hAnsi="仿宋" w:eastAsia="仿宋"/>
          <w:color w:val="000000"/>
          <w:sz w:val="32"/>
          <w:szCs w:val="32"/>
        </w:rPr>
        <w:t>；项目支出240.06万元，占34.46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ind w:firstLine="420" w:firstLineChars="200"/>
        <w:outlineLvl w:val="1"/>
        <w:rPr>
          <w:rStyle w:val="24"/>
          <w:rFonts w:ascii="黑体" w:hAnsi="黑体" w:eastAsia="黑体"/>
          <w:b w:val="0"/>
        </w:rPr>
      </w:pPr>
      <w:bookmarkStart w:id="40" w:name="_Toc15396606"/>
      <w:bookmarkStart w:id="41" w:name="_Toc15377208"/>
      <w:r>
        <w:drawing>
          <wp:inline distT="0" distB="0" distL="0" distR="0">
            <wp:extent cx="5274310" cy="3076575"/>
            <wp:effectExtent l="4445" t="4445" r="17145"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40"/>
      <w:bookmarkEnd w:id="4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2年财政拨款收、支总计1383.26万元。与</w:t>
      </w:r>
      <w:r>
        <w:rPr>
          <w:rFonts w:ascii="仿宋" w:hAnsi="仿宋" w:eastAsia="仿宋"/>
          <w:color w:val="000000"/>
          <w:sz w:val="32"/>
          <w:szCs w:val="32"/>
        </w:rPr>
        <w:t>20</w:t>
      </w:r>
      <w:r>
        <w:rPr>
          <w:rFonts w:hint="eastAsia" w:ascii="仿宋" w:hAnsi="仿宋" w:eastAsia="仿宋"/>
          <w:color w:val="000000"/>
          <w:sz w:val="32"/>
          <w:szCs w:val="32"/>
        </w:rPr>
        <w:t>21年相比，</w:t>
      </w:r>
      <w:bookmarkStart w:id="42" w:name="_Toc15377209"/>
      <w:bookmarkStart w:id="43" w:name="_Toc15396607"/>
      <w:r>
        <w:rPr>
          <w:rFonts w:hint="eastAsia" w:ascii="仿宋" w:hAnsi="仿宋" w:eastAsia="仿宋"/>
          <w:color w:val="000000"/>
          <w:sz w:val="32"/>
          <w:szCs w:val="32"/>
        </w:rPr>
        <w:t>财政拨款收入增加0.97万元，增长0.14%，支出减少70.23万元，减少9.28%。主要变动原因是财政资金紧张，按规定压减支出，控制非必要支出。</w:t>
      </w:r>
    </w:p>
    <w:p>
      <w:pPr>
        <w:ind w:firstLine="420" w:firstLineChars="200"/>
        <w:jc w:val="left"/>
        <w:outlineLvl w:val="1"/>
        <w:rPr>
          <w:rStyle w:val="24"/>
          <w:rFonts w:ascii="黑体" w:hAnsi="黑体" w:eastAsia="黑体"/>
          <w:b w:val="0"/>
        </w:rPr>
      </w:pPr>
      <w:bookmarkStart w:id="44" w:name="_Toc24727_WPSOffice_Level2"/>
      <w:r>
        <w:drawing>
          <wp:inline distT="0" distB="0" distL="0" distR="0">
            <wp:extent cx="5274310" cy="3076575"/>
            <wp:effectExtent l="4445" t="4445" r="1714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15377210"/>
      <w:bookmarkStart w:id="46" w:name="_Toc7222_WPSOffice_Level3"/>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2年一般公共预算财政拨款支出686.63万元，占本年支出合计的98.56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21年相比，一般公共预算财政拨款财政拨款支出减少70.23万元，减少9.28%。主要变动原因是财政资金紧张，按规定压减支出，控制非必要支出。</w:t>
      </w:r>
    </w:p>
    <w:p>
      <w:pPr>
        <w:outlineLvl w:val="2"/>
        <w:rPr>
          <w:rFonts w:ascii="仿宋" w:hAnsi="仿宋" w:eastAsia="仿宋"/>
          <w:b/>
          <w:color w:val="000000"/>
          <w:sz w:val="32"/>
          <w:szCs w:val="32"/>
        </w:rPr>
      </w:pPr>
      <w:bookmarkStart w:id="47" w:name="_Toc15377211"/>
      <w:r>
        <w:drawing>
          <wp:inline distT="0" distB="0" distL="0" distR="0">
            <wp:extent cx="5274310" cy="3076575"/>
            <wp:effectExtent l="4445" t="4445" r="17145"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b/>
          <w:color w:val="000000"/>
          <w:sz w:val="32"/>
          <w:szCs w:val="32"/>
        </w:rPr>
        <w:t>（二）一般公共预算财政拨款支出决算结构情况</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一般公共预算财政拨款支出686.63万元，主要用于以下方面:一般公共服务（类）支出581.85万元，占84.74%；教育支出（类）0万元，占0%；科学技术（类）支出0万元，占0%；文化旅游体育与传媒（类）支出0万元，占0%；社会保障和就业（类）支出54.99万元，占8.01%；卫生健康支出17.26万元，占2.51%；住房保障支出32.53万元，占4.74%。</w:t>
      </w:r>
    </w:p>
    <w:p>
      <w:pPr>
        <w:ind w:firstLine="420" w:firstLineChars="200"/>
        <w:outlineLvl w:val="2"/>
        <w:rPr>
          <w:rFonts w:ascii="仿宋" w:hAnsi="仿宋" w:eastAsia="仿宋"/>
          <w:b/>
          <w:color w:val="000000"/>
          <w:sz w:val="32"/>
          <w:szCs w:val="32"/>
        </w:rPr>
      </w:pPr>
      <w:bookmarkStart w:id="48" w:name="_Toc15377212"/>
      <w:r>
        <w:drawing>
          <wp:inline distT="0" distB="0" distL="0" distR="0">
            <wp:extent cx="5274310" cy="3076575"/>
            <wp:effectExtent l="4445" t="4445" r="17145" b="508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ascii="仿宋" w:hAnsi="仿宋" w:eastAsia="仿宋"/>
          <w:b/>
          <w:color w:val="000000"/>
          <w:sz w:val="32"/>
          <w:szCs w:val="32"/>
        </w:rPr>
        <w:t>（三）一般公共预算财政拨款支出决算具体情况</w:t>
      </w:r>
      <w:bookmarkEnd w:id="48"/>
    </w:p>
    <w:p>
      <w:pPr>
        <w:spacing w:line="600" w:lineRule="exact"/>
        <w:ind w:firstLine="643" w:firstLineChars="200"/>
        <w:outlineLvl w:val="2"/>
        <w:rPr>
          <w:rFonts w:ascii="仿宋" w:hAnsi="仿宋" w:eastAsia="仿宋"/>
          <w:color w:val="FF0000"/>
          <w:sz w:val="32"/>
          <w:szCs w:val="32"/>
        </w:rPr>
      </w:pPr>
      <w:bookmarkStart w:id="49" w:name="_Toc15377213"/>
      <w:bookmarkStart w:id="50" w:name="_Toc15377444"/>
      <w:bookmarkStart w:id="51" w:name="_Toc15378460"/>
      <w:r>
        <w:rPr>
          <w:rFonts w:ascii="仿宋" w:hAnsi="仿宋" w:eastAsia="仿宋"/>
          <w:b/>
          <w:color w:val="000000"/>
          <w:sz w:val="32"/>
          <w:szCs w:val="32"/>
        </w:rPr>
        <w:t>202</w:t>
      </w:r>
      <w:r>
        <w:rPr>
          <w:rFonts w:hint="eastAsia" w:ascii="仿宋" w:hAnsi="仿宋" w:eastAsia="仿宋"/>
          <w:b/>
          <w:color w:val="000000"/>
          <w:sz w:val="32"/>
          <w:szCs w:val="32"/>
        </w:rPr>
        <w:t>2年一般公共预算支出决算数为686.63</w:t>
      </w:r>
      <w:r>
        <w:rPr>
          <w:rFonts w:hint="eastAsia" w:ascii="仿宋" w:hAnsi="仿宋" w:eastAsia="仿宋"/>
          <w:color w:val="000000"/>
          <w:sz w:val="32"/>
          <w:szCs w:val="32"/>
        </w:rPr>
        <w:t>，</w:t>
      </w:r>
      <w:r>
        <w:rPr>
          <w:rStyle w:val="20"/>
          <w:rFonts w:hint="eastAsia" w:ascii="仿宋" w:hAnsi="仿宋" w:eastAsia="仿宋"/>
          <w:bCs/>
          <w:color w:val="000000"/>
          <w:sz w:val="32"/>
          <w:szCs w:val="32"/>
        </w:rPr>
        <w:t>完成预算100</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。其中：</w:t>
      </w:r>
      <w:bookmarkEnd w:id="49"/>
      <w:bookmarkEnd w:id="50"/>
      <w:bookmarkEnd w:id="51"/>
    </w:p>
    <w:p>
      <w:pPr>
        <w:spacing w:line="600" w:lineRule="exact"/>
        <w:ind w:firstLine="643" w:firstLineChars="200"/>
        <w:rPr>
          <w:rFonts w:ascii="仿宋" w:hAnsi="仿宋" w:eastAsia="仿宋"/>
          <w:color w:val="FF0000"/>
          <w:sz w:val="32"/>
          <w:szCs w:val="32"/>
        </w:rPr>
      </w:pPr>
      <w:r>
        <w:rPr>
          <w:rStyle w:val="20"/>
          <w:rFonts w:ascii="仿宋" w:hAnsi="仿宋" w:eastAsia="仿宋"/>
          <w:bCs/>
          <w:color w:val="000000"/>
          <w:sz w:val="32"/>
          <w:szCs w:val="32"/>
        </w:rPr>
        <w:t>1.</w:t>
      </w:r>
      <w:bookmarkStart w:id="52" w:name="_Toc15396608"/>
      <w:bookmarkStart w:id="53" w:name="_Toc15377214"/>
      <w:r>
        <w:rPr>
          <w:rFonts w:hint="eastAsia" w:ascii="仿宋" w:hAnsi="仿宋" w:eastAsia="仿宋"/>
          <w:color w:val="000000"/>
          <w:sz w:val="32"/>
          <w:szCs w:val="32"/>
        </w:rPr>
        <w:t>一般公共服务（类）审计事务（款）行政</w:t>
      </w:r>
      <w:r>
        <w:rPr>
          <w:rFonts w:ascii="仿宋" w:hAnsi="仿宋" w:eastAsia="仿宋"/>
          <w:color w:val="000000"/>
          <w:sz w:val="32"/>
          <w:szCs w:val="32"/>
        </w:rPr>
        <w:t>运行</w:t>
      </w:r>
      <w:r>
        <w:rPr>
          <w:rFonts w:hint="eastAsia" w:ascii="仿宋" w:hAnsi="仿宋" w:eastAsia="仿宋"/>
          <w:color w:val="000000"/>
          <w:sz w:val="32"/>
          <w:szCs w:val="32"/>
        </w:rPr>
        <w:t>（项）: 支出决算为254.18万元，完成预算100%。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一般公共服务（类）审计事务（款）一般</w:t>
      </w:r>
      <w:r>
        <w:rPr>
          <w:rFonts w:ascii="仿宋" w:hAnsi="仿宋" w:eastAsia="仿宋"/>
          <w:color w:val="000000"/>
          <w:sz w:val="32"/>
          <w:szCs w:val="32"/>
        </w:rPr>
        <w:t>行政</w:t>
      </w:r>
      <w:r>
        <w:rPr>
          <w:rFonts w:hint="eastAsia" w:ascii="仿宋" w:hAnsi="仿宋" w:eastAsia="仿宋"/>
          <w:color w:val="000000"/>
          <w:sz w:val="32"/>
          <w:szCs w:val="32"/>
        </w:rPr>
        <w:t>管理</w:t>
      </w:r>
      <w:r>
        <w:rPr>
          <w:rFonts w:ascii="仿宋" w:hAnsi="仿宋" w:eastAsia="仿宋"/>
          <w:color w:val="000000"/>
          <w:sz w:val="32"/>
          <w:szCs w:val="32"/>
        </w:rPr>
        <w:t>事务</w:t>
      </w:r>
      <w:r>
        <w:rPr>
          <w:rFonts w:hint="eastAsia" w:ascii="仿宋" w:hAnsi="仿宋" w:eastAsia="仿宋"/>
          <w:color w:val="000000"/>
          <w:sz w:val="32"/>
          <w:szCs w:val="32"/>
        </w:rPr>
        <w:t>（项）: 支出决算为0.35万元，完成预算100%，项目资金完全支付。</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一般公共服务（类）审计事务（款）审计业务（项）: 支出决算为229.71万元，完成预算100%，。</w:t>
      </w:r>
    </w:p>
    <w:p>
      <w:pPr>
        <w:spacing w:line="600" w:lineRule="exact"/>
        <w:ind w:firstLine="640" w:firstLineChars="200"/>
        <w:rPr>
          <w:rFonts w:ascii="仿宋" w:hAnsi="仿宋" w:eastAsia="仿宋"/>
          <w:color w:val="FF0000"/>
          <w:sz w:val="32"/>
          <w:szCs w:val="32"/>
        </w:rPr>
      </w:pPr>
      <w:r>
        <w:rPr>
          <w:rFonts w:hint="eastAsia" w:ascii="仿宋" w:hAnsi="仿宋" w:eastAsia="仿宋"/>
          <w:color w:val="000000"/>
          <w:sz w:val="32"/>
          <w:szCs w:val="32"/>
        </w:rPr>
        <w:t>一般公共服务（类）审计事务（款）事业</w:t>
      </w:r>
      <w:r>
        <w:rPr>
          <w:rFonts w:ascii="仿宋" w:hAnsi="仿宋" w:eastAsia="仿宋"/>
          <w:color w:val="000000"/>
          <w:sz w:val="32"/>
          <w:szCs w:val="32"/>
        </w:rPr>
        <w:t>运行</w:t>
      </w:r>
      <w:r>
        <w:rPr>
          <w:rFonts w:hint="eastAsia" w:ascii="仿宋" w:hAnsi="仿宋" w:eastAsia="仿宋"/>
          <w:color w:val="000000"/>
          <w:sz w:val="32"/>
          <w:szCs w:val="32"/>
        </w:rPr>
        <w:t>（项）: 支出决算为97.61万元，完成预算100%。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2.社会保障和就业（类）行政事业单位养老支出（款）行政</w:t>
      </w:r>
      <w:r>
        <w:rPr>
          <w:rFonts w:ascii="仿宋" w:hAnsi="仿宋" w:eastAsia="仿宋"/>
          <w:color w:val="000000"/>
          <w:sz w:val="32"/>
          <w:szCs w:val="32"/>
        </w:rPr>
        <w:t>单位</w:t>
      </w:r>
      <w:r>
        <w:rPr>
          <w:rFonts w:hint="eastAsia" w:ascii="仿宋" w:hAnsi="仿宋" w:eastAsia="仿宋"/>
          <w:color w:val="000000"/>
          <w:sz w:val="32"/>
          <w:szCs w:val="32"/>
        </w:rPr>
        <w:t>离退休（项）: 支出决算为18.10万元，完成预算</w:t>
      </w:r>
      <w:r>
        <w:rPr>
          <w:rFonts w:ascii="仿宋" w:hAnsi="仿宋" w:eastAsia="仿宋"/>
          <w:color w:val="000000"/>
          <w:sz w:val="32"/>
          <w:szCs w:val="32"/>
        </w:rPr>
        <w:t>1</w:t>
      </w:r>
      <w:r>
        <w:rPr>
          <w:rFonts w:hint="eastAsia" w:ascii="仿宋" w:hAnsi="仿宋" w:eastAsia="仿宋"/>
          <w:color w:val="000000"/>
          <w:sz w:val="32"/>
          <w:szCs w:val="32"/>
        </w:rPr>
        <w:t>00%。</w:t>
      </w:r>
    </w:p>
    <w:p>
      <w:pPr>
        <w:spacing w:line="600" w:lineRule="exact"/>
        <w:ind w:firstLine="640"/>
        <w:rPr>
          <w:rFonts w:eastAsia="仿宋"/>
        </w:rPr>
      </w:pPr>
      <w:r>
        <w:rPr>
          <w:rFonts w:hint="eastAsia" w:ascii="仿宋" w:hAnsi="仿宋" w:eastAsia="仿宋"/>
          <w:color w:val="000000"/>
          <w:sz w:val="32"/>
          <w:szCs w:val="32"/>
        </w:rPr>
        <w:t>社会保障和就业（类）行政事业单位养老支出（款）机关事业</w:t>
      </w:r>
      <w:r>
        <w:rPr>
          <w:rFonts w:ascii="仿宋" w:hAnsi="仿宋" w:eastAsia="仿宋"/>
          <w:color w:val="000000"/>
          <w:sz w:val="32"/>
          <w:szCs w:val="32"/>
        </w:rPr>
        <w:t>单位基本养老保险缴费支出</w:t>
      </w:r>
      <w:r>
        <w:rPr>
          <w:rFonts w:hint="eastAsia" w:ascii="仿宋" w:hAnsi="仿宋" w:eastAsia="仿宋"/>
          <w:color w:val="000000"/>
          <w:sz w:val="32"/>
          <w:szCs w:val="32"/>
        </w:rPr>
        <w:t>（项）: 支出决算为36.03万元，完成预算100%。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社会保障和就业（类）其他社会保障和就业支出（款）其他社会保障和就业支出（项）: 支出决算为0.86万元，完成预算100%。</w:t>
      </w:r>
    </w:p>
    <w:p>
      <w:pPr>
        <w:tabs>
          <w:tab w:val="left" w:pos="312"/>
        </w:tabs>
        <w:spacing w:line="600" w:lineRule="exact"/>
        <w:ind w:left="640"/>
        <w:jc w:val="left"/>
        <w:rPr>
          <w:rFonts w:hint="eastAsia"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w:t>
      </w:r>
      <w:r>
        <w:rPr>
          <w:rFonts w:hint="eastAsia" w:ascii="仿宋" w:hAnsi="仿宋" w:eastAsia="仿宋"/>
          <w:color w:val="000000"/>
          <w:sz w:val="32"/>
          <w:szCs w:val="32"/>
        </w:rPr>
        <w:t>医疗卫生与计划生育（类）行政事业单位医疗</w:t>
      </w:r>
      <w:r>
        <w:rPr>
          <w:rFonts w:hint="eastAsia" w:ascii="仿宋" w:hAnsi="仿宋" w:eastAsia="仿宋"/>
          <w:color w:val="000000"/>
          <w:sz w:val="32"/>
          <w:szCs w:val="32"/>
        </w:rPr>
        <w:t>（款）行政单位医疗</w:t>
      </w:r>
      <w:r>
        <w:rPr>
          <w:rFonts w:hint="eastAsia" w:ascii="仿宋" w:hAnsi="仿宋" w:eastAsia="仿宋"/>
          <w:color w:val="000000"/>
          <w:sz w:val="32"/>
          <w:szCs w:val="32"/>
        </w:rPr>
        <w:t>（项）:支出决算为10.62万元，完成预算1</w:t>
      </w:r>
      <w:r>
        <w:rPr>
          <w:rFonts w:hint="eastAsia" w:ascii="仿宋" w:hAnsi="仿宋" w:eastAsia="仿宋"/>
          <w:color w:val="000000"/>
          <w:sz w:val="32"/>
          <w:szCs w:val="32"/>
        </w:rPr>
        <w:t>00%，决算数等于预算数。</w:t>
      </w:r>
    </w:p>
    <w:p>
      <w:pPr>
        <w:pStyle w:val="2"/>
        <w:spacing w:before="93"/>
        <w:ind w:firstLine="640" w:firstLineChars="200"/>
        <w:rPr>
          <w:rFonts w:eastAsia="仿宋"/>
        </w:rPr>
      </w:pPr>
      <w:r>
        <w:rPr>
          <w:rFonts w:hint="eastAsia" w:ascii="仿宋" w:hAnsi="仿宋" w:eastAsia="仿宋"/>
          <w:color w:val="000000"/>
          <w:sz w:val="32"/>
          <w:szCs w:val="32"/>
        </w:rPr>
        <w:t>医疗卫生与计划生育（类）行政事业单位</w:t>
      </w:r>
      <w:r>
        <w:rPr>
          <w:rFonts w:ascii="仿宋" w:hAnsi="仿宋" w:eastAsia="仿宋"/>
          <w:color w:val="000000"/>
          <w:sz w:val="32"/>
          <w:szCs w:val="32"/>
        </w:rPr>
        <w:t>医疗</w:t>
      </w:r>
      <w:r>
        <w:rPr>
          <w:rFonts w:hint="eastAsia" w:ascii="仿宋" w:hAnsi="仿宋" w:eastAsia="仿宋"/>
          <w:color w:val="000000"/>
          <w:sz w:val="32"/>
          <w:szCs w:val="32"/>
        </w:rPr>
        <w:t>（款）事业政单位</w:t>
      </w:r>
      <w:r>
        <w:rPr>
          <w:rFonts w:ascii="仿宋" w:hAnsi="仿宋" w:eastAsia="仿宋"/>
          <w:color w:val="000000"/>
          <w:sz w:val="32"/>
          <w:szCs w:val="32"/>
        </w:rPr>
        <w:t>医疗</w:t>
      </w:r>
      <w:r>
        <w:rPr>
          <w:rFonts w:hint="eastAsia" w:ascii="仿宋" w:hAnsi="仿宋" w:eastAsia="仿宋"/>
          <w:color w:val="000000"/>
          <w:sz w:val="32"/>
          <w:szCs w:val="32"/>
        </w:rPr>
        <w:t>（项）:支出决算为3.77万元，完成预算</w:t>
      </w:r>
      <w:r>
        <w:rPr>
          <w:rFonts w:ascii="仿宋" w:hAnsi="仿宋" w:eastAsia="仿宋"/>
          <w:color w:val="000000"/>
          <w:sz w:val="32"/>
          <w:szCs w:val="32"/>
        </w:rPr>
        <w:t>1</w:t>
      </w:r>
      <w:r>
        <w:rPr>
          <w:rFonts w:hint="eastAsia" w:ascii="仿宋" w:hAnsi="仿宋" w:eastAsia="仿宋"/>
          <w:color w:val="000000"/>
          <w:sz w:val="32"/>
          <w:szCs w:val="32"/>
        </w:rPr>
        <w:t xml:space="preserve">00%，决算数等于预算数。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医疗卫生与计划生育（类）行政事业单位</w:t>
      </w:r>
      <w:r>
        <w:rPr>
          <w:rFonts w:ascii="仿宋" w:hAnsi="仿宋" w:eastAsia="仿宋"/>
          <w:color w:val="000000"/>
          <w:sz w:val="32"/>
          <w:szCs w:val="32"/>
        </w:rPr>
        <w:t>医疗</w:t>
      </w:r>
      <w:r>
        <w:rPr>
          <w:rFonts w:hint="eastAsia" w:ascii="仿宋" w:hAnsi="仿宋" w:eastAsia="仿宋"/>
          <w:color w:val="000000"/>
          <w:sz w:val="32"/>
          <w:szCs w:val="32"/>
        </w:rPr>
        <w:t>（款）公务员医疗补助（项）:支出决算为2.87万元，完成预算</w:t>
      </w:r>
      <w:r>
        <w:rPr>
          <w:rFonts w:ascii="仿宋" w:hAnsi="仿宋" w:eastAsia="仿宋"/>
          <w:color w:val="000000"/>
          <w:sz w:val="32"/>
          <w:szCs w:val="32"/>
        </w:rPr>
        <w:t>1</w:t>
      </w:r>
      <w:r>
        <w:rPr>
          <w:rFonts w:hint="eastAsia" w:ascii="仿宋" w:hAnsi="仿宋" w:eastAsia="仿宋"/>
          <w:color w:val="000000"/>
          <w:sz w:val="32"/>
          <w:szCs w:val="32"/>
        </w:rPr>
        <w:t>00%，决算数等于预算数。</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4. 住房保障</w:t>
      </w:r>
      <w:r>
        <w:rPr>
          <w:rFonts w:ascii="仿宋" w:hAnsi="仿宋" w:eastAsia="仿宋"/>
          <w:color w:val="000000"/>
          <w:sz w:val="32"/>
          <w:szCs w:val="32"/>
        </w:rPr>
        <w:t>支出</w:t>
      </w:r>
      <w:r>
        <w:rPr>
          <w:rFonts w:hint="eastAsia" w:ascii="仿宋" w:hAnsi="仿宋" w:eastAsia="仿宋"/>
          <w:color w:val="000000"/>
          <w:sz w:val="32"/>
          <w:szCs w:val="32"/>
        </w:rPr>
        <w:t>（类）住房保障</w:t>
      </w:r>
      <w:r>
        <w:rPr>
          <w:rFonts w:ascii="仿宋" w:hAnsi="仿宋" w:eastAsia="仿宋"/>
          <w:color w:val="000000"/>
          <w:sz w:val="32"/>
          <w:szCs w:val="32"/>
        </w:rPr>
        <w:t>支出</w:t>
      </w:r>
      <w:r>
        <w:rPr>
          <w:rFonts w:hint="eastAsia" w:ascii="仿宋" w:hAnsi="仿宋" w:eastAsia="仿宋"/>
          <w:color w:val="000000"/>
          <w:sz w:val="32"/>
          <w:szCs w:val="32"/>
        </w:rPr>
        <w:t>（款）住房公积</w:t>
      </w:r>
      <w:r>
        <w:rPr>
          <w:rFonts w:ascii="仿宋" w:hAnsi="仿宋" w:eastAsia="仿宋"/>
          <w:color w:val="000000"/>
          <w:sz w:val="32"/>
          <w:szCs w:val="32"/>
        </w:rPr>
        <w:t>金</w:t>
      </w:r>
      <w:r>
        <w:rPr>
          <w:rFonts w:hint="eastAsia" w:ascii="仿宋" w:hAnsi="仿宋" w:eastAsia="仿宋"/>
          <w:color w:val="000000"/>
          <w:sz w:val="32"/>
          <w:szCs w:val="32"/>
        </w:rPr>
        <w:t>（项）:支出决算为32.53万元，完成预算100%。</w:t>
      </w:r>
    </w:p>
    <w:p>
      <w:pPr>
        <w:tabs>
          <w:tab w:val="right" w:pos="8306"/>
        </w:tabs>
        <w:spacing w:line="600" w:lineRule="exact"/>
        <w:ind w:firstLine="640"/>
        <w:outlineLvl w:val="1"/>
        <w:rPr>
          <w:rStyle w:val="24"/>
        </w:rPr>
      </w:pPr>
      <w:bookmarkStart w:id="54" w:name="_Toc6852_WPSOffice_Level2"/>
      <w:bookmarkStart w:id="55" w:name="_Toc6306_WPSOffice_Level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52"/>
      <w:bookmarkEnd w:id="53"/>
      <w:bookmarkEnd w:id="54"/>
      <w:bookmarkEnd w:id="55"/>
      <w:r>
        <w:rPr>
          <w:rStyle w:val="24"/>
          <w:rFonts w:ascii="黑体" w:hAnsi="黑体" w:eastAsia="黑体"/>
          <w:b w:val="0"/>
        </w:rPr>
        <w:tab/>
      </w:r>
    </w:p>
    <w:p>
      <w:pPr>
        <w:spacing w:line="600" w:lineRule="exact"/>
        <w:ind w:firstLine="645"/>
        <w:rPr>
          <w:rFonts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2年一般公共预算财政拨款基本支出686.63万元，其中：</w:t>
      </w:r>
    </w:p>
    <w:p>
      <w:pPr>
        <w:spacing w:line="600" w:lineRule="exact"/>
        <w:ind w:firstLine="645"/>
        <w:rPr>
          <w:rFonts w:eastAsia="仿宋"/>
          <w:color w:val="000000"/>
          <w:sz w:val="32"/>
          <w:szCs w:val="32"/>
        </w:rPr>
      </w:pPr>
      <w:r>
        <w:rPr>
          <w:rFonts w:eastAsia="仿宋"/>
          <w:color w:val="000000"/>
          <w:sz w:val="32"/>
          <w:szCs w:val="32"/>
        </w:rPr>
        <w:t>人员经费</w:t>
      </w:r>
      <w:r>
        <w:rPr>
          <w:rFonts w:hint="eastAsia" w:eastAsia="仿宋"/>
          <w:color w:val="000000"/>
          <w:sz w:val="32"/>
          <w:szCs w:val="32"/>
        </w:rPr>
        <w:t>437.23</w:t>
      </w:r>
      <w:r>
        <w:rPr>
          <w:rFonts w:eastAsia="仿宋"/>
          <w:color w:val="000000"/>
          <w:sz w:val="32"/>
          <w:szCs w:val="32"/>
        </w:rPr>
        <w:t>万元，主要包括：基本工资</w:t>
      </w:r>
      <w:r>
        <w:rPr>
          <w:rFonts w:hint="eastAsia" w:eastAsia="仿宋"/>
          <w:color w:val="000000"/>
          <w:sz w:val="32"/>
          <w:szCs w:val="32"/>
        </w:rPr>
        <w:t>118.76</w:t>
      </w:r>
      <w:r>
        <w:rPr>
          <w:rFonts w:eastAsia="仿宋"/>
          <w:color w:val="000000"/>
          <w:sz w:val="32"/>
          <w:szCs w:val="32"/>
        </w:rPr>
        <w:t>万元、津贴补贴</w:t>
      </w:r>
      <w:r>
        <w:rPr>
          <w:rFonts w:hint="eastAsia" w:eastAsia="仿宋"/>
          <w:color w:val="000000"/>
          <w:sz w:val="32"/>
          <w:szCs w:val="32"/>
        </w:rPr>
        <w:t>64.23</w:t>
      </w:r>
      <w:r>
        <w:rPr>
          <w:rFonts w:eastAsia="仿宋"/>
          <w:color w:val="000000"/>
          <w:sz w:val="32"/>
          <w:szCs w:val="32"/>
        </w:rPr>
        <w:t>万元、奖金</w:t>
      </w:r>
      <w:r>
        <w:rPr>
          <w:rFonts w:hint="eastAsia" w:eastAsia="仿宋"/>
          <w:color w:val="000000"/>
          <w:sz w:val="32"/>
          <w:szCs w:val="32"/>
        </w:rPr>
        <w:t>128.69</w:t>
      </w:r>
      <w:r>
        <w:rPr>
          <w:rFonts w:eastAsia="仿宋"/>
          <w:color w:val="000000"/>
          <w:sz w:val="32"/>
          <w:szCs w:val="32"/>
        </w:rPr>
        <w:t>万元、绩效工资</w:t>
      </w:r>
      <w:r>
        <w:rPr>
          <w:rFonts w:hint="eastAsia" w:eastAsia="仿宋"/>
          <w:color w:val="000000"/>
          <w:sz w:val="32"/>
          <w:szCs w:val="32"/>
        </w:rPr>
        <w:t>19.50</w:t>
      </w:r>
      <w:r>
        <w:rPr>
          <w:rFonts w:eastAsia="仿宋"/>
          <w:color w:val="000000"/>
          <w:sz w:val="32"/>
          <w:szCs w:val="32"/>
        </w:rPr>
        <w:t>万元、机关事业单位基本养老保险缴费</w:t>
      </w:r>
      <w:r>
        <w:rPr>
          <w:rFonts w:hint="eastAsia" w:eastAsia="仿宋"/>
          <w:color w:val="000000"/>
          <w:sz w:val="32"/>
          <w:szCs w:val="32"/>
        </w:rPr>
        <w:t>36.03</w:t>
      </w:r>
      <w:r>
        <w:rPr>
          <w:rFonts w:eastAsia="仿宋"/>
          <w:color w:val="000000"/>
          <w:sz w:val="32"/>
          <w:szCs w:val="32"/>
        </w:rPr>
        <w:t>万元、职业年金缴费</w:t>
      </w:r>
      <w:r>
        <w:rPr>
          <w:rFonts w:hint="eastAsia" w:eastAsia="仿宋"/>
          <w:color w:val="000000"/>
          <w:sz w:val="32"/>
          <w:szCs w:val="32"/>
        </w:rPr>
        <w:t>0</w:t>
      </w:r>
      <w:r>
        <w:rPr>
          <w:rFonts w:eastAsia="仿宋"/>
          <w:color w:val="000000"/>
          <w:sz w:val="32"/>
          <w:szCs w:val="32"/>
        </w:rPr>
        <w:t>万元、职工基本医疗保险缴费</w:t>
      </w:r>
      <w:r>
        <w:rPr>
          <w:rFonts w:hint="eastAsia" w:eastAsia="仿宋"/>
          <w:color w:val="000000"/>
          <w:sz w:val="32"/>
          <w:szCs w:val="32"/>
        </w:rPr>
        <w:t>14.39</w:t>
      </w:r>
      <w:r>
        <w:rPr>
          <w:rFonts w:eastAsia="仿宋"/>
          <w:color w:val="000000"/>
          <w:sz w:val="32"/>
          <w:szCs w:val="32"/>
        </w:rPr>
        <w:t>万元、公务员医疗补助缴费</w:t>
      </w:r>
      <w:r>
        <w:rPr>
          <w:rFonts w:hint="eastAsia" w:eastAsia="仿宋"/>
          <w:color w:val="000000"/>
          <w:sz w:val="32"/>
          <w:szCs w:val="32"/>
        </w:rPr>
        <w:t>2.87</w:t>
      </w:r>
      <w:r>
        <w:rPr>
          <w:rFonts w:eastAsia="仿宋"/>
          <w:color w:val="000000"/>
          <w:sz w:val="32"/>
          <w:szCs w:val="32"/>
        </w:rPr>
        <w:t>万元、其他社会保障缴费</w:t>
      </w:r>
      <w:r>
        <w:rPr>
          <w:rFonts w:hint="eastAsia" w:eastAsia="仿宋"/>
          <w:color w:val="000000"/>
          <w:sz w:val="32"/>
          <w:szCs w:val="32"/>
        </w:rPr>
        <w:t>0.86</w:t>
      </w:r>
      <w:r>
        <w:rPr>
          <w:rFonts w:eastAsia="仿宋"/>
          <w:color w:val="000000"/>
          <w:sz w:val="32"/>
          <w:szCs w:val="32"/>
        </w:rPr>
        <w:t>万元、住房公积金</w:t>
      </w:r>
      <w:r>
        <w:rPr>
          <w:rFonts w:hint="eastAsia" w:eastAsia="仿宋"/>
          <w:color w:val="000000"/>
          <w:sz w:val="32"/>
          <w:szCs w:val="32"/>
        </w:rPr>
        <w:t>32.53</w:t>
      </w:r>
      <w:r>
        <w:rPr>
          <w:rFonts w:eastAsia="仿宋"/>
          <w:color w:val="000000"/>
          <w:sz w:val="32"/>
          <w:szCs w:val="32"/>
        </w:rPr>
        <w:t>万元、生活补助</w:t>
      </w:r>
      <w:r>
        <w:rPr>
          <w:rFonts w:hint="eastAsia" w:eastAsia="仿宋"/>
          <w:color w:val="000000"/>
          <w:sz w:val="32"/>
          <w:szCs w:val="32"/>
        </w:rPr>
        <w:t>19.35</w:t>
      </w:r>
      <w:r>
        <w:rPr>
          <w:rFonts w:eastAsia="仿宋"/>
          <w:color w:val="000000"/>
          <w:sz w:val="32"/>
          <w:szCs w:val="32"/>
        </w:rPr>
        <w:t>万元、奖励金</w:t>
      </w:r>
      <w:r>
        <w:rPr>
          <w:rFonts w:hint="eastAsia" w:eastAsia="仿宋"/>
          <w:color w:val="000000"/>
          <w:sz w:val="32"/>
          <w:szCs w:val="32"/>
        </w:rPr>
        <w:t>0.02</w:t>
      </w:r>
      <w:r>
        <w:rPr>
          <w:rFonts w:eastAsia="仿宋"/>
          <w:color w:val="000000"/>
          <w:sz w:val="32"/>
          <w:szCs w:val="32"/>
        </w:rPr>
        <w:t>万元、其他对个人和家庭的补助支出</w:t>
      </w:r>
      <w:r>
        <w:rPr>
          <w:rFonts w:hint="eastAsia" w:eastAsia="仿宋"/>
          <w:color w:val="000000"/>
          <w:sz w:val="32"/>
          <w:szCs w:val="32"/>
        </w:rPr>
        <w:t>0</w:t>
      </w:r>
      <w:r>
        <w:rPr>
          <w:rFonts w:eastAsia="仿宋"/>
          <w:color w:val="000000"/>
          <w:sz w:val="32"/>
          <w:szCs w:val="32"/>
        </w:rPr>
        <w:t>万元。</w:t>
      </w:r>
    </w:p>
    <w:p>
      <w:pPr>
        <w:spacing w:line="600" w:lineRule="exact"/>
        <w:ind w:firstLine="645"/>
        <w:rPr>
          <w:rFonts w:eastAsia="仿宋"/>
          <w:color w:val="000000"/>
          <w:sz w:val="32"/>
          <w:szCs w:val="32"/>
        </w:rPr>
      </w:pPr>
      <w:r>
        <w:rPr>
          <w:rFonts w:eastAsia="仿宋"/>
          <w:color w:val="000000"/>
          <w:sz w:val="32"/>
          <w:szCs w:val="32"/>
        </w:rPr>
        <w:t>公用经费</w:t>
      </w:r>
      <w:r>
        <w:rPr>
          <w:rFonts w:hint="eastAsia" w:eastAsia="仿宋"/>
          <w:color w:val="000000"/>
          <w:sz w:val="32"/>
          <w:szCs w:val="32"/>
        </w:rPr>
        <w:t>249.40</w:t>
      </w:r>
      <w:r>
        <w:rPr>
          <w:rFonts w:eastAsia="仿宋"/>
          <w:color w:val="000000"/>
          <w:sz w:val="32"/>
          <w:szCs w:val="32"/>
        </w:rPr>
        <w:t>万元，主要包括：办公费</w:t>
      </w:r>
      <w:r>
        <w:rPr>
          <w:rFonts w:hint="eastAsia" w:eastAsia="仿宋"/>
          <w:color w:val="000000"/>
          <w:sz w:val="32"/>
          <w:szCs w:val="32"/>
        </w:rPr>
        <w:t>25.64</w:t>
      </w:r>
      <w:r>
        <w:rPr>
          <w:rFonts w:eastAsia="仿宋"/>
          <w:color w:val="000000"/>
          <w:sz w:val="32"/>
          <w:szCs w:val="32"/>
        </w:rPr>
        <w:t>万元、咨询费</w:t>
      </w:r>
      <w:r>
        <w:rPr>
          <w:rFonts w:hint="eastAsia" w:eastAsia="仿宋"/>
          <w:color w:val="000000"/>
          <w:sz w:val="32"/>
          <w:szCs w:val="32"/>
        </w:rPr>
        <w:t>1.00</w:t>
      </w:r>
      <w:r>
        <w:rPr>
          <w:rFonts w:eastAsia="仿宋"/>
          <w:color w:val="000000"/>
          <w:sz w:val="32"/>
          <w:szCs w:val="32"/>
        </w:rPr>
        <w:t>万元、水费</w:t>
      </w:r>
      <w:r>
        <w:rPr>
          <w:rFonts w:hint="eastAsia" w:eastAsia="仿宋"/>
          <w:color w:val="000000"/>
          <w:sz w:val="32"/>
          <w:szCs w:val="32"/>
        </w:rPr>
        <w:t>0</w:t>
      </w:r>
      <w:r>
        <w:rPr>
          <w:rFonts w:eastAsia="仿宋"/>
          <w:color w:val="000000"/>
          <w:sz w:val="32"/>
          <w:szCs w:val="32"/>
        </w:rPr>
        <w:t>万元、电费</w:t>
      </w:r>
      <w:r>
        <w:rPr>
          <w:rFonts w:hint="eastAsia" w:eastAsia="仿宋"/>
          <w:color w:val="000000"/>
          <w:sz w:val="32"/>
          <w:szCs w:val="32"/>
        </w:rPr>
        <w:t>1.58</w:t>
      </w:r>
      <w:r>
        <w:rPr>
          <w:rFonts w:eastAsia="仿宋"/>
          <w:color w:val="000000"/>
          <w:sz w:val="32"/>
          <w:szCs w:val="32"/>
        </w:rPr>
        <w:t>万元、邮电费</w:t>
      </w:r>
      <w:r>
        <w:rPr>
          <w:rFonts w:hint="eastAsia" w:eastAsia="仿宋"/>
          <w:color w:val="000000"/>
          <w:sz w:val="32"/>
          <w:szCs w:val="32"/>
        </w:rPr>
        <w:t>20.25</w:t>
      </w:r>
      <w:r>
        <w:rPr>
          <w:rFonts w:eastAsia="仿宋"/>
          <w:color w:val="000000"/>
          <w:sz w:val="32"/>
          <w:szCs w:val="32"/>
        </w:rPr>
        <w:t>万元、差旅费</w:t>
      </w:r>
      <w:r>
        <w:rPr>
          <w:rFonts w:hint="eastAsia" w:eastAsia="仿宋"/>
          <w:color w:val="000000"/>
          <w:sz w:val="32"/>
          <w:szCs w:val="32"/>
        </w:rPr>
        <w:t>39.21</w:t>
      </w:r>
      <w:r>
        <w:rPr>
          <w:rFonts w:eastAsia="仿宋"/>
          <w:color w:val="000000"/>
          <w:sz w:val="32"/>
          <w:szCs w:val="32"/>
        </w:rPr>
        <w:t>万元、租赁费0万元、培训费</w:t>
      </w:r>
      <w:r>
        <w:rPr>
          <w:rFonts w:hint="eastAsia" w:eastAsia="仿宋"/>
          <w:color w:val="000000"/>
          <w:sz w:val="32"/>
          <w:szCs w:val="32"/>
        </w:rPr>
        <w:t>0.3</w:t>
      </w:r>
      <w:r>
        <w:rPr>
          <w:rFonts w:eastAsia="仿宋"/>
          <w:color w:val="000000"/>
          <w:sz w:val="32"/>
          <w:szCs w:val="32"/>
        </w:rPr>
        <w:t>5万元、公务接待费</w:t>
      </w:r>
      <w:r>
        <w:rPr>
          <w:rFonts w:hint="eastAsia" w:eastAsia="仿宋"/>
          <w:color w:val="000000"/>
          <w:sz w:val="32"/>
          <w:szCs w:val="32"/>
        </w:rPr>
        <w:t>0.</w:t>
      </w:r>
      <w:r>
        <w:rPr>
          <w:rFonts w:eastAsia="仿宋"/>
          <w:color w:val="000000"/>
          <w:sz w:val="32"/>
          <w:szCs w:val="32"/>
        </w:rPr>
        <w:t>41万元、劳务费23.29万元、委托业务费63.98万元、工会经费1.43万元、公务用车运行维护费2.03万元、其他交通费15.10万元、其他商品和服务支出46.36万元、办公设备购置8.77万元。</w:t>
      </w:r>
    </w:p>
    <w:p>
      <w:pPr>
        <w:spacing w:line="600" w:lineRule="exact"/>
        <w:ind w:firstLine="640"/>
        <w:outlineLvl w:val="1"/>
        <w:rPr>
          <w:rStyle w:val="24"/>
          <w:rFonts w:ascii="黑体" w:hAnsi="黑体" w:eastAsia="黑体"/>
          <w:b w:val="0"/>
        </w:rPr>
      </w:pPr>
      <w:bookmarkStart w:id="56" w:name="_Toc2287_WPSOffice_Level2"/>
      <w:bookmarkStart w:id="57" w:name="_Toc17874_WPSOffice_Level2"/>
      <w:bookmarkStart w:id="58" w:name="_Toc15396609"/>
      <w:bookmarkStart w:id="59" w:name="_Toc15377215"/>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56"/>
      <w:bookmarkEnd w:id="57"/>
      <w:bookmarkEnd w:id="58"/>
      <w:bookmarkEnd w:id="59"/>
    </w:p>
    <w:p>
      <w:pPr>
        <w:spacing w:line="600" w:lineRule="exact"/>
        <w:ind w:firstLine="640"/>
        <w:outlineLvl w:val="2"/>
        <w:rPr>
          <w:rFonts w:ascii="仿宋" w:hAnsi="仿宋" w:eastAsia="仿宋"/>
          <w:b/>
          <w:color w:val="000000"/>
          <w:sz w:val="32"/>
          <w:szCs w:val="32"/>
        </w:rPr>
      </w:pPr>
      <w:bookmarkStart w:id="60" w:name="_Toc3091_WPSOffice_Level3"/>
      <w:bookmarkStart w:id="61" w:name="_Toc15377216"/>
      <w:r>
        <w:rPr>
          <w:rFonts w:hint="eastAsia" w:ascii="仿宋" w:hAnsi="仿宋" w:eastAsia="仿宋"/>
          <w:b/>
          <w:color w:val="000000"/>
          <w:sz w:val="32"/>
          <w:szCs w:val="32"/>
        </w:rPr>
        <w:t>（一）“三公”经费财政拨款支出决算总体情况说明</w:t>
      </w:r>
      <w:bookmarkEnd w:id="60"/>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2022</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2.44</w:t>
      </w:r>
      <w:r>
        <w:rPr>
          <w:rFonts w:hint="eastAsia" w:ascii="仿宋" w:hAnsi="仿宋" w:eastAsia="仿宋"/>
          <w:color w:val="000000"/>
          <w:sz w:val="32"/>
          <w:szCs w:val="32"/>
        </w:rPr>
        <w:t>万元，完成预算</w:t>
      </w:r>
      <w:r>
        <w:rPr>
          <w:rFonts w:ascii="仿宋" w:hAnsi="仿宋" w:eastAsia="仿宋"/>
          <w:color w:val="000000"/>
          <w:sz w:val="32"/>
          <w:szCs w:val="32"/>
        </w:rPr>
        <w:t>22.18%</w:t>
      </w:r>
      <w:r>
        <w:rPr>
          <w:rFonts w:hint="eastAsia" w:ascii="仿宋" w:hAnsi="仿宋" w:eastAsia="仿宋"/>
          <w:color w:val="000000"/>
          <w:sz w:val="32"/>
          <w:szCs w:val="32"/>
        </w:rPr>
        <w:t>，决算数小于预算数（或与预算数持平）的主要原因是厉行节约，减少不必要的公务性支出。</w:t>
      </w:r>
    </w:p>
    <w:p>
      <w:pPr>
        <w:spacing w:line="600" w:lineRule="exact"/>
        <w:ind w:firstLine="640"/>
        <w:outlineLvl w:val="2"/>
        <w:rPr>
          <w:rFonts w:ascii="仿宋" w:hAnsi="仿宋" w:eastAsia="仿宋"/>
          <w:b/>
          <w:color w:val="000000"/>
          <w:sz w:val="32"/>
          <w:szCs w:val="32"/>
        </w:rPr>
      </w:pPr>
      <w:bookmarkStart w:id="62" w:name="_Toc6306_WPSOffice_Level3"/>
      <w:bookmarkStart w:id="63" w:name="_Toc15377217"/>
      <w:r>
        <w:rPr>
          <w:rFonts w:hint="eastAsia" w:ascii="仿宋" w:hAnsi="仿宋" w:eastAsia="仿宋"/>
          <w:b/>
          <w:color w:val="000000"/>
          <w:sz w:val="32"/>
          <w:szCs w:val="32"/>
        </w:rPr>
        <w:t>（二）“三公”经费财政拨款支出决算具体情况说明</w:t>
      </w:r>
      <w:bookmarkEnd w:id="62"/>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2022</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2.03</w:t>
      </w:r>
      <w:r>
        <w:rPr>
          <w:rFonts w:hint="eastAsia" w:ascii="仿宋" w:hAnsi="仿宋" w:eastAsia="仿宋"/>
          <w:color w:val="000000"/>
          <w:sz w:val="32"/>
          <w:szCs w:val="32"/>
        </w:rPr>
        <w:t>万元，占</w:t>
      </w:r>
      <w:r>
        <w:rPr>
          <w:rFonts w:ascii="仿宋" w:hAnsi="仿宋" w:eastAsia="仿宋"/>
          <w:color w:val="000000"/>
          <w:sz w:val="32"/>
          <w:szCs w:val="32"/>
        </w:rPr>
        <w:t>8</w:t>
      </w:r>
      <w:r>
        <w:rPr>
          <w:rFonts w:hint="eastAsia" w:ascii="仿宋" w:hAnsi="仿宋" w:eastAsia="仿宋"/>
          <w:color w:val="000000"/>
          <w:sz w:val="32"/>
          <w:szCs w:val="32"/>
        </w:rPr>
        <w:t>3</w:t>
      </w:r>
      <w:r>
        <w:rPr>
          <w:rFonts w:ascii="仿宋" w:hAnsi="仿宋" w:eastAsia="仿宋"/>
          <w:color w:val="000000"/>
          <w:sz w:val="32"/>
          <w:szCs w:val="32"/>
        </w:rPr>
        <w:t>.37%</w:t>
      </w:r>
      <w:r>
        <w:rPr>
          <w:rFonts w:hint="eastAsia" w:ascii="仿宋" w:hAnsi="仿宋" w:eastAsia="仿宋"/>
          <w:color w:val="000000"/>
          <w:sz w:val="32"/>
          <w:szCs w:val="32"/>
        </w:rPr>
        <w:t>；公务接待费支出决算0.</w:t>
      </w:r>
      <w:r>
        <w:rPr>
          <w:rFonts w:ascii="仿宋" w:hAnsi="仿宋" w:eastAsia="仿宋"/>
          <w:color w:val="000000"/>
          <w:sz w:val="32"/>
          <w:szCs w:val="32"/>
        </w:rPr>
        <w:t>41</w:t>
      </w:r>
      <w:r>
        <w:rPr>
          <w:rFonts w:hint="eastAsia" w:ascii="仿宋" w:hAnsi="仿宋" w:eastAsia="仿宋"/>
          <w:color w:val="000000"/>
          <w:sz w:val="32"/>
          <w:szCs w:val="32"/>
        </w:rPr>
        <w:t>万元，占</w:t>
      </w:r>
      <w:r>
        <w:rPr>
          <w:rFonts w:ascii="仿宋" w:hAnsi="仿宋" w:eastAsia="仿宋"/>
          <w:color w:val="000000"/>
          <w:sz w:val="32"/>
          <w:szCs w:val="32"/>
        </w:rPr>
        <w:t>1</w:t>
      </w:r>
      <w:r>
        <w:rPr>
          <w:rFonts w:hint="eastAsia" w:ascii="仿宋" w:hAnsi="仿宋" w:eastAsia="仿宋"/>
          <w:color w:val="000000"/>
          <w:sz w:val="32"/>
          <w:szCs w:val="32"/>
        </w:rPr>
        <w:t>6</w:t>
      </w:r>
      <w:r>
        <w:rPr>
          <w:rFonts w:ascii="仿宋" w:hAnsi="仿宋" w:eastAsia="仿宋"/>
          <w:color w:val="000000"/>
          <w:sz w:val="32"/>
          <w:szCs w:val="32"/>
        </w:rPr>
        <w:t>.63%</w:t>
      </w:r>
      <w:r>
        <w:rPr>
          <w:rFonts w:hint="eastAsia" w:ascii="仿宋" w:hAnsi="仿宋" w:eastAsia="仿宋"/>
          <w:color w:val="000000"/>
          <w:sz w:val="32"/>
          <w:szCs w:val="32"/>
        </w:rPr>
        <w:t>。具体情况如下：</w:t>
      </w:r>
    </w:p>
    <w:p>
      <w:pPr>
        <w:pStyle w:val="2"/>
        <w:spacing w:before="93"/>
        <w:rPr>
          <w:b/>
          <w:color w:val="000000"/>
          <w:sz w:val="32"/>
          <w:szCs w:val="32"/>
        </w:rPr>
      </w:pPr>
      <w: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eastAsia="仿宋"/>
        </w:rPr>
        <w:t xml:space="preserve">     </w:t>
      </w:r>
      <w:r>
        <w:rPr>
          <w:b/>
          <w:color w:val="000000"/>
          <w:sz w:val="32"/>
          <w:szCs w:val="32"/>
        </w:rPr>
        <w:t>1.</w:t>
      </w:r>
      <w:r>
        <w:rPr>
          <w:rFonts w:hint="eastAsia"/>
          <w:b/>
          <w:color w:val="000000"/>
          <w:sz w:val="32"/>
          <w:szCs w:val="32"/>
        </w:rPr>
        <w:t>因公出国（境）经费支出</w:t>
      </w:r>
      <w:r>
        <w:rPr>
          <w:rFonts w:hint="eastAsia"/>
          <w:color w:val="000000"/>
          <w:sz w:val="32"/>
          <w:szCs w:val="32"/>
        </w:rPr>
        <w:t>0万元，完成预算0</w:t>
      </w:r>
      <w:r>
        <w:rPr>
          <w:color w:val="000000"/>
          <w:sz w:val="32"/>
          <w:szCs w:val="32"/>
        </w:rPr>
        <w:t>%</w:t>
      </w:r>
      <w:r>
        <w:rPr>
          <w:rFonts w:hint="eastAsia"/>
          <w:color w:val="000000"/>
          <w:sz w:val="32"/>
          <w:szCs w:val="32"/>
        </w:rPr>
        <w:t>。全年安排因公出国（境）团组0次，出国（境）0人。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2.03</w:t>
      </w:r>
      <w:r>
        <w:rPr>
          <w:rFonts w:hint="eastAsia" w:ascii="仿宋_GB2312" w:eastAsia="仿宋_GB2312"/>
          <w:color w:val="000000"/>
          <w:sz w:val="32"/>
          <w:szCs w:val="32"/>
        </w:rPr>
        <w:t>万元</w:t>
      </w:r>
      <w:r>
        <w:rPr>
          <w:rFonts w:ascii="仿宋_GB2312" w:eastAsia="仿宋_GB2312"/>
          <w:color w:val="000000"/>
          <w:sz w:val="32"/>
          <w:szCs w:val="32"/>
        </w:rPr>
        <w:t>,</w:t>
      </w:r>
      <w:r>
        <w:rPr>
          <w:rStyle w:val="20"/>
          <w:rFonts w:hint="eastAsia" w:ascii="仿宋" w:hAnsi="仿宋" w:eastAsia="仿宋"/>
          <w:b w:val="0"/>
          <w:bCs/>
          <w:color w:val="000000"/>
          <w:sz w:val="32"/>
          <w:szCs w:val="32"/>
        </w:rPr>
        <w:t>完成预算</w:t>
      </w:r>
      <w:r>
        <w:rPr>
          <w:rStyle w:val="20"/>
          <w:rFonts w:ascii="仿宋" w:hAnsi="仿宋" w:eastAsia="仿宋"/>
          <w:b w:val="0"/>
          <w:bCs/>
          <w:color w:val="000000"/>
          <w:sz w:val="32"/>
          <w:szCs w:val="32"/>
        </w:rPr>
        <w:t>33.83%</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rPr>
        <w:t>2</w:t>
      </w:r>
      <w:r>
        <w:rPr>
          <w:rFonts w:ascii="仿宋_GB2312" w:eastAsia="仿宋_GB2312"/>
          <w:color w:val="000000"/>
          <w:sz w:val="32"/>
          <w:szCs w:val="32"/>
        </w:rPr>
        <w:t>1</w:t>
      </w:r>
      <w:r>
        <w:rPr>
          <w:rFonts w:hint="eastAsia" w:ascii="仿宋_GB2312" w:eastAsia="仿宋_GB2312"/>
          <w:color w:val="000000"/>
          <w:sz w:val="32"/>
          <w:szCs w:val="32"/>
        </w:rPr>
        <w:t>年减少0</w:t>
      </w:r>
      <w:r>
        <w:rPr>
          <w:rFonts w:ascii="仿宋_GB2312" w:eastAsia="仿宋_GB2312"/>
          <w:color w:val="000000"/>
          <w:sz w:val="32"/>
          <w:szCs w:val="32"/>
        </w:rPr>
        <w:t>.97</w:t>
      </w:r>
      <w:r>
        <w:rPr>
          <w:rFonts w:hint="eastAsia" w:ascii="仿宋_GB2312" w:eastAsia="仿宋_GB2312"/>
          <w:color w:val="000000"/>
          <w:sz w:val="32"/>
          <w:szCs w:val="32"/>
        </w:rPr>
        <w:t>万元，降低</w:t>
      </w:r>
      <w:r>
        <w:rPr>
          <w:rFonts w:ascii="仿宋_GB2312" w:eastAsia="仿宋_GB2312"/>
          <w:color w:val="000000"/>
          <w:sz w:val="32"/>
          <w:szCs w:val="32"/>
        </w:rPr>
        <w:t>32.33%</w:t>
      </w:r>
      <w:r>
        <w:rPr>
          <w:rFonts w:hint="eastAsia" w:ascii="仿宋_GB2312" w:eastAsia="仿宋_GB2312"/>
          <w:color w:val="000000"/>
          <w:sz w:val="32"/>
          <w:szCs w:val="32"/>
        </w:rPr>
        <w:t>。主要原因是厉行节约，减少不必要支出。截至202</w:t>
      </w:r>
      <w:r>
        <w:rPr>
          <w:rFonts w:ascii="仿宋_GB2312" w:eastAsia="仿宋_GB2312"/>
          <w:color w:val="000000"/>
          <w:sz w:val="32"/>
          <w:szCs w:val="32"/>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月底，单位共有公务用车1辆（产权已移交雁江区机关事务服务中心），其中：轿车1辆1。</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其中：无公务用车购置支出。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公务用车运行维护费支出</w:t>
      </w:r>
      <w:r>
        <w:rPr>
          <w:rFonts w:ascii="仿宋_GB2312" w:eastAsia="仿宋_GB2312"/>
          <w:color w:val="000000"/>
          <w:sz w:val="32"/>
          <w:szCs w:val="32"/>
        </w:rPr>
        <w:t>2.03</w:t>
      </w:r>
      <w:r>
        <w:rPr>
          <w:rFonts w:hint="eastAsia" w:ascii="仿宋_GB2312" w:eastAsia="仿宋_GB2312"/>
          <w:color w:val="000000"/>
          <w:sz w:val="32"/>
          <w:szCs w:val="32"/>
        </w:rPr>
        <w:t>元。主要用于开展审计业务活动所需的公务用车燃料费、维修费、过路过桥费、保险费等支出。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w:t>
      </w:r>
      <w:r>
        <w:rPr>
          <w:rFonts w:ascii="仿宋_GB2312" w:eastAsia="仿宋_GB2312"/>
          <w:color w:val="000000"/>
          <w:sz w:val="32"/>
          <w:szCs w:val="32"/>
        </w:rPr>
        <w:t>41</w:t>
      </w:r>
      <w:r>
        <w:rPr>
          <w:rFonts w:hint="eastAsia" w:ascii="仿宋_GB2312" w:eastAsia="仿宋_GB2312"/>
          <w:color w:val="000000"/>
          <w:sz w:val="32"/>
          <w:szCs w:val="32"/>
        </w:rPr>
        <w:t>万元，</w:t>
      </w:r>
      <w:r>
        <w:rPr>
          <w:rStyle w:val="20"/>
          <w:rFonts w:hint="eastAsia" w:ascii="仿宋" w:hAnsi="仿宋" w:eastAsia="仿宋"/>
          <w:b w:val="0"/>
          <w:bCs/>
          <w:color w:val="000000"/>
          <w:sz w:val="32"/>
          <w:szCs w:val="32"/>
        </w:rPr>
        <w:t>完成预算</w:t>
      </w:r>
      <w:r>
        <w:rPr>
          <w:rStyle w:val="20"/>
          <w:rFonts w:ascii="仿宋" w:hAnsi="仿宋" w:eastAsia="仿宋"/>
          <w:b w:val="0"/>
          <w:bCs/>
          <w:color w:val="000000"/>
          <w:sz w:val="32"/>
          <w:szCs w:val="32"/>
        </w:rPr>
        <w:t>8.20%</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rPr>
        <w:t>2</w:t>
      </w:r>
      <w:r>
        <w:rPr>
          <w:rFonts w:ascii="仿宋_GB2312" w:eastAsia="仿宋_GB2312"/>
          <w:color w:val="000000"/>
          <w:sz w:val="32"/>
          <w:szCs w:val="32"/>
        </w:rPr>
        <w:t>1</w:t>
      </w:r>
      <w:r>
        <w:rPr>
          <w:rFonts w:hint="eastAsia" w:ascii="仿宋_GB2312" w:eastAsia="仿宋_GB2312"/>
          <w:color w:val="000000"/>
          <w:sz w:val="32"/>
          <w:szCs w:val="32"/>
        </w:rPr>
        <w:t>年增加0.</w:t>
      </w:r>
      <w:r>
        <w:rPr>
          <w:rFonts w:ascii="仿宋_GB2312" w:eastAsia="仿宋_GB2312"/>
          <w:color w:val="000000"/>
          <w:sz w:val="32"/>
          <w:szCs w:val="32"/>
        </w:rPr>
        <w:t>23</w:t>
      </w:r>
      <w:r>
        <w:rPr>
          <w:rFonts w:hint="eastAsia" w:ascii="仿宋_GB2312" w:eastAsia="仿宋_GB2312"/>
          <w:color w:val="000000"/>
          <w:sz w:val="32"/>
          <w:szCs w:val="32"/>
        </w:rPr>
        <w:t>万元，增加</w:t>
      </w:r>
      <w:r>
        <w:rPr>
          <w:rFonts w:ascii="仿宋_GB2312" w:eastAsia="仿宋_GB2312"/>
          <w:color w:val="000000"/>
          <w:sz w:val="32"/>
          <w:szCs w:val="32"/>
        </w:rPr>
        <w:t>127.78%</w:t>
      </w:r>
      <w:r>
        <w:rPr>
          <w:rFonts w:hint="eastAsia" w:ascii="仿宋_GB2312" w:eastAsia="仿宋_GB2312"/>
          <w:color w:val="000000"/>
          <w:sz w:val="32"/>
          <w:szCs w:val="32"/>
        </w:rPr>
        <w:t>。主要原因是困难群众求助资金审计公务接待支出。</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ascii="仿宋" w:hAnsi="仿宋" w:eastAsia="仿宋"/>
          <w:color w:val="000000"/>
          <w:sz w:val="32"/>
          <w:szCs w:val="32"/>
        </w:rPr>
        <w:t>41</w:t>
      </w:r>
      <w:r>
        <w:rPr>
          <w:rFonts w:hint="eastAsia" w:ascii="仿宋_GB2312" w:eastAsia="仿宋_GB2312"/>
          <w:color w:val="000000"/>
          <w:sz w:val="32"/>
          <w:szCs w:val="32"/>
        </w:rPr>
        <w:t>万元，主要用于开展审计业务活动开支的</w:t>
      </w:r>
      <w:bookmarkStart w:id="100" w:name="_GoBack"/>
      <w:bookmarkEnd w:id="100"/>
      <w:r>
        <w:rPr>
          <w:rFonts w:hint="eastAsia" w:ascii="仿宋_GB2312" w:eastAsia="仿宋_GB2312"/>
          <w:color w:val="000000"/>
          <w:sz w:val="32"/>
          <w:szCs w:val="32"/>
        </w:rPr>
        <w:t>用餐费等。国内公务接待</w:t>
      </w:r>
      <w:r>
        <w:rPr>
          <w:rFonts w:ascii="仿宋_GB2312" w:eastAsia="仿宋_GB2312"/>
          <w:color w:val="000000"/>
          <w:sz w:val="32"/>
          <w:szCs w:val="32"/>
        </w:rPr>
        <w:t>6</w:t>
      </w:r>
      <w:r>
        <w:rPr>
          <w:rFonts w:hint="eastAsia" w:ascii="仿宋_GB2312" w:eastAsia="仿宋_GB2312"/>
          <w:color w:val="000000"/>
          <w:sz w:val="32"/>
          <w:szCs w:val="32"/>
        </w:rPr>
        <w:t>批次，</w:t>
      </w:r>
      <w:r>
        <w:rPr>
          <w:rFonts w:ascii="仿宋_GB2312" w:eastAsia="仿宋_GB2312"/>
          <w:color w:val="000000"/>
          <w:sz w:val="32"/>
          <w:szCs w:val="32"/>
        </w:rPr>
        <w:t>54</w:t>
      </w:r>
      <w:r>
        <w:rPr>
          <w:rFonts w:hint="eastAsia" w:ascii="仿宋_GB2312" w:eastAsia="仿宋_GB2312"/>
          <w:color w:val="000000"/>
          <w:sz w:val="32"/>
          <w:szCs w:val="32"/>
        </w:rPr>
        <w:t>人次（不包括陪同人员），共计支出0.</w:t>
      </w:r>
      <w:r>
        <w:rPr>
          <w:rFonts w:ascii="仿宋_GB2312" w:eastAsia="仿宋_GB2312"/>
          <w:color w:val="000000"/>
          <w:sz w:val="32"/>
          <w:szCs w:val="32"/>
        </w:rPr>
        <w:t>41</w:t>
      </w:r>
      <w:r>
        <w:rPr>
          <w:rFonts w:hint="eastAsia" w:ascii="仿宋_GB2312" w:eastAsia="仿宋_GB2312"/>
          <w:color w:val="000000"/>
          <w:sz w:val="32"/>
          <w:szCs w:val="32"/>
        </w:rPr>
        <w:t>万元，主要原因是困难群众求助资金审计公务接待支出。</w:t>
      </w:r>
    </w:p>
    <w:p>
      <w:pPr>
        <w:spacing w:line="600" w:lineRule="exact"/>
        <w:ind w:firstLine="640"/>
        <w:outlineLvl w:val="1"/>
        <w:rPr>
          <w:rFonts w:ascii="仿宋" w:hAnsi="仿宋" w:eastAsia="仿宋"/>
          <w:b/>
          <w:color w:val="000000"/>
          <w:sz w:val="32"/>
          <w:szCs w:val="32"/>
        </w:rPr>
      </w:pPr>
      <w:r>
        <w:rPr>
          <w:rFonts w:hint="eastAsia" w:ascii="仿宋_GB2312" w:eastAsia="仿宋_GB2312"/>
          <w:color w:val="000000"/>
          <w:sz w:val="32"/>
          <w:szCs w:val="32"/>
        </w:rPr>
        <w:t>无外事接待支出</w:t>
      </w:r>
      <w:bookmarkStart w:id="64" w:name="_Toc15377218"/>
      <w:bookmarkStart w:id="65" w:name="_Toc15396610"/>
      <w:r>
        <w:rPr>
          <w:rFonts w:hint="eastAsia" w:ascii="仿宋_GB2312" w:eastAsia="仿宋_GB2312"/>
          <w:color w:val="000000"/>
          <w:sz w:val="32"/>
          <w:szCs w:val="32"/>
        </w:rPr>
        <w:t>。</w:t>
      </w:r>
    </w:p>
    <w:p>
      <w:pPr>
        <w:spacing w:line="600" w:lineRule="exact"/>
        <w:ind w:firstLine="640"/>
        <w:outlineLvl w:val="1"/>
        <w:rPr>
          <w:rStyle w:val="24"/>
          <w:rFonts w:ascii="黑体" w:hAnsi="黑体" w:eastAsia="黑体"/>
        </w:rPr>
      </w:pPr>
      <w:bookmarkStart w:id="66" w:name="_Toc12116_WPSOffice_Level2"/>
      <w:bookmarkStart w:id="67" w:name="_Toc14030_WPSOffice_Level2"/>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64"/>
      <w:bookmarkEnd w:id="65"/>
      <w:bookmarkEnd w:id="66"/>
      <w:bookmarkEnd w:id="6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年无政府性基金预算拨款支出。</w:t>
      </w:r>
    </w:p>
    <w:p>
      <w:pPr>
        <w:numPr>
          <w:ilvl w:val="0"/>
          <w:numId w:val="2"/>
        </w:numPr>
        <w:spacing w:line="600" w:lineRule="exact"/>
        <w:ind w:firstLine="640"/>
        <w:outlineLvl w:val="1"/>
        <w:rPr>
          <w:rStyle w:val="24"/>
          <w:rFonts w:ascii="黑体" w:hAnsi="黑体" w:eastAsia="黑体"/>
          <w:b w:val="0"/>
        </w:rPr>
      </w:pPr>
      <w:bookmarkStart w:id="68" w:name="_Toc15377219"/>
      <w:bookmarkStart w:id="69" w:name="_Toc15396611"/>
      <w:bookmarkStart w:id="70" w:name="_Toc3197_WPSOffice_Level2"/>
      <w:bookmarkStart w:id="71" w:name="_Toc11980_WPSOffice_Level2"/>
      <w:r>
        <w:rPr>
          <w:rStyle w:val="24"/>
          <w:rFonts w:hint="eastAsia" w:ascii="黑体" w:hAnsi="黑体" w:eastAsia="黑体"/>
          <w:b w:val="0"/>
        </w:rPr>
        <w:t>国有资本经营预算支出决算情况说明</w:t>
      </w:r>
      <w:bookmarkEnd w:id="68"/>
      <w:bookmarkEnd w:id="69"/>
      <w:bookmarkEnd w:id="70"/>
      <w:bookmarkEnd w:id="7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年无国有资本经营预算拨款支出。</w:t>
      </w:r>
    </w:p>
    <w:p>
      <w:pPr>
        <w:spacing w:line="600" w:lineRule="exact"/>
        <w:ind w:firstLine="640" w:firstLineChars="200"/>
        <w:outlineLvl w:val="1"/>
        <w:rPr>
          <w:rStyle w:val="24"/>
          <w:rFonts w:ascii="黑体" w:hAnsi="黑体" w:eastAsia="黑体"/>
        </w:rPr>
      </w:pPr>
      <w:bookmarkStart w:id="72" w:name="_Toc15396612"/>
      <w:bookmarkStart w:id="73" w:name="_Toc15377221"/>
      <w:bookmarkStart w:id="74" w:name="_Toc23266_WPSOffice_Level2"/>
      <w:bookmarkStart w:id="75" w:name="_Toc2095_WPSOffice_Level2"/>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72"/>
      <w:bookmarkEnd w:id="73"/>
      <w:bookmarkEnd w:id="74"/>
      <w:bookmarkEnd w:id="75"/>
    </w:p>
    <w:p>
      <w:pPr>
        <w:spacing w:line="600" w:lineRule="exact"/>
        <w:ind w:firstLine="643" w:firstLineChars="200"/>
        <w:outlineLvl w:val="2"/>
        <w:rPr>
          <w:rFonts w:ascii="仿宋" w:hAnsi="仿宋" w:eastAsia="仿宋"/>
          <w:color w:val="000000"/>
          <w:sz w:val="32"/>
          <w:szCs w:val="32"/>
        </w:rPr>
      </w:pPr>
      <w:bookmarkStart w:id="76" w:name="_Toc15377222"/>
      <w:bookmarkStart w:id="77" w:name="_Toc2287_WPSOffice_Level3"/>
      <w:r>
        <w:rPr>
          <w:rFonts w:hint="eastAsia" w:ascii="仿宋" w:hAnsi="仿宋" w:eastAsia="仿宋"/>
          <w:b/>
          <w:color w:val="000000"/>
          <w:sz w:val="32"/>
          <w:szCs w:val="32"/>
        </w:rPr>
        <w:t>（一）机关运行经费支出情况</w:t>
      </w:r>
      <w:bookmarkEnd w:id="76"/>
      <w:bookmarkEnd w:id="77"/>
    </w:p>
    <w:p>
      <w:pPr>
        <w:pStyle w:val="26"/>
        <w:spacing w:line="560" w:lineRule="exact"/>
        <w:ind w:firstLine="640" w:firstLineChars="200"/>
        <w:rPr>
          <w:rFonts w:hAnsi="仿宋" w:cs="仿宋_GB2312"/>
          <w:color w:val="auto"/>
          <w:kern w:val="2"/>
          <w:sz w:val="32"/>
          <w:szCs w:val="32"/>
        </w:rPr>
      </w:pPr>
      <w:r>
        <w:rPr>
          <w:rFonts w:ascii="仿宋_GB2312" w:eastAsia="仿宋_GB2312"/>
          <w:sz w:val="32"/>
          <w:szCs w:val="32"/>
        </w:rPr>
        <w:t>2022</w:t>
      </w:r>
      <w:r>
        <w:rPr>
          <w:rFonts w:hint="eastAsia" w:ascii="仿宋_GB2312" w:eastAsia="仿宋_GB2312"/>
          <w:sz w:val="32"/>
          <w:szCs w:val="32"/>
        </w:rPr>
        <w:t>年，资阳市雁江区审计局机关运行经费支出1</w:t>
      </w:r>
      <w:r>
        <w:rPr>
          <w:rFonts w:ascii="仿宋_GB2312" w:eastAsia="仿宋_GB2312"/>
          <w:sz w:val="32"/>
          <w:szCs w:val="32"/>
        </w:rPr>
        <w:t>9.34</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年减少15.3</w:t>
      </w:r>
      <w:r>
        <w:rPr>
          <w:rFonts w:ascii="仿宋_GB2312" w:eastAsia="仿宋_GB2312"/>
          <w:sz w:val="32"/>
          <w:szCs w:val="32"/>
        </w:rPr>
        <w:t>4</w:t>
      </w:r>
      <w:r>
        <w:rPr>
          <w:rFonts w:hint="eastAsia" w:ascii="仿宋_GB2312" w:eastAsia="仿宋_GB2312"/>
          <w:sz w:val="32"/>
          <w:szCs w:val="32"/>
        </w:rPr>
        <w:t>万元，减少</w:t>
      </w:r>
      <w:r>
        <w:rPr>
          <w:rFonts w:ascii="仿宋_GB2312" w:eastAsia="仿宋_GB2312"/>
          <w:sz w:val="32"/>
          <w:szCs w:val="32"/>
        </w:rPr>
        <w:t>44.23%</w:t>
      </w:r>
      <w:r>
        <w:rPr>
          <w:rFonts w:hint="eastAsia" w:ascii="仿宋_GB2312" w:eastAsia="仿宋_GB2312"/>
          <w:sz w:val="32"/>
          <w:szCs w:val="32"/>
        </w:rPr>
        <w:t>。主要原因是</w:t>
      </w:r>
      <w:r>
        <w:rPr>
          <w:rFonts w:hint="eastAsia" w:hAnsi="仿宋" w:cs="仿宋_GB2312"/>
          <w:color w:val="auto"/>
          <w:kern w:val="2"/>
          <w:sz w:val="32"/>
          <w:szCs w:val="32"/>
        </w:rPr>
        <w:t>加强管理，厉行节约，合理保障开展机关审计业务运行经费支出。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3"/>
      <w:bookmarkStart w:id="79" w:name="_Toc14030_WPSOffice_Level3"/>
      <w:r>
        <w:rPr>
          <w:rFonts w:hint="eastAsia" w:ascii="仿宋" w:hAnsi="仿宋" w:eastAsia="仿宋"/>
          <w:b/>
          <w:color w:val="000000"/>
          <w:sz w:val="32"/>
          <w:szCs w:val="32"/>
        </w:rPr>
        <w:t>（二）政府采购支出情况</w:t>
      </w:r>
      <w:bookmarkEnd w:id="78"/>
      <w:bookmarkEnd w:id="7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年，资阳市雁江区审计局政府采购支出总额</w:t>
      </w:r>
      <w:r>
        <w:rPr>
          <w:rFonts w:ascii="仿宋_GB2312" w:eastAsia="仿宋_GB2312"/>
          <w:color w:val="000000"/>
          <w:sz w:val="32"/>
          <w:szCs w:val="32"/>
        </w:rPr>
        <w:t>72.75</w:t>
      </w:r>
      <w:r>
        <w:rPr>
          <w:rFonts w:hint="eastAsia" w:ascii="仿宋_GB2312" w:eastAsia="仿宋_GB2312"/>
          <w:color w:val="000000"/>
          <w:sz w:val="32"/>
          <w:szCs w:val="32"/>
        </w:rPr>
        <w:t>万元，其中：政府采购货物支出</w:t>
      </w:r>
      <w:r>
        <w:rPr>
          <w:rFonts w:ascii="仿宋_GB2312" w:eastAsia="仿宋_GB2312"/>
          <w:color w:val="000000"/>
          <w:sz w:val="32"/>
          <w:szCs w:val="32"/>
        </w:rPr>
        <w:t>8.77</w:t>
      </w:r>
      <w:r>
        <w:rPr>
          <w:rFonts w:hint="eastAsia" w:ascii="仿宋_GB2312" w:eastAsia="仿宋_GB2312"/>
          <w:color w:val="000000"/>
          <w:sz w:val="32"/>
          <w:szCs w:val="32"/>
        </w:rPr>
        <w:t>万元、政府采购工程支出0万元、政府采购服务支出</w:t>
      </w:r>
      <w:r>
        <w:rPr>
          <w:rFonts w:ascii="仿宋_GB2312" w:eastAsia="仿宋_GB2312"/>
          <w:color w:val="000000"/>
          <w:sz w:val="32"/>
          <w:szCs w:val="32"/>
        </w:rPr>
        <w:t>63.98</w:t>
      </w:r>
      <w:r>
        <w:rPr>
          <w:rFonts w:hint="eastAsia" w:ascii="仿宋_GB2312" w:eastAsia="仿宋_GB2312"/>
          <w:color w:val="000000"/>
          <w:sz w:val="32"/>
          <w:szCs w:val="32"/>
        </w:rPr>
        <w:t>万元。主要用于开展机关审计事务的需要。授予中小企业合同金额</w:t>
      </w:r>
      <w:r>
        <w:rPr>
          <w:rFonts w:ascii="仿宋_GB2312" w:eastAsia="仿宋_GB2312"/>
          <w:color w:val="000000"/>
          <w:sz w:val="32"/>
          <w:szCs w:val="32"/>
        </w:rPr>
        <w:t>72.75</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8.77</w:t>
      </w:r>
      <w:r>
        <w:rPr>
          <w:rFonts w:hint="eastAsia" w:ascii="仿宋_GB2312" w:eastAsia="仿宋_GB2312"/>
          <w:color w:val="000000"/>
          <w:sz w:val="32"/>
          <w:szCs w:val="32"/>
        </w:rPr>
        <w:t>万元，占政府采购支出总额的12.0</w:t>
      </w:r>
      <w:r>
        <w:rPr>
          <w:rFonts w:ascii="仿宋_GB2312" w:eastAsia="仿宋_GB2312"/>
          <w:color w:val="000000"/>
          <w:sz w:val="32"/>
          <w:szCs w:val="32"/>
        </w:rPr>
        <w:t>5%</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377224"/>
      <w:bookmarkStart w:id="81" w:name="_Toc11980_WPSOffice_Level3"/>
      <w:r>
        <w:rPr>
          <w:rFonts w:hint="eastAsia" w:ascii="仿宋" w:hAnsi="仿宋" w:eastAsia="仿宋"/>
          <w:b/>
          <w:color w:val="000000"/>
          <w:sz w:val="32"/>
          <w:szCs w:val="32"/>
        </w:rPr>
        <w:t>（三）国有资产占有使用情况</w:t>
      </w:r>
      <w:bookmarkEnd w:id="80"/>
      <w:bookmarkEnd w:id="81"/>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日，资阳市雁江区审计局共有车辆1辆（产权已移交雁江区机关事务服务中心），其中：主要领导干部用车0辆、机要通信用车0辆、应急保障用车0辆、其他用车1辆，其他用车主要是用于</w:t>
      </w:r>
      <w:r>
        <w:rPr>
          <w:rFonts w:hint="eastAsia" w:hAnsi="仿宋" w:cs="仿宋_GB2312"/>
          <w:sz w:val="32"/>
          <w:szCs w:val="32"/>
        </w:rPr>
        <w:t>一</w:t>
      </w:r>
      <w:r>
        <w:rPr>
          <w:rFonts w:hint="eastAsia" w:ascii="仿宋_GB2312" w:eastAsia="仿宋_GB2312"/>
          <w:color w:val="000000"/>
          <w:sz w:val="32"/>
          <w:szCs w:val="32"/>
        </w:rPr>
        <w:t>般审计事务日常活动。</w:t>
      </w:r>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2095_WPSOffice_Level3"/>
      <w:r>
        <w:rPr>
          <w:rFonts w:hint="eastAsia" w:ascii="仿宋" w:hAnsi="仿宋" w:eastAsia="仿宋"/>
          <w:b/>
          <w:color w:val="000000"/>
          <w:sz w:val="32"/>
          <w:szCs w:val="32"/>
        </w:rPr>
        <w:t>（四）预算绩效管理情况。</w:t>
      </w:r>
      <w:bookmarkEnd w:id="82"/>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资阳市雁江区审计局在年初预算编制阶段，组织对政府投资审计经费项目开展了预算事前绩效评估，对4个项目编制了绩效目标，预算执行过程中，选取4个项目开展绩效监控，年终执行完毕后，对4个项目开展了绩效目标完成情况自评。</w:t>
      </w:r>
    </w:p>
    <w:p>
      <w:pPr>
        <w:pStyle w:val="7"/>
        <w:ind w:firstLine="640"/>
        <w:rPr>
          <w:rFonts w:ascii="仿宋_GB2312" w:eastAsia="仿宋_GB2312"/>
          <w:b/>
          <w:color w:val="000000"/>
          <w:sz w:val="32"/>
          <w:szCs w:val="32"/>
        </w:rPr>
      </w:pPr>
      <w:r>
        <w:rPr>
          <w:rFonts w:hint="eastAsia" w:ascii="仿宋_GB2312" w:hAnsi="仿宋_GB2312" w:eastAsia="仿宋_GB2312" w:cs="仿宋_GB2312"/>
          <w:sz w:val="32"/>
          <w:szCs w:val="32"/>
        </w:rPr>
        <w:t>同时，本部门对202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年部门整体开展绩效自评，《202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年资阳市雁江区审计局整体绩效评价报告》见附件（第四部分）。</w:t>
      </w:r>
    </w:p>
    <w:p>
      <w:pPr>
        <w:pStyle w:val="7"/>
        <w:ind w:firstLine="643"/>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23"/>
          <w:rFonts w:ascii="黑体" w:hAnsi="黑体" w:eastAsia="黑体"/>
          <w:b w:val="0"/>
        </w:rPr>
      </w:pPr>
      <w:bookmarkStart w:id="83" w:name="_Toc15396613"/>
      <w:bookmarkStart w:id="84" w:name="_Toc15377225"/>
      <w:bookmarkStart w:id="85" w:name="_Toc25923_WPSOffice_Level1"/>
      <w:bookmarkStart w:id="86" w:name="_Toc7222_WPSOffice_Level1"/>
      <w:r>
        <w:rPr>
          <w:rFonts w:hint="eastAsia" w:ascii="黑体" w:hAnsi="黑体" w:eastAsia="黑体"/>
          <w:color w:val="000000"/>
          <w:sz w:val="44"/>
          <w:szCs w:val="44"/>
        </w:rPr>
        <w:t>名</w:t>
      </w:r>
      <w:r>
        <w:rPr>
          <w:rStyle w:val="23"/>
          <w:rFonts w:hint="eastAsia" w:ascii="黑体" w:hAnsi="黑体" w:eastAsia="黑体"/>
          <w:b w:val="0"/>
        </w:rPr>
        <w:t>词解释</w:t>
      </w:r>
      <w:bookmarkEnd w:id="83"/>
      <w:bookmarkEnd w:id="84"/>
      <w:bookmarkEnd w:id="85"/>
      <w:bookmarkEnd w:id="86"/>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Times New Roman" w:eastAsia="仿宋_GB2312" w:cs="仿宋"/>
          <w:color w:val="000000"/>
          <w:kern w:val="0"/>
          <w:sz w:val="32"/>
          <w:szCs w:val="32"/>
          <w:lang w:val="en-US" w:eastAsia="zh-CN" w:bidi="ar-SA"/>
        </w:rPr>
      </w:pPr>
      <w:r>
        <w:rPr>
          <w:rFonts w:ascii="仿宋_GB2312" w:eastAsia="仿宋_GB2312"/>
          <w:color w:val="000000"/>
          <w:sz w:val="32"/>
          <w:szCs w:val="32"/>
        </w:rPr>
        <w:t>9.</w:t>
      </w:r>
      <w:r>
        <w:rPr>
          <w:rFonts w:hint="eastAsia" w:ascii="宋体" w:hAnsi="宋体" w:eastAsia="方正仿宋简体"/>
          <w:sz w:val="33"/>
          <w:szCs w:val="33"/>
        </w:rPr>
        <w:t xml:space="preserve"> </w:t>
      </w:r>
      <w:r>
        <w:rPr>
          <w:rFonts w:hint="eastAsia" w:ascii="仿宋_GB2312" w:hAnsi="Times New Roman" w:eastAsia="仿宋_GB2312" w:cs="仿宋"/>
          <w:color w:val="000000"/>
          <w:kern w:val="0"/>
          <w:sz w:val="32"/>
          <w:szCs w:val="32"/>
          <w:lang w:val="en-US" w:eastAsia="zh-CN" w:bidi="ar-SA"/>
        </w:rPr>
        <w:t>2010801是指行政单位的行政运行支出；2010802是指一般行政管理事务支出</w:t>
      </w:r>
      <w:bookmarkStart w:id="87" w:name="_Hlk144137830"/>
      <w:r>
        <w:rPr>
          <w:rFonts w:hint="eastAsia" w:ascii="仿宋_GB2312" w:hAnsi="Times New Roman" w:eastAsia="仿宋_GB2312" w:cs="仿宋"/>
          <w:color w:val="000000"/>
          <w:kern w:val="0"/>
          <w:sz w:val="32"/>
          <w:szCs w:val="32"/>
          <w:lang w:val="en-US" w:eastAsia="zh-CN" w:bidi="ar-SA"/>
        </w:rPr>
        <w:t>；</w:t>
      </w:r>
      <w:bookmarkEnd w:id="87"/>
      <w:r>
        <w:rPr>
          <w:rFonts w:hint="eastAsia" w:ascii="仿宋_GB2312" w:hAnsi="Times New Roman" w:eastAsia="仿宋_GB2312" w:cs="仿宋"/>
          <w:color w:val="000000"/>
          <w:kern w:val="0"/>
          <w:sz w:val="32"/>
          <w:szCs w:val="32"/>
          <w:lang w:val="en-US" w:eastAsia="zh-CN" w:bidi="ar-SA"/>
        </w:rPr>
        <w:t>2010804是指反映开展审计业务的支出；2010850是指反映事业单位的事业运行支出。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spacing w:line="600" w:lineRule="exact"/>
        <w:ind w:firstLine="645"/>
        <w:rPr>
          <w:rFonts w:hint="eastAsia" w:ascii="仿宋_GB2312" w:hAnsi="Times New Roman" w:eastAsia="仿宋_GB2312" w:cs="仿宋"/>
          <w:color w:val="000000"/>
          <w:kern w:val="0"/>
          <w:sz w:val="32"/>
          <w:szCs w:val="32"/>
          <w:lang w:val="en-US" w:eastAsia="zh-CN" w:bidi="ar-SA"/>
        </w:rPr>
      </w:pPr>
      <w:r>
        <w:rPr>
          <w:rFonts w:ascii="仿宋_GB2312" w:eastAsia="仿宋_GB2312"/>
          <w:color w:val="000000"/>
          <w:sz w:val="32"/>
          <w:szCs w:val="32"/>
        </w:rPr>
        <w:t>15.</w:t>
      </w:r>
      <w:r>
        <w:rPr>
          <w:rFonts w:hint="eastAsia" w:ascii="仿宋_GB2312" w:eastAsia="仿宋_GB2312"/>
          <w:color w:val="000000"/>
          <w:sz w:val="32"/>
          <w:szCs w:val="32"/>
        </w:rPr>
        <w:t>社会保障和就业：</w:t>
      </w:r>
      <w:r>
        <w:rPr>
          <w:rFonts w:hint="eastAsia" w:ascii="仿宋_GB2312" w:hAnsi="Times New Roman" w:eastAsia="仿宋_GB2312" w:cs="仿宋"/>
          <w:color w:val="000000"/>
          <w:kern w:val="0"/>
          <w:sz w:val="32"/>
          <w:szCs w:val="32"/>
          <w:lang w:val="en-US" w:eastAsia="zh-CN" w:bidi="ar-SA"/>
        </w:rPr>
        <w:t>2080505指行政事业单位离退休中的机关事业单位基本养老保险缴费支出；2089999指行政单位其他用于社会保障和就业方面的支出，如工伤保险、失业保险等。</w:t>
      </w:r>
    </w:p>
    <w:p>
      <w:pPr>
        <w:ind w:firstLine="640" w:firstLineChars="200"/>
        <w:rPr>
          <w:rFonts w:hint="eastAsia" w:ascii="仿宋_GB2312" w:hAnsi="Times New Roman" w:eastAsia="仿宋_GB2312" w:cs="仿宋"/>
          <w:color w:val="000000"/>
          <w:kern w:val="0"/>
          <w:sz w:val="32"/>
          <w:szCs w:val="32"/>
          <w:lang w:val="en-US" w:eastAsia="zh-CN" w:bidi="ar-SA"/>
        </w:rPr>
      </w:pPr>
      <w:r>
        <w:rPr>
          <w:rFonts w:ascii="仿宋_GB2312" w:eastAsia="仿宋_GB2312"/>
          <w:color w:val="000000"/>
          <w:sz w:val="32"/>
          <w:szCs w:val="32"/>
        </w:rPr>
        <w:t>16.</w:t>
      </w:r>
      <w:r>
        <w:rPr>
          <w:rFonts w:hint="eastAsia" w:ascii="仿宋_GB2312" w:eastAsia="仿宋_GB2312"/>
          <w:color w:val="000000"/>
          <w:sz w:val="32"/>
          <w:szCs w:val="32"/>
        </w:rPr>
        <w:t>医疗卫生与计划生育：</w:t>
      </w:r>
      <w:r>
        <w:rPr>
          <w:rFonts w:hint="eastAsia" w:ascii="仿宋_GB2312" w:hAnsi="Times New Roman" w:eastAsia="仿宋_GB2312" w:cs="仿宋"/>
          <w:color w:val="000000"/>
          <w:kern w:val="0"/>
          <w:sz w:val="32"/>
          <w:szCs w:val="32"/>
          <w:lang w:val="en-US" w:eastAsia="zh-CN" w:bidi="ar-SA"/>
        </w:rPr>
        <w:t>2101101指行政单位基本医疗保险支出；2101102是指事业单位基本医疗保险支出；2101103指公务员医疗补助支出。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spacing w:line="600" w:lineRule="exact"/>
        <w:ind w:firstLine="645"/>
        <w:rPr>
          <w:rFonts w:hint="eastAsia" w:ascii="仿宋_GB2312" w:hAnsi="Times New Roman" w:eastAsia="仿宋_GB2312" w:cs="仿宋"/>
          <w:color w:val="000000"/>
          <w:kern w:val="0"/>
          <w:sz w:val="32"/>
          <w:szCs w:val="32"/>
          <w:lang w:val="en-US" w:eastAsia="zh-CN" w:bidi="ar-SA"/>
        </w:rPr>
      </w:pPr>
      <w:r>
        <w:rPr>
          <w:rFonts w:ascii="仿宋_GB2312" w:eastAsia="仿宋_GB2312"/>
          <w:color w:val="000000"/>
          <w:sz w:val="32"/>
          <w:szCs w:val="32"/>
        </w:rPr>
        <w:t>25.</w:t>
      </w:r>
      <w:r>
        <w:rPr>
          <w:rFonts w:hint="eastAsia" w:ascii="仿宋_GB2312" w:eastAsia="仿宋_GB2312"/>
          <w:color w:val="000000"/>
          <w:sz w:val="32"/>
          <w:szCs w:val="32"/>
        </w:rPr>
        <w:t>住房保障：</w:t>
      </w:r>
      <w:r>
        <w:rPr>
          <w:rFonts w:hint="eastAsia" w:ascii="仿宋_GB2312" w:hAnsi="Times New Roman" w:eastAsia="仿宋_GB2312" w:cs="仿宋"/>
          <w:color w:val="000000"/>
          <w:kern w:val="0"/>
          <w:sz w:val="32"/>
          <w:szCs w:val="32"/>
          <w:lang w:val="en-US" w:eastAsia="zh-CN" w:bidi="ar-SA"/>
        </w:rPr>
        <w:t>2210201指住房改革支出中的住房公积金。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6"/>
        <w:spacing w:line="560" w:lineRule="exact"/>
        <w:ind w:firstLine="640" w:firstLineChars="200"/>
        <w:rPr>
          <w:rFonts w:ascii="仿宋_GB2312" w:eastAsia="仿宋_GB2312" w:cs="黑体"/>
          <w:sz w:val="32"/>
          <w:szCs w:val="32"/>
        </w:rPr>
      </w:pPr>
    </w:p>
    <w:p>
      <w:pPr>
        <w:spacing w:line="600" w:lineRule="exact"/>
        <w:jc w:val="center"/>
        <w:outlineLvl w:val="0"/>
        <w:rPr>
          <w:rStyle w:val="23"/>
          <w:rFonts w:ascii="黑体" w:hAnsi="黑体" w:eastAsia="黑体"/>
          <w:b w:val="0"/>
        </w:rPr>
      </w:pPr>
      <w:bookmarkStart w:id="88" w:name="_Toc15377226"/>
      <w:r>
        <w:rPr>
          <w:rFonts w:ascii="宋体"/>
          <w:b/>
          <w:color w:val="000000"/>
          <w:sz w:val="44"/>
          <w:szCs w:val="44"/>
        </w:rPr>
        <w:br w:type="page"/>
      </w:r>
      <w:bookmarkStart w:id="89" w:name="_Toc15396614"/>
      <w:bookmarkStart w:id="90" w:name="_Toc12257_WPSOffice_Level1"/>
      <w:bookmarkStart w:id="91" w:name="_Toc3091_WPSOffice_Level1"/>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89"/>
      <w:bookmarkEnd w:id="90"/>
      <w:bookmarkEnd w:id="91"/>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90" w:lineRule="exact"/>
        <w:jc w:val="center"/>
        <w:outlineLvl w:val="0"/>
        <w:rPr>
          <w:rFonts w:ascii="方正小标宋简体" w:hAnsi="方正小标宋简体" w:eastAsia="方正小标宋简体" w:cs="方正小标宋简体"/>
          <w:sz w:val="44"/>
          <w:szCs w:val="44"/>
        </w:rPr>
      </w:pPr>
      <w:bookmarkStart w:id="92" w:name="_Toc19981_WPSOffice_Level2"/>
      <w:bookmarkStart w:id="93" w:name="_Toc9570_WPSOffice_Level2"/>
      <w:r>
        <w:rPr>
          <w:rFonts w:hint="eastAsia" w:ascii="方正小标宋简体" w:hAnsi="方正小标宋简体" w:eastAsia="方正小标宋简体" w:cs="方正小标宋简体"/>
          <w:sz w:val="44"/>
          <w:szCs w:val="44"/>
        </w:rPr>
        <w:t>资阳市雁江区审计局</w:t>
      </w:r>
      <w:bookmarkEnd w:id="92"/>
      <w:bookmarkEnd w:id="93"/>
    </w:p>
    <w:p>
      <w:pPr>
        <w:spacing w:line="590" w:lineRule="exact"/>
        <w:jc w:val="center"/>
        <w:outlineLvl w:val="0"/>
        <w:rPr>
          <w:rFonts w:ascii="方正小标宋简体" w:hAnsi="方正小标宋简体" w:eastAsia="方正小标宋简体" w:cs="方正小标宋简体"/>
          <w:sz w:val="44"/>
          <w:szCs w:val="44"/>
        </w:rPr>
      </w:pPr>
      <w:bookmarkStart w:id="94" w:name="_Toc18794_WPSOffice_Level2"/>
      <w:bookmarkStart w:id="95" w:name="_Toc15196_WPSOffice_Level2"/>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年部门整体支出绩效评价报告</w:t>
      </w:r>
      <w:bookmarkEnd w:id="94"/>
      <w:bookmarkEnd w:id="95"/>
    </w:p>
    <w:p>
      <w:pPr>
        <w:spacing w:line="620" w:lineRule="exact"/>
        <w:rPr>
          <w:rFonts w:ascii="方正黑体简体" w:hAnsi="方正黑体简体" w:eastAsia="方正黑体简体" w:cs="方正黑体简体"/>
          <w:sz w:val="33"/>
          <w:szCs w:val="33"/>
        </w:rPr>
      </w:pPr>
    </w:p>
    <w:p>
      <w:pPr>
        <w:spacing w:line="590" w:lineRule="exact"/>
        <w:rPr>
          <w:rFonts w:ascii="宋体" w:hAnsi="宋体" w:eastAsia="方正仿宋_GBK"/>
          <w:sz w:val="33"/>
          <w:szCs w:val="33"/>
        </w:rPr>
      </w:pPr>
      <w:r>
        <w:rPr>
          <w:rFonts w:hint="eastAsia" w:ascii="宋体" w:hAnsi="宋体" w:eastAsia="方正仿宋_GBK"/>
          <w:sz w:val="33"/>
          <w:szCs w:val="33"/>
        </w:rPr>
        <w:t>资阳市雁江区财政局：</w:t>
      </w:r>
    </w:p>
    <w:p>
      <w:pPr>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根据资阳市雁江区财政局《关于印发&lt;雁江区财政支出绩效评价管理办法&gt;的通知》（资雁财发〔2020〕146号）和资阳市雁江区财政局《关于开展2022年度支出绩效自评工作的通知》（资雁财发〔2023〕165号）文件规定，现将我单位2022年度支出绩效自评工作报告如下：</w:t>
      </w:r>
    </w:p>
    <w:p>
      <w:pPr>
        <w:spacing w:line="590" w:lineRule="exact"/>
        <w:ind w:firstLine="660" w:firstLineChars="200"/>
        <w:rPr>
          <w:rFonts w:ascii="方正黑体_GBK" w:hAnsi="宋体" w:eastAsia="方正黑体_GBK"/>
          <w:sz w:val="33"/>
          <w:szCs w:val="33"/>
        </w:rPr>
      </w:pPr>
      <w:r>
        <w:rPr>
          <w:rFonts w:hint="eastAsia" w:ascii="方正黑体_GBK" w:hAnsi="宋体" w:eastAsia="方正黑体_GBK"/>
          <w:sz w:val="33"/>
          <w:szCs w:val="33"/>
        </w:rPr>
        <w:t>一、部门（单位）概况</w:t>
      </w:r>
    </w:p>
    <w:p>
      <w:pPr>
        <w:spacing w:line="590" w:lineRule="exact"/>
        <w:ind w:firstLine="660" w:firstLineChars="200"/>
        <w:rPr>
          <w:rFonts w:ascii="方正楷体_GBK" w:hAnsi="宋体" w:eastAsia="方正楷体_GBK"/>
          <w:b/>
          <w:sz w:val="33"/>
          <w:szCs w:val="33"/>
        </w:rPr>
      </w:pPr>
      <w:r>
        <w:rPr>
          <w:rFonts w:hint="eastAsia" w:ascii="方正楷体_GBK" w:hAnsi="宋体" w:eastAsia="方正楷体_GBK"/>
          <w:b/>
          <w:sz w:val="33"/>
          <w:szCs w:val="33"/>
        </w:rPr>
        <w:t>（一）机构组成</w:t>
      </w:r>
    </w:p>
    <w:p>
      <w:pPr>
        <w:pStyle w:val="7"/>
        <w:spacing w:line="590" w:lineRule="exact"/>
        <w:ind w:firstLine="660"/>
        <w:rPr>
          <w:rFonts w:ascii="宋体" w:hAnsi="宋体" w:eastAsia="方正仿宋_GBK"/>
          <w:sz w:val="33"/>
          <w:szCs w:val="33"/>
        </w:rPr>
      </w:pPr>
      <w:r>
        <w:rPr>
          <w:rFonts w:hint="eastAsia" w:ascii="宋体" w:hAnsi="宋体" w:eastAsia="方正仿宋_GBK"/>
          <w:sz w:val="33"/>
          <w:szCs w:val="33"/>
        </w:rPr>
        <w:t>根据《关于印发《资阳市雁江区审计局职能配置、内设机构和人员编制规定》的通知》，资阳市雁江区审计局内设机构8个。截止2022年底实际内设8个内设机构，分别是办公室、法规股、电子数据审计股、财政审计股、经济责任审计股、行政事业审计股、企业金融和农业农村审计股、固定资产投资审计股。</w:t>
      </w:r>
      <w:r>
        <w:rPr>
          <w:rFonts w:hint="eastAsia" w:ascii="宋体" w:hAnsi="宋体" w:eastAsia="方正仿宋_GBK"/>
          <w:color w:val="000000"/>
          <w:sz w:val="33"/>
          <w:szCs w:val="33"/>
        </w:rPr>
        <w:t>有下属全额拨款事业单位1个（资阳市雁江区投资审计中心）</w:t>
      </w:r>
      <w:r>
        <w:rPr>
          <w:rFonts w:hint="eastAsia" w:ascii="宋体" w:hAnsi="宋体" w:eastAsia="方正仿宋_GBK"/>
          <w:sz w:val="33"/>
          <w:szCs w:val="33"/>
        </w:rPr>
        <w:t>。</w:t>
      </w:r>
    </w:p>
    <w:p>
      <w:pPr>
        <w:pStyle w:val="2"/>
        <w:numPr>
          <w:ilvl w:val="0"/>
          <w:numId w:val="4"/>
        </w:numPr>
        <w:spacing w:beforeLines="0" w:line="590" w:lineRule="exact"/>
        <w:rPr>
          <w:rFonts w:ascii="方正楷体_GBK" w:hAnsi="宋体" w:eastAsia="方正楷体_GBK"/>
          <w:b/>
          <w:sz w:val="33"/>
          <w:szCs w:val="33"/>
        </w:rPr>
      </w:pPr>
      <w:r>
        <w:rPr>
          <w:rFonts w:hint="eastAsia" w:ascii="方正楷体_GBK" w:hAnsi="宋体" w:eastAsia="方正楷体_GBK"/>
          <w:b/>
          <w:sz w:val="33"/>
          <w:szCs w:val="33"/>
        </w:rPr>
        <w:t>机构职能</w:t>
      </w:r>
    </w:p>
    <w:p>
      <w:pPr>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根据《关于印发《资阳市雁江区审计局职能配置、内设机构和人员编制规定》的通知》，本部门主要的职能：</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主管全区审计工作。负责对区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区有关重大政策措施贯彻落实情况进行跟踪审计。对审计、专项审计调查和核查社会审计机构相关审计报告的结果承担责任，并负有督促被审计单位整改的责任。</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2.贯彻执行国家有关审计工作的方针政策和法律法规。起草相关政策草案。制定并组织实施全区专业领域审计工作规划。参与起草地方性财政经济及相关政策草案。对直接审计、调查和核查的事项依法进行审计评价，作出审计决定或提出审计建议。</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3.向区委审计委提出年度区级预算执行和其他财政支出情况审计报告。向区政府和市审计局提出年度区级预算执行及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级有关部门和乡镇（街道）通报审计情况和审计结果。</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4.直接审计下列事项，出具审计报告，在法定职权范围内作出审计决定。包括国家和省、市、区有关重大政策措施贯彻落实情况；区级预算执行情况和其他财政收支，区级各部门（含直属单位）预算执行情况、决算草案和其他财政收支；街道办事处和乡镇人民政府预算执行情况、决算草案和其他财政收支，区级财政转移支付资金；使用区级财政资金的事业单位（含直属单位）和社会团体的财务收支；区级政府投资和以区级政府投资为主的建设项目的预算执行情况和决算，区级重大公共工程项目的资金管理使用和建设运营情况；自然资源管理、污染防治和生态保护与修复情况；区属国有企业和地方金融机构、国有资本占控股或主导地位的企业和金融机构境内外资产、负债和损益，区政府及有关部门驻外非经营性机构的财务收支；有关社会保障基金、社会捐赠资金、安全生产和职业健康财政资金以及其他基金、资金的财务收支；国际组织和外国政府援助、贷款项目；法律法规规定的其他事项。</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5.按规定对区管党政主要领导干部及其他单位主要负责人实施经济责任审计和自然资源资产离任审计。</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6.组织实施对国家财经法律法规、规章、政策和宏观调控措施执行情况、财政预算管理及国有资产管理使用等与区级财政收支有关的特定事项进行专项审计调查。</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7.依法检查审计决定执行情况，督促整改审计查出的问题，依法办理被审计单位对审计决定提请行政复议、行政诉讼或区政府裁决中的有关事项，协助配合有关部门查处相关重大案件。</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8.指导和监督内部审计工作，核查社会审计机构对依法属于审计监督对象的单位出具的相关审计报告。</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9.接受区委、区政府和上级审计机关的共同领导，配合上级审计机关实施特定项目的专项审计或审计调查。</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10.组织开展审计领域内的国际交流与合作，组织开展信息技术在审计领域的应用。</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11.负责职责范围内的安生生产和职业健康、生态环境保护、审批服务便民化等工作。</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12.完成区委、区政府交办的其他任务。</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13.职能转变。进一步完善审计管理体制，加强全区审计工作统筹，明晰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spacing w:line="590" w:lineRule="exact"/>
        <w:ind w:firstLine="640"/>
        <w:rPr>
          <w:rFonts w:ascii="方正楷体_GBK" w:hAnsi="宋体" w:eastAsia="方正楷体_GBK"/>
          <w:b/>
          <w:color w:val="000000"/>
          <w:sz w:val="33"/>
          <w:szCs w:val="33"/>
        </w:rPr>
      </w:pPr>
      <w:r>
        <w:rPr>
          <w:rFonts w:hint="eastAsia" w:ascii="方正楷体_GBK" w:hAnsi="宋体" w:eastAsia="方正楷体_GBK"/>
          <w:b/>
          <w:color w:val="000000"/>
          <w:sz w:val="33"/>
          <w:szCs w:val="33"/>
        </w:rPr>
        <w:t>（三）人员概况</w:t>
      </w:r>
    </w:p>
    <w:p>
      <w:pPr>
        <w:pStyle w:val="2"/>
        <w:spacing w:before="93"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根据《关于印发《资阳市雁江区审计局职能配置、内设机构和人员编制规定》的通知》，人员编制30名，其中事业编制9名、行政编制19名、机关工勤人员2名。截止2022年底，实有编制27人，其中行政人员18人，机关工勤人员2人，事业人员7人。</w:t>
      </w:r>
    </w:p>
    <w:p>
      <w:pPr>
        <w:spacing w:line="590" w:lineRule="exact"/>
        <w:ind w:firstLine="660" w:firstLineChars="200"/>
        <w:rPr>
          <w:rFonts w:ascii="方正黑体_GBK" w:hAnsi="宋体" w:eastAsia="方正黑体_GBK" w:cs="黑体"/>
          <w:sz w:val="33"/>
          <w:szCs w:val="33"/>
        </w:rPr>
      </w:pPr>
      <w:r>
        <w:rPr>
          <w:rFonts w:hint="eastAsia" w:ascii="方正黑体_GBK" w:hAnsi="宋体" w:eastAsia="方正黑体_GBK" w:cs="黑体"/>
          <w:sz w:val="33"/>
          <w:szCs w:val="33"/>
        </w:rPr>
        <w:t>二、部门财政资金收支情况</w:t>
      </w:r>
    </w:p>
    <w:p>
      <w:pPr>
        <w:spacing w:line="590" w:lineRule="exact"/>
        <w:ind w:firstLine="660" w:firstLineChars="200"/>
        <w:rPr>
          <w:rFonts w:ascii="方正楷体_GBK" w:hAnsi="宋体" w:eastAsia="方正楷体_GBK" w:cs="方正楷体简体"/>
          <w:b/>
          <w:bCs/>
          <w:sz w:val="33"/>
          <w:szCs w:val="33"/>
        </w:rPr>
      </w:pPr>
      <w:r>
        <w:rPr>
          <w:rFonts w:hint="eastAsia" w:ascii="方正楷体_GBK" w:hAnsi="宋体" w:eastAsia="方正楷体_GBK" w:cs="方正楷体简体"/>
          <w:b/>
          <w:bCs/>
          <w:sz w:val="33"/>
          <w:szCs w:val="33"/>
        </w:rPr>
        <w:t>（一）部门财政资金收入情况。</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2022年度年初预算</w:t>
      </w:r>
      <w:bookmarkStart w:id="96" w:name="_Hlk41549774"/>
      <w:r>
        <w:rPr>
          <w:rFonts w:hint="eastAsia" w:ascii="宋体" w:hAnsi="宋体" w:eastAsia="方正仿宋_GBK"/>
          <w:color w:val="000000"/>
          <w:sz w:val="33"/>
          <w:szCs w:val="33"/>
        </w:rPr>
        <w:t>677.90万元、调整数0万元、调剂数8.73万元、全年预算686.63</w:t>
      </w:r>
      <w:r>
        <w:rPr>
          <w:rFonts w:hint="eastAsia" w:ascii="宋体" w:hAnsi="宋体" w:eastAsia="方正仿宋_GBK"/>
          <w:sz w:val="33"/>
          <w:szCs w:val="33"/>
        </w:rPr>
        <w:t>万元</w:t>
      </w:r>
      <w:bookmarkEnd w:id="96"/>
      <w:r>
        <w:rPr>
          <w:rFonts w:hint="eastAsia" w:ascii="宋体" w:hAnsi="宋体" w:eastAsia="方正仿宋_GBK"/>
          <w:sz w:val="33"/>
          <w:szCs w:val="33"/>
        </w:rPr>
        <w:t>，其中：一般公共预算拨款收入</w:t>
      </w:r>
      <w:r>
        <w:rPr>
          <w:rFonts w:hint="eastAsia" w:ascii="宋体" w:hAnsi="宋体" w:eastAsia="方正仿宋_GBK"/>
          <w:color w:val="000000"/>
          <w:sz w:val="33"/>
          <w:szCs w:val="33"/>
        </w:rPr>
        <w:t>686.63</w:t>
      </w:r>
      <w:r>
        <w:rPr>
          <w:rFonts w:hint="eastAsia" w:ascii="宋体" w:hAnsi="宋体" w:eastAsia="方正仿宋_GBK"/>
          <w:sz w:val="33"/>
          <w:szCs w:val="33"/>
        </w:rPr>
        <w:t>万元元，占100%</w:t>
      </w:r>
      <w:r>
        <w:rPr>
          <w:rFonts w:hint="eastAsia" w:ascii="宋体" w:hAnsi="宋体" w:eastAsia="方正仿宋_GBK"/>
          <w:color w:val="000000"/>
          <w:sz w:val="33"/>
          <w:szCs w:val="33"/>
        </w:rPr>
        <w:t>；政府性基金预算财政拨款收入0万元，占0%；国有资本经营预算财政拨款收入0万元，占0%；事业收入0万元，占0%；经营收入0万元，占0%；附属单位上缴收入0万元，占0%；其他收入0万元，占0%。</w:t>
      </w:r>
    </w:p>
    <w:p>
      <w:pPr>
        <w:spacing w:line="590" w:lineRule="exact"/>
        <w:ind w:firstLine="660" w:firstLineChars="200"/>
        <w:rPr>
          <w:rFonts w:ascii="方正楷体_GBK" w:hAnsi="宋体" w:eastAsia="方正楷体_GBK" w:cs="方正楷体简体"/>
          <w:b/>
          <w:bCs/>
          <w:sz w:val="33"/>
          <w:szCs w:val="33"/>
        </w:rPr>
      </w:pPr>
      <w:r>
        <w:rPr>
          <w:rFonts w:hint="eastAsia" w:ascii="方正楷体_GBK" w:hAnsi="宋体" w:eastAsia="方正楷体_GBK" w:cs="方正楷体简体"/>
          <w:b/>
          <w:bCs/>
          <w:sz w:val="33"/>
          <w:szCs w:val="33"/>
        </w:rPr>
        <w:t>（二）部门财政资金支出情况。</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2022年度本年支出合计696.63万元，其中：基本支出456.57万元，占65.54%；项目支出240.06万元（包括2021年度市局拨入困难群众救助资金审计经费10.00万元），占34.46%；上缴上级支出0万元，占0%；经营支出0万元，占0%；对附属单位补助支出0万元，占0%。</w:t>
      </w:r>
    </w:p>
    <w:p>
      <w:pPr>
        <w:spacing w:line="590" w:lineRule="exact"/>
        <w:ind w:firstLine="660" w:firstLineChars="200"/>
        <w:rPr>
          <w:rFonts w:ascii="方正黑体_GBK" w:hAnsi="宋体" w:eastAsia="方正黑体_GBK"/>
          <w:sz w:val="33"/>
          <w:szCs w:val="33"/>
        </w:rPr>
      </w:pPr>
      <w:r>
        <w:rPr>
          <w:rFonts w:hint="eastAsia" w:ascii="方正黑体_GBK" w:hAnsi="宋体" w:eastAsia="方正黑体_GBK"/>
          <w:sz w:val="33"/>
          <w:szCs w:val="33"/>
        </w:rPr>
        <w:t>三、评价工作开展情况</w:t>
      </w:r>
    </w:p>
    <w:p>
      <w:pPr>
        <w:spacing w:line="590" w:lineRule="exact"/>
        <w:ind w:firstLine="660" w:firstLineChars="200"/>
        <w:rPr>
          <w:rFonts w:ascii="方正楷体_GBK" w:hAnsi="宋体" w:eastAsia="方正楷体_GBK" w:cs="方正楷体简体"/>
          <w:b/>
          <w:sz w:val="33"/>
          <w:szCs w:val="33"/>
        </w:rPr>
      </w:pPr>
      <w:r>
        <w:rPr>
          <w:rFonts w:hint="eastAsia" w:ascii="方正楷体_GBK" w:hAnsi="宋体" w:eastAsia="方正楷体_GBK" w:cs="方正楷体简体"/>
          <w:b/>
          <w:sz w:val="33"/>
          <w:szCs w:val="33"/>
        </w:rPr>
        <w:t>（一）自评工作组织领导</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我单位高度重视支出绩效自评工作，成立了以局党组书记、局长为组长，分管财务副局长为副组长，局办公室主任、机关会计、机关出纳为成员的自评工作领导小组，严格对照《雁江区财政支出绩效评价管理办法》，认真开展支出绩效评自评，确保自评工作客观、真实、准确。</w:t>
      </w:r>
    </w:p>
    <w:p>
      <w:pPr>
        <w:spacing w:line="590" w:lineRule="exact"/>
        <w:ind w:left="659" w:leftChars="314"/>
        <w:rPr>
          <w:rFonts w:ascii="方正楷体_GBK" w:hAnsi="宋体" w:eastAsia="方正楷体_GBK" w:cs="方正楷体简体"/>
          <w:b/>
          <w:sz w:val="33"/>
          <w:szCs w:val="33"/>
        </w:rPr>
      </w:pPr>
      <w:r>
        <w:rPr>
          <w:rFonts w:hint="eastAsia" w:ascii="方正楷体_GBK" w:hAnsi="宋体" w:eastAsia="方正楷体_GBK" w:cs="方正楷体简体"/>
          <w:b/>
          <w:sz w:val="33"/>
          <w:szCs w:val="33"/>
        </w:rPr>
        <w:t>（二）自评方式、方法、重点等</w:t>
      </w:r>
    </w:p>
    <w:p>
      <w:pPr>
        <w:spacing w:line="590" w:lineRule="exact"/>
        <w:ind w:left="659" w:leftChars="314"/>
        <w:rPr>
          <w:rFonts w:ascii="宋体" w:hAnsi="宋体" w:eastAsia="方正仿宋_GBK"/>
          <w:sz w:val="33"/>
          <w:szCs w:val="33"/>
          <w:shd w:val="pct10" w:color="auto" w:fill="FFFFFF"/>
        </w:rPr>
      </w:pPr>
      <w:r>
        <w:rPr>
          <w:rFonts w:hint="eastAsia" w:ascii="宋体" w:hAnsi="宋体" w:eastAsia="方正仿宋_GBK"/>
          <w:b/>
          <w:bCs/>
          <w:sz w:val="33"/>
          <w:szCs w:val="33"/>
        </w:rPr>
        <w:t>1. 绩效评价标准及方法</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办公室、投资审计中心等业务股室收集所实施的项目资料，掌握项目立项决策、项目资金落实、项目实施管理、财务管理全过程；收集项目完成情况与年初绩效目标（计划标准、行业标准）开展对比分析。对项目绩效差异通过分析内、外部因素，提出改进措施及建议。</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办公室负责收集“三定”、单位实际在职人数、基本支出项目支出明细账；负责收集各项管理制度并抽查业务股室对管理制度的执行情况；负责收集预决算信息公开材料；实际政府采购项目、金额及计划政府采购项目、金额数据；负责固定资产的分配使用及管理。</w:t>
      </w:r>
    </w:p>
    <w:p>
      <w:pPr>
        <w:spacing w:line="590" w:lineRule="exact"/>
        <w:ind w:firstLine="660" w:firstLineChars="200"/>
        <w:rPr>
          <w:rFonts w:ascii="宋体" w:hAnsi="宋体" w:eastAsia="方正仿宋_GBK"/>
          <w:sz w:val="33"/>
          <w:szCs w:val="33"/>
        </w:rPr>
      </w:pPr>
      <w:r>
        <w:rPr>
          <w:rFonts w:hint="eastAsia" w:ascii="宋体" w:hAnsi="宋体" w:eastAsia="方正仿宋_GBK"/>
          <w:b/>
          <w:bCs/>
          <w:sz w:val="33"/>
          <w:szCs w:val="33"/>
        </w:rPr>
        <w:t>2. 绩效评价指标体系及重点</w:t>
      </w:r>
    </w:p>
    <w:p>
      <w:pPr>
        <w:pStyle w:val="2"/>
        <w:spacing w:before="93"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结合本单位工作实际，按照《资阳市雁江区财政局关于开展2022年度财政支出绩效自评工作的通知</w:t>
      </w:r>
      <w:r>
        <w:rPr>
          <w:rFonts w:hint="eastAsia" w:ascii="宋体" w:hAnsi="宋体" w:eastAsia="方正仿宋_GBK"/>
          <w:color w:val="000000" w:themeColor="text1"/>
          <w:sz w:val="33"/>
          <w:szCs w:val="33"/>
          <w14:textFill>
            <w14:solidFill>
              <w14:schemeClr w14:val="tx1"/>
            </w14:solidFill>
          </w14:textFill>
        </w:rPr>
        <w:t>》附件1“2022年度雁江区整体支出绩效自评计分表”，本单位绩效评价</w:t>
      </w:r>
      <w:r>
        <w:rPr>
          <w:rFonts w:hint="eastAsia" w:ascii="宋体" w:hAnsi="宋体" w:eastAsia="方正仿宋_GBK"/>
          <w:color w:val="000000"/>
          <w:sz w:val="33"/>
          <w:szCs w:val="33"/>
        </w:rPr>
        <w:t>指标分为“投入”、“过程”、“产出”、“效益”四大类。指标数据来源于政府文件、相关业务股室项目资料、单位财务明细账、预决算数据、实地调研、访谈、问卷调查等。</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投入”指标关注重点：部门制定的中长期实施规划及年度重点任务、绩效指标明确性、在职人员等是否存在超编情况、“三公经费”较上年是否减少、重点支出是否与本部门履职和发展密切相关、重点支出是否具有明显社会和经济影响、重点支出是否是党委政府关心或社会比较关注的支出。</w:t>
      </w:r>
    </w:p>
    <w:p>
      <w:pPr>
        <w:pStyle w:val="2"/>
        <w:spacing w:before="93"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过程”指标关注重点：预算调整是否较大、支付进度是否达标、结转结余是否在合理范围内、结转结余是否与上年的控制向好、政府采购执行是否良好，同时是否按照要求预留中小企业采购比例；部门管理制度是否健全、制度执行是否效性、资金使用是否合规性、财务监控是否有效性；部门（单位）的资产是否保存完整、使用合规、配置合理、处置规范、收入及时足额上缴；固定资产利用情况是否良好。</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“产出”指标关注重点：与本部门履职和发展密切相关、具有明显社会和经济影响、党委政府关心或社会比较关注的重点支出的产出指标完成情况。</w:t>
      </w:r>
    </w:p>
    <w:p>
      <w:pPr>
        <w:pStyle w:val="2"/>
        <w:spacing w:before="93" w:line="590" w:lineRule="exact"/>
        <w:ind w:firstLine="660" w:firstLineChars="200"/>
        <w:rPr>
          <w:rFonts w:ascii="方正黑体_GBK" w:hAnsi="宋体" w:eastAsia="方正黑体_GBK"/>
          <w:sz w:val="33"/>
          <w:szCs w:val="33"/>
        </w:rPr>
      </w:pPr>
      <w:r>
        <w:rPr>
          <w:rFonts w:hint="eastAsia" w:ascii="宋体" w:hAnsi="宋体" w:eastAsia="方正仿宋_GBK"/>
          <w:color w:val="000000"/>
          <w:sz w:val="33"/>
          <w:szCs w:val="33"/>
        </w:rPr>
        <w:t>“效益”指标关注重点：与本部门履职和发展密切相关、具有明显社会和经济影响、党委政府关心或社会比较关注的重点支出的效益指标实现情况；以及部门服务对象满意度。</w:t>
      </w:r>
      <w:r>
        <w:rPr>
          <w:rFonts w:hint="eastAsia" w:ascii="宋体" w:hAnsi="宋体" w:eastAsia="方正仿宋_GBK"/>
          <w:color w:val="00B0F0"/>
          <w:sz w:val="33"/>
          <w:szCs w:val="33"/>
        </w:rPr>
        <w:br w:type="textWrapping"/>
      </w:r>
      <w:r>
        <w:rPr>
          <w:rFonts w:hint="eastAsia" w:ascii="宋体" w:hAnsi="宋体" w:eastAsia="方正仿宋_GBK"/>
          <w:sz w:val="33"/>
          <w:szCs w:val="33"/>
        </w:rPr>
        <w:t xml:space="preserve">   </w:t>
      </w:r>
      <w:r>
        <w:rPr>
          <w:rFonts w:hint="eastAsia" w:ascii="方正黑体_GBK" w:hAnsi="宋体" w:eastAsia="方正黑体_GBK"/>
          <w:sz w:val="33"/>
          <w:szCs w:val="33"/>
        </w:rPr>
        <w:t xml:space="preserve"> 四、评价结论</w:t>
      </w:r>
    </w:p>
    <w:p>
      <w:pPr>
        <w:pStyle w:val="2"/>
        <w:spacing w:before="93"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总体而言，单位年度重点任务完成好、在职人员控制好、“三公经费”较上年减少；管理制度健全、制度执行有效、资金使用合规；资产保存完整、使用合规、配置合理、处置规范、收入及时足额上缴，固定资产利用情况良好。自评得分为91.59分，绩效等级为优。</w:t>
      </w:r>
    </w:p>
    <w:p>
      <w:pPr>
        <w:numPr>
          <w:ilvl w:val="0"/>
          <w:numId w:val="5"/>
        </w:numPr>
        <w:spacing w:line="590" w:lineRule="exact"/>
        <w:ind w:firstLine="660" w:firstLineChars="200"/>
        <w:rPr>
          <w:rFonts w:ascii="方正黑体_GBK" w:hAnsi="宋体" w:eastAsia="方正黑体_GBK"/>
          <w:sz w:val="33"/>
          <w:szCs w:val="33"/>
        </w:rPr>
      </w:pPr>
      <w:r>
        <w:rPr>
          <w:rFonts w:hint="eastAsia" w:ascii="方正黑体_GBK" w:hAnsi="宋体" w:eastAsia="方正黑体_GBK"/>
          <w:sz w:val="33"/>
          <w:szCs w:val="33"/>
        </w:rPr>
        <w:t>绩效分析</w:t>
      </w:r>
    </w:p>
    <w:p>
      <w:pPr>
        <w:spacing w:line="590" w:lineRule="exact"/>
        <w:ind w:firstLine="660" w:firstLineChars="200"/>
        <w:rPr>
          <w:rFonts w:ascii="方正楷体_GBK" w:hAnsi="宋体" w:eastAsia="方正楷体_GBK" w:cs="方正楷体简体"/>
          <w:b/>
          <w:sz w:val="33"/>
          <w:szCs w:val="33"/>
        </w:rPr>
      </w:pPr>
      <w:r>
        <w:rPr>
          <w:rFonts w:hint="eastAsia" w:ascii="方正楷体_GBK" w:hAnsi="宋体" w:eastAsia="方正楷体_GBK" w:cs="方正楷体简体"/>
          <w:b/>
          <w:sz w:val="33"/>
          <w:szCs w:val="33"/>
        </w:rPr>
        <w:t>（一）指标分析</w:t>
      </w:r>
    </w:p>
    <w:p>
      <w:pPr>
        <w:spacing w:line="590" w:lineRule="exact"/>
        <w:ind w:firstLine="640"/>
        <w:rPr>
          <w:rFonts w:ascii="宋体" w:hAnsi="宋体" w:eastAsia="方正仿宋_GBK"/>
          <w:color w:val="000000"/>
          <w:sz w:val="33"/>
          <w:szCs w:val="33"/>
        </w:rPr>
      </w:pPr>
      <w:r>
        <w:rPr>
          <w:rFonts w:hint="eastAsia" w:ascii="宋体" w:hAnsi="宋体" w:eastAsia="方正仿宋_GBK"/>
          <w:color w:val="000000"/>
          <w:sz w:val="33"/>
          <w:szCs w:val="33"/>
        </w:rPr>
        <w:t>1.目标设定（5分）。我单位整体绩效目标设立依据充分、合理、明确、细化，符合国家相关法律法规，与年度审计工作目标任务、年度部门资金预算安排相符，得5分。</w:t>
      </w:r>
    </w:p>
    <w:p>
      <w:pPr>
        <w:spacing w:line="590" w:lineRule="exact"/>
        <w:ind w:firstLine="640"/>
        <w:rPr>
          <w:rFonts w:ascii="宋体" w:hAnsi="宋体" w:eastAsia="方正仿宋_GBK"/>
          <w:sz w:val="33"/>
          <w:szCs w:val="33"/>
        </w:rPr>
      </w:pPr>
      <w:r>
        <w:rPr>
          <w:rFonts w:hint="eastAsia" w:ascii="宋体" w:hAnsi="宋体" w:eastAsia="方正仿宋_GBK"/>
          <w:sz w:val="33"/>
          <w:szCs w:val="33"/>
        </w:rPr>
        <w:t>2.预算配置（15分）。我单位预算配置合理，但因财政预算资金到位比较迟缓，各项目经费支付不能及时到位，得13.31分，扣1.69分。(主要是重点支出安排率较低，重点支出安排率：240.06万元/360.35万元*100%=66.25%，得3.31分，扣1.69分。)</w:t>
      </w:r>
    </w:p>
    <w:p>
      <w:pPr>
        <w:spacing w:line="590" w:lineRule="exact"/>
        <w:ind w:firstLine="640"/>
        <w:rPr>
          <w:rFonts w:ascii="宋体" w:hAnsi="宋体" w:eastAsia="方正仿宋_GBK"/>
          <w:sz w:val="33"/>
          <w:szCs w:val="33"/>
        </w:rPr>
      </w:pPr>
      <w:r>
        <w:rPr>
          <w:rFonts w:hint="eastAsia" w:ascii="宋体" w:hAnsi="宋体" w:eastAsia="方正仿宋_GBK"/>
          <w:sz w:val="33"/>
          <w:szCs w:val="33"/>
        </w:rPr>
        <w:t>3.预算执行（20分）。预算执行工作不理想，得分16.68分，扣3分。</w:t>
      </w:r>
    </w:p>
    <w:p>
      <w:pPr>
        <w:spacing w:line="590" w:lineRule="exact"/>
        <w:ind w:firstLine="640"/>
        <w:rPr>
          <w:rFonts w:ascii="宋体" w:hAnsi="宋体" w:eastAsia="方正仿宋_GBK"/>
          <w:sz w:val="33"/>
          <w:szCs w:val="33"/>
        </w:rPr>
      </w:pPr>
      <w:r>
        <w:rPr>
          <w:rFonts w:hint="eastAsia" w:ascii="宋体" w:hAnsi="宋体" w:eastAsia="方正仿宋_GBK"/>
          <w:sz w:val="33"/>
          <w:szCs w:val="33"/>
        </w:rPr>
        <w:t>（1）结转结余率：（27.63万元/686.63万元）*100%=4.02%，得1分，扣1分。</w:t>
      </w:r>
    </w:p>
    <w:p>
      <w:pPr>
        <w:spacing w:line="590" w:lineRule="exact"/>
        <w:ind w:firstLine="640"/>
        <w:rPr>
          <w:rFonts w:ascii="宋体" w:hAnsi="宋体" w:eastAsia="方正仿宋_GBK"/>
          <w:sz w:val="33"/>
          <w:szCs w:val="33"/>
        </w:rPr>
      </w:pPr>
      <w:r>
        <w:rPr>
          <w:rFonts w:hint="eastAsia" w:ascii="宋体" w:hAnsi="宋体" w:eastAsia="方正仿宋_GBK"/>
          <w:sz w:val="33"/>
          <w:szCs w:val="33"/>
        </w:rPr>
        <w:t>（2）结转结余变动率：[（27.63万元-37.63万元）/37.63万元]*100%=26.57%，得0分，扣2分。</w:t>
      </w:r>
    </w:p>
    <w:p>
      <w:pPr>
        <w:spacing w:line="590" w:lineRule="exact"/>
        <w:ind w:firstLine="660" w:firstLineChars="200"/>
        <w:rPr>
          <w:rFonts w:ascii="宋体" w:hAnsi="宋体" w:eastAsia="方正仿宋_GBK"/>
          <w:color w:val="000000"/>
          <w:spacing w:val="-4"/>
          <w:sz w:val="33"/>
          <w:szCs w:val="33"/>
        </w:rPr>
      </w:pPr>
      <w:r>
        <w:rPr>
          <w:rFonts w:hint="eastAsia" w:ascii="宋体" w:hAnsi="宋体" w:eastAsia="方正仿宋_GBK"/>
          <w:color w:val="000000"/>
          <w:sz w:val="33"/>
          <w:szCs w:val="33"/>
        </w:rPr>
        <w:t>4.</w:t>
      </w:r>
      <w:r>
        <w:rPr>
          <w:rFonts w:hint="eastAsia" w:ascii="宋体" w:hAnsi="宋体" w:eastAsia="方正仿宋_GBK"/>
          <w:color w:val="000000"/>
          <w:spacing w:val="-4"/>
          <w:sz w:val="33"/>
          <w:szCs w:val="33"/>
        </w:rPr>
        <w:t>预算管理（5分）。预算管理规范，执行有效，得分5分。</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5.资产管理（5分）。资产管理制度健全，管理规范、安全，配置合理，得分4.6分。漏记资产报废一次，实际与账实不相符，扣0.4分。</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6.职责履行（30分）。积极履行审计监督职能，及时、高质、超计划完成全年审计目标任务，认真落实区委区政府交办的重点工作，办结率100%。得分30分。</w:t>
      </w:r>
    </w:p>
    <w:p>
      <w:pPr>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7.履职效益（20分）。我单位全面完成各项工作目标任务，经济效益、社会效益、生态效益明显。但因财政资金到位比较迟缓，结转额度较大，拖欠中介公司费用较多，满意度不够，得17分，扣3分。</w:t>
      </w:r>
    </w:p>
    <w:p>
      <w:pPr>
        <w:spacing w:line="590" w:lineRule="exact"/>
        <w:ind w:left="989" w:leftChars="314" w:hanging="330" w:hangingChars="100"/>
        <w:rPr>
          <w:rFonts w:ascii="方正楷体_GBK" w:hAnsi="宋体" w:eastAsia="方正楷体_GBK" w:cs="方正楷体简体"/>
          <w:b/>
          <w:sz w:val="33"/>
          <w:szCs w:val="33"/>
        </w:rPr>
      </w:pPr>
      <w:r>
        <w:rPr>
          <w:rFonts w:hint="eastAsia" w:ascii="方正楷体_GBK" w:hAnsi="宋体" w:eastAsia="方正楷体_GBK" w:cs="方正楷体简体"/>
          <w:b/>
          <w:sz w:val="33"/>
          <w:szCs w:val="33"/>
        </w:rPr>
        <w:t>（二）综合绩效分析</w:t>
      </w:r>
    </w:p>
    <w:p>
      <w:pPr>
        <w:spacing w:line="590" w:lineRule="exact"/>
        <w:ind w:left="989" w:leftChars="314" w:hanging="330" w:hangingChars="100"/>
        <w:rPr>
          <w:rFonts w:ascii="宋体" w:hAnsi="宋体" w:eastAsia="方正仿宋_GBK"/>
          <w:b/>
          <w:bCs/>
          <w:sz w:val="33"/>
          <w:szCs w:val="33"/>
        </w:rPr>
      </w:pPr>
      <w:r>
        <w:rPr>
          <w:rFonts w:hint="eastAsia" w:ascii="宋体" w:hAnsi="宋体" w:eastAsia="方正仿宋_GBK"/>
          <w:b/>
          <w:bCs/>
          <w:sz w:val="33"/>
          <w:szCs w:val="33"/>
        </w:rPr>
        <w:t>1．部门职能履行情况</w:t>
      </w:r>
    </w:p>
    <w:p>
      <w:pPr>
        <w:pStyle w:val="33"/>
        <w:spacing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履行审计职能，年度组织完成审计项目29个，移送违法线索5条，提出审计建议85条，在推进政策落实、规范预算管理、维护财经秩序、保障改善民生、促进廉政建设等方面发挥了重要作用。</w:t>
      </w:r>
    </w:p>
    <w:p>
      <w:pPr>
        <w:pStyle w:val="33"/>
        <w:spacing w:line="590" w:lineRule="exact"/>
        <w:ind w:firstLine="660" w:firstLineChars="200"/>
        <w:rPr>
          <w:rFonts w:ascii="宋体" w:hAnsi="宋体" w:eastAsia="方正仿宋_GBK"/>
          <w:color w:val="000000"/>
          <w:sz w:val="33"/>
          <w:szCs w:val="33"/>
        </w:rPr>
      </w:pPr>
      <w:r>
        <w:rPr>
          <w:rFonts w:hint="eastAsia" w:ascii="宋体" w:hAnsi="宋体" w:eastAsia="方正仿宋_GBK"/>
          <w:b/>
          <w:bCs/>
          <w:sz w:val="33"/>
          <w:szCs w:val="33"/>
        </w:rPr>
        <w:t>2．部门履职有效性</w:t>
      </w:r>
    </w:p>
    <w:p>
      <w:pPr>
        <w:pStyle w:val="2"/>
        <w:spacing w:before="93" w:line="590" w:lineRule="exact"/>
        <w:ind w:firstLine="660" w:firstLineChars="200"/>
        <w:rPr>
          <w:rFonts w:ascii="宋体" w:hAnsi="宋体" w:eastAsia="方正仿宋_GBK"/>
          <w:color w:val="000000"/>
          <w:sz w:val="33"/>
          <w:szCs w:val="33"/>
        </w:rPr>
      </w:pPr>
      <w:r>
        <w:rPr>
          <w:rFonts w:hint="eastAsia" w:ascii="宋体" w:hAnsi="宋体" w:eastAsia="方正仿宋_GBK"/>
          <w:color w:val="000000"/>
          <w:sz w:val="33"/>
          <w:szCs w:val="33"/>
        </w:rPr>
        <w:t>我单位按照年初设置的绩效目标，通过实施政府投资建设项目评审经费、各项审计工作经费等重点支出，有效履行了部门的主要职能。项目主要完成了以下效益：</w:t>
      </w:r>
    </w:p>
    <w:p>
      <w:pPr>
        <w:spacing w:line="590" w:lineRule="exact"/>
        <w:ind w:firstLine="660" w:firstLineChars="200"/>
        <w:rPr>
          <w:rFonts w:ascii="宋体" w:hAnsi="宋体" w:eastAsia="方正仿宋_GBK"/>
          <w:bCs/>
          <w:sz w:val="33"/>
          <w:szCs w:val="33"/>
        </w:rPr>
      </w:pPr>
      <w:r>
        <w:rPr>
          <w:rFonts w:hint="eastAsia" w:ascii="宋体" w:hAnsi="宋体" w:eastAsia="方正仿宋_GBK"/>
          <w:bCs/>
          <w:sz w:val="33"/>
          <w:szCs w:val="33"/>
        </w:rPr>
        <w:t>(1)对2021年度区级财政预算执行、区级部门预算执行、2个区级部门财政财务收支情况进行审计。</w:t>
      </w:r>
    </w:p>
    <w:p>
      <w:pPr>
        <w:pStyle w:val="17"/>
        <w:widowControl/>
        <w:spacing w:line="590" w:lineRule="exact"/>
        <w:ind w:firstLine="660" w:firstLineChars="200"/>
        <w:jc w:val="both"/>
        <w:rPr>
          <w:rFonts w:ascii="宋体" w:hAnsi="宋体" w:eastAsia="方正仿宋_GBK"/>
          <w:bCs/>
          <w:sz w:val="33"/>
          <w:szCs w:val="33"/>
        </w:rPr>
      </w:pPr>
      <w:r>
        <w:rPr>
          <w:rFonts w:hint="eastAsia" w:ascii="宋体" w:hAnsi="宋体" w:eastAsia="方正仿宋_GBK"/>
          <w:bCs/>
          <w:sz w:val="33"/>
          <w:szCs w:val="33"/>
        </w:rPr>
        <w:t>(2)完成了10个政府投资项目的竣工结算审计和5个重点民生项目跟踪审计,针对审计发现的多计工程价款、违反基建程序等问题提出审计建议，责令整改。</w:t>
      </w:r>
    </w:p>
    <w:p>
      <w:pPr>
        <w:pStyle w:val="17"/>
        <w:widowControl/>
        <w:spacing w:line="590" w:lineRule="exact"/>
        <w:ind w:firstLine="660" w:firstLineChars="200"/>
        <w:jc w:val="both"/>
        <w:rPr>
          <w:rFonts w:ascii="宋体" w:hAnsi="宋体" w:eastAsia="方正仿宋_GBK"/>
          <w:bCs/>
          <w:sz w:val="33"/>
          <w:szCs w:val="33"/>
        </w:rPr>
      </w:pPr>
      <w:r>
        <w:rPr>
          <w:rFonts w:hint="eastAsia" w:ascii="宋体" w:hAnsi="宋体" w:eastAsia="方正仿宋_GBK"/>
          <w:bCs/>
          <w:sz w:val="33"/>
          <w:szCs w:val="33"/>
        </w:rPr>
        <w:t>(3)完成6名领导干部经济责任审计，审计发现违规政府采购、“三重一大”执行不到位、违规报销费用等问题，提出审计建议12条，促进领导干部更好履行经济责任。</w:t>
      </w:r>
    </w:p>
    <w:p>
      <w:pPr>
        <w:pStyle w:val="17"/>
        <w:widowControl/>
        <w:spacing w:line="590" w:lineRule="exact"/>
        <w:ind w:firstLine="660" w:firstLineChars="200"/>
        <w:jc w:val="both"/>
        <w:rPr>
          <w:rFonts w:ascii="宋体" w:hAnsi="宋体" w:eastAsia="方正仿宋_GBK"/>
          <w:bCs/>
          <w:sz w:val="33"/>
          <w:szCs w:val="33"/>
        </w:rPr>
      </w:pPr>
      <w:r>
        <w:rPr>
          <w:rFonts w:hint="eastAsia" w:ascii="宋体" w:hAnsi="宋体" w:eastAsia="方正仿宋_GBK"/>
          <w:bCs/>
          <w:sz w:val="33"/>
          <w:szCs w:val="33"/>
        </w:rPr>
        <w:t>(4)完成领导干部自然资源资产审计2个，重点对贯彻执行生态文明建设方针政策、履行自然资源资产管理责任等方面进行了审计，针对审计发现的问题，提出审计建议并责成整改，防范资源低效利用和损失浪费。</w:t>
      </w:r>
    </w:p>
    <w:p>
      <w:pPr>
        <w:pStyle w:val="17"/>
        <w:widowControl/>
        <w:spacing w:line="590" w:lineRule="exact"/>
        <w:ind w:firstLine="660" w:firstLineChars="200"/>
        <w:jc w:val="both"/>
        <w:rPr>
          <w:rFonts w:ascii="宋体" w:hAnsi="宋体" w:eastAsia="方正仿宋_GBK"/>
          <w:bCs/>
          <w:sz w:val="33"/>
          <w:szCs w:val="33"/>
        </w:rPr>
      </w:pPr>
      <w:r>
        <w:rPr>
          <w:rFonts w:hint="eastAsia" w:ascii="宋体" w:hAnsi="宋体" w:eastAsia="方正仿宋_GBK"/>
          <w:bCs/>
          <w:sz w:val="33"/>
          <w:szCs w:val="33"/>
        </w:rPr>
        <w:t>(5)完成对安岳县2021年困难群众救助补助资金专项审计，针对审计发现的问题，向安岳县纪委移送问题线索2条。积极抽派6人配合市局完成了雁江区耕地保护政策落实、农村人居环境整治相关政策落实、全市粮食储备流通资金等3个专项审计。</w:t>
      </w:r>
    </w:p>
    <w:p>
      <w:pPr>
        <w:pStyle w:val="17"/>
        <w:widowControl/>
        <w:spacing w:line="590" w:lineRule="exact"/>
        <w:ind w:firstLine="660" w:firstLineChars="200"/>
        <w:jc w:val="both"/>
        <w:rPr>
          <w:rFonts w:ascii="宋体" w:hAnsi="宋体" w:eastAsia="方正仿宋_GBK"/>
          <w:b/>
          <w:bCs/>
          <w:kern w:val="2"/>
          <w:sz w:val="33"/>
          <w:szCs w:val="33"/>
        </w:rPr>
      </w:pPr>
      <w:r>
        <w:rPr>
          <w:rFonts w:hint="eastAsia" w:ascii="宋体" w:hAnsi="宋体" w:eastAsia="方正仿宋_GBK"/>
          <w:b/>
          <w:bCs/>
          <w:kern w:val="2"/>
          <w:sz w:val="33"/>
          <w:szCs w:val="33"/>
        </w:rPr>
        <w:t>3．部门职能实现程度</w:t>
      </w:r>
    </w:p>
    <w:p>
      <w:pPr>
        <w:pStyle w:val="17"/>
        <w:widowControl/>
        <w:spacing w:line="590" w:lineRule="exact"/>
        <w:ind w:firstLine="660" w:firstLineChars="200"/>
        <w:jc w:val="both"/>
        <w:rPr>
          <w:rFonts w:ascii="宋体" w:hAnsi="宋体" w:eastAsia="方正仿宋_GBK"/>
          <w:sz w:val="33"/>
          <w:szCs w:val="33"/>
        </w:rPr>
      </w:pPr>
      <w:r>
        <w:rPr>
          <w:rFonts w:hint="eastAsia" w:ascii="宋体" w:hAnsi="宋体" w:eastAsia="方正仿宋_GBK"/>
          <w:bCs/>
          <w:sz w:val="33"/>
          <w:szCs w:val="33"/>
        </w:rPr>
        <w:t>2022年我单位各项重点工作顺利推进，全面完成了既定目标，及时跟踪督促被审计单位审计发现问题整改情况，年度完成的29个项目共发现问题110个，已整改完成90个，正在持续整改20个。对全区2019年—2021年涉及的128个审计项目进行全面梳理，总计需要整改的审计问题319个，发出整改提醒敦促函、专项现场督促检查、综合评估研判，完成整改问题307个，占比96.24%。</w:t>
      </w:r>
    </w:p>
    <w:p>
      <w:pPr>
        <w:pStyle w:val="34"/>
        <w:spacing w:line="590" w:lineRule="exact"/>
        <w:ind w:firstLine="645"/>
        <w:rPr>
          <w:rFonts w:ascii="方正黑体_GBK" w:hAnsi="宋体" w:eastAsia="方正黑体_GBK"/>
          <w:sz w:val="33"/>
          <w:szCs w:val="33"/>
        </w:rPr>
      </w:pPr>
      <w:r>
        <w:rPr>
          <w:rFonts w:hint="eastAsia" w:ascii="方正黑体_GBK" w:hAnsi="宋体" w:eastAsia="方正黑体_GBK"/>
          <w:sz w:val="33"/>
          <w:szCs w:val="33"/>
        </w:rPr>
        <w:t>六、问题分析</w:t>
      </w:r>
    </w:p>
    <w:p>
      <w:pPr>
        <w:pStyle w:val="34"/>
        <w:spacing w:line="590" w:lineRule="exact"/>
        <w:ind w:firstLine="645"/>
        <w:rPr>
          <w:rFonts w:ascii="宋体" w:hAnsi="宋体" w:eastAsia="方正仿宋_GBK"/>
          <w:bCs/>
          <w:kern w:val="0"/>
          <w:sz w:val="33"/>
          <w:szCs w:val="33"/>
        </w:rPr>
      </w:pPr>
      <w:r>
        <w:rPr>
          <w:rFonts w:hint="eastAsia" w:ascii="宋体" w:hAnsi="宋体" w:eastAsia="方正仿宋_GBK"/>
          <w:bCs/>
          <w:kern w:val="0"/>
          <w:sz w:val="33"/>
          <w:szCs w:val="33"/>
        </w:rPr>
        <w:t>截至2022年12月31日，价值1.65万元的复印机、0.75万元摄像机已于2021年申请报废，区财政局已经批准，但仍在固定资产管理卡片上，故导致财务系统账面原值与实物不符。</w:t>
      </w:r>
    </w:p>
    <w:p>
      <w:pPr>
        <w:pStyle w:val="34"/>
        <w:spacing w:line="590" w:lineRule="exact"/>
        <w:ind w:firstLine="645"/>
        <w:rPr>
          <w:rFonts w:ascii="宋体" w:hAnsi="宋体" w:eastAsia="方正仿宋_GBK"/>
          <w:bCs/>
          <w:kern w:val="0"/>
          <w:sz w:val="33"/>
          <w:szCs w:val="33"/>
        </w:rPr>
      </w:pPr>
      <w:r>
        <w:rPr>
          <w:rFonts w:hint="eastAsia" w:ascii="宋体" w:hAnsi="宋体" w:eastAsia="方正仿宋_GBK"/>
          <w:bCs/>
          <w:kern w:val="0"/>
          <w:sz w:val="33"/>
          <w:szCs w:val="33"/>
        </w:rPr>
        <w:t>原因分析：对资产清查发现的差异未予以重视，对已报废未下账资产未及时进行调整。</w:t>
      </w:r>
    </w:p>
    <w:p>
      <w:pPr>
        <w:pStyle w:val="34"/>
        <w:spacing w:line="590" w:lineRule="exact"/>
        <w:ind w:firstLine="645"/>
        <w:rPr>
          <w:rFonts w:ascii="方正黑体_GBK" w:hAnsi="宋体" w:eastAsia="方正黑体_GBK"/>
          <w:sz w:val="33"/>
          <w:szCs w:val="33"/>
        </w:rPr>
      </w:pPr>
      <w:r>
        <w:rPr>
          <w:rFonts w:hint="eastAsia" w:ascii="方正黑体_GBK" w:hAnsi="宋体" w:eastAsia="方正黑体_GBK"/>
          <w:sz w:val="33"/>
          <w:szCs w:val="33"/>
        </w:rPr>
        <w:t>七、建议</w:t>
      </w:r>
    </w:p>
    <w:p>
      <w:pPr>
        <w:pStyle w:val="34"/>
        <w:spacing w:line="590" w:lineRule="exact"/>
        <w:ind w:firstLine="645"/>
        <w:rPr>
          <w:rFonts w:ascii="宋体" w:hAnsi="宋体" w:eastAsia="方正仿宋_GBK"/>
          <w:bCs/>
          <w:kern w:val="0"/>
          <w:sz w:val="33"/>
          <w:szCs w:val="33"/>
        </w:rPr>
      </w:pPr>
      <w:r>
        <w:rPr>
          <w:rFonts w:hint="eastAsia" w:ascii="宋体" w:hAnsi="宋体" w:eastAsia="方正仿宋_GBK"/>
          <w:bCs/>
          <w:kern w:val="0"/>
          <w:sz w:val="33"/>
          <w:szCs w:val="33"/>
        </w:rPr>
        <w:t>强化固定资产规范化管理意识，及时对固定资产进行清查盘点，对已报废的固定资产及时下账，保证账实相符。提高固定资产在用率，确保国有资产安全完整、保值增值。</w:t>
      </w:r>
    </w:p>
    <w:p>
      <w:pPr>
        <w:spacing w:line="590" w:lineRule="exact"/>
        <w:rPr>
          <w:rFonts w:ascii="宋体" w:hAnsi="宋体" w:eastAsia="方正仿宋简体"/>
          <w:bCs/>
          <w:sz w:val="33"/>
          <w:szCs w:val="33"/>
        </w:rPr>
      </w:pPr>
    </w:p>
    <w:p>
      <w:pPr>
        <w:spacing w:line="590" w:lineRule="exact"/>
        <w:rPr>
          <w:rFonts w:ascii="宋体" w:hAnsi="宋体" w:eastAsia="方正仿宋简体"/>
          <w:bCs/>
          <w:sz w:val="33"/>
          <w:szCs w:val="33"/>
        </w:rPr>
      </w:pPr>
    </w:p>
    <w:p>
      <w:pPr>
        <w:spacing w:line="590" w:lineRule="exact"/>
        <w:rPr>
          <w:rFonts w:ascii="宋体" w:hAnsi="宋体" w:eastAsia="方正仿宋简体"/>
          <w:bCs/>
          <w:sz w:val="30"/>
          <w:szCs w:val="30"/>
        </w:rPr>
      </w:pPr>
      <w:r>
        <w:rPr>
          <w:rFonts w:hint="eastAsia" w:ascii="宋体" w:hAnsi="宋体" w:eastAsia="方正仿宋简体"/>
          <w:bCs/>
          <w:sz w:val="30"/>
          <w:szCs w:val="30"/>
        </w:rPr>
        <w:t>附件: 1. 2022年度区审计局整体支出绩效自评计分表</w:t>
      </w:r>
    </w:p>
    <w:p>
      <w:pPr>
        <w:spacing w:line="590" w:lineRule="exact"/>
        <w:ind w:firstLine="900" w:firstLineChars="300"/>
        <w:rPr>
          <w:rFonts w:ascii="宋体" w:hAnsi="宋体" w:eastAsia="方正仿宋简体"/>
          <w:bCs/>
          <w:spacing w:val="-16"/>
          <w:sz w:val="30"/>
          <w:szCs w:val="30"/>
        </w:rPr>
      </w:pPr>
      <w:r>
        <w:rPr>
          <w:rFonts w:hint="eastAsia" w:ascii="宋体" w:hAnsi="宋体" w:eastAsia="方正仿宋简体"/>
          <w:bCs/>
          <w:sz w:val="30"/>
          <w:szCs w:val="30"/>
        </w:rPr>
        <w:t>2.</w:t>
      </w:r>
      <w:r>
        <w:rPr>
          <w:rFonts w:hint="eastAsia" w:ascii="宋体" w:hAnsi="宋体" w:eastAsia="方正仿宋简体"/>
          <w:bCs/>
          <w:spacing w:val="-16"/>
          <w:sz w:val="30"/>
          <w:szCs w:val="30"/>
        </w:rPr>
        <w:t xml:space="preserve"> 2022年度区审计局整体支出绩效目标完成情况表</w:t>
      </w:r>
    </w:p>
    <w:p>
      <w:pPr>
        <w:spacing w:line="590" w:lineRule="exact"/>
        <w:ind w:firstLine="828" w:firstLineChars="300"/>
        <w:rPr>
          <w:rFonts w:ascii="宋体" w:hAnsi="宋体" w:eastAsia="方正仿宋简体"/>
          <w:bCs/>
          <w:spacing w:val="-16"/>
          <w:sz w:val="30"/>
          <w:szCs w:val="30"/>
        </w:rPr>
      </w:pPr>
      <w:r>
        <w:rPr>
          <w:rFonts w:hint="eastAsia" w:ascii="宋体" w:hAnsi="宋体" w:eastAsia="方正仿宋简体"/>
          <w:bCs/>
          <w:spacing w:val="-12"/>
          <w:sz w:val="30"/>
          <w:szCs w:val="30"/>
        </w:rPr>
        <w:t>3. 2022年度政府投资审计评审经费项目支出绩效评估报告</w:t>
      </w:r>
    </w:p>
    <w:bookmarkEnd w:id="88"/>
    <w:p>
      <w:pPr>
        <w:pStyle w:val="34"/>
        <w:spacing w:line="590" w:lineRule="exact"/>
        <w:ind w:firstLine="645"/>
        <w:rPr>
          <w:rFonts w:ascii="宋体" w:hAnsi="宋体" w:eastAsia="方正仿宋_GBK"/>
          <w:bCs/>
          <w:kern w:val="0"/>
          <w:sz w:val="33"/>
          <w:szCs w:val="33"/>
        </w:rPr>
      </w:pPr>
      <w:bookmarkStart w:id="97" w:name="_Toc15396618"/>
      <w:bookmarkStart w:id="98" w:name="_Toc6306_WPSOffice_Level1"/>
      <w:bookmarkStart w:id="99" w:name="_Toc13431_WPSOffice_Level1"/>
    </w:p>
    <w:p>
      <w:pPr>
        <w:pStyle w:val="2"/>
        <w:spacing w:before="93" w:line="590" w:lineRule="exact"/>
        <w:rPr>
          <w:rFonts w:ascii="宋体" w:hAnsi="宋体" w:eastAsia="方正仿宋_GBK"/>
          <w:bCs/>
          <w:sz w:val="33"/>
          <w:szCs w:val="33"/>
        </w:rPr>
      </w:pPr>
    </w:p>
    <w:p>
      <w:pPr>
        <w:spacing w:line="590" w:lineRule="exact"/>
        <w:rPr>
          <w:rFonts w:ascii="宋体" w:hAnsi="宋体" w:eastAsia="方正仿宋_GBK"/>
          <w:bCs/>
          <w:sz w:val="33"/>
          <w:szCs w:val="33"/>
        </w:rPr>
      </w:pPr>
      <w:r>
        <w:rPr>
          <w:rFonts w:hint="eastAsia" w:ascii="宋体" w:hAnsi="宋体" w:eastAsia="方正仿宋_GBK"/>
          <w:bCs/>
          <w:sz w:val="33"/>
          <w:szCs w:val="33"/>
        </w:rPr>
        <w:t xml:space="preserve">                                </w:t>
      </w:r>
    </w:p>
    <w:p>
      <w:pPr>
        <w:pStyle w:val="2"/>
        <w:spacing w:before="93"/>
      </w:pPr>
    </w:p>
    <w:p>
      <w:pPr>
        <w:pStyle w:val="2"/>
        <w:spacing w:before="93"/>
      </w:pPr>
    </w:p>
    <w:p>
      <w:pPr>
        <w:pStyle w:val="2"/>
        <w:spacing w:before="93"/>
        <w:rPr>
          <w:rFonts w:hint="eastAsia"/>
        </w:rPr>
      </w:pPr>
    </w:p>
    <w:p>
      <w:pPr>
        <w:pStyle w:val="2"/>
        <w:spacing w:before="93"/>
      </w:pPr>
    </w:p>
    <w:p/>
    <w:p>
      <w:pPr>
        <w:pStyle w:val="2"/>
        <w:spacing w:before="93"/>
      </w:pPr>
    </w:p>
    <w:p>
      <w:pPr>
        <w:spacing w:line="600" w:lineRule="exact"/>
        <w:rPr>
          <w:rFonts w:eastAsia="方正黑体简体"/>
          <w:sz w:val="32"/>
          <w:szCs w:val="32"/>
        </w:rPr>
      </w:pPr>
    </w:p>
    <w:p>
      <w:pPr>
        <w:pStyle w:val="2"/>
        <w:spacing w:before="93"/>
      </w:pPr>
    </w:p>
    <w:p/>
    <w:p>
      <w:pPr>
        <w:pStyle w:val="2"/>
        <w:spacing w:before="93"/>
      </w:pPr>
    </w:p>
    <w:p/>
    <w:p>
      <w:pPr>
        <w:pStyle w:val="2"/>
        <w:spacing w:before="93"/>
      </w:pPr>
    </w:p>
    <w:p>
      <w:pPr>
        <w:pStyle w:val="2"/>
        <w:spacing w:before="93"/>
      </w:pPr>
    </w:p>
    <w:p>
      <w:pPr>
        <w:pStyle w:val="2"/>
        <w:spacing w:before="93"/>
      </w:pPr>
    </w:p>
    <w:p>
      <w:pPr>
        <w:pStyle w:val="2"/>
        <w:spacing w:before="93"/>
        <w:rPr>
          <w:rFonts w:hint="eastAsia"/>
        </w:rPr>
      </w:pPr>
    </w:p>
    <w:p>
      <w:pPr>
        <w:spacing w:line="600" w:lineRule="exact"/>
        <w:rPr>
          <w:rFonts w:eastAsia="方正黑体简体"/>
          <w:sz w:val="32"/>
          <w:szCs w:val="32"/>
        </w:rPr>
      </w:pPr>
      <w:r>
        <w:rPr>
          <w:rFonts w:eastAsia="方正黑体简体"/>
          <w:sz w:val="32"/>
          <w:szCs w:val="32"/>
        </w:rPr>
        <w:t>附件1：</w:t>
      </w:r>
    </w:p>
    <w:p>
      <w:pPr>
        <w:spacing w:line="660" w:lineRule="exact"/>
        <w:ind w:left="-210" w:leftChars="-100" w:right="-105" w:rightChars="-50"/>
        <w:jc w:val="center"/>
        <w:rPr>
          <w:rFonts w:eastAsia="方正小标宋简体"/>
          <w:sz w:val="40"/>
          <w:szCs w:val="44"/>
        </w:rPr>
      </w:pPr>
      <w:r>
        <w:rPr>
          <w:rFonts w:eastAsia="方正小标宋简体"/>
          <w:sz w:val="40"/>
          <w:szCs w:val="44"/>
        </w:rPr>
        <w:t>20</w:t>
      </w:r>
      <w:r>
        <w:rPr>
          <w:rFonts w:hint="eastAsia" w:eastAsia="方正小标宋简体"/>
          <w:sz w:val="40"/>
          <w:szCs w:val="44"/>
        </w:rPr>
        <w:t>22</w:t>
      </w:r>
      <w:r>
        <w:rPr>
          <w:rFonts w:eastAsia="方正小标宋简体"/>
          <w:sz w:val="40"/>
          <w:szCs w:val="44"/>
        </w:rPr>
        <w:t>年度</w:t>
      </w:r>
      <w:r>
        <w:rPr>
          <w:rFonts w:hint="eastAsia" w:eastAsia="方正小标宋简体"/>
          <w:sz w:val="40"/>
          <w:szCs w:val="44"/>
        </w:rPr>
        <w:t>区审计局</w:t>
      </w:r>
      <w:r>
        <w:rPr>
          <w:rFonts w:eastAsia="方正小标宋简体"/>
          <w:sz w:val="40"/>
          <w:szCs w:val="44"/>
        </w:rPr>
        <w:t>整体支出绩效自评计分表</w:t>
      </w:r>
    </w:p>
    <w:p>
      <w:pPr>
        <w:spacing w:line="480" w:lineRule="exact"/>
        <w:rPr>
          <w:szCs w:val="21"/>
        </w:rPr>
      </w:pPr>
      <w:r>
        <w:t>单位名称：</w:t>
      </w:r>
      <w:r>
        <w:rPr>
          <w:rFonts w:hint="eastAsia"/>
        </w:rPr>
        <w:t>资阳市雁江区审计局</w:t>
      </w:r>
      <w:r>
        <w:t xml:space="preserve">    预算单位编码：             自评等级：</w:t>
      </w:r>
      <w:r>
        <w:rPr>
          <w:rFonts w:hint="eastAsia"/>
        </w:rPr>
        <w:t>优</w:t>
      </w:r>
    </w:p>
    <w:tbl>
      <w:tblPr>
        <w:tblStyle w:val="22"/>
        <w:tblW w:w="8715" w:type="dxa"/>
        <w:tblInd w:w="0" w:type="dxa"/>
        <w:tblLayout w:type="fixed"/>
        <w:tblCellMar>
          <w:top w:w="0" w:type="dxa"/>
          <w:left w:w="108" w:type="dxa"/>
          <w:bottom w:w="0" w:type="dxa"/>
          <w:right w:w="108" w:type="dxa"/>
        </w:tblCellMar>
      </w:tblPr>
      <w:tblGrid>
        <w:gridCol w:w="788"/>
        <w:gridCol w:w="690"/>
        <w:gridCol w:w="690"/>
        <w:gridCol w:w="1963"/>
        <w:gridCol w:w="2845"/>
        <w:gridCol w:w="567"/>
        <w:gridCol w:w="1172"/>
      </w:tblGrid>
      <w:tr>
        <w:tblPrEx>
          <w:tblLayout w:type="fixed"/>
          <w:tblCellMar>
            <w:top w:w="0" w:type="dxa"/>
            <w:left w:w="108" w:type="dxa"/>
            <w:bottom w:w="0" w:type="dxa"/>
            <w:right w:w="108" w:type="dxa"/>
          </w:tblCellMar>
        </w:tblPrEx>
        <w:trPr>
          <w:trHeight w:val="660" w:hRule="atLeast"/>
          <w:tblHeader/>
        </w:trPr>
        <w:tc>
          <w:tcPr>
            <w:tcW w:w="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一级</w:t>
            </w:r>
          </w:p>
          <w:p>
            <w:pPr>
              <w:jc w:val="center"/>
              <w:rPr>
                <w:rFonts w:ascii="宋体" w:hAnsi="宋体"/>
                <w:b/>
                <w:bCs/>
                <w:sz w:val="18"/>
                <w:szCs w:val="18"/>
              </w:rPr>
            </w:pPr>
            <w:r>
              <w:rPr>
                <w:rFonts w:ascii="宋体" w:hAnsi="宋体"/>
                <w:b/>
                <w:bCs/>
                <w:sz w:val="18"/>
                <w:szCs w:val="18"/>
              </w:rPr>
              <w:t>指标</w:t>
            </w:r>
          </w:p>
        </w:tc>
        <w:tc>
          <w:tcPr>
            <w:tcW w:w="690"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二级指标</w:t>
            </w:r>
          </w:p>
        </w:tc>
        <w:tc>
          <w:tcPr>
            <w:tcW w:w="690"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1963"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指标解释</w:t>
            </w:r>
          </w:p>
        </w:tc>
        <w:tc>
          <w:tcPr>
            <w:tcW w:w="2845"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指标说明（评价计分标准）</w:t>
            </w: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1172" w:type="dxa"/>
            <w:tcBorders>
              <w:top w:val="single" w:color="auto" w:sz="4" w:space="0"/>
              <w:left w:val="nil"/>
              <w:bottom w:val="single" w:color="auto" w:sz="4" w:space="0"/>
              <w:right w:val="single" w:color="auto" w:sz="4" w:space="0"/>
            </w:tcBorders>
            <w:noWrap/>
            <w:vAlign w:val="center"/>
          </w:tcPr>
          <w:p>
            <w:pPr>
              <w:jc w:val="center"/>
              <w:rPr>
                <w:rFonts w:ascii="宋体" w:hAnsi="宋体"/>
                <w:b/>
                <w:bCs/>
                <w:sz w:val="18"/>
                <w:szCs w:val="18"/>
              </w:rPr>
            </w:pPr>
            <w:r>
              <w:rPr>
                <w:rFonts w:ascii="宋体" w:hAnsi="宋体"/>
                <w:b/>
                <w:bCs/>
                <w:sz w:val="18"/>
                <w:szCs w:val="18"/>
              </w:rPr>
              <w:t>自评依据及说明</w:t>
            </w:r>
          </w:p>
        </w:tc>
      </w:tr>
      <w:tr>
        <w:tblPrEx>
          <w:tblLayout w:type="fixed"/>
          <w:tblCellMar>
            <w:top w:w="0" w:type="dxa"/>
            <w:left w:w="108" w:type="dxa"/>
            <w:bottom w:w="0" w:type="dxa"/>
            <w:right w:w="108" w:type="dxa"/>
          </w:tblCellMar>
        </w:tblPrEx>
        <w:trPr>
          <w:trHeight w:val="1779" w:hRule="atLeast"/>
        </w:trPr>
        <w:tc>
          <w:tcPr>
            <w:tcW w:w="788" w:type="dxa"/>
            <w:vMerge w:val="restart"/>
            <w:tcBorders>
              <w:top w:val="nil"/>
              <w:left w:val="single" w:color="auto" w:sz="4" w:space="0"/>
              <w:bottom w:val="single" w:color="000000" w:sz="4" w:space="0"/>
              <w:right w:val="single" w:color="auto" w:sz="4" w:space="0"/>
            </w:tcBorders>
            <w:noWrap/>
            <w:vAlign w:val="center"/>
          </w:tcPr>
          <w:p>
            <w:pPr>
              <w:jc w:val="center"/>
              <w:rPr>
                <w:rFonts w:ascii="宋体" w:hAnsi="宋体"/>
                <w:sz w:val="18"/>
                <w:szCs w:val="18"/>
              </w:rPr>
            </w:pPr>
            <w:r>
              <w:rPr>
                <w:rFonts w:ascii="宋体" w:hAnsi="宋体"/>
                <w:sz w:val="18"/>
                <w:szCs w:val="18"/>
              </w:rPr>
              <w:t>投入（20分）</w:t>
            </w:r>
          </w:p>
        </w:tc>
        <w:tc>
          <w:tcPr>
            <w:tcW w:w="690" w:type="dxa"/>
            <w:vMerge w:val="restart"/>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目标设定（5分）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绩效目标合理性（2分）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部门（单位）所设立的整体绩效目标依据是否充分，是否符合客观实际，用以反映和考核部门（单位）整体绩效目标与部门履职、年度工作任务的相符性情况。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①是否符合国家法律法规、国民经济和社会发展总体规划；（1分）</w:t>
            </w:r>
            <w:r>
              <w:rPr>
                <w:rFonts w:ascii="宋体" w:hAnsi="宋体"/>
                <w:sz w:val="18"/>
                <w:szCs w:val="18"/>
              </w:rPr>
              <w:br w:type="textWrapping"/>
            </w:r>
            <w:r>
              <w:rPr>
                <w:rFonts w:ascii="宋体" w:hAnsi="宋体"/>
                <w:sz w:val="18"/>
                <w:szCs w:val="18"/>
              </w:rPr>
              <w:t>②是否符合部门“三定”方案确定的职责；（0.5分）</w:t>
            </w:r>
            <w:r>
              <w:rPr>
                <w:rFonts w:ascii="宋体" w:hAnsi="宋体"/>
                <w:sz w:val="18"/>
                <w:szCs w:val="18"/>
              </w:rPr>
              <w:br w:type="textWrapping"/>
            </w:r>
            <w:r>
              <w:rPr>
                <w:rFonts w:ascii="宋体" w:hAnsi="宋体"/>
                <w:sz w:val="18"/>
                <w:szCs w:val="18"/>
              </w:rPr>
              <w:t>③是否符合部门制定的中长期实施规划。（0.5分）</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5"/>
                <w:szCs w:val="15"/>
              </w:rPr>
              <w:t>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125"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绩效指标明确性（3分）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部门（单位）依据整体绩效目标所设定的绩效指标是否清晰、细化、可衡量，用以反映和考核部门（单位）整体绩效目标的明细化情况。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①是否将部门整体的绩效目标细化分解为具体的工作任务；（1分）</w:t>
            </w:r>
            <w:r>
              <w:rPr>
                <w:rFonts w:ascii="宋体" w:hAnsi="宋体"/>
                <w:sz w:val="18"/>
                <w:szCs w:val="18"/>
              </w:rPr>
              <w:br w:type="textWrapping"/>
            </w:r>
            <w:r>
              <w:rPr>
                <w:rFonts w:ascii="宋体" w:hAnsi="宋体"/>
                <w:sz w:val="18"/>
                <w:szCs w:val="18"/>
              </w:rPr>
              <w:t>②是否通过清晰、可衡量的指标值予以体现；（0.5分）    ③是否与部门年度的任务数或计划数相对应；（0.5分）</w:t>
            </w:r>
            <w:r>
              <w:rPr>
                <w:rFonts w:ascii="宋体" w:hAnsi="宋体"/>
                <w:sz w:val="18"/>
                <w:szCs w:val="18"/>
              </w:rPr>
              <w:br w:type="textWrapping"/>
            </w:r>
            <w:r>
              <w:rPr>
                <w:rFonts w:ascii="宋体" w:hAnsi="宋体"/>
                <w:sz w:val="18"/>
                <w:szCs w:val="18"/>
              </w:rPr>
              <w:t>④是否与本年度部门预算资金相匹配。（1分）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3</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182"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restart"/>
            <w:tcBorders>
              <w:top w:val="nil"/>
              <w:left w:val="nil"/>
              <w:bottom w:val="single" w:color="000000" w:sz="4" w:space="0"/>
              <w:right w:val="single" w:color="auto" w:sz="4" w:space="0"/>
            </w:tcBorders>
            <w:noWrap/>
            <w:vAlign w:val="center"/>
          </w:tcPr>
          <w:p>
            <w:pPr>
              <w:jc w:val="center"/>
              <w:rPr>
                <w:rFonts w:ascii="宋体" w:hAnsi="宋体"/>
                <w:sz w:val="18"/>
                <w:szCs w:val="18"/>
              </w:rPr>
            </w:pPr>
            <w:r>
              <w:rPr>
                <w:rFonts w:ascii="宋体" w:hAnsi="宋体"/>
                <w:sz w:val="18"/>
                <w:szCs w:val="18"/>
              </w:rPr>
              <w:t>预算配置（15分）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在职人员控制率（5分）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部门（单位）本年度实际在职人员数与编制数的比率，用以反映和考核部门（单位）对人员成本的控制程度。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在职人员控制率=（在职人员数/编制数）×100%。（小于或等于1计5分，否则按比例计分）</w:t>
            </w:r>
            <w:r>
              <w:rPr>
                <w:rFonts w:ascii="宋体" w:hAnsi="宋体"/>
                <w:sz w:val="18"/>
                <w:szCs w:val="18"/>
              </w:rPr>
              <w:br w:type="textWrapping"/>
            </w:r>
            <w:r>
              <w:rPr>
                <w:rFonts w:ascii="宋体" w:hAnsi="宋体"/>
                <w:sz w:val="18"/>
                <w:szCs w:val="18"/>
              </w:rPr>
              <w:t>在职人员数：部门（单位）实际在职人数，以财政部确定的部门决算编制口径为准。</w:t>
            </w:r>
            <w:r>
              <w:rPr>
                <w:rFonts w:ascii="宋体" w:hAnsi="宋体"/>
                <w:sz w:val="18"/>
                <w:szCs w:val="18"/>
              </w:rPr>
              <w:br w:type="textWrapping"/>
            </w:r>
            <w:r>
              <w:rPr>
                <w:rFonts w:ascii="宋体" w:hAnsi="宋体"/>
                <w:sz w:val="18"/>
                <w:szCs w:val="18"/>
              </w:rPr>
              <w:t>编制数：机构编制部门核定批复的部门（单位）的人员编制数。</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5</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机关编制人员：行政19人、机关工勤2人，事业9人，2022年度末行政18人、机关工勤2人，事业7人</w:t>
            </w:r>
          </w:p>
        </w:tc>
      </w:tr>
      <w:tr>
        <w:tblPrEx>
          <w:tblLayout w:type="fixed"/>
          <w:tblCellMar>
            <w:top w:w="0" w:type="dxa"/>
            <w:left w:w="108" w:type="dxa"/>
            <w:bottom w:w="0" w:type="dxa"/>
            <w:right w:w="108" w:type="dxa"/>
          </w:tblCellMar>
        </w:tblPrEx>
        <w:trPr>
          <w:trHeight w:val="2012"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“三公经费”变动率（5分）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部门（单位）本年度“三公经费”预算数与上年度“三公经费”预算数的变动比率，用以反映和考核部门（单位）对控制重点行政成本的努力程度。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“三公经费”变动率=[（本年度“三公经费”总额-上年度“三公经费”总额）/上年度“三公经费”总额]×100%。（下降的计5分，增加的按比例扣减）</w:t>
            </w:r>
            <w:r>
              <w:rPr>
                <w:rFonts w:ascii="宋体" w:hAnsi="宋体"/>
                <w:sz w:val="18"/>
                <w:szCs w:val="18"/>
              </w:rPr>
              <w:br w:type="textWrapping"/>
            </w:r>
            <w:r>
              <w:rPr>
                <w:rFonts w:ascii="宋体" w:hAnsi="宋体"/>
                <w:sz w:val="18"/>
                <w:szCs w:val="18"/>
              </w:rPr>
              <w:t>“三公经费”：年度预算安排的因公出国（境）费、公务车辆购置及运行费和公务招待费。</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5</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2021年度公务接待0.18万元、公务车运行维护费3.00万元；2022年度公务接待0.41万元、公务车运行维护费2.03万元；</w:t>
            </w:r>
          </w:p>
        </w:tc>
      </w:tr>
      <w:tr>
        <w:tblPrEx>
          <w:tblLayout w:type="fixed"/>
          <w:tblCellMar>
            <w:top w:w="0" w:type="dxa"/>
            <w:left w:w="108" w:type="dxa"/>
            <w:bottom w:w="0" w:type="dxa"/>
            <w:right w:w="108" w:type="dxa"/>
          </w:tblCellMar>
        </w:tblPrEx>
        <w:trPr>
          <w:trHeight w:val="2629"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重点支出安排率（5分）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部门（单位）本年度预算安排的重点项目支出与部门项目总支出的比率，用以反映和考核部门（单位）对履行主要职责或完成重点任务的保障程度。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重点支出安排率=（重点项目支出/项目总支出）×100%。（实际得分=支出安排率*5分）</w:t>
            </w:r>
            <w:r>
              <w:rPr>
                <w:rFonts w:ascii="宋体" w:hAnsi="宋体"/>
                <w:sz w:val="18"/>
                <w:szCs w:val="18"/>
              </w:rPr>
              <w:br w:type="textWrapping"/>
            </w:r>
            <w:r>
              <w:rPr>
                <w:rFonts w:ascii="宋体" w:hAnsi="宋体"/>
                <w:sz w:val="18"/>
                <w:szCs w:val="18"/>
              </w:rPr>
              <w:t>重点项目支出：部门（单位）年度预算安排的，与本部门履职和发展密切相关、具有明显社会和经济影响、党委政府关心或社会比较关注的项目支出总额。</w:t>
            </w:r>
            <w:r>
              <w:rPr>
                <w:rFonts w:ascii="宋体" w:hAnsi="宋体"/>
                <w:sz w:val="18"/>
                <w:szCs w:val="18"/>
              </w:rPr>
              <w:br w:type="textWrapping"/>
            </w:r>
            <w:r>
              <w:rPr>
                <w:rFonts w:ascii="宋体" w:hAnsi="宋体"/>
                <w:sz w:val="18"/>
                <w:szCs w:val="18"/>
              </w:rPr>
              <w:t>项目总支出：部门（单位）年度预算安排的项目支出总额。</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3.31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5"/>
                <w:szCs w:val="15"/>
              </w:rPr>
              <w:t>（240.06万元/360.35万元）*100%=66.25%。</w:t>
            </w:r>
          </w:p>
        </w:tc>
      </w:tr>
      <w:tr>
        <w:tblPrEx>
          <w:tblLayout w:type="fixed"/>
          <w:tblCellMar>
            <w:top w:w="0" w:type="dxa"/>
            <w:left w:w="108" w:type="dxa"/>
            <w:bottom w:w="0" w:type="dxa"/>
            <w:right w:w="108" w:type="dxa"/>
          </w:tblCellMar>
        </w:tblPrEx>
        <w:trPr>
          <w:trHeight w:val="1695" w:hRule="atLeast"/>
        </w:trPr>
        <w:tc>
          <w:tcPr>
            <w:tcW w:w="788" w:type="dxa"/>
            <w:vMerge w:val="restart"/>
            <w:tcBorders>
              <w:top w:val="nil"/>
              <w:left w:val="single" w:color="auto" w:sz="4" w:space="0"/>
              <w:bottom w:val="single" w:color="000000" w:sz="4" w:space="0"/>
              <w:right w:val="single" w:color="auto" w:sz="4" w:space="0"/>
            </w:tcBorders>
            <w:noWrap/>
            <w:vAlign w:val="center"/>
          </w:tcPr>
          <w:p>
            <w:pPr>
              <w:jc w:val="center"/>
              <w:rPr>
                <w:rFonts w:ascii="宋体" w:hAnsi="宋体"/>
                <w:sz w:val="18"/>
                <w:szCs w:val="18"/>
              </w:rPr>
            </w:pPr>
            <w:r>
              <w:rPr>
                <w:rFonts w:ascii="宋体" w:hAnsi="宋体"/>
                <w:sz w:val="18"/>
                <w:szCs w:val="18"/>
              </w:rPr>
              <w:t>过程（30分）</w:t>
            </w:r>
          </w:p>
        </w:tc>
        <w:tc>
          <w:tcPr>
            <w:tcW w:w="690" w:type="dxa"/>
            <w:vMerge w:val="restart"/>
            <w:tcBorders>
              <w:top w:val="nil"/>
              <w:left w:val="nil"/>
              <w:bottom w:val="single" w:color="000000" w:sz="4" w:space="0"/>
              <w:right w:val="single" w:color="auto" w:sz="4" w:space="0"/>
            </w:tcBorders>
            <w:noWrap/>
            <w:vAlign w:val="center"/>
          </w:tcPr>
          <w:p>
            <w:pPr>
              <w:jc w:val="center"/>
              <w:rPr>
                <w:rFonts w:ascii="宋体" w:hAnsi="宋体"/>
                <w:sz w:val="18"/>
                <w:szCs w:val="18"/>
              </w:rPr>
            </w:pPr>
            <w:r>
              <w:rPr>
                <w:rFonts w:ascii="宋体" w:hAnsi="宋体"/>
                <w:sz w:val="18"/>
                <w:szCs w:val="18"/>
              </w:rPr>
              <w:t>预算执行（20分）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预算完成率（4分）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部门（单位）本年度预算完成数与预算数的比率，用以反映和考核部门（单位）预算完成程度。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预算完成率=（预算完成数/预算数）×100%。（完成年初预算计4分，未完成年初按比例扣减）</w:t>
            </w:r>
            <w:r>
              <w:rPr>
                <w:rFonts w:ascii="宋体" w:hAnsi="宋体"/>
                <w:sz w:val="18"/>
                <w:szCs w:val="18"/>
              </w:rPr>
              <w:br w:type="textWrapping"/>
            </w:r>
            <w:r>
              <w:rPr>
                <w:rFonts w:ascii="宋体" w:hAnsi="宋体"/>
                <w:sz w:val="18"/>
                <w:szCs w:val="18"/>
              </w:rPr>
              <w:t>预算完成数：部门（单位）本年度实际完成的预算数。</w:t>
            </w:r>
            <w:r>
              <w:rPr>
                <w:rFonts w:ascii="宋体" w:hAnsi="宋体"/>
                <w:sz w:val="18"/>
                <w:szCs w:val="18"/>
              </w:rPr>
              <w:br w:type="textWrapping"/>
            </w:r>
            <w:r>
              <w:rPr>
                <w:rFonts w:ascii="宋体" w:hAnsi="宋体"/>
                <w:sz w:val="18"/>
                <w:szCs w:val="18"/>
              </w:rPr>
              <w:t>预算数：财政部门批复的本年度部门（单位）预算数。</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5"/>
                <w:szCs w:val="15"/>
              </w:rPr>
              <w:t>4</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5"/>
                <w:szCs w:val="15"/>
              </w:rPr>
              <w:t>（686.63万元686.63万元）*100%=100%</w:t>
            </w:r>
          </w:p>
        </w:tc>
      </w:tr>
      <w:tr>
        <w:tblPrEx>
          <w:tblLayout w:type="fixed"/>
          <w:tblCellMar>
            <w:top w:w="0" w:type="dxa"/>
            <w:left w:w="108" w:type="dxa"/>
            <w:bottom w:w="0" w:type="dxa"/>
            <w:right w:w="108" w:type="dxa"/>
          </w:tblCellMar>
        </w:tblPrEx>
        <w:trPr>
          <w:trHeight w:val="1860"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预算调整率（2分）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部门（单位）本年度预算调整数与预算数的比率，用以反映和考核部门（单位）预算的调整程度。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预算调整率=（预算调整数/预算数）×100%。（未调整的计2分，调整了的除特殊原因外按比例扣减）</w:t>
            </w:r>
            <w:r>
              <w:rPr>
                <w:rFonts w:ascii="宋体" w:hAnsi="宋体"/>
                <w:sz w:val="18"/>
                <w:szCs w:val="18"/>
              </w:rPr>
              <w:br w:type="textWrapping"/>
            </w:r>
            <w:r>
              <w:rPr>
                <w:rFonts w:ascii="宋体" w:hAnsi="宋体"/>
                <w:sz w:val="18"/>
                <w:szCs w:val="18"/>
              </w:rPr>
              <w:t>预算调整数：部门（单位）在本年度内涉及预算的追加、追减或结构调整的资金总和（因落实国家政策、发生不可抗力、上级部门或本级党委政府临时交办而产生的调整除外）。</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295"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支付进度率（2分）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部门（单位）实际支付进度与既定支付进度的比率，用以反映和考核部门（单位）预算执行的及时性和均衡性程度。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支付进度率=（实际支付进度/既定支付进度）×100%。完成年终进度的计1分，按季度完成预算进度的计1分。</w:t>
            </w:r>
            <w:r>
              <w:rPr>
                <w:rFonts w:ascii="宋体" w:hAnsi="宋体"/>
                <w:sz w:val="18"/>
                <w:szCs w:val="18"/>
              </w:rPr>
              <w:br w:type="textWrapping"/>
            </w:r>
            <w:r>
              <w:rPr>
                <w:rFonts w:ascii="宋体" w:hAnsi="宋体"/>
                <w:sz w:val="18"/>
                <w:szCs w:val="18"/>
              </w:rPr>
              <w:t>实际支付进度：部门（单位）在某一时点的支出预算执行总数与年度支出预算数的比率。</w:t>
            </w:r>
            <w:r>
              <w:rPr>
                <w:rFonts w:ascii="宋体" w:hAnsi="宋体"/>
                <w:sz w:val="18"/>
                <w:szCs w:val="18"/>
              </w:rPr>
              <w:br w:type="textWrapping"/>
            </w:r>
            <w:r>
              <w:rPr>
                <w:rFonts w:ascii="宋体" w:hAnsi="宋体"/>
                <w:sz w:val="18"/>
                <w:szCs w:val="18"/>
              </w:rPr>
              <w:t>既定支付进度：由部门（单位）在申报部门整体绩效目标时，参照序时支付进度、前三年支付进度、同级部门平均支付进度水平等确定的，在某一时点应达到的支付进度（比率）。</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320"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结转结余率（2分）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部门（单位）本年度结转结余总额与支出预算数的比率，用以反映和考核部门（单位）对本年度结转结余资金的实际控制程度。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结转结余率=结转结余总额/支出预算数×100%。低于5%的计1分，每超过5个百分点扣1分，扣完为止。</w:t>
            </w:r>
            <w:r>
              <w:rPr>
                <w:rFonts w:ascii="宋体" w:hAnsi="宋体"/>
                <w:sz w:val="18"/>
                <w:szCs w:val="18"/>
              </w:rPr>
              <w:br w:type="textWrapping"/>
            </w:r>
            <w:r>
              <w:rPr>
                <w:rFonts w:ascii="宋体" w:hAnsi="宋体"/>
                <w:sz w:val="18"/>
                <w:szCs w:val="18"/>
              </w:rPr>
              <w:t>结转结余总额：部门（单位）本年度的结转资金与结余资金之和（以决算数为准）。</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5"/>
                <w:szCs w:val="15"/>
              </w:rPr>
              <w:t>（27.63万元/686.63万元）*100%=4.02%</w:t>
            </w:r>
          </w:p>
        </w:tc>
      </w:tr>
      <w:tr>
        <w:tblPrEx>
          <w:tblLayout w:type="fixed"/>
          <w:tblCellMar>
            <w:top w:w="0" w:type="dxa"/>
            <w:left w:w="108" w:type="dxa"/>
            <w:bottom w:w="0" w:type="dxa"/>
            <w:right w:w="108" w:type="dxa"/>
          </w:tblCellMar>
        </w:tblPrEx>
        <w:trPr>
          <w:trHeight w:val="1590"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结转结余变动率（2分）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部门（单位）本年度结转结余资金总额与上年度结转结余资金总额的变动比率，用以反映和考核部门（单位）对控制结转结余资金的努力程度。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结转结余变动率=[（本年度累计结转结余资金总额-上年度累计结转结余资金总额）/上年度累计结转结余资金总额]×100%。（低于15%的计2分，每超过5个百分点扣1分，扣完为止）</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0</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5"/>
                <w:szCs w:val="15"/>
              </w:rPr>
              <w:t>[（27.63万元-37.63万元）/37.63万元]*100%=26.57%</w:t>
            </w:r>
          </w:p>
        </w:tc>
      </w:tr>
      <w:tr>
        <w:tblPrEx>
          <w:tblLayout w:type="fixed"/>
          <w:tblCellMar>
            <w:top w:w="0" w:type="dxa"/>
            <w:left w:w="108" w:type="dxa"/>
            <w:bottom w:w="0" w:type="dxa"/>
            <w:right w:w="108" w:type="dxa"/>
          </w:tblCellMar>
        </w:tblPrEx>
        <w:trPr>
          <w:trHeight w:val="1470"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公用经费控制率（2分）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部门（单位）本年度实际支出的公用经费总额与预算安排的公用经费总额的比率，用以反映和考核部门（单位）对机构运转成本的实际控制程度。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公用经费控制率=（实际支出公用经费总额/预算安排公用经费总额）×100%。（为100%的计2分，每超过1个百分点扣0.1分，扣完为止）</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494"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“三公经费”控制率（2分）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部门（单位）本年度“三公经费”实际支出数与预算安排数的比率，用以反映和考核部门（单位）对“三公经费”的实际控制程度。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“三公经费”控制率=（“三公经费”实际支出数/“三公经费”预算安排数）×100%。（为100%的计2分，每超过1个百分点扣0.5分，扣完为止）</w:t>
            </w:r>
          </w:p>
        </w:tc>
        <w:tc>
          <w:tcPr>
            <w:tcW w:w="567"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912"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000000"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政府采购执行率（4分）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部门（单位）本年度实际政府采购金额与年初政府采购预算的比率，用以反映和考核部门（单位）政府采购预算执行情况。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政府采购执行率=（实际政府采购金额/政府采购预算数）×100%。（为100%的计2分，每低于1个百分点扣0.5分，扣完为止）</w:t>
            </w:r>
            <w:r>
              <w:rPr>
                <w:rFonts w:ascii="宋体" w:hAnsi="宋体"/>
                <w:sz w:val="18"/>
                <w:szCs w:val="18"/>
              </w:rPr>
              <w:br w:type="textWrapping"/>
            </w:r>
            <w:r>
              <w:rPr>
                <w:rFonts w:ascii="宋体" w:hAnsi="宋体"/>
                <w:sz w:val="18"/>
                <w:szCs w:val="18"/>
              </w:rPr>
              <w:t xml:space="preserve">政府采购预算：采购机关根据事业发展计划和行政任务编制的、并经过规定程序批准的年度政府采购计划。 </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4</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084"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restart"/>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预算管理（5分）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管理制度健全性（2分）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部门（单位）为加强预算管理、规范财务行为而制定的管理制度是否健全完整，用以反映和考核部门（单位）预算管理制度对完成主要职责或促进事业发展的保障情况。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①是否已制定或具有预算资金管理办法、内部财务管理制度、会计核算制度等管理制度；（1分）</w:t>
            </w:r>
            <w:r>
              <w:rPr>
                <w:rFonts w:ascii="宋体" w:hAnsi="宋体"/>
                <w:sz w:val="18"/>
                <w:szCs w:val="18"/>
              </w:rPr>
              <w:br w:type="textWrapping"/>
            </w:r>
            <w:r>
              <w:rPr>
                <w:rFonts w:ascii="宋体" w:hAnsi="宋体"/>
                <w:sz w:val="18"/>
                <w:szCs w:val="18"/>
              </w:rPr>
              <w:t>②相关管理制度是否合法、合规、完整；（0.5分）</w:t>
            </w:r>
            <w:r>
              <w:rPr>
                <w:rFonts w:ascii="宋体" w:hAnsi="宋体"/>
                <w:sz w:val="18"/>
                <w:szCs w:val="18"/>
              </w:rPr>
              <w:br w:type="textWrapping"/>
            </w:r>
            <w:r>
              <w:rPr>
                <w:rFonts w:ascii="宋体" w:hAnsi="宋体"/>
                <w:sz w:val="18"/>
                <w:szCs w:val="18"/>
              </w:rPr>
              <w:t>③相关管理制度是否得到有效执行。（0.5分）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740"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资金使用合规性（1分）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部门（单位）使用预算资金是否符合相关的预算财务管理制度的规定，用以反映和考核部门（单位）预算资金的规范运行情况。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①是否符合国家财经法规和财务管理制度规定以及有关专项资金管理办法的规定；（0.2分）</w:t>
            </w:r>
            <w:r>
              <w:rPr>
                <w:rFonts w:ascii="宋体" w:hAnsi="宋体"/>
                <w:sz w:val="18"/>
                <w:szCs w:val="18"/>
              </w:rPr>
              <w:br w:type="textWrapping"/>
            </w:r>
            <w:r>
              <w:rPr>
                <w:rFonts w:ascii="宋体" w:hAnsi="宋体"/>
                <w:sz w:val="18"/>
                <w:szCs w:val="18"/>
              </w:rPr>
              <w:t>②资金的拨付是否有完整的审批程序和手续；（0.2分）</w:t>
            </w:r>
            <w:r>
              <w:rPr>
                <w:rFonts w:ascii="宋体" w:hAnsi="宋体"/>
                <w:sz w:val="18"/>
                <w:szCs w:val="18"/>
              </w:rPr>
              <w:br w:type="textWrapping"/>
            </w:r>
            <w:r>
              <w:rPr>
                <w:rFonts w:ascii="宋体" w:hAnsi="宋体"/>
                <w:sz w:val="18"/>
                <w:szCs w:val="18"/>
              </w:rPr>
              <w:t>③项目的重大开支是否经过评估论证；（0.2分）</w:t>
            </w:r>
            <w:r>
              <w:rPr>
                <w:rFonts w:ascii="宋体" w:hAnsi="宋体"/>
                <w:sz w:val="18"/>
                <w:szCs w:val="18"/>
              </w:rPr>
              <w:br w:type="textWrapping"/>
            </w:r>
            <w:r>
              <w:rPr>
                <w:rFonts w:ascii="宋体" w:hAnsi="宋体"/>
                <w:sz w:val="18"/>
                <w:szCs w:val="18"/>
              </w:rPr>
              <w:t>④是否符合部门预算批复的用途；（0.2分）</w:t>
            </w:r>
            <w:r>
              <w:rPr>
                <w:rFonts w:ascii="宋体" w:hAnsi="宋体"/>
                <w:sz w:val="18"/>
                <w:szCs w:val="18"/>
              </w:rPr>
              <w:br w:type="textWrapping"/>
            </w:r>
            <w:r>
              <w:rPr>
                <w:rFonts w:ascii="宋体" w:hAnsi="宋体"/>
                <w:sz w:val="18"/>
                <w:szCs w:val="18"/>
              </w:rPr>
              <w:t>⑤是否存在截留、挤占、挪用、虚列支出等情况。（0.2分）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775"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预决算信息公开性（1分）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部门（单位）是否按照政府信息公开有关规定公开相关预决算信息，用以反映和考核部门（单位）预决算管理的公开透明情况。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①是否按规定内容公开预决算信息；（0.5分）</w:t>
            </w:r>
            <w:r>
              <w:rPr>
                <w:rFonts w:ascii="宋体" w:hAnsi="宋体"/>
                <w:sz w:val="18"/>
                <w:szCs w:val="18"/>
              </w:rPr>
              <w:br w:type="textWrapping"/>
            </w:r>
            <w:r>
              <w:rPr>
                <w:rFonts w:ascii="宋体" w:hAnsi="宋体"/>
                <w:sz w:val="18"/>
                <w:szCs w:val="18"/>
              </w:rPr>
              <w:t>②是否按规定时限公开预决算信息。（0.5分）</w:t>
            </w:r>
            <w:r>
              <w:rPr>
                <w:rFonts w:ascii="宋体" w:hAnsi="宋体"/>
                <w:sz w:val="18"/>
                <w:szCs w:val="18"/>
              </w:rPr>
              <w:br w:type="textWrapping"/>
            </w:r>
            <w:r>
              <w:rPr>
                <w:rFonts w:ascii="宋体" w:hAnsi="宋体"/>
                <w:sz w:val="18"/>
                <w:szCs w:val="18"/>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638"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基础信息完善性（1分）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部门（单位）基础信息是否完善，用以反映和考核基础信息对预算管理工作的支撑情况。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①基础数据信息和会计信息资料是否真实；（0.4分）</w:t>
            </w:r>
            <w:r>
              <w:rPr>
                <w:rFonts w:ascii="宋体" w:hAnsi="宋体"/>
                <w:sz w:val="18"/>
                <w:szCs w:val="18"/>
              </w:rPr>
              <w:br w:type="textWrapping"/>
            </w:r>
            <w:r>
              <w:rPr>
                <w:rFonts w:ascii="宋体" w:hAnsi="宋体"/>
                <w:sz w:val="18"/>
                <w:szCs w:val="18"/>
              </w:rPr>
              <w:t>②基础数据信息和会计信息资料是否完整；（0.3分）</w:t>
            </w:r>
            <w:r>
              <w:rPr>
                <w:rFonts w:ascii="宋体" w:hAnsi="宋体"/>
                <w:sz w:val="18"/>
                <w:szCs w:val="18"/>
              </w:rPr>
              <w:br w:type="textWrapping"/>
            </w:r>
            <w:r>
              <w:rPr>
                <w:rFonts w:ascii="宋体" w:hAnsi="宋体"/>
                <w:sz w:val="18"/>
                <w:szCs w:val="18"/>
              </w:rPr>
              <w:t>③基础数据信息和会计信息资料是否准确。（0.3分）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169"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restart"/>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资产管理（5分）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管理制度健全性（2分）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部门（单位）为加强资产管理、规范资产管理行为而制定的管理制度是否健全完整，用以反映和考核部门（单位）资产管理制度对完成主要职责或促进社会发展的保障情况。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①是否已制定或具有资产管理制度；（1分）</w:t>
            </w:r>
          </w:p>
          <w:p>
            <w:pPr>
              <w:rPr>
                <w:rFonts w:ascii="宋体" w:hAnsi="宋体"/>
                <w:sz w:val="18"/>
                <w:szCs w:val="18"/>
              </w:rPr>
            </w:pPr>
            <w:r>
              <w:rPr>
                <w:rFonts w:ascii="宋体" w:hAnsi="宋体"/>
                <w:sz w:val="18"/>
                <w:szCs w:val="18"/>
              </w:rPr>
              <w:t>②相关资金管理制度是否合法、合规、完整；（0.5分）</w:t>
            </w:r>
          </w:p>
          <w:p>
            <w:pPr>
              <w:rPr>
                <w:rFonts w:ascii="宋体" w:hAnsi="宋体"/>
                <w:sz w:val="15"/>
                <w:szCs w:val="15"/>
              </w:rPr>
            </w:pPr>
            <w:r>
              <w:rPr>
                <w:rFonts w:ascii="宋体" w:hAnsi="宋体"/>
                <w:sz w:val="18"/>
                <w:szCs w:val="18"/>
              </w:rPr>
              <w:t>③相关资产管理制度是否得到有效执行。（0.5分）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2</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081"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资产管理安全性（2分）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部门（单位）的资产是否保存完整、使用合规、配置合理、处置规范、收入及时足额上缴，用以反映和考核部门（单位）资产安全运行情况。</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①资产保存是否完整；（0.4分）</w:t>
            </w:r>
            <w:r>
              <w:rPr>
                <w:rFonts w:ascii="宋体" w:hAnsi="宋体"/>
                <w:sz w:val="18"/>
                <w:szCs w:val="18"/>
              </w:rPr>
              <w:br w:type="textWrapping"/>
            </w:r>
            <w:r>
              <w:rPr>
                <w:rFonts w:ascii="宋体" w:hAnsi="宋体"/>
                <w:sz w:val="18"/>
                <w:szCs w:val="18"/>
              </w:rPr>
              <w:t>②资产配置是否合理；（0.4分）</w:t>
            </w:r>
            <w:r>
              <w:rPr>
                <w:rFonts w:ascii="宋体" w:hAnsi="宋体"/>
                <w:sz w:val="18"/>
                <w:szCs w:val="18"/>
              </w:rPr>
              <w:br w:type="textWrapping"/>
            </w:r>
            <w:r>
              <w:rPr>
                <w:rFonts w:ascii="宋体" w:hAnsi="宋体"/>
                <w:sz w:val="18"/>
                <w:szCs w:val="18"/>
              </w:rPr>
              <w:t>③资产处置是否规范；（0.4分）</w:t>
            </w:r>
            <w:r>
              <w:rPr>
                <w:rFonts w:ascii="宋体" w:hAnsi="宋体"/>
                <w:sz w:val="18"/>
                <w:szCs w:val="18"/>
              </w:rPr>
              <w:br w:type="textWrapping"/>
            </w:r>
            <w:r>
              <w:rPr>
                <w:rFonts w:ascii="宋体" w:hAnsi="宋体"/>
                <w:sz w:val="18"/>
                <w:szCs w:val="18"/>
              </w:rPr>
              <w:t>④资产账务管理是否合规，是否帐实相符；（0.4分）</w:t>
            </w:r>
            <w:r>
              <w:rPr>
                <w:rFonts w:ascii="宋体" w:hAnsi="宋体"/>
                <w:sz w:val="18"/>
                <w:szCs w:val="18"/>
              </w:rPr>
              <w:br w:type="textWrapping"/>
            </w:r>
            <w:r>
              <w:rPr>
                <w:rFonts w:ascii="宋体" w:hAnsi="宋体"/>
                <w:sz w:val="18"/>
                <w:szCs w:val="18"/>
              </w:rPr>
              <w:t>⑤资产是否有偿使用及处置收入及时足额上缴。（0.4分）</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1.6</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8"/>
                <w:szCs w:val="18"/>
              </w:rPr>
              <w:t>2021年已经区财政局批准报废的价值1.65万元的复印机、0.75万元摄像机未及时进行资产账务处理。</w:t>
            </w:r>
          </w:p>
        </w:tc>
      </w:tr>
      <w:tr>
        <w:tblPrEx>
          <w:tblLayout w:type="fixed"/>
          <w:tblCellMar>
            <w:top w:w="0" w:type="dxa"/>
            <w:left w:w="108" w:type="dxa"/>
            <w:bottom w:w="0" w:type="dxa"/>
            <w:right w:w="108" w:type="dxa"/>
          </w:tblCellMar>
        </w:tblPrEx>
        <w:trPr>
          <w:trHeight w:val="1695" w:hRule="atLeast"/>
        </w:trPr>
        <w:tc>
          <w:tcPr>
            <w:tcW w:w="788" w:type="dxa"/>
            <w:vMerge w:val="continue"/>
            <w:tcBorders>
              <w:top w:val="nil"/>
              <w:left w:val="single" w:color="auto" w:sz="4" w:space="0"/>
              <w:bottom w:val="single" w:color="000000"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固定资产利用率（1分）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部门（单位）实际在用固定资产总额与所有固定资产总额的比率，用以反映和考核部门（单位）固定资产使用效率程度。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固定资产利用率=（实际在用固定资产总额/所有固定资产总额）×100%。（利用率为100%的计1分，每降1个百分点扣0.1分，扣完为止）</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507" w:hRule="atLeast"/>
        </w:trPr>
        <w:tc>
          <w:tcPr>
            <w:tcW w:w="788"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产 出（30分）</w:t>
            </w:r>
          </w:p>
        </w:tc>
        <w:tc>
          <w:tcPr>
            <w:tcW w:w="690" w:type="dxa"/>
            <w:vMerge w:val="restart"/>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职责履行（30分）</w:t>
            </w: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实际完成率（8分）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部门（单位）履行职责而实际完成工作数与计划工作数的比率，用以反映和考核部门（单位）履职工作任务目标的实现程度。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实际完成率=（实际完成工作数/计划工作数）×100%。（实际得分=实际工作完成率*8分）</w:t>
            </w:r>
            <w:r>
              <w:rPr>
                <w:rFonts w:ascii="宋体" w:hAnsi="宋体"/>
                <w:sz w:val="18"/>
                <w:szCs w:val="18"/>
              </w:rPr>
              <w:br w:type="textWrapping"/>
            </w:r>
            <w:r>
              <w:rPr>
                <w:rFonts w:ascii="宋体" w:hAnsi="宋体"/>
                <w:sz w:val="18"/>
                <w:szCs w:val="18"/>
              </w:rPr>
              <w:t>实际完成工作数：一定时期（年度或规划期）内部门（单位）实际完成工作任务的数量。</w:t>
            </w:r>
            <w:r>
              <w:rPr>
                <w:rFonts w:ascii="宋体" w:hAnsi="宋体"/>
                <w:sz w:val="18"/>
                <w:szCs w:val="18"/>
              </w:rPr>
              <w:br w:type="textWrapping"/>
            </w:r>
            <w:r>
              <w:rPr>
                <w:rFonts w:ascii="宋体" w:hAnsi="宋体"/>
                <w:sz w:val="18"/>
                <w:szCs w:val="18"/>
              </w:rPr>
              <w:t>计划工作数：部门（单位）整体绩效目标确定的一定时期（年度或规划期）内预计完成工作任务的数量。</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8</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846"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完成及时率（4分）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部门（单位）在规定时限内及时完成的实际工作数与计划工作数的比率，用以反映和考核部门履职时效目标的实现程度。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完成及时率=（及时完成实际工作数/计划工作数）×100%。（1--4季度各得1分）</w:t>
            </w:r>
            <w:r>
              <w:rPr>
                <w:rFonts w:ascii="宋体" w:hAnsi="宋体"/>
                <w:sz w:val="18"/>
                <w:szCs w:val="18"/>
              </w:rPr>
              <w:br w:type="textWrapping"/>
            </w:r>
            <w:r>
              <w:rPr>
                <w:rFonts w:ascii="宋体" w:hAnsi="宋体"/>
                <w:sz w:val="18"/>
                <w:szCs w:val="18"/>
              </w:rPr>
              <w:t>及时完成实际工作数：部门（单位）按照整体绩效目标确定的时限实际完成的工作任务数量。</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4</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2267"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质量达标率（8分）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达到质量标准（绩效标准值）的实际工作数与计划工作数的比率，用以反映和考核部门履职质量目标的实现程度。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质量达标率=（质量达标实际工作数/计划工作数）×100%。（实际得分=达标率*8分）</w:t>
            </w:r>
            <w:r>
              <w:rPr>
                <w:rFonts w:ascii="宋体" w:hAnsi="宋体"/>
                <w:sz w:val="18"/>
                <w:szCs w:val="18"/>
              </w:rPr>
              <w:br w:type="textWrapping"/>
            </w:r>
            <w:r>
              <w:rPr>
                <w:rFonts w:ascii="宋体" w:hAnsi="宋体"/>
                <w:sz w:val="18"/>
                <w:szCs w:val="18"/>
              </w:rPr>
              <w:t>质量达标实际工作数：一定时期（年度或规划期）内部门（单位）实际完成工作数中达到部门绩效目标要求（绩效标准值）的工作任务数量。</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8</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867"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重点工作办结率（10分）</w:t>
            </w:r>
          </w:p>
        </w:tc>
        <w:tc>
          <w:tcPr>
            <w:tcW w:w="1963"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部门（单位）年度重点工作实际完成数与交办或下达数的比率，用以反映部门（单位）对重点工作的办理落实程度。</w:t>
            </w:r>
          </w:p>
        </w:tc>
        <w:tc>
          <w:tcPr>
            <w:tcW w:w="2845"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重点工作办结率=（重点工作实际完成数/交办或下达数）×100%。（实际得分=办结率*10分）</w:t>
            </w:r>
            <w:r>
              <w:rPr>
                <w:rFonts w:ascii="宋体" w:hAnsi="宋体"/>
                <w:sz w:val="18"/>
                <w:szCs w:val="18"/>
              </w:rPr>
              <w:br w:type="textWrapping"/>
            </w:r>
            <w:r>
              <w:rPr>
                <w:rFonts w:ascii="宋体" w:hAnsi="宋体"/>
                <w:sz w:val="18"/>
                <w:szCs w:val="18"/>
              </w:rPr>
              <w:t>重点工作是指党委、政府、人大、相关部门交办或下达的工作任务。</w:t>
            </w:r>
          </w:p>
        </w:tc>
        <w:tc>
          <w:tcPr>
            <w:tcW w:w="567" w:type="dxa"/>
            <w:tcBorders>
              <w:top w:val="nil"/>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10</w:t>
            </w:r>
          </w:p>
        </w:tc>
        <w:tc>
          <w:tcPr>
            <w:tcW w:w="1172" w:type="dxa"/>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989" w:hRule="atLeast"/>
        </w:trPr>
        <w:tc>
          <w:tcPr>
            <w:tcW w:w="788"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效 果（20分）</w:t>
            </w:r>
          </w:p>
        </w:tc>
        <w:tc>
          <w:tcPr>
            <w:tcW w:w="690" w:type="dxa"/>
            <w:vMerge w:val="restart"/>
            <w:tcBorders>
              <w:top w:val="nil"/>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履职效益（20分）</w:t>
            </w:r>
          </w:p>
        </w:tc>
        <w:tc>
          <w:tcPr>
            <w:tcW w:w="69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经济效益（5分）</w:t>
            </w:r>
          </w:p>
        </w:tc>
        <w:tc>
          <w:tcPr>
            <w:tcW w:w="1963"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部门（单位）履行职责对经济发展所带来的直接或间接影响。</w:t>
            </w:r>
          </w:p>
        </w:tc>
        <w:tc>
          <w:tcPr>
            <w:tcW w:w="2845" w:type="dxa"/>
            <w:vMerge w:val="restart"/>
            <w:tcBorders>
              <w:top w:val="nil"/>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此三项指标为部门整体支出绩效评价指标的共性要素，各单位按照部门整体支出绩效目标实现程度为依据。（按经济效益实现程度*5、社会效益实现程度*5、生态效益实现程度*5计算实际得分）</w:t>
            </w: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5</w:t>
            </w:r>
          </w:p>
        </w:tc>
        <w:tc>
          <w:tcPr>
            <w:tcW w:w="117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117"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社会效益（5分）</w:t>
            </w:r>
          </w:p>
        </w:tc>
        <w:tc>
          <w:tcPr>
            <w:tcW w:w="1963"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部门（单位）履行职责对社会发展所带来的直接或间接影响。</w:t>
            </w:r>
          </w:p>
        </w:tc>
        <w:tc>
          <w:tcPr>
            <w:tcW w:w="284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5</w:t>
            </w:r>
          </w:p>
        </w:tc>
        <w:tc>
          <w:tcPr>
            <w:tcW w:w="117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991"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生态效益（5分）</w:t>
            </w:r>
          </w:p>
        </w:tc>
        <w:tc>
          <w:tcPr>
            <w:tcW w:w="1963"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部门（单位）履行职责对生态环境所带来的直接或间接影响。</w:t>
            </w:r>
          </w:p>
        </w:tc>
        <w:tc>
          <w:tcPr>
            <w:tcW w:w="284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5</w:t>
            </w:r>
          </w:p>
        </w:tc>
        <w:tc>
          <w:tcPr>
            <w:tcW w:w="117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1687" w:hRule="atLeast"/>
        </w:trPr>
        <w:tc>
          <w:tcPr>
            <w:tcW w:w="788" w:type="dxa"/>
            <w:vMerge w:val="continue"/>
            <w:tcBorders>
              <w:top w:val="nil"/>
              <w:left w:val="single" w:color="auto" w:sz="4" w:space="0"/>
              <w:bottom w:val="single" w:color="auto" w:sz="4" w:space="0"/>
              <w:right w:val="single" w:color="auto" w:sz="4" w:space="0"/>
            </w:tcBorders>
            <w:noWrap/>
            <w:vAlign w:val="center"/>
          </w:tcPr>
          <w:p>
            <w:pPr>
              <w:rPr>
                <w:rFonts w:ascii="宋体" w:hAnsi="宋体"/>
                <w:sz w:val="18"/>
                <w:szCs w:val="18"/>
              </w:rPr>
            </w:pPr>
          </w:p>
        </w:tc>
        <w:tc>
          <w:tcPr>
            <w:tcW w:w="690"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9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社会公众或服务对象满意度（5分）</w:t>
            </w:r>
          </w:p>
        </w:tc>
        <w:tc>
          <w:tcPr>
            <w:tcW w:w="1963"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社会公众或部门（单位）的服务对象对部门履职效果的满意程度。</w:t>
            </w:r>
          </w:p>
        </w:tc>
        <w:tc>
          <w:tcPr>
            <w:tcW w:w="284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社会公众或服务对象是指部门（单位）履行职责而影响到的部门、群体或个人。一般采取社会调查的方式。（按收到的服务对象的满意率计算得分）</w:t>
            </w: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2</w:t>
            </w:r>
          </w:p>
        </w:tc>
        <w:tc>
          <w:tcPr>
            <w:tcW w:w="117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Layout w:type="fixed"/>
          <w:tblCellMar>
            <w:top w:w="0" w:type="dxa"/>
            <w:left w:w="108" w:type="dxa"/>
            <w:bottom w:w="0" w:type="dxa"/>
            <w:right w:w="108" w:type="dxa"/>
          </w:tblCellMar>
        </w:tblPrEx>
        <w:trPr>
          <w:trHeight w:val="744" w:hRule="atLeast"/>
        </w:trPr>
        <w:tc>
          <w:tcPr>
            <w:tcW w:w="697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合      计</w:t>
            </w:r>
          </w:p>
        </w:tc>
        <w:tc>
          <w:tcPr>
            <w:tcW w:w="567" w:type="dxa"/>
            <w:tcBorders>
              <w:top w:val="single" w:color="auto" w:sz="4" w:space="0"/>
              <w:left w:val="nil"/>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3"/>
                <w:szCs w:val="13"/>
              </w:rPr>
              <w:t>91.59</w:t>
            </w:r>
          </w:p>
        </w:tc>
        <w:tc>
          <w:tcPr>
            <w:tcW w:w="117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bl>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spacing w:line="600" w:lineRule="exact"/>
        <w:rPr>
          <w:rFonts w:eastAsia="方正黑体简体"/>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rPr>
          <w:rFonts w:hint="eastAsia"/>
        </w:rPr>
      </w:pPr>
    </w:p>
    <w:p>
      <w:pPr>
        <w:spacing w:line="600" w:lineRule="exact"/>
        <w:rPr>
          <w:rFonts w:eastAsia="方正黑体简体"/>
          <w:sz w:val="32"/>
          <w:szCs w:val="32"/>
        </w:rPr>
      </w:pPr>
      <w:r>
        <w:rPr>
          <w:rFonts w:eastAsia="方正黑体简体"/>
          <w:sz w:val="32"/>
          <w:szCs w:val="32"/>
        </w:rPr>
        <w:t>附件1-1：</w:t>
      </w:r>
    </w:p>
    <w:p>
      <w:pPr>
        <w:spacing w:line="660" w:lineRule="exact"/>
        <w:jc w:val="center"/>
        <w:rPr>
          <w:rFonts w:eastAsia="方正小标宋简体"/>
          <w:sz w:val="40"/>
          <w:szCs w:val="44"/>
        </w:rPr>
      </w:pPr>
      <w:r>
        <w:rPr>
          <w:rFonts w:eastAsia="方正小标宋简体"/>
          <w:sz w:val="40"/>
          <w:szCs w:val="44"/>
        </w:rPr>
        <w:t>20</w:t>
      </w:r>
      <w:r>
        <w:rPr>
          <w:rFonts w:hint="eastAsia" w:eastAsia="方正小标宋简体"/>
          <w:sz w:val="40"/>
          <w:szCs w:val="44"/>
        </w:rPr>
        <w:t>22</w:t>
      </w:r>
      <w:r>
        <w:rPr>
          <w:rFonts w:eastAsia="方正小标宋简体"/>
          <w:sz w:val="40"/>
          <w:szCs w:val="44"/>
        </w:rPr>
        <w:t>年度</w:t>
      </w:r>
      <w:r>
        <w:rPr>
          <w:rFonts w:hint="eastAsia" w:eastAsia="方正小标宋简体"/>
          <w:sz w:val="40"/>
          <w:szCs w:val="44"/>
        </w:rPr>
        <w:t>区审计局</w:t>
      </w:r>
      <w:r>
        <w:rPr>
          <w:rFonts w:eastAsia="方正小标宋简体"/>
          <w:sz w:val="40"/>
          <w:szCs w:val="44"/>
        </w:rPr>
        <w:t>项目支出绩效自评计分表</w:t>
      </w:r>
    </w:p>
    <w:p>
      <w:pPr>
        <w:spacing w:line="600" w:lineRule="exact"/>
        <w:jc w:val="center"/>
        <w:rPr>
          <w:rFonts w:eastAsia="楷体"/>
          <w:b/>
          <w:bCs/>
          <w:sz w:val="32"/>
          <w:szCs w:val="32"/>
        </w:rPr>
      </w:pPr>
      <w:r>
        <w:rPr>
          <w:rFonts w:eastAsia="楷体"/>
          <w:b/>
          <w:bCs/>
          <w:sz w:val="32"/>
          <w:szCs w:val="32"/>
        </w:rPr>
        <w:t>（</w:t>
      </w:r>
      <w:r>
        <w:rPr>
          <w:rFonts w:hint="eastAsia" w:eastAsia="楷体"/>
          <w:b/>
          <w:bCs/>
          <w:sz w:val="32"/>
          <w:szCs w:val="32"/>
        </w:rPr>
        <w:t>政府投资审计经费</w:t>
      </w:r>
      <w:r>
        <w:rPr>
          <w:rFonts w:eastAsia="楷体"/>
          <w:b/>
          <w:bCs/>
          <w:sz w:val="32"/>
          <w:szCs w:val="32"/>
        </w:rPr>
        <w:t>项目）</w:t>
      </w:r>
    </w:p>
    <w:p>
      <w:pPr>
        <w:spacing w:line="480" w:lineRule="exact"/>
      </w:pPr>
      <w:r>
        <w:t>预算单位名称：                  预算单位编码：                   自评等级：</w:t>
      </w:r>
    </w:p>
    <w:tbl>
      <w:tblPr>
        <w:tblStyle w:val="22"/>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15"/>
        <w:gridCol w:w="784"/>
        <w:gridCol w:w="1580"/>
        <w:gridCol w:w="3395"/>
        <w:gridCol w:w="55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trPr>
        <w:tc>
          <w:tcPr>
            <w:tcW w:w="8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一级</w:t>
            </w:r>
            <w:r>
              <w:rPr>
                <w:rFonts w:ascii="宋体" w:hAnsi="宋体"/>
                <w:b/>
                <w:bCs/>
                <w:sz w:val="18"/>
                <w:szCs w:val="18"/>
              </w:rPr>
              <w:br w:type="textWrapping"/>
            </w:r>
            <w:r>
              <w:rPr>
                <w:rFonts w:ascii="宋体" w:hAnsi="宋体"/>
                <w:b/>
                <w:bCs/>
                <w:sz w:val="18"/>
                <w:szCs w:val="18"/>
              </w:rPr>
              <w:t>指标</w:t>
            </w:r>
          </w:p>
        </w:tc>
        <w:tc>
          <w:tcPr>
            <w:tcW w:w="61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二级</w:t>
            </w:r>
            <w:r>
              <w:rPr>
                <w:rFonts w:ascii="宋体" w:hAnsi="宋体"/>
                <w:b/>
                <w:bCs/>
                <w:sz w:val="18"/>
                <w:szCs w:val="18"/>
              </w:rPr>
              <w:br w:type="textWrapping"/>
            </w:r>
            <w:r>
              <w:rPr>
                <w:rFonts w:ascii="宋体" w:hAnsi="宋体"/>
                <w:b/>
                <w:bCs/>
                <w:sz w:val="18"/>
                <w:szCs w:val="18"/>
              </w:rPr>
              <w:t>指标</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指标解释</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指标说明（评价计分标准）</w:t>
            </w:r>
          </w:p>
        </w:tc>
        <w:tc>
          <w:tcPr>
            <w:tcW w:w="552"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投   入（25分）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立项（15分）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项目立项规范性（5分）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项目的申请、设立过程是否符合相关要求，用以反映和考核项目立项的规范情况。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①项目是否按照规定的程序申请设立；（1分）</w:t>
            </w:r>
            <w:r>
              <w:rPr>
                <w:rFonts w:ascii="宋体" w:hAnsi="宋体"/>
                <w:sz w:val="18"/>
                <w:szCs w:val="18"/>
              </w:rPr>
              <w:br w:type="textWrapping"/>
            </w:r>
            <w:r>
              <w:rPr>
                <w:rFonts w:ascii="宋体" w:hAnsi="宋体"/>
                <w:sz w:val="18"/>
                <w:szCs w:val="18"/>
              </w:rPr>
              <w:t>②所提交的文件、材料是否符合相关要求；（2分）</w:t>
            </w:r>
            <w:r>
              <w:rPr>
                <w:rFonts w:ascii="宋体" w:hAnsi="宋体"/>
                <w:sz w:val="18"/>
                <w:szCs w:val="18"/>
              </w:rPr>
              <w:br w:type="textWrapping"/>
            </w:r>
            <w:r>
              <w:rPr>
                <w:rFonts w:ascii="宋体" w:hAnsi="宋体"/>
                <w:sz w:val="18"/>
                <w:szCs w:val="18"/>
              </w:rPr>
              <w:t>③事前是否已经过必要的可行性研究、专家论证、风险评估、集体决策等。（2分）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绩效目标合理性（4分）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项目所设定的绩效目标是否依据充分，是否符合客观实际，用以反映和考核项目绩效目标与项目实施的相符情况。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①是否符合国家相关法律法规、国民经济发展规划和党委政府决策；（1分）</w:t>
            </w:r>
            <w:r>
              <w:rPr>
                <w:rFonts w:ascii="宋体" w:hAnsi="宋体"/>
                <w:sz w:val="18"/>
                <w:szCs w:val="18"/>
              </w:rPr>
              <w:br w:type="textWrapping"/>
            </w:r>
            <w:r>
              <w:rPr>
                <w:rFonts w:ascii="宋体" w:hAnsi="宋体"/>
                <w:sz w:val="18"/>
                <w:szCs w:val="18"/>
              </w:rPr>
              <w:t>②是否与项目实施单位或委托单位职责密切相关；（1分）</w:t>
            </w:r>
            <w:r>
              <w:rPr>
                <w:rFonts w:ascii="宋体" w:hAnsi="宋体"/>
                <w:sz w:val="18"/>
                <w:szCs w:val="18"/>
              </w:rPr>
              <w:br w:type="textWrapping"/>
            </w:r>
            <w:r>
              <w:rPr>
                <w:rFonts w:ascii="宋体" w:hAnsi="宋体"/>
                <w:sz w:val="18"/>
                <w:szCs w:val="18"/>
              </w:rPr>
              <w:t>③项目是否为促进事业发展所必需；（1分）</w:t>
            </w:r>
            <w:r>
              <w:rPr>
                <w:rFonts w:ascii="宋体" w:hAnsi="宋体"/>
                <w:sz w:val="18"/>
                <w:szCs w:val="18"/>
              </w:rPr>
              <w:br w:type="textWrapping"/>
            </w:r>
            <w:r>
              <w:rPr>
                <w:rFonts w:ascii="宋体" w:hAnsi="宋体"/>
                <w:sz w:val="18"/>
                <w:szCs w:val="18"/>
              </w:rPr>
              <w:t>④项目预期产出效益和效果是否符合正常的业绩水平。（1分）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绩效指标明确性（6分）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依据绩效目标设定的绩效指标是否清晰、细化、可衡量等，用以反映和考核项目绩效目标的明细化情况。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①是否将项目绩效目标细化分解为具体的绩效指标；（2分）</w:t>
            </w:r>
            <w:r>
              <w:rPr>
                <w:rFonts w:ascii="宋体" w:hAnsi="宋体"/>
                <w:sz w:val="18"/>
                <w:szCs w:val="18"/>
              </w:rPr>
              <w:br w:type="textWrapping"/>
            </w:r>
            <w:r>
              <w:rPr>
                <w:rFonts w:ascii="宋体" w:hAnsi="宋体"/>
                <w:sz w:val="18"/>
                <w:szCs w:val="18"/>
              </w:rPr>
              <w:t>②是否通过清晰、可衡量的指标值予以体现；（1分）</w:t>
            </w:r>
            <w:r>
              <w:rPr>
                <w:rFonts w:ascii="宋体" w:hAnsi="宋体"/>
                <w:sz w:val="18"/>
                <w:szCs w:val="18"/>
              </w:rPr>
              <w:br w:type="textWrapping"/>
            </w:r>
            <w:r>
              <w:rPr>
                <w:rFonts w:ascii="宋体" w:hAnsi="宋体"/>
                <w:sz w:val="18"/>
                <w:szCs w:val="18"/>
              </w:rPr>
              <w:t>③是否与项目年度任务数或计划数相对应；（1分）</w:t>
            </w:r>
            <w:r>
              <w:rPr>
                <w:rFonts w:ascii="宋体" w:hAnsi="宋体"/>
                <w:sz w:val="18"/>
                <w:szCs w:val="18"/>
              </w:rPr>
              <w:br w:type="textWrapping"/>
            </w:r>
            <w:r>
              <w:rPr>
                <w:rFonts w:ascii="宋体" w:hAnsi="宋体"/>
                <w:sz w:val="18"/>
                <w:szCs w:val="18"/>
              </w:rPr>
              <w:t>④是否与预算确定的项目投资额或资金量相匹配。（2分）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资金</w:t>
            </w:r>
            <w:r>
              <w:rPr>
                <w:rFonts w:ascii="宋体" w:hAnsi="宋体"/>
                <w:sz w:val="18"/>
                <w:szCs w:val="18"/>
              </w:rPr>
              <w:br w:type="textWrapping"/>
            </w:r>
            <w:r>
              <w:rPr>
                <w:rFonts w:ascii="宋体" w:hAnsi="宋体"/>
                <w:sz w:val="18"/>
                <w:szCs w:val="18"/>
              </w:rPr>
              <w:t>落实（10分）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实际到位资金与计划投入资金的比率，用以反映和考核资金落实情况对项目实施的总体保障程度。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资金到位率=（实际到位资金/计划投入资金）×100%。（达到目标值得5分，每少一个百分点扣1分，扣完为止）</w:t>
            </w:r>
            <w:r>
              <w:rPr>
                <w:rFonts w:ascii="宋体" w:hAnsi="宋体"/>
                <w:sz w:val="18"/>
                <w:szCs w:val="18"/>
              </w:rPr>
              <w:br w:type="textWrapping"/>
            </w:r>
            <w:r>
              <w:rPr>
                <w:rFonts w:ascii="宋体" w:hAnsi="宋体"/>
                <w:sz w:val="18"/>
                <w:szCs w:val="18"/>
              </w:rPr>
              <w:t>实际到位资金：一定时期（本年度或项目期）内实际落实到具体项目的资金。</w:t>
            </w:r>
            <w:r>
              <w:rPr>
                <w:rFonts w:ascii="宋体" w:hAnsi="宋体"/>
                <w:sz w:val="18"/>
                <w:szCs w:val="18"/>
              </w:rPr>
              <w:br w:type="textWrapping"/>
            </w:r>
            <w:r>
              <w:rPr>
                <w:rFonts w:ascii="宋体" w:hAnsi="宋体"/>
                <w:sz w:val="18"/>
                <w:szCs w:val="18"/>
              </w:rPr>
              <w:t>计划投入资金：一定时期（本年度或项目期）内计划投入到具体项目的资金。</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0</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3"/>
                <w:szCs w:val="13"/>
              </w:rPr>
              <w:t>（219.71万元/300万元）*100%=73.24%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及时到位资金与应到位资金的比率，用以反映和考核项目资金落实的及时性程度。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到位及时率=（及时到位资金/应到位资金）×100%。（达到目标值得5分，每少一个百分点扣1分，扣完为止）</w:t>
            </w:r>
            <w:r>
              <w:rPr>
                <w:rFonts w:ascii="宋体" w:hAnsi="宋体"/>
                <w:sz w:val="18"/>
                <w:szCs w:val="18"/>
              </w:rPr>
              <w:br w:type="textWrapping"/>
            </w:r>
            <w:r>
              <w:rPr>
                <w:rFonts w:ascii="宋体" w:hAnsi="宋体"/>
                <w:sz w:val="18"/>
                <w:szCs w:val="18"/>
              </w:rPr>
              <w:t>及时到位资金：截至规定时点实际落实到具体项目的资金。</w:t>
            </w:r>
            <w:r>
              <w:rPr>
                <w:rFonts w:ascii="宋体" w:hAnsi="宋体"/>
                <w:sz w:val="18"/>
                <w:szCs w:val="18"/>
              </w:rPr>
              <w:br w:type="textWrapping"/>
            </w:r>
            <w:r>
              <w:rPr>
                <w:rFonts w:ascii="宋体" w:hAnsi="宋体"/>
                <w:sz w:val="18"/>
                <w:szCs w:val="18"/>
              </w:rPr>
              <w:t>应到位资金：按照合同或项目进度要求截至规定时点应落实到具体项目的资金。</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0</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3"/>
                <w:szCs w:val="13"/>
              </w:rPr>
              <w:t>（219.71万元/300万元）*100%=73.24%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过   程（25分）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业务</w:t>
            </w:r>
            <w:r>
              <w:rPr>
                <w:rFonts w:ascii="宋体" w:hAnsi="宋体"/>
                <w:sz w:val="18"/>
                <w:szCs w:val="18"/>
              </w:rPr>
              <w:br w:type="textWrapping"/>
            </w:r>
            <w:r>
              <w:rPr>
                <w:rFonts w:ascii="宋体" w:hAnsi="宋体"/>
                <w:sz w:val="18"/>
                <w:szCs w:val="18"/>
              </w:rPr>
              <w:t>管理（13分）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项目实施单位的业务管理制度是否健全，用以反映和考核业务管理制度对项目顺利实施的保障情况。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①是否已制定或具有相应的业务管理制度；（2分）</w:t>
            </w:r>
            <w:r>
              <w:rPr>
                <w:rFonts w:ascii="宋体" w:hAnsi="宋体"/>
                <w:sz w:val="18"/>
                <w:szCs w:val="18"/>
              </w:rPr>
              <w:br w:type="textWrapping"/>
            </w:r>
            <w:r>
              <w:rPr>
                <w:rFonts w:ascii="宋体" w:hAnsi="宋体"/>
                <w:sz w:val="18"/>
                <w:szCs w:val="18"/>
              </w:rPr>
              <w:t>②业务管理制度是否合法、合规、完整。（2分）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制度执行有效性（6分）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项目实施是否符合相关业务管理规定，用以反映和考核业务管理制度的有效执行情况。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①是否遵守相关法律法规和业务管理规定；（1分）</w:t>
            </w:r>
            <w:r>
              <w:rPr>
                <w:rFonts w:ascii="宋体" w:hAnsi="宋体"/>
                <w:sz w:val="18"/>
                <w:szCs w:val="18"/>
              </w:rPr>
              <w:br w:type="textWrapping"/>
            </w:r>
            <w:r>
              <w:rPr>
                <w:rFonts w:ascii="宋体" w:hAnsi="宋体"/>
                <w:sz w:val="18"/>
                <w:szCs w:val="18"/>
              </w:rPr>
              <w:t>②项目调整及支出调整手续是否完备；（1分）</w:t>
            </w:r>
            <w:r>
              <w:rPr>
                <w:rFonts w:ascii="宋体" w:hAnsi="宋体"/>
                <w:sz w:val="18"/>
                <w:szCs w:val="18"/>
              </w:rPr>
              <w:br w:type="textWrapping"/>
            </w:r>
            <w:r>
              <w:rPr>
                <w:rFonts w:ascii="宋体" w:hAnsi="宋体"/>
                <w:sz w:val="18"/>
                <w:szCs w:val="18"/>
              </w:rPr>
              <w:t>③项目合同书、验收报告、技术鉴定等资料是否齐全并及时归档；（2分）</w:t>
            </w:r>
            <w:r>
              <w:rPr>
                <w:rFonts w:ascii="宋体" w:hAnsi="宋体"/>
                <w:sz w:val="18"/>
                <w:szCs w:val="18"/>
              </w:rPr>
              <w:br w:type="textWrapping"/>
            </w:r>
            <w:r>
              <w:rPr>
                <w:rFonts w:ascii="宋体" w:hAnsi="宋体"/>
                <w:sz w:val="18"/>
                <w:szCs w:val="18"/>
              </w:rPr>
              <w:t>④项目实施的人员条件、场地设备、信息支撑等是否落实到位。（2分）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项目质量可控性（3分）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项目实施单位是否为达到项目质量要求而采取了必需的措施，用以反映和考核项目实施单位对项目质量的控制情况。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①是否已制定或具有相应的项目质量要求或标准；（1分）</w:t>
            </w:r>
            <w:r>
              <w:rPr>
                <w:rFonts w:ascii="宋体" w:hAnsi="宋体"/>
                <w:sz w:val="18"/>
                <w:szCs w:val="18"/>
              </w:rPr>
              <w:br w:type="textWrapping"/>
            </w:r>
            <w:r>
              <w:rPr>
                <w:rFonts w:ascii="宋体" w:hAnsi="宋体"/>
                <w:sz w:val="18"/>
                <w:szCs w:val="18"/>
              </w:rPr>
              <w:t>②是否采取了相应的项目质量检查、验收等必需的控制措施或手段。（2分）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财务</w:t>
            </w:r>
            <w:r>
              <w:rPr>
                <w:rFonts w:ascii="宋体" w:hAnsi="宋体"/>
                <w:sz w:val="18"/>
                <w:szCs w:val="18"/>
              </w:rPr>
              <w:br w:type="textWrapping"/>
            </w:r>
            <w:r>
              <w:rPr>
                <w:rFonts w:ascii="宋体" w:hAnsi="宋体"/>
                <w:sz w:val="18"/>
                <w:szCs w:val="18"/>
              </w:rPr>
              <w:t>管理（12分）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管理制度健全性（3分）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项目实施单位的财务制度是否健全，用以反映和考核财务管理制度对资金规范、安全运行的保障情况。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①是否已制定或具有相应的项目资金管理办法；（2分）</w:t>
            </w:r>
            <w:r>
              <w:rPr>
                <w:rFonts w:ascii="宋体" w:hAnsi="宋体"/>
                <w:sz w:val="18"/>
                <w:szCs w:val="18"/>
              </w:rPr>
              <w:br w:type="textWrapping"/>
            </w:r>
            <w:r>
              <w:rPr>
                <w:rFonts w:ascii="宋体" w:hAnsi="宋体"/>
                <w:sz w:val="18"/>
                <w:szCs w:val="18"/>
              </w:rPr>
              <w:t>②项目资金管理办法是否符合相关财务会计制度的规定。（1分）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资金使用合规性（7分）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项目资金使用是否符合相关的财务管理制度规定，用以反映和考核项目资金的规范运行情况。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①是否符合国家财经法规和财务管理制度以及有关专项资金管理办法的规定；（1分）</w:t>
            </w:r>
            <w:r>
              <w:rPr>
                <w:rFonts w:ascii="宋体" w:hAnsi="宋体"/>
                <w:sz w:val="18"/>
                <w:szCs w:val="18"/>
              </w:rPr>
              <w:br w:type="textWrapping"/>
            </w:r>
            <w:r>
              <w:rPr>
                <w:rFonts w:ascii="宋体" w:hAnsi="宋体"/>
                <w:sz w:val="18"/>
                <w:szCs w:val="18"/>
              </w:rPr>
              <w:t>②资金的拨付是否有完整的审批程序和手续；（2分）</w:t>
            </w:r>
            <w:r>
              <w:rPr>
                <w:rFonts w:ascii="宋体" w:hAnsi="宋体"/>
                <w:sz w:val="18"/>
                <w:szCs w:val="18"/>
              </w:rPr>
              <w:br w:type="textWrapping"/>
            </w:r>
            <w:r>
              <w:rPr>
                <w:rFonts w:ascii="宋体" w:hAnsi="宋体"/>
                <w:sz w:val="18"/>
                <w:szCs w:val="18"/>
              </w:rPr>
              <w:t>③项目的重大开支是否经过评估认证；（1分）</w:t>
            </w:r>
            <w:r>
              <w:rPr>
                <w:rFonts w:ascii="宋体" w:hAnsi="宋体"/>
                <w:sz w:val="18"/>
                <w:szCs w:val="18"/>
              </w:rPr>
              <w:br w:type="textWrapping"/>
            </w:r>
            <w:r>
              <w:rPr>
                <w:rFonts w:ascii="宋体" w:hAnsi="宋体"/>
                <w:sz w:val="18"/>
                <w:szCs w:val="18"/>
              </w:rPr>
              <w:t>④是否符合项目预算批复或合同规定的用途；（1分）</w:t>
            </w:r>
            <w:r>
              <w:rPr>
                <w:rFonts w:ascii="宋体" w:hAnsi="宋体"/>
                <w:sz w:val="18"/>
                <w:szCs w:val="18"/>
              </w:rPr>
              <w:br w:type="textWrapping"/>
            </w:r>
            <w:r>
              <w:rPr>
                <w:rFonts w:ascii="宋体" w:hAnsi="宋体"/>
                <w:sz w:val="18"/>
                <w:szCs w:val="18"/>
              </w:rPr>
              <w:t>⑤是否存在截留、挤占、挪用、虚列支出等情况。（2分）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7</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财务监控有效性（2分）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项目实施单位是否为保障资金的安全、规范运行而采取了必要的监控措施，用以反映和考核项目实施单位对资金运行的控制情况。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①是否已制定或具有相应的监控机制；（1分）</w:t>
            </w:r>
            <w:r>
              <w:rPr>
                <w:rFonts w:ascii="宋体" w:hAnsi="宋体"/>
                <w:sz w:val="18"/>
                <w:szCs w:val="18"/>
              </w:rPr>
              <w:br w:type="textWrapping"/>
            </w:r>
            <w:r>
              <w:rPr>
                <w:rFonts w:ascii="宋体" w:hAnsi="宋体"/>
                <w:sz w:val="18"/>
                <w:szCs w:val="18"/>
              </w:rPr>
              <w:t>②是否采取了相应的财务检查等必要的监控措施或手段。（1分）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2</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产   出（20分）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产出（20分）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项目实施的实际产出数与计划产出数的比率，用以反映和考核项目产出数量目标的实现程度。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实际完成率=（实际产出数/计划产出数）×100%。（得分=实际完成率*4分）</w:t>
            </w:r>
            <w:r>
              <w:rPr>
                <w:rFonts w:ascii="宋体" w:hAnsi="宋体"/>
                <w:sz w:val="18"/>
                <w:szCs w:val="18"/>
              </w:rPr>
              <w:br w:type="textWrapping"/>
            </w:r>
            <w:r>
              <w:rPr>
                <w:rFonts w:ascii="宋体" w:hAnsi="宋体"/>
                <w:sz w:val="18"/>
                <w:szCs w:val="18"/>
              </w:rPr>
              <w:t>实际产出数：一定时期（本年度或项目期）内项目实际产出的产品或提供的服务数量。</w:t>
            </w:r>
            <w:r>
              <w:rPr>
                <w:rFonts w:ascii="宋体" w:hAnsi="宋体"/>
                <w:sz w:val="18"/>
                <w:szCs w:val="18"/>
              </w:rPr>
              <w:br w:type="textWrapping"/>
            </w:r>
            <w:r>
              <w:rPr>
                <w:rFonts w:ascii="宋体" w:hAnsi="宋体"/>
                <w:sz w:val="18"/>
                <w:szCs w:val="18"/>
              </w:rPr>
              <w:t>计划产出数：项目绩效目标确定的在一定时期（本年度或项目期）内计划产出的产品或提供的服务数量。</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xml:space="preserve"> 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项目实际提前完成时间与计划完成时间的比率，用以反映和考核项目产出时效目标的实现程度。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完成及时率=[（计划完成时间-实际完成时间）/计划完成时间]×100%。（1--4季度各得1.5分）</w:t>
            </w:r>
            <w:r>
              <w:rPr>
                <w:rFonts w:ascii="宋体" w:hAnsi="宋体"/>
                <w:sz w:val="18"/>
                <w:szCs w:val="18"/>
              </w:rPr>
              <w:br w:type="textWrapping"/>
            </w:r>
            <w:r>
              <w:rPr>
                <w:rFonts w:ascii="宋体" w:hAnsi="宋体"/>
                <w:sz w:val="18"/>
                <w:szCs w:val="18"/>
              </w:rPr>
              <w:t>实际完成时间：项目实施单位完成该项目实际所耗用的时间。</w:t>
            </w:r>
            <w:r>
              <w:rPr>
                <w:rFonts w:ascii="宋体" w:hAnsi="宋体"/>
                <w:sz w:val="18"/>
                <w:szCs w:val="18"/>
              </w:rPr>
              <w:br w:type="textWrapping"/>
            </w:r>
            <w:r>
              <w:rPr>
                <w:rFonts w:ascii="宋体" w:hAnsi="宋体"/>
                <w:sz w:val="18"/>
                <w:szCs w:val="18"/>
              </w:rPr>
              <w:t>计划完成时间：按照项目实施计划或相关规定完成该项目所需的时间。</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xml:space="preserve"> 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项目完成的质量达标产出数与实际产出数的比率，用以反映和考核项目产出质量目标的实现程度。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质量达标率=（质量达标产出数/实际产出数）×100%。（得分=达标率*5分）</w:t>
            </w:r>
            <w:r>
              <w:rPr>
                <w:rFonts w:ascii="宋体" w:hAnsi="宋体"/>
                <w:sz w:val="18"/>
                <w:szCs w:val="18"/>
              </w:rPr>
              <w:br w:type="textWrapping"/>
            </w:r>
            <w:r>
              <w:rPr>
                <w:rFonts w:ascii="宋体" w:hAnsi="宋体"/>
                <w:sz w:val="18"/>
                <w:szCs w:val="18"/>
              </w:rPr>
              <w:t>质量达标产出数：一定时期（本年度或项目期）内实际达到既定质量标准的产品或服务数量。</w:t>
            </w:r>
            <w:r>
              <w:rPr>
                <w:rFonts w:ascii="宋体" w:hAnsi="宋体"/>
                <w:sz w:val="18"/>
                <w:szCs w:val="18"/>
              </w:rPr>
              <w:br w:type="textWrapping"/>
            </w:r>
            <w:r>
              <w:rPr>
                <w:rFonts w:ascii="宋体" w:hAnsi="宋体"/>
                <w:sz w:val="18"/>
                <w:szCs w:val="18"/>
              </w:rPr>
              <w:t>既定质量标准是指项目实施单位设立绩效目标时依据计划标准、行业标准、历史标准或其他标准而设定的绩效指标值。</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完成项目计划工作目标的实际节约成本与计划成本的比率，用以反映和考核项目的成本节约程度。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成本节约率=[（计划成本-实际成本）/计划成本]×100%。（节约的计5分，增加的按比例扣分）</w:t>
            </w:r>
            <w:r>
              <w:rPr>
                <w:rFonts w:ascii="宋体" w:hAnsi="宋体"/>
                <w:sz w:val="18"/>
                <w:szCs w:val="18"/>
              </w:rPr>
              <w:br w:type="textWrapping"/>
            </w:r>
            <w:r>
              <w:rPr>
                <w:rFonts w:ascii="宋体" w:hAnsi="宋体"/>
                <w:sz w:val="18"/>
                <w:szCs w:val="18"/>
              </w:rPr>
              <w:t>实际成本：项目实施单位如期、保质、保量完成既定工作目标实际所耗费的支出。</w:t>
            </w:r>
            <w:r>
              <w:rPr>
                <w:rFonts w:ascii="宋体" w:hAnsi="宋体"/>
                <w:sz w:val="18"/>
                <w:szCs w:val="18"/>
              </w:rPr>
              <w:br w:type="textWrapping"/>
            </w:r>
            <w:r>
              <w:rPr>
                <w:rFonts w:ascii="宋体" w:hAnsi="宋体"/>
                <w:sz w:val="18"/>
                <w:szCs w:val="18"/>
              </w:rPr>
              <w:t>计划成本：项目实施单位为完成工作目标计划安排的支出，一般以项目预算为参考。</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效   果（30分）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效益（30分）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经济效益（5分）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项目实施对经济发展所带来的直接或间接影响情况。</w:t>
            </w:r>
          </w:p>
        </w:tc>
        <w:tc>
          <w:tcPr>
            <w:tcW w:w="3395" w:type="dxa"/>
            <w:vMerge w:val="restart"/>
            <w:tcBorders>
              <w:top w:val="nil"/>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项目实施对社会发展所带来的直接或间接影响情况。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生态效益（5分）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项目实施对生态环境所带来的直接或间接影响情况。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可持续影响（5分）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项目后续运行及成效发挥的可持续影响情况。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社会公众或服务对象满意度（10分）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社会公众或服务对象对项目实施效果的满意程度。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社会公众或服务对象是指因该项目实施而受到影响的部门（单位）、群体或个人。一般采取社会调查的方式。（按收到的服务对象的满意率计算得分）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8"/>
                <w:szCs w:val="18"/>
              </w:rPr>
              <w:t>8</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249"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合计</w:t>
            </w:r>
          </w:p>
        </w:tc>
        <w:tc>
          <w:tcPr>
            <w:tcW w:w="552" w:type="dxa"/>
            <w:tcBorders>
              <w:top w:val="single" w:color="auto" w:sz="4" w:space="0"/>
              <w:left w:val="nil"/>
              <w:bottom w:val="single" w:color="auto" w:sz="4" w:space="0"/>
              <w:right w:val="single" w:color="auto" w:sz="4" w:space="0"/>
            </w:tcBorders>
            <w:noWrap/>
            <w:vAlign w:val="center"/>
          </w:tcPr>
          <w:p>
            <w:pPr>
              <w:ind w:left="180" w:hanging="180" w:hangingChars="100"/>
              <w:rPr>
                <w:rFonts w:ascii="宋体" w:hAnsi="宋体"/>
                <w:sz w:val="18"/>
                <w:szCs w:val="18"/>
              </w:rPr>
            </w:pPr>
            <w:r>
              <w:rPr>
                <w:rFonts w:hint="eastAsia" w:ascii="宋体" w:hAnsi="宋体"/>
                <w:sz w:val="18"/>
                <w:szCs w:val="18"/>
              </w:rPr>
              <w:t>88</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bl>
    <w:p>
      <w:pPr>
        <w:spacing w:line="600" w:lineRule="exact"/>
        <w:rPr>
          <w:rFonts w:eastAsia="方正黑体简体"/>
          <w:sz w:val="32"/>
          <w:szCs w:val="32"/>
        </w:rPr>
      </w:pPr>
    </w:p>
    <w:p>
      <w:pPr>
        <w:spacing w:line="600" w:lineRule="exact"/>
        <w:rPr>
          <w:rFonts w:eastAsia="方正黑体简体"/>
          <w:sz w:val="32"/>
          <w:szCs w:val="32"/>
        </w:rPr>
      </w:pPr>
      <w:r>
        <w:rPr>
          <w:rFonts w:eastAsia="方正黑体简体"/>
          <w:sz w:val="32"/>
          <w:szCs w:val="32"/>
        </w:rPr>
        <w:t>附件1-2：</w:t>
      </w:r>
    </w:p>
    <w:p>
      <w:pPr>
        <w:spacing w:line="660" w:lineRule="exact"/>
        <w:jc w:val="center"/>
        <w:rPr>
          <w:rFonts w:eastAsia="方正小标宋简体"/>
          <w:sz w:val="40"/>
          <w:szCs w:val="44"/>
        </w:rPr>
      </w:pPr>
      <w:r>
        <w:rPr>
          <w:rFonts w:eastAsia="方正小标宋简体"/>
          <w:sz w:val="40"/>
          <w:szCs w:val="44"/>
        </w:rPr>
        <w:t>20</w:t>
      </w:r>
      <w:r>
        <w:rPr>
          <w:rFonts w:hint="eastAsia" w:eastAsia="方正小标宋简体"/>
          <w:sz w:val="40"/>
          <w:szCs w:val="44"/>
        </w:rPr>
        <w:t>22</w:t>
      </w:r>
      <w:r>
        <w:rPr>
          <w:rFonts w:eastAsia="方正小标宋简体"/>
          <w:sz w:val="40"/>
          <w:szCs w:val="44"/>
        </w:rPr>
        <w:t>年度区本级项目支出绩效自评计分表</w:t>
      </w:r>
    </w:p>
    <w:p>
      <w:pPr>
        <w:spacing w:line="600" w:lineRule="exact"/>
        <w:jc w:val="center"/>
        <w:rPr>
          <w:rFonts w:eastAsia="楷体"/>
          <w:b/>
          <w:bCs/>
          <w:sz w:val="32"/>
          <w:szCs w:val="32"/>
        </w:rPr>
      </w:pPr>
      <w:r>
        <w:rPr>
          <w:rFonts w:eastAsia="楷体"/>
          <w:b/>
          <w:bCs/>
          <w:sz w:val="32"/>
          <w:szCs w:val="32"/>
        </w:rPr>
        <w:t>（</w:t>
      </w:r>
      <w:r>
        <w:rPr>
          <w:rFonts w:hint="eastAsia" w:eastAsia="楷体"/>
          <w:b/>
          <w:bCs/>
          <w:sz w:val="32"/>
          <w:szCs w:val="32"/>
        </w:rPr>
        <w:t>各项审计业务经费</w:t>
      </w:r>
      <w:r>
        <w:rPr>
          <w:rFonts w:eastAsia="楷体"/>
          <w:b/>
          <w:bCs/>
          <w:sz w:val="32"/>
          <w:szCs w:val="32"/>
        </w:rPr>
        <w:t>项目）</w:t>
      </w:r>
    </w:p>
    <w:p>
      <w:pPr>
        <w:spacing w:line="480" w:lineRule="exact"/>
      </w:pPr>
      <w:r>
        <w:t>预算单位名称：                  预算单位编码：                   自评等级：</w:t>
      </w:r>
    </w:p>
    <w:tbl>
      <w:tblPr>
        <w:tblStyle w:val="22"/>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625"/>
        <w:gridCol w:w="757"/>
        <w:gridCol w:w="1784"/>
        <w:gridCol w:w="3368"/>
        <w:gridCol w:w="65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trPr>
        <w:tc>
          <w:tcPr>
            <w:tcW w:w="7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一级</w:t>
            </w:r>
            <w:r>
              <w:rPr>
                <w:rFonts w:ascii="宋体" w:hAnsi="宋体"/>
                <w:b/>
                <w:bCs/>
                <w:sz w:val="18"/>
                <w:szCs w:val="18"/>
              </w:rPr>
              <w:br w:type="textWrapping"/>
            </w:r>
            <w:r>
              <w:rPr>
                <w:rFonts w:ascii="宋体" w:hAnsi="宋体"/>
                <w:b/>
                <w:bCs/>
                <w:sz w:val="18"/>
                <w:szCs w:val="18"/>
              </w:rPr>
              <w:t>指标</w:t>
            </w:r>
          </w:p>
        </w:tc>
        <w:tc>
          <w:tcPr>
            <w:tcW w:w="62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二级</w:t>
            </w:r>
            <w:r>
              <w:rPr>
                <w:rFonts w:ascii="宋体" w:hAnsi="宋体"/>
                <w:b/>
                <w:bCs/>
                <w:sz w:val="18"/>
                <w:szCs w:val="18"/>
              </w:rPr>
              <w:br w:type="textWrapping"/>
            </w:r>
            <w:r>
              <w:rPr>
                <w:rFonts w:ascii="宋体" w:hAnsi="宋体"/>
                <w:b/>
                <w:bCs/>
                <w:sz w:val="18"/>
                <w:szCs w:val="18"/>
              </w:rPr>
              <w:t>指标</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指标解释</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指标说明（评价计分标准）</w:t>
            </w:r>
          </w:p>
        </w:tc>
        <w:tc>
          <w:tcPr>
            <w:tcW w:w="65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119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793"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投入（25分）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立项（15分）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项目立项规范性（5分）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项目的申请、设立过程是否符合相关要求，用以反映和考核项目立项的规范情况。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①项目是否按照规定的程序申请设立；（1分）</w:t>
            </w:r>
            <w:r>
              <w:rPr>
                <w:rFonts w:ascii="宋体" w:hAnsi="宋体"/>
                <w:sz w:val="18"/>
                <w:szCs w:val="18"/>
              </w:rPr>
              <w:br w:type="textWrapping"/>
            </w:r>
            <w:r>
              <w:rPr>
                <w:rFonts w:ascii="宋体" w:hAnsi="宋体"/>
                <w:sz w:val="18"/>
                <w:szCs w:val="18"/>
              </w:rPr>
              <w:t>②所提交的文件、材料是否符合相关要求；（2分）</w:t>
            </w:r>
            <w:r>
              <w:rPr>
                <w:rFonts w:ascii="宋体" w:hAnsi="宋体"/>
                <w:sz w:val="18"/>
                <w:szCs w:val="18"/>
              </w:rPr>
              <w:br w:type="textWrapping"/>
            </w:r>
            <w:r>
              <w:rPr>
                <w:rFonts w:ascii="宋体" w:hAnsi="宋体"/>
                <w:sz w:val="18"/>
                <w:szCs w:val="18"/>
              </w:rPr>
              <w:t>③事前是否已经过必要的可行性研究、专家论证、风险评估、集体决策等。（2分）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绩效目标合理性（4分）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项目所设定的绩效目标是否依据充分，是否符合客观实际，用以反映和考核项目绩效目标与项目实施的相符情况。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①是否符合国家相关法律法规、国民经济发展规划和党委政府决策；（1分）</w:t>
            </w:r>
            <w:r>
              <w:rPr>
                <w:rFonts w:ascii="宋体" w:hAnsi="宋体"/>
                <w:sz w:val="18"/>
                <w:szCs w:val="18"/>
              </w:rPr>
              <w:br w:type="textWrapping"/>
            </w:r>
            <w:r>
              <w:rPr>
                <w:rFonts w:ascii="宋体" w:hAnsi="宋体"/>
                <w:sz w:val="18"/>
                <w:szCs w:val="18"/>
              </w:rPr>
              <w:t>②是否与项目实施单位或委托单位职责密切相关；（1分）</w:t>
            </w:r>
            <w:r>
              <w:rPr>
                <w:rFonts w:ascii="宋体" w:hAnsi="宋体"/>
                <w:sz w:val="18"/>
                <w:szCs w:val="18"/>
              </w:rPr>
              <w:br w:type="textWrapping"/>
            </w:r>
            <w:r>
              <w:rPr>
                <w:rFonts w:ascii="宋体" w:hAnsi="宋体"/>
                <w:sz w:val="18"/>
                <w:szCs w:val="18"/>
              </w:rPr>
              <w:t>③项目是否为促进事业发展所必需；（1分）</w:t>
            </w:r>
            <w:r>
              <w:rPr>
                <w:rFonts w:ascii="宋体" w:hAnsi="宋体"/>
                <w:sz w:val="18"/>
                <w:szCs w:val="18"/>
              </w:rPr>
              <w:br w:type="textWrapping"/>
            </w:r>
            <w:r>
              <w:rPr>
                <w:rFonts w:ascii="宋体" w:hAnsi="宋体"/>
                <w:sz w:val="18"/>
                <w:szCs w:val="18"/>
              </w:rPr>
              <w:t>④项目预期产出效益和效果是否符合正常的业绩水平。（1分）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4</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绩效指标明确性（6分）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依据绩效目标设定的绩效指标是否清晰、细化、可衡量等，用以反映和考核项目绩效目标的明细化情况。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①是否将项目绩效目标细化分解为具体的绩效指标；（2分）</w:t>
            </w:r>
            <w:r>
              <w:rPr>
                <w:rFonts w:ascii="宋体" w:hAnsi="宋体"/>
                <w:sz w:val="18"/>
                <w:szCs w:val="18"/>
              </w:rPr>
              <w:br w:type="textWrapping"/>
            </w:r>
            <w:r>
              <w:rPr>
                <w:rFonts w:ascii="宋体" w:hAnsi="宋体"/>
                <w:sz w:val="18"/>
                <w:szCs w:val="18"/>
              </w:rPr>
              <w:t>②是否通过清晰、可衡量的指标值予以体现；（1分）</w:t>
            </w:r>
            <w:r>
              <w:rPr>
                <w:rFonts w:ascii="宋体" w:hAnsi="宋体"/>
                <w:sz w:val="18"/>
                <w:szCs w:val="18"/>
              </w:rPr>
              <w:br w:type="textWrapping"/>
            </w:r>
            <w:r>
              <w:rPr>
                <w:rFonts w:ascii="宋体" w:hAnsi="宋体"/>
                <w:sz w:val="18"/>
                <w:szCs w:val="18"/>
              </w:rPr>
              <w:t>③是否与项目年度任务数或计划数相对应；（1分）</w:t>
            </w:r>
            <w:r>
              <w:rPr>
                <w:rFonts w:ascii="宋体" w:hAnsi="宋体"/>
                <w:sz w:val="18"/>
                <w:szCs w:val="18"/>
              </w:rPr>
              <w:br w:type="textWrapping"/>
            </w:r>
            <w:r>
              <w:rPr>
                <w:rFonts w:ascii="宋体" w:hAnsi="宋体"/>
                <w:sz w:val="18"/>
                <w:szCs w:val="18"/>
              </w:rPr>
              <w:t>④是否与预算确定的项目投资额或资金量相匹配。（2分）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6</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资金</w:t>
            </w:r>
            <w:r>
              <w:rPr>
                <w:rFonts w:ascii="宋体" w:hAnsi="宋体"/>
                <w:sz w:val="18"/>
                <w:szCs w:val="18"/>
              </w:rPr>
              <w:br w:type="textWrapping"/>
            </w:r>
            <w:r>
              <w:rPr>
                <w:rFonts w:ascii="宋体" w:hAnsi="宋体"/>
                <w:sz w:val="18"/>
                <w:szCs w:val="18"/>
              </w:rPr>
              <w:t>落实（10分）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实际到位资金与计划投入资金的比率，用以反映和考核资金落实情况对项目实施的总体保障程度。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资金到位率=（实际到位资金/计划投入资金）×100%。（达到目标值得5分，每少一个百分点扣1分，扣完为止）</w:t>
            </w:r>
            <w:r>
              <w:rPr>
                <w:rFonts w:ascii="宋体" w:hAnsi="宋体"/>
                <w:sz w:val="18"/>
                <w:szCs w:val="18"/>
              </w:rPr>
              <w:br w:type="textWrapping"/>
            </w:r>
            <w:r>
              <w:rPr>
                <w:rFonts w:ascii="宋体" w:hAnsi="宋体"/>
                <w:sz w:val="18"/>
                <w:szCs w:val="18"/>
              </w:rPr>
              <w:t>实际到位资金：一定时期（本年度或项目期）内实际落实到具体项目的资金。</w:t>
            </w:r>
            <w:r>
              <w:rPr>
                <w:rFonts w:ascii="宋体" w:hAnsi="宋体"/>
                <w:sz w:val="18"/>
                <w:szCs w:val="18"/>
              </w:rPr>
              <w:br w:type="textWrapping"/>
            </w:r>
            <w:r>
              <w:rPr>
                <w:rFonts w:ascii="宋体" w:hAnsi="宋体"/>
                <w:sz w:val="18"/>
                <w:szCs w:val="18"/>
              </w:rPr>
              <w:t>计划投入资金：一定时期（本年度或项目期）内计划投入到具体项目的资金。</w:t>
            </w:r>
          </w:p>
        </w:tc>
        <w:tc>
          <w:tcPr>
            <w:tcW w:w="655"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hint="eastAsia" w:ascii="宋体" w:hAnsi="宋体"/>
                <w:sz w:val="18"/>
                <w:szCs w:val="18"/>
              </w:rPr>
              <w:t>0</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资金到位率</w:t>
            </w:r>
            <w:r>
              <w:rPr>
                <w:rFonts w:hint="eastAsia" w:ascii="宋体" w:hAnsi="宋体"/>
                <w:sz w:val="18"/>
                <w:szCs w:val="18"/>
              </w:rPr>
              <w:t>=10万元/30万元</w:t>
            </w:r>
            <w:r>
              <w:rPr>
                <w:rFonts w:ascii="宋体" w:hAnsi="宋体"/>
                <w:sz w:val="18"/>
                <w:szCs w:val="18"/>
              </w:rPr>
              <w:t>=</w:t>
            </w:r>
            <w:r>
              <w:rPr>
                <w:rFonts w:hint="eastAsia" w:ascii="宋体" w:hAnsi="宋体"/>
                <w:sz w:val="18"/>
                <w:szCs w:val="18"/>
              </w:rPr>
              <w:t>33.33</w:t>
            </w:r>
            <w:r>
              <w:rPr>
                <w:rFonts w:ascii="宋体" w:hAnsi="宋体"/>
                <w:sz w:val="18"/>
                <w:szCs w:val="18"/>
              </w:rPr>
              <w:t>%。</w:t>
            </w:r>
          </w:p>
          <w:p>
            <w:pPr>
              <w:tabs>
                <w:tab w:val="left" w:pos="406"/>
              </w:tabs>
              <w:rPr>
                <w:rFonts w:ascii="宋体" w:hAnsi="宋体"/>
                <w:sz w:val="18"/>
                <w:szCs w:val="18"/>
              </w:rPr>
            </w:pPr>
            <w:r>
              <w:rPr>
                <w:rFonts w:ascii="宋体" w:hAnsi="宋体"/>
                <w:sz w:val="18"/>
                <w:szCs w:val="18"/>
              </w:rPr>
              <w:t>实际到位资金：</w:t>
            </w:r>
            <w:r>
              <w:rPr>
                <w:rFonts w:hint="eastAsia" w:ascii="宋体" w:hAnsi="宋体"/>
                <w:sz w:val="18"/>
                <w:szCs w:val="18"/>
              </w:rPr>
              <w:t>10.00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w:t>
            </w:r>
            <w:r>
              <w:rPr>
                <w:rFonts w:hint="eastAsia" w:ascii="宋体" w:hAnsi="宋体"/>
                <w:sz w:val="18"/>
                <w:szCs w:val="18"/>
              </w:rPr>
              <w:t>30</w:t>
            </w:r>
            <w:r>
              <w:rPr>
                <w:rFonts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及时到位资金与应到位资金的比率，用以反映和考核项目资金落实的及时性程度。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到位及时率=（及时到位资金/应到位资金）×100%。（达到目标值得5分，每少一个百分点扣1分，扣完为止）</w:t>
            </w:r>
            <w:r>
              <w:rPr>
                <w:rFonts w:ascii="宋体" w:hAnsi="宋体"/>
                <w:sz w:val="18"/>
                <w:szCs w:val="18"/>
              </w:rPr>
              <w:br w:type="textWrapping"/>
            </w:r>
            <w:r>
              <w:rPr>
                <w:rFonts w:ascii="宋体" w:hAnsi="宋体"/>
                <w:sz w:val="18"/>
                <w:szCs w:val="18"/>
              </w:rPr>
              <w:t>及时到位资金：截至规定时点实际落实到具体项目的资金。</w:t>
            </w:r>
            <w:r>
              <w:rPr>
                <w:rFonts w:ascii="宋体" w:hAnsi="宋体"/>
                <w:sz w:val="18"/>
                <w:szCs w:val="18"/>
              </w:rPr>
              <w:br w:type="textWrapping"/>
            </w:r>
            <w:r>
              <w:rPr>
                <w:rFonts w:ascii="宋体" w:hAnsi="宋体"/>
                <w:sz w:val="18"/>
                <w:szCs w:val="18"/>
              </w:rPr>
              <w:t>应到位资金：按照合同或项目进度要求截至规定时点应落实到具体项目的资金。</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color w:val="FF0000"/>
                <w:sz w:val="18"/>
                <w:szCs w:val="18"/>
              </w:rPr>
              <w:t>　</w:t>
            </w:r>
            <w:r>
              <w:rPr>
                <w:rFonts w:hint="eastAsia" w:ascii="宋体" w:hAnsi="宋体"/>
                <w:sz w:val="18"/>
                <w:szCs w:val="18"/>
              </w:rPr>
              <w:t>0</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资金到位率</w:t>
            </w:r>
            <w:r>
              <w:rPr>
                <w:rFonts w:hint="eastAsia" w:ascii="宋体" w:hAnsi="宋体"/>
                <w:sz w:val="18"/>
                <w:szCs w:val="18"/>
              </w:rPr>
              <w:t>=10万元/30万元</w:t>
            </w:r>
            <w:r>
              <w:rPr>
                <w:rFonts w:ascii="宋体" w:hAnsi="宋体"/>
                <w:sz w:val="18"/>
                <w:szCs w:val="18"/>
              </w:rPr>
              <w:t>=</w:t>
            </w:r>
            <w:r>
              <w:rPr>
                <w:rFonts w:hint="eastAsia" w:ascii="宋体" w:hAnsi="宋体"/>
                <w:sz w:val="18"/>
                <w:szCs w:val="18"/>
              </w:rPr>
              <w:t>33.33</w:t>
            </w:r>
            <w:r>
              <w:rPr>
                <w:rFonts w:ascii="宋体" w:hAnsi="宋体"/>
                <w:sz w:val="18"/>
                <w:szCs w:val="18"/>
              </w:rPr>
              <w:t>%。</w:t>
            </w:r>
          </w:p>
          <w:p>
            <w:pPr>
              <w:tabs>
                <w:tab w:val="left" w:pos="406"/>
              </w:tabs>
              <w:rPr>
                <w:rFonts w:ascii="宋体" w:hAnsi="宋体"/>
                <w:sz w:val="18"/>
                <w:szCs w:val="18"/>
              </w:rPr>
            </w:pPr>
            <w:r>
              <w:rPr>
                <w:rFonts w:ascii="宋体" w:hAnsi="宋体"/>
                <w:sz w:val="18"/>
                <w:szCs w:val="18"/>
              </w:rPr>
              <w:t>实际到位资金：</w:t>
            </w:r>
            <w:r>
              <w:rPr>
                <w:rFonts w:hint="eastAsia" w:ascii="宋体" w:hAnsi="宋体"/>
                <w:sz w:val="18"/>
                <w:szCs w:val="18"/>
              </w:rPr>
              <w:t>10.00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w:t>
            </w:r>
            <w:r>
              <w:rPr>
                <w:rFonts w:hint="eastAsia" w:ascii="宋体" w:hAnsi="宋体"/>
                <w:sz w:val="18"/>
                <w:szCs w:val="18"/>
              </w:rPr>
              <w:t>30</w:t>
            </w:r>
            <w:r>
              <w:rPr>
                <w:rFonts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793"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过程（25分）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业务</w:t>
            </w:r>
            <w:r>
              <w:rPr>
                <w:rFonts w:ascii="宋体" w:hAnsi="宋体"/>
                <w:sz w:val="18"/>
                <w:szCs w:val="18"/>
              </w:rPr>
              <w:br w:type="textWrapping"/>
            </w:r>
            <w:r>
              <w:rPr>
                <w:rFonts w:ascii="宋体" w:hAnsi="宋体"/>
                <w:sz w:val="18"/>
                <w:szCs w:val="18"/>
              </w:rPr>
              <w:t>管理（13分）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管理制度健全性（4分）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项目实施单位的业务管理制度是否健全，用以反映和考核业务管理制度对项目顺利实施的保障情况。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①是否已制定或具有相应的业务管理制度；（2分）</w:t>
            </w:r>
            <w:r>
              <w:rPr>
                <w:rFonts w:ascii="宋体" w:hAnsi="宋体"/>
                <w:sz w:val="18"/>
                <w:szCs w:val="18"/>
              </w:rPr>
              <w:br w:type="textWrapping"/>
            </w:r>
            <w:r>
              <w:rPr>
                <w:rFonts w:ascii="宋体" w:hAnsi="宋体"/>
                <w:sz w:val="18"/>
                <w:szCs w:val="18"/>
              </w:rPr>
              <w:t>②业务管理制度是否合法、合规、完整。（2分）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4</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制度执行有效性（6分）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项目实施是否符合相关业务管理规定，用以反映和考核业务管理制度的有效执行情况。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①是否遵守相关法律法规和业务管理规定；（1分）</w:t>
            </w:r>
            <w:r>
              <w:rPr>
                <w:rFonts w:ascii="宋体" w:hAnsi="宋体"/>
                <w:sz w:val="18"/>
                <w:szCs w:val="18"/>
              </w:rPr>
              <w:br w:type="textWrapping"/>
            </w:r>
            <w:r>
              <w:rPr>
                <w:rFonts w:ascii="宋体" w:hAnsi="宋体"/>
                <w:sz w:val="18"/>
                <w:szCs w:val="18"/>
              </w:rPr>
              <w:t>②项目调整及支出调整手续是否完备；（1分）</w:t>
            </w:r>
            <w:r>
              <w:rPr>
                <w:rFonts w:ascii="宋体" w:hAnsi="宋体"/>
                <w:sz w:val="18"/>
                <w:szCs w:val="18"/>
              </w:rPr>
              <w:br w:type="textWrapping"/>
            </w:r>
            <w:r>
              <w:rPr>
                <w:rFonts w:ascii="宋体" w:hAnsi="宋体"/>
                <w:sz w:val="18"/>
                <w:szCs w:val="18"/>
              </w:rPr>
              <w:t>③项目合同书、验收报告、技术鉴定等资料是否齐全并及时归档；（2分）</w:t>
            </w:r>
            <w:r>
              <w:rPr>
                <w:rFonts w:ascii="宋体" w:hAnsi="宋体"/>
                <w:sz w:val="18"/>
                <w:szCs w:val="18"/>
              </w:rPr>
              <w:br w:type="textWrapping"/>
            </w:r>
            <w:r>
              <w:rPr>
                <w:rFonts w:ascii="宋体" w:hAnsi="宋体"/>
                <w:sz w:val="18"/>
                <w:szCs w:val="18"/>
              </w:rPr>
              <w:t>④项目实施的人员条件、场地设备、信息支撑等是否落实到位。（2分）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6</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项目质量可控性（3分）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项目实施单位是否为达到项目质量要求而采取了必需的措施，用以反映和考核项目实施单位对项目质量的控制情况。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①是否已制定或具有相应的项目质量要求或标准；（1分）</w:t>
            </w:r>
            <w:r>
              <w:rPr>
                <w:rFonts w:ascii="宋体" w:hAnsi="宋体"/>
                <w:sz w:val="18"/>
                <w:szCs w:val="18"/>
              </w:rPr>
              <w:br w:type="textWrapping"/>
            </w:r>
            <w:r>
              <w:rPr>
                <w:rFonts w:ascii="宋体" w:hAnsi="宋体"/>
                <w:sz w:val="18"/>
                <w:szCs w:val="18"/>
              </w:rPr>
              <w:t>②是否采取了相应的项目质量检查、验收等必需的控制措施或手段。（2分）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财务</w:t>
            </w:r>
            <w:r>
              <w:rPr>
                <w:rFonts w:ascii="宋体" w:hAnsi="宋体"/>
                <w:sz w:val="18"/>
                <w:szCs w:val="18"/>
              </w:rPr>
              <w:br w:type="textWrapping"/>
            </w:r>
            <w:r>
              <w:rPr>
                <w:rFonts w:ascii="宋体" w:hAnsi="宋体"/>
                <w:sz w:val="18"/>
                <w:szCs w:val="18"/>
              </w:rPr>
              <w:t>管理（12分）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管理制度健全性（3分）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项目实施单位的财务制度是否健全，用以反映和考核财务管理制度对资金规范、安全运行的保障情况。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①是否已制定或具有相应的项目资金管理办法；（2分）</w:t>
            </w:r>
            <w:r>
              <w:rPr>
                <w:rFonts w:ascii="宋体" w:hAnsi="宋体"/>
                <w:sz w:val="18"/>
                <w:szCs w:val="18"/>
              </w:rPr>
              <w:br w:type="textWrapping"/>
            </w:r>
            <w:r>
              <w:rPr>
                <w:rFonts w:ascii="宋体" w:hAnsi="宋体"/>
                <w:sz w:val="18"/>
                <w:szCs w:val="18"/>
              </w:rPr>
              <w:t>②项目资金管理办法是否符合相关财务会计制度的规定。（1分）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资金使用合规性（7分）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项目资金使用是否符合相关的财务管理制度规定，用以反映和考核项目资金的规范运行情况。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①是否符合国家财经法规和财务管理制度以及有关专项资金管理办法的规定；（1分）</w:t>
            </w:r>
            <w:r>
              <w:rPr>
                <w:rFonts w:ascii="宋体" w:hAnsi="宋体"/>
                <w:sz w:val="18"/>
                <w:szCs w:val="18"/>
              </w:rPr>
              <w:br w:type="textWrapping"/>
            </w:r>
            <w:r>
              <w:rPr>
                <w:rFonts w:ascii="宋体" w:hAnsi="宋体"/>
                <w:sz w:val="18"/>
                <w:szCs w:val="18"/>
              </w:rPr>
              <w:t>②资金的拨付是否有完整的审批程序和手续；（2分）</w:t>
            </w:r>
            <w:r>
              <w:rPr>
                <w:rFonts w:ascii="宋体" w:hAnsi="宋体"/>
                <w:sz w:val="18"/>
                <w:szCs w:val="18"/>
              </w:rPr>
              <w:br w:type="textWrapping"/>
            </w:r>
            <w:r>
              <w:rPr>
                <w:rFonts w:ascii="宋体" w:hAnsi="宋体"/>
                <w:sz w:val="18"/>
                <w:szCs w:val="18"/>
              </w:rPr>
              <w:t>③项目的重大开支是否经过评估认证；（1分）</w:t>
            </w:r>
            <w:r>
              <w:rPr>
                <w:rFonts w:ascii="宋体" w:hAnsi="宋体"/>
                <w:sz w:val="18"/>
                <w:szCs w:val="18"/>
              </w:rPr>
              <w:br w:type="textWrapping"/>
            </w:r>
            <w:r>
              <w:rPr>
                <w:rFonts w:ascii="宋体" w:hAnsi="宋体"/>
                <w:sz w:val="18"/>
                <w:szCs w:val="18"/>
              </w:rPr>
              <w:t>④是否符合项目预算批复或合同规定的用途；（1分）</w:t>
            </w:r>
            <w:r>
              <w:rPr>
                <w:rFonts w:ascii="宋体" w:hAnsi="宋体"/>
                <w:sz w:val="18"/>
                <w:szCs w:val="18"/>
              </w:rPr>
              <w:br w:type="textWrapping"/>
            </w:r>
            <w:r>
              <w:rPr>
                <w:rFonts w:ascii="宋体" w:hAnsi="宋体"/>
                <w:sz w:val="18"/>
                <w:szCs w:val="18"/>
              </w:rPr>
              <w:t>⑤是否存在截留、挤占、挪用、虚列支出等情况。（2分）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7</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财务监控有效性（2分）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项目实施单位是否为保障资金的安全、规范运行而采取了必要的监控措施，用以反映和考核项目实施单位对资金运行的控制情况。</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①是否已制定或具有相应的监控机制；（1分）</w:t>
            </w:r>
            <w:r>
              <w:rPr>
                <w:rFonts w:ascii="宋体" w:hAnsi="宋体"/>
                <w:sz w:val="18"/>
                <w:szCs w:val="18"/>
              </w:rPr>
              <w:br w:type="textWrapping"/>
            </w:r>
            <w:r>
              <w:rPr>
                <w:rFonts w:ascii="宋体" w:hAnsi="宋体"/>
                <w:sz w:val="18"/>
                <w:szCs w:val="18"/>
              </w:rPr>
              <w:t>②是否采取了相应的财务检查等必要的监控措施或手段。（1分）</w:t>
            </w:r>
          </w:p>
        </w:tc>
        <w:tc>
          <w:tcPr>
            <w:tcW w:w="655"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ascii="宋体" w:hAnsi="宋体"/>
                <w:sz w:val="18"/>
                <w:szCs w:val="18"/>
              </w:rPr>
              <w:t>2　</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93"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产出（20分）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产出（20分）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实际完成率（4分）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项目实施的实际产出数与计划产出数的比率，用以反映和考核项目产出数量目标的实现程度。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实际完成率=（实际产出数/计划产出数）×100%。（得分=实际完成率*4分）</w:t>
            </w:r>
            <w:r>
              <w:rPr>
                <w:rFonts w:ascii="宋体" w:hAnsi="宋体"/>
                <w:sz w:val="18"/>
                <w:szCs w:val="18"/>
              </w:rPr>
              <w:br w:type="textWrapping"/>
            </w:r>
            <w:r>
              <w:rPr>
                <w:rFonts w:ascii="宋体" w:hAnsi="宋体"/>
                <w:sz w:val="18"/>
                <w:szCs w:val="18"/>
              </w:rPr>
              <w:t>实际产出数：一定时期（本年度或项目期）内项目实际产出的产品或提供的服务数量。</w:t>
            </w:r>
            <w:r>
              <w:rPr>
                <w:rFonts w:ascii="宋体" w:hAnsi="宋体"/>
                <w:sz w:val="18"/>
                <w:szCs w:val="18"/>
              </w:rPr>
              <w:br w:type="textWrapping"/>
            </w:r>
            <w:r>
              <w:rPr>
                <w:rFonts w:ascii="宋体" w:hAnsi="宋体"/>
                <w:sz w:val="18"/>
                <w:szCs w:val="18"/>
              </w:rPr>
              <w:t>计划产出数：项目绩效目标确定的在一定时期（本年度或项目期）内计划产出的产品或提供的服务数量。</w:t>
            </w:r>
          </w:p>
        </w:tc>
        <w:tc>
          <w:tcPr>
            <w:tcW w:w="655"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ascii="宋体" w:hAnsi="宋体"/>
                <w:sz w:val="18"/>
                <w:szCs w:val="18"/>
              </w:rPr>
              <w:t>4　</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完成及时率（6分）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项目实际提前完成时间与计划完成时间的比率，用以反映和考核项目产出时效目标的实现程度。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完成及时率=[（计划完成时间-实际完成时间）/计划完成时间]×100%。（1--4季度各得1.5分）</w:t>
            </w:r>
            <w:r>
              <w:rPr>
                <w:rFonts w:ascii="宋体" w:hAnsi="宋体"/>
                <w:sz w:val="18"/>
                <w:szCs w:val="18"/>
              </w:rPr>
              <w:br w:type="textWrapping"/>
            </w:r>
            <w:r>
              <w:rPr>
                <w:rFonts w:ascii="宋体" w:hAnsi="宋体"/>
                <w:sz w:val="18"/>
                <w:szCs w:val="18"/>
              </w:rPr>
              <w:t>实际完成时间：项目实施单位完成该项目实际所耗用的时间。</w:t>
            </w:r>
            <w:r>
              <w:rPr>
                <w:rFonts w:ascii="宋体" w:hAnsi="宋体"/>
                <w:sz w:val="18"/>
                <w:szCs w:val="18"/>
              </w:rPr>
              <w:br w:type="textWrapping"/>
            </w:r>
            <w:r>
              <w:rPr>
                <w:rFonts w:ascii="宋体" w:hAnsi="宋体"/>
                <w:sz w:val="18"/>
                <w:szCs w:val="18"/>
              </w:rPr>
              <w:t>计划完成时间：按照项目实施计划或相关规定完成该项目所需的时间。</w:t>
            </w:r>
          </w:p>
        </w:tc>
        <w:tc>
          <w:tcPr>
            <w:tcW w:w="65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4.5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项目完成的质量达标产出数与实际产出数的比率，用以反映和考核项目产出质量目标的实现程度。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质量达标率=（质量达标产出数/实际产出数）×100%。（得分=达标率*5分）</w:t>
            </w:r>
            <w:r>
              <w:rPr>
                <w:rFonts w:ascii="宋体" w:hAnsi="宋体"/>
                <w:sz w:val="18"/>
                <w:szCs w:val="18"/>
              </w:rPr>
              <w:br w:type="textWrapping"/>
            </w:r>
            <w:r>
              <w:rPr>
                <w:rFonts w:ascii="宋体" w:hAnsi="宋体"/>
                <w:sz w:val="18"/>
                <w:szCs w:val="18"/>
              </w:rPr>
              <w:t>质量达标产出数：一定时期（本年度或项目期）内实际达到既定质量标准的产品或服务数量。</w:t>
            </w:r>
            <w:r>
              <w:rPr>
                <w:rFonts w:ascii="宋体" w:hAnsi="宋体"/>
                <w:sz w:val="18"/>
                <w:szCs w:val="18"/>
              </w:rPr>
              <w:br w:type="textWrapping"/>
            </w:r>
            <w:r>
              <w:rPr>
                <w:rFonts w:ascii="宋体" w:hAnsi="宋体"/>
                <w:sz w:val="18"/>
                <w:szCs w:val="18"/>
              </w:rPr>
              <w:t>既定质量标准是指项目实施单位设立绩效目标时依据计划标准、行业标准、历史标准或其他标准而设定的绩效指标值。</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完成项目计划工作目标的实际节约成本与计划成本的比率，用以反映和考核项目的成本节约程度。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成本节约率=[（计划成本-实际成本）/计划成本]×100%。（节约的计5分，增加的按比例扣分）</w:t>
            </w:r>
            <w:r>
              <w:rPr>
                <w:rFonts w:ascii="宋体" w:hAnsi="宋体"/>
                <w:sz w:val="18"/>
                <w:szCs w:val="18"/>
              </w:rPr>
              <w:br w:type="textWrapping"/>
            </w:r>
            <w:r>
              <w:rPr>
                <w:rFonts w:ascii="宋体" w:hAnsi="宋体"/>
                <w:sz w:val="18"/>
                <w:szCs w:val="18"/>
              </w:rPr>
              <w:t>实际成本：项目实施单位如期、保质、保量完成既定工作目标实际所耗费的支出。</w:t>
            </w:r>
            <w:r>
              <w:rPr>
                <w:rFonts w:ascii="宋体" w:hAnsi="宋体"/>
                <w:sz w:val="18"/>
                <w:szCs w:val="18"/>
              </w:rPr>
              <w:br w:type="textWrapping"/>
            </w:r>
            <w:r>
              <w:rPr>
                <w:rFonts w:ascii="宋体" w:hAnsi="宋体"/>
                <w:sz w:val="18"/>
                <w:szCs w:val="18"/>
              </w:rPr>
              <w:t>计划成本：项目实施单位为完成工作目标计划安排的支出，一般以项目预算为参考。</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93"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效果（30分）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效益（30分）</w:t>
            </w: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经济效益（5分）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项目实施对经济发展所带来的直接或间接影响情况。</w:t>
            </w:r>
          </w:p>
        </w:tc>
        <w:tc>
          <w:tcPr>
            <w:tcW w:w="3368" w:type="dxa"/>
            <w:vMerge w:val="restart"/>
            <w:tcBorders>
              <w:top w:val="nil"/>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社会效益（5分）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项目实施对社会发展所带来的直接或间接影响情况。</w:t>
            </w:r>
          </w:p>
        </w:tc>
        <w:tc>
          <w:tcPr>
            <w:tcW w:w="3368"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生态效益（5分）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项目实施对生态环境所带来的直接或间接影响情况。</w:t>
            </w:r>
          </w:p>
        </w:tc>
        <w:tc>
          <w:tcPr>
            <w:tcW w:w="3368"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4</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可持续影响</w:t>
            </w:r>
            <w:r>
              <w:rPr>
                <w:rFonts w:hint="eastAsia" w:ascii="宋体" w:hAnsi="宋体"/>
                <w:sz w:val="18"/>
                <w:szCs w:val="18"/>
              </w:rPr>
              <w:t>（5分）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项目后续运行及成效发挥的可持续影响情况。</w:t>
            </w:r>
          </w:p>
        </w:tc>
        <w:tc>
          <w:tcPr>
            <w:tcW w:w="3368"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4</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93"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57"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社会公众或服务对象满意度（10分）</w:t>
            </w:r>
          </w:p>
        </w:tc>
        <w:tc>
          <w:tcPr>
            <w:tcW w:w="1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社会公众或服务对象对项目实施效果的满意程度。</w:t>
            </w:r>
          </w:p>
        </w:tc>
        <w:tc>
          <w:tcPr>
            <w:tcW w:w="336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社会公众或服务对象是指因该项目实施而受到影响的部门（单位）、群体或个人。一般采取社会调查的方式。（按收到的服务对象的满意率计算得分）</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8</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3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合计</w:t>
            </w:r>
          </w:p>
        </w:tc>
        <w:tc>
          <w:tcPr>
            <w:tcW w:w="655"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84.5</w:t>
            </w:r>
          </w:p>
        </w:tc>
        <w:tc>
          <w:tcPr>
            <w:tcW w:w="119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bl>
    <w:p>
      <w:pPr>
        <w:spacing w:line="600" w:lineRule="exact"/>
        <w:rPr>
          <w:rFonts w:eastAsia="方正黑体简体"/>
          <w:sz w:val="32"/>
          <w:szCs w:val="32"/>
        </w:rPr>
      </w:pPr>
      <w:r>
        <w:rPr>
          <w:rFonts w:eastAsia="方正仿宋简体"/>
          <w:sz w:val="32"/>
          <w:szCs w:val="32"/>
        </w:rPr>
        <w:br w:type="page"/>
      </w:r>
      <w:r>
        <w:rPr>
          <w:rFonts w:eastAsia="方正黑体简体"/>
          <w:sz w:val="32"/>
          <w:szCs w:val="32"/>
        </w:rPr>
        <w:t>附件1-3</w:t>
      </w:r>
    </w:p>
    <w:p>
      <w:pPr>
        <w:spacing w:line="660" w:lineRule="exact"/>
        <w:jc w:val="center"/>
        <w:rPr>
          <w:rFonts w:eastAsia="方正小标宋简体"/>
          <w:sz w:val="40"/>
          <w:szCs w:val="44"/>
        </w:rPr>
      </w:pPr>
      <w:r>
        <w:rPr>
          <w:rFonts w:eastAsia="方正小标宋简体"/>
          <w:sz w:val="40"/>
          <w:szCs w:val="44"/>
        </w:rPr>
        <w:t>20</w:t>
      </w:r>
      <w:r>
        <w:rPr>
          <w:rFonts w:hint="eastAsia" w:eastAsia="方正小标宋简体"/>
          <w:sz w:val="40"/>
          <w:szCs w:val="44"/>
        </w:rPr>
        <w:t>22</w:t>
      </w:r>
      <w:r>
        <w:rPr>
          <w:rFonts w:eastAsia="方正小标宋简体"/>
          <w:sz w:val="40"/>
          <w:szCs w:val="44"/>
        </w:rPr>
        <w:t>年度区本级项目支出绩效自评计分表</w:t>
      </w:r>
    </w:p>
    <w:p>
      <w:pPr>
        <w:spacing w:line="600" w:lineRule="exact"/>
        <w:jc w:val="center"/>
        <w:rPr>
          <w:rFonts w:eastAsia="楷体"/>
          <w:b/>
          <w:bCs/>
          <w:sz w:val="32"/>
          <w:szCs w:val="32"/>
        </w:rPr>
      </w:pPr>
      <w:r>
        <w:rPr>
          <w:rFonts w:eastAsia="楷体"/>
          <w:b/>
          <w:bCs/>
          <w:sz w:val="32"/>
          <w:szCs w:val="32"/>
        </w:rPr>
        <w:t>（</w:t>
      </w:r>
      <w:r>
        <w:rPr>
          <w:rFonts w:hint="eastAsia" w:eastAsia="楷体"/>
          <w:b/>
          <w:bCs/>
          <w:sz w:val="32"/>
          <w:szCs w:val="32"/>
        </w:rPr>
        <w:t>审计外勤经费</w:t>
      </w:r>
      <w:r>
        <w:rPr>
          <w:rFonts w:eastAsia="楷体"/>
          <w:b/>
          <w:bCs/>
          <w:sz w:val="32"/>
          <w:szCs w:val="32"/>
        </w:rPr>
        <w:t>项目）</w:t>
      </w:r>
    </w:p>
    <w:p>
      <w:pPr>
        <w:spacing w:line="480" w:lineRule="exact"/>
      </w:pPr>
      <w:r>
        <w:t>预算单位名称：       预算单位编码：           自评等级：</w:t>
      </w:r>
    </w:p>
    <w:tbl>
      <w:tblPr>
        <w:tblStyle w:val="22"/>
        <w:tblW w:w="8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02"/>
        <w:gridCol w:w="616"/>
        <w:gridCol w:w="2079"/>
        <w:gridCol w:w="2391"/>
        <w:gridCol w:w="71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trPr>
        <w:tc>
          <w:tcPr>
            <w:tcW w:w="67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一级</w:t>
            </w:r>
            <w:r>
              <w:rPr>
                <w:rFonts w:ascii="宋体" w:hAnsi="宋体"/>
                <w:b/>
                <w:bCs/>
                <w:sz w:val="18"/>
                <w:szCs w:val="18"/>
              </w:rPr>
              <w:br w:type="textWrapping"/>
            </w:r>
            <w:r>
              <w:rPr>
                <w:rFonts w:ascii="宋体" w:hAnsi="宋体"/>
                <w:b/>
                <w:bCs/>
                <w:sz w:val="18"/>
                <w:szCs w:val="18"/>
              </w:rPr>
              <w:t>指标</w:t>
            </w:r>
          </w:p>
        </w:tc>
        <w:tc>
          <w:tcPr>
            <w:tcW w:w="602"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二级</w:t>
            </w:r>
            <w:r>
              <w:rPr>
                <w:rFonts w:ascii="宋体" w:hAnsi="宋体"/>
                <w:b/>
                <w:bCs/>
                <w:sz w:val="18"/>
                <w:szCs w:val="18"/>
              </w:rPr>
              <w:br w:type="textWrapping"/>
            </w:r>
            <w:r>
              <w:rPr>
                <w:rFonts w:ascii="宋体" w:hAnsi="宋体"/>
                <w:b/>
                <w:bCs/>
                <w:sz w:val="18"/>
                <w:szCs w:val="18"/>
              </w:rPr>
              <w:t>指标</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指标解释</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指标说明（评价计分标准）</w:t>
            </w:r>
          </w:p>
        </w:tc>
        <w:tc>
          <w:tcPr>
            <w:tcW w:w="71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171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672"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投   入（25分）</w:t>
            </w: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立项（15分）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项目立项规范性（5分）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项目的申请、设立过程是否符合相关要求，用以反映和考核项目立项的规范情况。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①项目是否按照规定的程序申请设立；（1分）</w:t>
            </w:r>
            <w:r>
              <w:rPr>
                <w:rFonts w:ascii="宋体" w:hAnsi="宋体"/>
                <w:sz w:val="18"/>
                <w:szCs w:val="18"/>
              </w:rPr>
              <w:br w:type="textWrapping"/>
            </w:r>
            <w:r>
              <w:rPr>
                <w:rFonts w:ascii="宋体" w:hAnsi="宋体"/>
                <w:sz w:val="18"/>
                <w:szCs w:val="18"/>
              </w:rPr>
              <w:t>②所提交的文件、材料是否符合相关要求；（2分）</w:t>
            </w:r>
            <w:r>
              <w:rPr>
                <w:rFonts w:ascii="宋体" w:hAnsi="宋体"/>
                <w:sz w:val="18"/>
                <w:szCs w:val="18"/>
              </w:rPr>
              <w:br w:type="textWrapping"/>
            </w:r>
            <w:r>
              <w:rPr>
                <w:rFonts w:ascii="宋体" w:hAnsi="宋体"/>
                <w:sz w:val="18"/>
                <w:szCs w:val="18"/>
              </w:rPr>
              <w:t>③事前是否已经过必要的可行性研究、专家论证、风险评估、集体决策等。（2分）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绩效目标合理性（4分）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项目所设定的绩效目标是否依据充分，是否符合客观实际，用以反映和考核项目绩效目标与项目实施的相符情况。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①是否符合国家相关法律法规、国民经济发展规划和党委政府决策；（1分）</w:t>
            </w:r>
            <w:r>
              <w:rPr>
                <w:rFonts w:ascii="宋体" w:hAnsi="宋体"/>
                <w:sz w:val="18"/>
                <w:szCs w:val="18"/>
              </w:rPr>
              <w:br w:type="textWrapping"/>
            </w:r>
            <w:r>
              <w:rPr>
                <w:rFonts w:ascii="宋体" w:hAnsi="宋体"/>
                <w:sz w:val="18"/>
                <w:szCs w:val="18"/>
              </w:rPr>
              <w:t>②是否与项目实施单位或委托单位职责密切相关；（1分）</w:t>
            </w:r>
            <w:r>
              <w:rPr>
                <w:rFonts w:ascii="宋体" w:hAnsi="宋体"/>
                <w:sz w:val="18"/>
                <w:szCs w:val="18"/>
              </w:rPr>
              <w:br w:type="textWrapping"/>
            </w:r>
            <w:r>
              <w:rPr>
                <w:rFonts w:ascii="宋体" w:hAnsi="宋体"/>
                <w:sz w:val="18"/>
                <w:szCs w:val="18"/>
              </w:rPr>
              <w:t>③项目是否为促进事业发展所必需；（1分）</w:t>
            </w:r>
            <w:r>
              <w:rPr>
                <w:rFonts w:ascii="宋体" w:hAnsi="宋体"/>
                <w:sz w:val="18"/>
                <w:szCs w:val="18"/>
              </w:rPr>
              <w:br w:type="textWrapping"/>
            </w:r>
            <w:r>
              <w:rPr>
                <w:rFonts w:ascii="宋体" w:hAnsi="宋体"/>
                <w:sz w:val="18"/>
                <w:szCs w:val="18"/>
              </w:rPr>
              <w:t>④项目预期产出效益和效果是否符合正常的业绩水平。（1分）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绩效指标明确性（6分）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依据绩效目标设定的绩效指标是否清晰、细化、可衡量等，用以反映和考核项目绩效目标的明细化情况。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①是否将项目绩效目标细化分解为具体的绩效指标；（2分）</w:t>
            </w:r>
            <w:r>
              <w:rPr>
                <w:rFonts w:ascii="宋体" w:hAnsi="宋体"/>
                <w:sz w:val="18"/>
                <w:szCs w:val="18"/>
              </w:rPr>
              <w:br w:type="textWrapping"/>
            </w:r>
            <w:r>
              <w:rPr>
                <w:rFonts w:ascii="宋体" w:hAnsi="宋体"/>
                <w:sz w:val="18"/>
                <w:szCs w:val="18"/>
              </w:rPr>
              <w:t>②是否通过清晰、可衡量的指标值予以体现；（1分）</w:t>
            </w:r>
            <w:r>
              <w:rPr>
                <w:rFonts w:ascii="宋体" w:hAnsi="宋体"/>
                <w:sz w:val="18"/>
                <w:szCs w:val="18"/>
              </w:rPr>
              <w:br w:type="textWrapping"/>
            </w:r>
            <w:r>
              <w:rPr>
                <w:rFonts w:ascii="宋体" w:hAnsi="宋体"/>
                <w:sz w:val="18"/>
                <w:szCs w:val="18"/>
              </w:rPr>
              <w:t>③是否与项目年度任务数或计划数相对应；（1分）</w:t>
            </w:r>
            <w:r>
              <w:rPr>
                <w:rFonts w:ascii="宋体" w:hAnsi="宋体"/>
                <w:sz w:val="18"/>
                <w:szCs w:val="18"/>
              </w:rPr>
              <w:br w:type="textWrapping"/>
            </w:r>
            <w:r>
              <w:rPr>
                <w:rFonts w:ascii="宋体" w:hAnsi="宋体"/>
                <w:sz w:val="18"/>
                <w:szCs w:val="18"/>
              </w:rPr>
              <w:t>④是否与预算确定的项目投资额或资金量相匹配。（2分）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6</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9"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资金</w:t>
            </w:r>
            <w:r>
              <w:rPr>
                <w:rFonts w:ascii="宋体" w:hAnsi="宋体"/>
                <w:sz w:val="18"/>
                <w:szCs w:val="18"/>
              </w:rPr>
              <w:br w:type="textWrapping"/>
            </w:r>
            <w:r>
              <w:rPr>
                <w:rFonts w:ascii="宋体" w:hAnsi="宋体"/>
                <w:sz w:val="18"/>
                <w:szCs w:val="18"/>
              </w:rPr>
              <w:t>落实（10分）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实际到位资金与计划投入资金的比率，用以反映和考核资金落实情况对项目实施的总体保障程度。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资金到位率=（实际到位资金/计划投入资金）×100%。（达到目标值得5分，每少一个百分点扣1分，扣完为止）</w:t>
            </w:r>
            <w:r>
              <w:rPr>
                <w:rFonts w:ascii="宋体" w:hAnsi="宋体"/>
                <w:sz w:val="18"/>
                <w:szCs w:val="18"/>
              </w:rPr>
              <w:br w:type="textWrapping"/>
            </w:r>
            <w:r>
              <w:rPr>
                <w:rFonts w:ascii="宋体" w:hAnsi="宋体"/>
                <w:sz w:val="18"/>
                <w:szCs w:val="18"/>
              </w:rPr>
              <w:t>实际到位资金：一定时期（本年度或项目期）内实际落实到具体项目的资金。</w:t>
            </w:r>
            <w:r>
              <w:rPr>
                <w:rFonts w:ascii="宋体" w:hAnsi="宋体"/>
                <w:sz w:val="18"/>
                <w:szCs w:val="18"/>
              </w:rPr>
              <w:br w:type="textWrapping"/>
            </w:r>
            <w:r>
              <w:rPr>
                <w:rFonts w:ascii="宋体" w:hAnsi="宋体"/>
                <w:sz w:val="18"/>
                <w:szCs w:val="18"/>
              </w:rPr>
              <w:t>计划投入资金：一定时期（本年度或项目期）内计划投入到具体项目的资金。</w:t>
            </w:r>
          </w:p>
        </w:tc>
        <w:tc>
          <w:tcPr>
            <w:tcW w:w="715" w:type="dxa"/>
            <w:tcBorders>
              <w:top w:val="single" w:color="auto" w:sz="4" w:space="0"/>
              <w:left w:val="nil"/>
              <w:bottom w:val="single" w:color="auto" w:sz="4" w:space="0"/>
              <w:right w:val="single" w:color="auto" w:sz="4" w:space="0"/>
            </w:tcBorders>
            <w:noWrap/>
            <w:vAlign w:val="center"/>
          </w:tcPr>
          <w:p>
            <w:pPr>
              <w:ind w:left="180" w:hanging="180" w:hangingChars="100"/>
              <w:jc w:val="center"/>
              <w:rPr>
                <w:rFonts w:ascii="宋体" w:hAnsi="宋体"/>
                <w:sz w:val="18"/>
                <w:szCs w:val="18"/>
              </w:rPr>
            </w:pPr>
            <w:r>
              <w:rPr>
                <w:rFonts w:hint="eastAsia" w:ascii="宋体" w:hAnsi="宋体"/>
                <w:sz w:val="18"/>
                <w:szCs w:val="18"/>
              </w:rPr>
              <w:t>0</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资金到位率=</w:t>
            </w:r>
            <w:r>
              <w:rPr>
                <w:rFonts w:hint="eastAsia" w:ascii="宋体" w:hAnsi="宋体"/>
                <w:sz w:val="18"/>
                <w:szCs w:val="18"/>
              </w:rPr>
              <w:t>0</w:t>
            </w:r>
            <w:r>
              <w:rPr>
                <w:rFonts w:ascii="宋体" w:hAnsi="宋体"/>
                <w:sz w:val="18"/>
                <w:szCs w:val="18"/>
              </w:rPr>
              <w:t>%。</w:t>
            </w:r>
          </w:p>
          <w:p>
            <w:pPr>
              <w:rPr>
                <w:rFonts w:ascii="宋体" w:hAnsi="宋体"/>
                <w:sz w:val="18"/>
                <w:szCs w:val="18"/>
              </w:rPr>
            </w:pPr>
            <w:r>
              <w:rPr>
                <w:rFonts w:ascii="宋体" w:hAnsi="宋体"/>
                <w:sz w:val="18"/>
                <w:szCs w:val="18"/>
              </w:rPr>
              <w:t>实际到位资金：</w:t>
            </w:r>
            <w:r>
              <w:rPr>
                <w:rFonts w:hint="eastAsia" w:ascii="宋体" w:hAnsi="宋体"/>
                <w:sz w:val="18"/>
                <w:szCs w:val="18"/>
              </w:rPr>
              <w:t>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及时到位资金与应到位资金的比率，用以反映和考核项目资金落实的及时性程度。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到位及时率=（及时到位资金/应到位资金）×100%。（达到目标值得5分，每少一个百分点扣1分，扣完为止）</w:t>
            </w:r>
            <w:r>
              <w:rPr>
                <w:rFonts w:ascii="宋体" w:hAnsi="宋体"/>
                <w:sz w:val="18"/>
                <w:szCs w:val="18"/>
              </w:rPr>
              <w:br w:type="textWrapping"/>
            </w:r>
            <w:r>
              <w:rPr>
                <w:rFonts w:ascii="宋体" w:hAnsi="宋体"/>
                <w:sz w:val="18"/>
                <w:szCs w:val="18"/>
              </w:rPr>
              <w:t>及时到位资金：截至规定时点实际落实到具体项目的资金。</w:t>
            </w:r>
            <w:r>
              <w:rPr>
                <w:rFonts w:ascii="宋体" w:hAnsi="宋体"/>
                <w:sz w:val="18"/>
                <w:szCs w:val="18"/>
              </w:rPr>
              <w:br w:type="textWrapping"/>
            </w:r>
            <w:r>
              <w:rPr>
                <w:rFonts w:ascii="宋体" w:hAnsi="宋体"/>
                <w:sz w:val="18"/>
                <w:szCs w:val="18"/>
              </w:rPr>
              <w:t>应到位资金：按照合同或项目进度要求截至规定时点应落实到具体项目的资金。</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0</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资金到位率=</w:t>
            </w:r>
            <w:r>
              <w:rPr>
                <w:rFonts w:hint="eastAsia" w:ascii="宋体" w:hAnsi="宋体"/>
                <w:sz w:val="18"/>
                <w:szCs w:val="18"/>
              </w:rPr>
              <w:t>0</w:t>
            </w:r>
            <w:r>
              <w:rPr>
                <w:rFonts w:ascii="宋体" w:hAnsi="宋体"/>
                <w:sz w:val="18"/>
                <w:szCs w:val="18"/>
              </w:rPr>
              <w:t>%。</w:t>
            </w:r>
          </w:p>
          <w:p>
            <w:pPr>
              <w:rPr>
                <w:rFonts w:ascii="宋体" w:hAnsi="宋体"/>
                <w:sz w:val="18"/>
                <w:szCs w:val="18"/>
              </w:rPr>
            </w:pPr>
            <w:r>
              <w:rPr>
                <w:rFonts w:ascii="宋体" w:hAnsi="宋体"/>
                <w:sz w:val="18"/>
                <w:szCs w:val="18"/>
              </w:rPr>
              <w:t>实际到位资金：</w:t>
            </w:r>
            <w:r>
              <w:rPr>
                <w:rFonts w:hint="eastAsia" w:ascii="宋体" w:hAnsi="宋体"/>
                <w:sz w:val="18"/>
                <w:szCs w:val="18"/>
              </w:rPr>
              <w:t>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672"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过   程（25分）</w:t>
            </w: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业务</w:t>
            </w:r>
            <w:r>
              <w:rPr>
                <w:rFonts w:ascii="宋体" w:hAnsi="宋体"/>
                <w:sz w:val="18"/>
                <w:szCs w:val="18"/>
              </w:rPr>
              <w:br w:type="textWrapping"/>
            </w:r>
            <w:r>
              <w:rPr>
                <w:rFonts w:ascii="宋体" w:hAnsi="宋体"/>
                <w:sz w:val="18"/>
                <w:szCs w:val="18"/>
              </w:rPr>
              <w:t>管理（13分）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管理制度健全性（4分）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项目实施单位的业务管理制度是否健全，用以反映和考核业务管理制度对项目顺利实施的保障情况。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①是否已制定或具有相应的业务管理制度；（2分）</w:t>
            </w:r>
            <w:r>
              <w:rPr>
                <w:rFonts w:ascii="宋体" w:hAnsi="宋体"/>
                <w:sz w:val="18"/>
                <w:szCs w:val="18"/>
              </w:rPr>
              <w:br w:type="textWrapping"/>
            </w:r>
            <w:r>
              <w:rPr>
                <w:rFonts w:ascii="宋体" w:hAnsi="宋体"/>
                <w:sz w:val="18"/>
                <w:szCs w:val="18"/>
              </w:rPr>
              <w:t>②业务管理制度是否合法、合规、完整。（2分）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9"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制度执行有效性（6分）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项目实施是否符合相关业务管理规定，用以反映和考核业务管理制度的有效执行情况。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①是否遵守相关法律法规和业务管理规定；（1分）</w:t>
            </w:r>
            <w:r>
              <w:rPr>
                <w:rFonts w:ascii="宋体" w:hAnsi="宋体"/>
                <w:sz w:val="18"/>
                <w:szCs w:val="18"/>
              </w:rPr>
              <w:br w:type="textWrapping"/>
            </w:r>
            <w:r>
              <w:rPr>
                <w:rFonts w:ascii="宋体" w:hAnsi="宋体"/>
                <w:sz w:val="18"/>
                <w:szCs w:val="18"/>
              </w:rPr>
              <w:t>②项目调整及支出调整手续是否完备；（1分）</w:t>
            </w:r>
            <w:r>
              <w:rPr>
                <w:rFonts w:ascii="宋体" w:hAnsi="宋体"/>
                <w:sz w:val="18"/>
                <w:szCs w:val="18"/>
              </w:rPr>
              <w:br w:type="textWrapping"/>
            </w:r>
            <w:r>
              <w:rPr>
                <w:rFonts w:ascii="宋体" w:hAnsi="宋体"/>
                <w:sz w:val="18"/>
                <w:szCs w:val="18"/>
              </w:rPr>
              <w:t>③项目合同书、验收报告、技术鉴定等资料是否齐全并及时归档；（2分）</w:t>
            </w:r>
            <w:r>
              <w:rPr>
                <w:rFonts w:ascii="宋体" w:hAnsi="宋体"/>
                <w:sz w:val="18"/>
                <w:szCs w:val="18"/>
              </w:rPr>
              <w:br w:type="textWrapping"/>
            </w:r>
            <w:r>
              <w:rPr>
                <w:rFonts w:ascii="宋体" w:hAnsi="宋体"/>
                <w:sz w:val="18"/>
                <w:szCs w:val="18"/>
              </w:rPr>
              <w:t>④项目实施的人员条件、场地设备、信息支撑等是否落实到位。（2分）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6</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项目质量可控性（3分）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项目实施单位是否为达到项目质量要求而采取了必需的措施，用以反映和考核项目实施单位对项目质量的控制情况。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①是否已制定或具有相应的项目质量要求或标准；（1分）</w:t>
            </w:r>
            <w:r>
              <w:rPr>
                <w:rFonts w:ascii="宋体" w:hAnsi="宋体"/>
                <w:sz w:val="18"/>
                <w:szCs w:val="18"/>
              </w:rPr>
              <w:br w:type="textWrapping"/>
            </w:r>
            <w:r>
              <w:rPr>
                <w:rFonts w:ascii="宋体" w:hAnsi="宋体"/>
                <w:sz w:val="18"/>
                <w:szCs w:val="18"/>
              </w:rPr>
              <w:t>②是否采取了相应的项目质量检查、验收等必需的控制措施或手段。（2分）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3</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财务</w:t>
            </w:r>
            <w:r>
              <w:rPr>
                <w:rFonts w:ascii="宋体" w:hAnsi="宋体"/>
                <w:sz w:val="18"/>
                <w:szCs w:val="18"/>
              </w:rPr>
              <w:br w:type="textWrapping"/>
            </w:r>
            <w:r>
              <w:rPr>
                <w:rFonts w:ascii="宋体" w:hAnsi="宋体"/>
                <w:sz w:val="18"/>
                <w:szCs w:val="18"/>
              </w:rPr>
              <w:t>管理（12分）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管理制度健全性（3分）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项目实施单位的财务制度是否健全，用以反映和考核财务管理制度对资金规范、安全运行的保障情况。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①是否已制定或具有相应的项目资金管理办法；（2分）</w:t>
            </w:r>
            <w:r>
              <w:rPr>
                <w:rFonts w:ascii="宋体" w:hAnsi="宋体"/>
                <w:sz w:val="18"/>
                <w:szCs w:val="18"/>
              </w:rPr>
              <w:br w:type="textWrapping"/>
            </w:r>
            <w:r>
              <w:rPr>
                <w:rFonts w:ascii="宋体" w:hAnsi="宋体"/>
                <w:sz w:val="18"/>
                <w:szCs w:val="18"/>
              </w:rPr>
              <w:t>②项目资金管理办法是否符合相关财务会计制度的规定。（1分）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3</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资金使用合规性（7分）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项目资金使用是否符合相关的财务管理制度规定，用以反映和考核项目资金的规范运行情况。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①是否符合国家财经法规和财务管理制度以及有关专项资金管理办法的规定；（1分）</w:t>
            </w:r>
            <w:r>
              <w:rPr>
                <w:rFonts w:ascii="宋体" w:hAnsi="宋体"/>
                <w:sz w:val="18"/>
                <w:szCs w:val="18"/>
              </w:rPr>
              <w:br w:type="textWrapping"/>
            </w:r>
            <w:r>
              <w:rPr>
                <w:rFonts w:ascii="宋体" w:hAnsi="宋体"/>
                <w:sz w:val="18"/>
                <w:szCs w:val="18"/>
              </w:rPr>
              <w:t>②资金的拨付是否有完整的审批程序和手续；（2分）</w:t>
            </w:r>
            <w:r>
              <w:rPr>
                <w:rFonts w:ascii="宋体" w:hAnsi="宋体"/>
                <w:sz w:val="18"/>
                <w:szCs w:val="18"/>
              </w:rPr>
              <w:br w:type="textWrapping"/>
            </w:r>
            <w:r>
              <w:rPr>
                <w:rFonts w:ascii="宋体" w:hAnsi="宋体"/>
                <w:sz w:val="18"/>
                <w:szCs w:val="18"/>
              </w:rPr>
              <w:t>③项目的重大开支是否经过评估认证；（1分）</w:t>
            </w:r>
            <w:r>
              <w:rPr>
                <w:rFonts w:ascii="宋体" w:hAnsi="宋体"/>
                <w:sz w:val="18"/>
                <w:szCs w:val="18"/>
              </w:rPr>
              <w:br w:type="textWrapping"/>
            </w:r>
            <w:r>
              <w:rPr>
                <w:rFonts w:ascii="宋体" w:hAnsi="宋体"/>
                <w:sz w:val="18"/>
                <w:szCs w:val="18"/>
              </w:rPr>
              <w:t>④是否符合项目预算批复或合同规定的用途；（1分）</w:t>
            </w:r>
            <w:r>
              <w:rPr>
                <w:rFonts w:ascii="宋体" w:hAnsi="宋体"/>
                <w:sz w:val="18"/>
                <w:szCs w:val="18"/>
              </w:rPr>
              <w:br w:type="textWrapping"/>
            </w:r>
            <w:r>
              <w:rPr>
                <w:rFonts w:ascii="宋体" w:hAnsi="宋体"/>
                <w:sz w:val="18"/>
                <w:szCs w:val="18"/>
              </w:rPr>
              <w:t>⑤是否存在截留、挤占、挪用、虚列支出等情况。（2分）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7</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财务监控有效性（2分）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项目实施单位是否为保障资金的安全、规范运行而采取了必要的监控措施，用以反映和考核项目实施单位对资金运行的控制情况。</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①是否已制定或具有相应的监控机制；（1分）</w:t>
            </w:r>
            <w:r>
              <w:rPr>
                <w:rFonts w:ascii="宋体" w:hAnsi="宋体"/>
                <w:sz w:val="18"/>
                <w:szCs w:val="18"/>
              </w:rPr>
              <w:br w:type="textWrapping"/>
            </w:r>
            <w:r>
              <w:rPr>
                <w:rFonts w:ascii="宋体" w:hAnsi="宋体"/>
                <w:sz w:val="18"/>
                <w:szCs w:val="18"/>
              </w:rPr>
              <w:t>②是否采取了相应的财务检查等必要的监控措施或手段。（1分）</w:t>
            </w:r>
          </w:p>
        </w:tc>
        <w:tc>
          <w:tcPr>
            <w:tcW w:w="715" w:type="dxa"/>
            <w:tcBorders>
              <w:top w:val="single" w:color="auto" w:sz="4" w:space="0"/>
              <w:left w:val="nil"/>
              <w:bottom w:val="single" w:color="auto" w:sz="4" w:space="0"/>
              <w:right w:val="single" w:color="auto" w:sz="4" w:space="0"/>
            </w:tcBorders>
            <w:noWrap/>
            <w:vAlign w:val="center"/>
          </w:tcPr>
          <w:p>
            <w:pPr>
              <w:ind w:firstLine="180" w:firstLineChars="100"/>
              <w:jc w:val="center"/>
              <w:rPr>
                <w:rFonts w:ascii="宋体" w:hAnsi="宋体"/>
                <w:sz w:val="18"/>
                <w:szCs w:val="18"/>
              </w:rPr>
            </w:pPr>
            <w:r>
              <w:rPr>
                <w:rFonts w:ascii="宋体" w:hAnsi="宋体"/>
                <w:sz w:val="18"/>
                <w:szCs w:val="18"/>
              </w:rPr>
              <w:t>2</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672"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产   出（20分）</w:t>
            </w: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产出（20分）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实际完成率（4分）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项目实施的实际产出数与计划产出数的比率，用以反映和考核项目产出数量目标的实现程度。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实际完成率=（实际产出数/计划产出数）×100%。（得分=实际完成率*4分）</w:t>
            </w:r>
            <w:r>
              <w:rPr>
                <w:rFonts w:ascii="宋体" w:hAnsi="宋体"/>
                <w:sz w:val="18"/>
                <w:szCs w:val="18"/>
              </w:rPr>
              <w:br w:type="textWrapping"/>
            </w:r>
            <w:r>
              <w:rPr>
                <w:rFonts w:ascii="宋体" w:hAnsi="宋体"/>
                <w:sz w:val="18"/>
                <w:szCs w:val="18"/>
              </w:rPr>
              <w:t>实际产出数：一定时期（本年度或项目期）内项目实际产出的产品或提供的服务数量。</w:t>
            </w:r>
            <w:r>
              <w:rPr>
                <w:rFonts w:ascii="宋体" w:hAnsi="宋体"/>
                <w:sz w:val="18"/>
                <w:szCs w:val="18"/>
              </w:rPr>
              <w:br w:type="textWrapping"/>
            </w:r>
            <w:r>
              <w:rPr>
                <w:rFonts w:ascii="宋体" w:hAnsi="宋体"/>
                <w:sz w:val="18"/>
                <w:szCs w:val="18"/>
              </w:rPr>
              <w:t>计划产出数：项目绩效目标确定的在一定时期（本年度或项目期）内计划产出的产品或提供的服务数量。</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完成及时率（6分）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项目实际提前完成时间与计划完成时间的比率，用以反映和考核项目产出时效目标的实现程度。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完成及时率=[（计划完成时间-实际完成时间）/计划完成时间]×100%。（1--4季度各得1.5分）</w:t>
            </w:r>
            <w:r>
              <w:rPr>
                <w:rFonts w:ascii="宋体" w:hAnsi="宋体"/>
                <w:sz w:val="18"/>
                <w:szCs w:val="18"/>
              </w:rPr>
              <w:br w:type="textWrapping"/>
            </w:r>
            <w:r>
              <w:rPr>
                <w:rFonts w:ascii="宋体" w:hAnsi="宋体"/>
                <w:sz w:val="18"/>
                <w:szCs w:val="18"/>
              </w:rPr>
              <w:t>实际完成时间：项目实施单位完成该项目实际所耗用的时间。</w:t>
            </w:r>
            <w:r>
              <w:rPr>
                <w:rFonts w:ascii="宋体" w:hAnsi="宋体"/>
                <w:sz w:val="18"/>
                <w:szCs w:val="18"/>
              </w:rPr>
              <w:br w:type="textWrapping"/>
            </w:r>
            <w:r>
              <w:rPr>
                <w:rFonts w:ascii="宋体" w:hAnsi="宋体"/>
                <w:sz w:val="18"/>
                <w:szCs w:val="18"/>
              </w:rPr>
              <w:t>计划完成时间：按照项目实施计划或相关规定完成该项目所需的时间。</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4.5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4"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项目完成的质量达标产出数与实际产出数的比率，用以反映和考核项目产出质量目标的实现程度。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质量达标率=（质量达标产出数/实际产出数）×100%。（得分=达标率*5分）</w:t>
            </w:r>
            <w:r>
              <w:rPr>
                <w:rFonts w:ascii="宋体" w:hAnsi="宋体"/>
                <w:sz w:val="18"/>
                <w:szCs w:val="18"/>
              </w:rPr>
              <w:br w:type="textWrapping"/>
            </w:r>
            <w:r>
              <w:rPr>
                <w:rFonts w:ascii="宋体" w:hAnsi="宋体"/>
                <w:sz w:val="18"/>
                <w:szCs w:val="18"/>
              </w:rPr>
              <w:t>质量达标产出数：一定时期（本年度或项目期）内实际达到既定质量标准的产品或服务数量。</w:t>
            </w:r>
            <w:r>
              <w:rPr>
                <w:rFonts w:ascii="宋体" w:hAnsi="宋体"/>
                <w:sz w:val="18"/>
                <w:szCs w:val="18"/>
              </w:rPr>
              <w:br w:type="textWrapping"/>
            </w:r>
            <w:r>
              <w:rPr>
                <w:rFonts w:ascii="宋体" w:hAnsi="宋体"/>
                <w:sz w:val="18"/>
                <w:szCs w:val="18"/>
              </w:rPr>
              <w:t>既定质量标准是指项目实施单位设立绩效目标时依据计划标准、行业标准、历史标准或其他标准而设定的绩效指标值。</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完成项目计划工作目标的实际节约成本与计划成本的比率，用以反映和考核项目的成本节约程度。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成本节约率=[（计划成本-实际成本）/计划成本]×100%。（节约的计5分，增加的按比例扣分）</w:t>
            </w:r>
            <w:r>
              <w:rPr>
                <w:rFonts w:ascii="宋体" w:hAnsi="宋体"/>
                <w:sz w:val="18"/>
                <w:szCs w:val="18"/>
              </w:rPr>
              <w:br w:type="textWrapping"/>
            </w:r>
            <w:r>
              <w:rPr>
                <w:rFonts w:ascii="宋体" w:hAnsi="宋体"/>
                <w:sz w:val="18"/>
                <w:szCs w:val="18"/>
              </w:rPr>
              <w:t>实际成本：项目实施单位如期、保质、保量完成既定工作目标实际所耗费的支出。</w:t>
            </w:r>
            <w:r>
              <w:rPr>
                <w:rFonts w:ascii="宋体" w:hAnsi="宋体"/>
                <w:sz w:val="18"/>
                <w:szCs w:val="18"/>
              </w:rPr>
              <w:br w:type="textWrapping"/>
            </w:r>
            <w:r>
              <w:rPr>
                <w:rFonts w:ascii="宋体" w:hAnsi="宋体"/>
                <w:sz w:val="18"/>
                <w:szCs w:val="18"/>
              </w:rPr>
              <w:t>计划成本：项目实施单位为完成工作目标计划安排的支出，一般以项目预算为参考。</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72"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效   果（30分）</w:t>
            </w:r>
          </w:p>
        </w:tc>
        <w:tc>
          <w:tcPr>
            <w:tcW w:w="602"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效益（30分）</w:t>
            </w: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经济效益（5分）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项目实施对经济发展所带来的直接或间接影响情况。</w:t>
            </w:r>
          </w:p>
        </w:tc>
        <w:tc>
          <w:tcPr>
            <w:tcW w:w="2391" w:type="dxa"/>
            <w:vMerge w:val="restart"/>
            <w:tcBorders>
              <w:top w:val="nil"/>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社会效益（5分）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项目实施对社会发展所带来的直接或间接影响情况。</w:t>
            </w:r>
          </w:p>
        </w:tc>
        <w:tc>
          <w:tcPr>
            <w:tcW w:w="2391"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生态效益（5分）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项目实施对生态环境所带来的直接或间接影响情况。</w:t>
            </w:r>
          </w:p>
        </w:tc>
        <w:tc>
          <w:tcPr>
            <w:tcW w:w="2391"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4</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可持续影响</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项目后续运行及成效发挥的可持续影响情况。</w:t>
            </w:r>
          </w:p>
        </w:tc>
        <w:tc>
          <w:tcPr>
            <w:tcW w:w="2391"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4</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7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02"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616"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社会公众或服务对象满意度（10分）</w:t>
            </w:r>
          </w:p>
        </w:tc>
        <w:tc>
          <w:tcPr>
            <w:tcW w:w="207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社会公众或服务对象对项目实施效果的满意程度。</w:t>
            </w:r>
          </w:p>
        </w:tc>
        <w:tc>
          <w:tcPr>
            <w:tcW w:w="2391"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社会公众或服务对象是指因该项目实施而受到影响的部门（单位）、群体或个人。一般采取社会调查的方式。（按收到的服务对象的满意率计算得分）</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highlight w:val="yellow"/>
              </w:rPr>
            </w:pPr>
            <w:r>
              <w:rPr>
                <w:rFonts w:hint="eastAsia" w:ascii="宋体" w:hAnsi="宋体"/>
                <w:sz w:val="18"/>
                <w:szCs w:val="18"/>
              </w:rPr>
              <w:t>8</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6360"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合计</w:t>
            </w:r>
          </w:p>
        </w:tc>
        <w:tc>
          <w:tcPr>
            <w:tcW w:w="715"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84.5</w:t>
            </w:r>
          </w:p>
        </w:tc>
        <w:tc>
          <w:tcPr>
            <w:tcW w:w="1718"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bl>
    <w:p>
      <w:pPr>
        <w:spacing w:line="600" w:lineRule="exact"/>
        <w:rPr>
          <w:rFonts w:eastAsia="方正仿宋简体"/>
          <w:sz w:val="32"/>
          <w:szCs w:val="32"/>
        </w:rPr>
      </w:pPr>
    </w:p>
    <w:p>
      <w:pPr>
        <w:spacing w:line="600" w:lineRule="exact"/>
        <w:rPr>
          <w:rFonts w:eastAsia="方正黑体简体"/>
          <w:sz w:val="32"/>
          <w:szCs w:val="32"/>
        </w:rPr>
      </w:pPr>
      <w:r>
        <w:rPr>
          <w:rFonts w:eastAsia="方正仿宋简体"/>
          <w:sz w:val="32"/>
          <w:szCs w:val="32"/>
        </w:rPr>
        <w:br w:type="page"/>
      </w:r>
      <w:r>
        <w:rPr>
          <w:rFonts w:eastAsia="方正黑体简体"/>
          <w:sz w:val="32"/>
          <w:szCs w:val="32"/>
        </w:rPr>
        <w:t>附件1-4：</w:t>
      </w:r>
    </w:p>
    <w:p>
      <w:pPr>
        <w:spacing w:line="660" w:lineRule="exact"/>
        <w:jc w:val="center"/>
        <w:rPr>
          <w:rFonts w:eastAsia="方正小标宋简体"/>
          <w:sz w:val="40"/>
          <w:szCs w:val="44"/>
        </w:rPr>
      </w:pPr>
      <w:r>
        <w:rPr>
          <w:rFonts w:eastAsia="方正小标宋简体"/>
          <w:sz w:val="40"/>
          <w:szCs w:val="44"/>
        </w:rPr>
        <w:t>20</w:t>
      </w:r>
      <w:r>
        <w:rPr>
          <w:rFonts w:hint="eastAsia" w:eastAsia="方正小标宋简体"/>
          <w:sz w:val="40"/>
          <w:szCs w:val="44"/>
        </w:rPr>
        <w:t>22</w:t>
      </w:r>
      <w:r>
        <w:rPr>
          <w:rFonts w:eastAsia="方正小标宋简体"/>
          <w:sz w:val="40"/>
          <w:szCs w:val="44"/>
        </w:rPr>
        <w:t>年度区本级项目支出绩效自评计分表</w:t>
      </w:r>
    </w:p>
    <w:p>
      <w:pPr>
        <w:spacing w:line="600" w:lineRule="exact"/>
        <w:jc w:val="center"/>
        <w:rPr>
          <w:rFonts w:eastAsia="楷体"/>
          <w:b/>
          <w:bCs/>
          <w:sz w:val="32"/>
          <w:szCs w:val="32"/>
        </w:rPr>
      </w:pPr>
      <w:r>
        <w:rPr>
          <w:rFonts w:eastAsia="楷体"/>
          <w:b/>
          <w:bCs/>
          <w:sz w:val="32"/>
          <w:szCs w:val="32"/>
        </w:rPr>
        <w:t>（</w:t>
      </w:r>
      <w:r>
        <w:rPr>
          <w:rFonts w:hint="eastAsia" w:eastAsia="楷体"/>
          <w:b/>
          <w:bCs/>
          <w:sz w:val="32"/>
          <w:szCs w:val="32"/>
        </w:rPr>
        <w:t>金审工程及数据库运行维护</w:t>
      </w:r>
      <w:r>
        <w:rPr>
          <w:rFonts w:eastAsia="楷体"/>
          <w:b/>
          <w:bCs/>
          <w:sz w:val="32"/>
          <w:szCs w:val="32"/>
        </w:rPr>
        <w:t>项目）</w:t>
      </w:r>
    </w:p>
    <w:p>
      <w:pPr>
        <w:spacing w:line="480" w:lineRule="exact"/>
      </w:pPr>
      <w:r>
        <w:t>预算单位名称：                  预算单位编码：                   自评等级：</w:t>
      </w:r>
    </w:p>
    <w:tbl>
      <w:tblPr>
        <w:tblStyle w:val="22"/>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25"/>
        <w:gridCol w:w="958"/>
        <w:gridCol w:w="1804"/>
        <w:gridCol w:w="3209"/>
        <w:gridCol w:w="684"/>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trPr>
        <w:tc>
          <w:tcPr>
            <w:tcW w:w="6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一级</w:t>
            </w:r>
            <w:r>
              <w:rPr>
                <w:rFonts w:ascii="宋体" w:hAnsi="宋体"/>
                <w:b/>
                <w:bCs/>
                <w:sz w:val="18"/>
                <w:szCs w:val="18"/>
              </w:rPr>
              <w:br w:type="textWrapping"/>
            </w:r>
            <w:r>
              <w:rPr>
                <w:rFonts w:ascii="宋体" w:hAnsi="宋体"/>
                <w:b/>
                <w:bCs/>
                <w:sz w:val="18"/>
                <w:szCs w:val="18"/>
              </w:rPr>
              <w:t>指标</w:t>
            </w:r>
          </w:p>
        </w:tc>
        <w:tc>
          <w:tcPr>
            <w:tcW w:w="62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二级</w:t>
            </w:r>
            <w:r>
              <w:rPr>
                <w:rFonts w:ascii="宋体" w:hAnsi="宋体"/>
                <w:b/>
                <w:bCs/>
                <w:sz w:val="18"/>
                <w:szCs w:val="18"/>
              </w:rPr>
              <w:br w:type="textWrapping"/>
            </w:r>
            <w:r>
              <w:rPr>
                <w:rFonts w:ascii="宋体" w:hAnsi="宋体"/>
                <w:b/>
                <w:bCs/>
                <w:sz w:val="18"/>
                <w:szCs w:val="18"/>
              </w:rPr>
              <w:t>指标</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指标解释</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指标说明（评价计分标准）</w:t>
            </w:r>
          </w:p>
        </w:tc>
        <w:tc>
          <w:tcPr>
            <w:tcW w:w="68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88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690"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投   入（25分）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立项（15分）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项目立项规范性（5分）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项目的申请、设立过程是否符合相关要求，用以反映和考核项目立项的规范情况。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①项目是否按照规定的程序申请设立；（1分）</w:t>
            </w:r>
            <w:r>
              <w:rPr>
                <w:rFonts w:ascii="宋体" w:hAnsi="宋体"/>
                <w:sz w:val="18"/>
                <w:szCs w:val="18"/>
              </w:rPr>
              <w:br w:type="textWrapping"/>
            </w:r>
            <w:r>
              <w:rPr>
                <w:rFonts w:ascii="宋体" w:hAnsi="宋体"/>
                <w:sz w:val="18"/>
                <w:szCs w:val="18"/>
              </w:rPr>
              <w:t>②所提交的文件、材料是否符合相关要求；（2分）</w:t>
            </w:r>
            <w:r>
              <w:rPr>
                <w:rFonts w:ascii="宋体" w:hAnsi="宋体"/>
                <w:sz w:val="18"/>
                <w:szCs w:val="18"/>
              </w:rPr>
              <w:br w:type="textWrapping"/>
            </w:r>
            <w:r>
              <w:rPr>
                <w:rFonts w:ascii="宋体" w:hAnsi="宋体"/>
                <w:sz w:val="18"/>
                <w:szCs w:val="18"/>
              </w:rPr>
              <w:t>③事前是否已经过必要的可行性研究、专家论证、风险评估、集体决策等。（2分）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绩效目标合理性（4分）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项目所设定的绩效目标是否依据充分，是否符合客观实际，用以反映和考核项目绩效目标与项目实施的相符情况。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①是否符合国家相关法律法规、国民经济发展规划和党委政府决策；（1分）</w:t>
            </w:r>
            <w:r>
              <w:rPr>
                <w:rFonts w:ascii="宋体" w:hAnsi="宋体"/>
                <w:sz w:val="18"/>
                <w:szCs w:val="18"/>
              </w:rPr>
              <w:br w:type="textWrapping"/>
            </w:r>
            <w:r>
              <w:rPr>
                <w:rFonts w:ascii="宋体" w:hAnsi="宋体"/>
                <w:sz w:val="18"/>
                <w:szCs w:val="18"/>
              </w:rPr>
              <w:t>②是否与项目实施单位或委托单位职责密切相关；（1分）</w:t>
            </w:r>
            <w:r>
              <w:rPr>
                <w:rFonts w:ascii="宋体" w:hAnsi="宋体"/>
                <w:sz w:val="18"/>
                <w:szCs w:val="18"/>
              </w:rPr>
              <w:br w:type="textWrapping"/>
            </w:r>
            <w:r>
              <w:rPr>
                <w:rFonts w:ascii="宋体" w:hAnsi="宋体"/>
                <w:sz w:val="18"/>
                <w:szCs w:val="18"/>
              </w:rPr>
              <w:t>③项目是否为促进事业发展所必需；（1分）</w:t>
            </w:r>
            <w:r>
              <w:rPr>
                <w:rFonts w:ascii="宋体" w:hAnsi="宋体"/>
                <w:sz w:val="18"/>
                <w:szCs w:val="18"/>
              </w:rPr>
              <w:br w:type="textWrapping"/>
            </w:r>
            <w:r>
              <w:rPr>
                <w:rFonts w:ascii="宋体" w:hAnsi="宋体"/>
                <w:sz w:val="18"/>
                <w:szCs w:val="18"/>
              </w:rPr>
              <w:t>④项目预期产出效益和效果是否符合正常的业绩水平。（1分）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绩效指标明确性（6分）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依据绩效目标设定的绩效指标是否清晰、细化、可衡量等，用以反映和考核项目绩效目标的明细化情况。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①是否将项目绩效目标细化分解为具体的绩效指标；（2分）</w:t>
            </w:r>
            <w:r>
              <w:rPr>
                <w:rFonts w:ascii="宋体" w:hAnsi="宋体"/>
                <w:sz w:val="18"/>
                <w:szCs w:val="18"/>
              </w:rPr>
              <w:br w:type="textWrapping"/>
            </w:r>
            <w:r>
              <w:rPr>
                <w:rFonts w:ascii="宋体" w:hAnsi="宋体"/>
                <w:sz w:val="18"/>
                <w:szCs w:val="18"/>
              </w:rPr>
              <w:t>②是否通过清晰、可衡量的指标值予以体现；（1分）</w:t>
            </w:r>
            <w:r>
              <w:rPr>
                <w:rFonts w:ascii="宋体" w:hAnsi="宋体"/>
                <w:sz w:val="18"/>
                <w:szCs w:val="18"/>
              </w:rPr>
              <w:br w:type="textWrapping"/>
            </w:r>
            <w:r>
              <w:rPr>
                <w:rFonts w:ascii="宋体" w:hAnsi="宋体"/>
                <w:sz w:val="18"/>
                <w:szCs w:val="18"/>
              </w:rPr>
              <w:t>③是否与项目年度任务数或计划数相对应；（1分）</w:t>
            </w:r>
            <w:r>
              <w:rPr>
                <w:rFonts w:ascii="宋体" w:hAnsi="宋体"/>
                <w:sz w:val="18"/>
                <w:szCs w:val="18"/>
              </w:rPr>
              <w:br w:type="textWrapping"/>
            </w:r>
            <w:r>
              <w:rPr>
                <w:rFonts w:ascii="宋体" w:hAnsi="宋体"/>
                <w:sz w:val="18"/>
                <w:szCs w:val="18"/>
              </w:rPr>
              <w:t>④是否与预算确定的项目投资额或资金量相匹配。（2分）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资金</w:t>
            </w:r>
            <w:r>
              <w:rPr>
                <w:rFonts w:ascii="宋体" w:hAnsi="宋体"/>
                <w:sz w:val="18"/>
                <w:szCs w:val="18"/>
              </w:rPr>
              <w:br w:type="textWrapping"/>
            </w:r>
            <w:r>
              <w:rPr>
                <w:rFonts w:ascii="宋体" w:hAnsi="宋体"/>
                <w:sz w:val="18"/>
                <w:szCs w:val="18"/>
              </w:rPr>
              <w:t>落实（10分）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实际到位资金与计划投入资金的比率，用以反映和考核资金落实情况对项目实施的总体保障程度。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资金到位率=（实际到位资金/计划投入资金）×100%。（达到目标值得5分，每少一个百分点扣1分，扣完为止）</w:t>
            </w:r>
            <w:r>
              <w:rPr>
                <w:rFonts w:ascii="宋体" w:hAnsi="宋体"/>
                <w:sz w:val="18"/>
                <w:szCs w:val="18"/>
              </w:rPr>
              <w:br w:type="textWrapping"/>
            </w:r>
            <w:r>
              <w:rPr>
                <w:rFonts w:ascii="宋体" w:hAnsi="宋体"/>
                <w:sz w:val="18"/>
                <w:szCs w:val="18"/>
              </w:rPr>
              <w:t>实际到位资金：一定时期（本年度或项目期）内实际落实到具体项目的资金。</w:t>
            </w:r>
            <w:r>
              <w:rPr>
                <w:rFonts w:ascii="宋体" w:hAnsi="宋体"/>
                <w:sz w:val="18"/>
                <w:szCs w:val="18"/>
              </w:rPr>
              <w:br w:type="textWrapping"/>
            </w:r>
            <w:r>
              <w:rPr>
                <w:rFonts w:ascii="宋体" w:hAnsi="宋体"/>
                <w:sz w:val="18"/>
                <w:szCs w:val="18"/>
              </w:rPr>
              <w:t>计划投入资金：一定时期（本年度或项目期）内计划投入到具体项目的资金。</w:t>
            </w:r>
          </w:p>
        </w:tc>
        <w:tc>
          <w:tcPr>
            <w:tcW w:w="684"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hint="eastAsia" w:ascii="宋体" w:hAnsi="宋体"/>
                <w:sz w:val="18"/>
                <w:szCs w:val="18"/>
              </w:rPr>
              <w:t>0</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资金到位率=</w:t>
            </w:r>
            <w:r>
              <w:rPr>
                <w:rFonts w:hint="eastAsia" w:ascii="宋体" w:hAnsi="宋体"/>
                <w:sz w:val="18"/>
                <w:szCs w:val="18"/>
              </w:rPr>
              <w:t>0</w:t>
            </w:r>
            <w:r>
              <w:rPr>
                <w:rFonts w:ascii="宋体" w:hAnsi="宋体"/>
                <w:sz w:val="18"/>
                <w:szCs w:val="18"/>
              </w:rPr>
              <w:t>%。</w:t>
            </w:r>
          </w:p>
          <w:p>
            <w:pPr>
              <w:rPr>
                <w:rFonts w:ascii="宋体" w:hAnsi="宋体"/>
                <w:sz w:val="18"/>
                <w:szCs w:val="18"/>
              </w:rPr>
            </w:pPr>
            <w:r>
              <w:rPr>
                <w:rFonts w:ascii="宋体" w:hAnsi="宋体"/>
                <w:sz w:val="18"/>
                <w:szCs w:val="18"/>
              </w:rPr>
              <w:t>实际到位资金：</w:t>
            </w:r>
            <w:r>
              <w:rPr>
                <w:rFonts w:hint="eastAsia" w:ascii="宋体" w:hAnsi="宋体"/>
                <w:sz w:val="18"/>
                <w:szCs w:val="18"/>
              </w:rPr>
              <w:t>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及时到位资金与应到位资金的比率，用以反映和考核项目资金落实的及时性程度。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到位及时率=（及时到位资金/应到位资金）×100%。（达到目标值得5分，每少一个百分点扣1分，扣完为止）</w:t>
            </w:r>
            <w:r>
              <w:rPr>
                <w:rFonts w:ascii="宋体" w:hAnsi="宋体"/>
                <w:sz w:val="18"/>
                <w:szCs w:val="18"/>
              </w:rPr>
              <w:br w:type="textWrapping"/>
            </w:r>
            <w:r>
              <w:rPr>
                <w:rFonts w:ascii="宋体" w:hAnsi="宋体"/>
                <w:sz w:val="18"/>
                <w:szCs w:val="18"/>
              </w:rPr>
              <w:t>及时到位资金：截至规定时点实际落实到具体项目的资金。</w:t>
            </w:r>
            <w:r>
              <w:rPr>
                <w:rFonts w:ascii="宋体" w:hAnsi="宋体"/>
                <w:sz w:val="18"/>
                <w:szCs w:val="18"/>
              </w:rPr>
              <w:br w:type="textWrapping"/>
            </w:r>
            <w:r>
              <w:rPr>
                <w:rFonts w:ascii="宋体" w:hAnsi="宋体"/>
                <w:sz w:val="18"/>
                <w:szCs w:val="18"/>
              </w:rPr>
              <w:t>应到位资金：按照合同或项目进度要求截至规定时点应落实到具体项目的资金。</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8"/>
                <w:szCs w:val="18"/>
              </w:rPr>
              <w:t>0</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资金到位率=</w:t>
            </w:r>
            <w:r>
              <w:rPr>
                <w:rFonts w:hint="eastAsia" w:ascii="宋体" w:hAnsi="宋体"/>
                <w:sz w:val="18"/>
                <w:szCs w:val="18"/>
              </w:rPr>
              <w:t>0</w:t>
            </w:r>
            <w:r>
              <w:rPr>
                <w:rFonts w:ascii="宋体" w:hAnsi="宋体"/>
                <w:sz w:val="18"/>
                <w:szCs w:val="18"/>
              </w:rPr>
              <w:t>%。</w:t>
            </w:r>
          </w:p>
          <w:p>
            <w:pPr>
              <w:rPr>
                <w:rFonts w:ascii="宋体" w:hAnsi="宋体"/>
                <w:sz w:val="18"/>
                <w:szCs w:val="18"/>
              </w:rPr>
            </w:pPr>
            <w:r>
              <w:rPr>
                <w:rFonts w:ascii="宋体" w:hAnsi="宋体"/>
                <w:sz w:val="18"/>
                <w:szCs w:val="18"/>
              </w:rPr>
              <w:t>实际到位资金：</w:t>
            </w:r>
            <w:r>
              <w:rPr>
                <w:rFonts w:hint="eastAsia" w:ascii="宋体" w:hAnsi="宋体"/>
                <w:sz w:val="18"/>
                <w:szCs w:val="18"/>
              </w:rPr>
              <w:t>0.00</w:t>
            </w:r>
            <w:r>
              <w:rPr>
                <w:rFonts w:ascii="宋体" w:hAnsi="宋体"/>
                <w:sz w:val="18"/>
                <w:szCs w:val="18"/>
              </w:rPr>
              <w:t>万元。</w:t>
            </w:r>
            <w:r>
              <w:rPr>
                <w:rFonts w:ascii="宋体" w:hAnsi="宋体"/>
                <w:sz w:val="18"/>
                <w:szCs w:val="18"/>
              </w:rPr>
              <w:br w:type="textWrapping"/>
            </w:r>
            <w:r>
              <w:rPr>
                <w:rFonts w:hint="eastAsia" w:ascii="宋体" w:hAnsi="宋体"/>
                <w:sz w:val="18"/>
                <w:szCs w:val="18"/>
              </w:rPr>
              <w:t>预算</w:t>
            </w:r>
            <w:r>
              <w:rPr>
                <w:rFonts w:ascii="宋体" w:hAnsi="宋体"/>
                <w:sz w:val="18"/>
                <w:szCs w:val="18"/>
              </w:rPr>
              <w:t>资金：6万元。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690"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过   程（25分）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业务</w:t>
            </w:r>
            <w:r>
              <w:rPr>
                <w:rFonts w:ascii="宋体" w:hAnsi="宋体"/>
                <w:sz w:val="18"/>
                <w:szCs w:val="18"/>
              </w:rPr>
              <w:br w:type="textWrapping"/>
            </w:r>
            <w:r>
              <w:rPr>
                <w:rFonts w:ascii="宋体" w:hAnsi="宋体"/>
                <w:sz w:val="18"/>
                <w:szCs w:val="18"/>
              </w:rPr>
              <w:t>管理（13分）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管理制度健全性（4分）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项目实施单位的业务管理制度是否健全，用以反映和考核业务管理制度对项目顺利实施的保障情况。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①是否已制定或具有相应的业务管理制度；（2分）</w:t>
            </w:r>
            <w:r>
              <w:rPr>
                <w:rFonts w:ascii="宋体" w:hAnsi="宋体"/>
                <w:sz w:val="18"/>
                <w:szCs w:val="18"/>
              </w:rPr>
              <w:br w:type="textWrapping"/>
            </w:r>
            <w:r>
              <w:rPr>
                <w:rFonts w:ascii="宋体" w:hAnsi="宋体"/>
                <w:sz w:val="18"/>
                <w:szCs w:val="18"/>
              </w:rPr>
              <w:t>②业务管理制度是否合法、合规、完整。（2分）</w:t>
            </w:r>
          </w:p>
        </w:tc>
        <w:tc>
          <w:tcPr>
            <w:tcW w:w="684" w:type="dxa"/>
            <w:tcBorders>
              <w:top w:val="single" w:color="auto" w:sz="4" w:space="0"/>
              <w:left w:val="nil"/>
              <w:bottom w:val="single" w:color="auto" w:sz="4" w:space="0"/>
              <w:right w:val="single" w:color="auto" w:sz="4" w:space="0"/>
            </w:tcBorders>
            <w:noWrap/>
            <w:vAlign w:val="center"/>
          </w:tcPr>
          <w:p>
            <w:pPr>
              <w:ind w:firstLine="180" w:firstLineChars="100"/>
              <w:jc w:val="center"/>
              <w:rPr>
                <w:rFonts w:ascii="宋体" w:hAnsi="宋体"/>
                <w:sz w:val="18"/>
                <w:szCs w:val="18"/>
              </w:rPr>
            </w:pPr>
            <w:r>
              <w:rPr>
                <w:rFonts w:ascii="宋体" w:hAnsi="宋体"/>
                <w:sz w:val="18"/>
                <w:szCs w:val="18"/>
              </w:rPr>
              <w:t>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制度执行有效性（6分）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项目实施是否符合相关业务管理规定，用以反映和考核业务管理制度的有效执行情况。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①是否遵守相关法律法规和业务管理规定；（1分）</w:t>
            </w:r>
            <w:r>
              <w:rPr>
                <w:rFonts w:ascii="宋体" w:hAnsi="宋体"/>
                <w:sz w:val="18"/>
                <w:szCs w:val="18"/>
              </w:rPr>
              <w:br w:type="textWrapping"/>
            </w:r>
            <w:r>
              <w:rPr>
                <w:rFonts w:ascii="宋体" w:hAnsi="宋体"/>
                <w:sz w:val="18"/>
                <w:szCs w:val="18"/>
              </w:rPr>
              <w:t>②项目调整及支出调整手续是否完备；（1分）</w:t>
            </w:r>
            <w:r>
              <w:rPr>
                <w:rFonts w:ascii="宋体" w:hAnsi="宋体"/>
                <w:sz w:val="18"/>
                <w:szCs w:val="18"/>
              </w:rPr>
              <w:br w:type="textWrapping"/>
            </w:r>
            <w:r>
              <w:rPr>
                <w:rFonts w:ascii="宋体" w:hAnsi="宋体"/>
                <w:sz w:val="18"/>
                <w:szCs w:val="18"/>
              </w:rPr>
              <w:t>③项目合同书、验收报告、技术鉴定等资料是否齐全并及时归档；（2分）</w:t>
            </w:r>
            <w:r>
              <w:rPr>
                <w:rFonts w:ascii="宋体" w:hAnsi="宋体"/>
                <w:sz w:val="18"/>
                <w:szCs w:val="18"/>
              </w:rPr>
              <w:br w:type="textWrapping"/>
            </w:r>
            <w:r>
              <w:rPr>
                <w:rFonts w:ascii="宋体" w:hAnsi="宋体"/>
                <w:sz w:val="18"/>
                <w:szCs w:val="18"/>
              </w:rPr>
              <w:t>④项目实施的人员条件、场地设备、信息支撑等是否落实到位。（2分）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项目质量可控性（3分）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项目实施单位是否为达到项目质量要求而采取了必需的措施，用以反映和考核项目实施单位对项目质量的控制情况。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①是否已制定或具有相应的项目质量要求或标准；（1分）</w:t>
            </w:r>
            <w:r>
              <w:rPr>
                <w:rFonts w:ascii="宋体" w:hAnsi="宋体"/>
                <w:sz w:val="18"/>
                <w:szCs w:val="18"/>
              </w:rPr>
              <w:br w:type="textWrapping"/>
            </w:r>
            <w:r>
              <w:rPr>
                <w:rFonts w:ascii="宋体" w:hAnsi="宋体"/>
                <w:sz w:val="18"/>
                <w:szCs w:val="18"/>
              </w:rPr>
              <w:t>②是否采取了相应的项目质量检查、验收等必需的控制措施或手段。（2分）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3</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财务</w:t>
            </w:r>
            <w:r>
              <w:rPr>
                <w:rFonts w:ascii="宋体" w:hAnsi="宋体"/>
                <w:sz w:val="18"/>
                <w:szCs w:val="18"/>
              </w:rPr>
              <w:br w:type="textWrapping"/>
            </w:r>
            <w:r>
              <w:rPr>
                <w:rFonts w:ascii="宋体" w:hAnsi="宋体"/>
                <w:sz w:val="18"/>
                <w:szCs w:val="18"/>
              </w:rPr>
              <w:t>管理（12分）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管理制度健全性（3分）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项目实施单位的财务制度是否健全，用以反映和考核财务管理制度对资金规范、安全运行的保障情况。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①是否已制定或具有相应的项目资金管理办法；（2分）</w:t>
            </w:r>
            <w:r>
              <w:rPr>
                <w:rFonts w:ascii="宋体" w:hAnsi="宋体"/>
                <w:sz w:val="18"/>
                <w:szCs w:val="18"/>
              </w:rPr>
              <w:br w:type="textWrapping"/>
            </w:r>
            <w:r>
              <w:rPr>
                <w:rFonts w:ascii="宋体" w:hAnsi="宋体"/>
                <w:sz w:val="18"/>
                <w:szCs w:val="18"/>
              </w:rPr>
              <w:t>②项目资金管理办法是否符合相关财务会计制度的规定。（1分）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3</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资金使用合规性（7分）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项目资金使用是否符合相关的财务管理制度规定，用以反映和考核项目资金的规范运行情况。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①是否符合国家财经法规和财务管理制度以及有关专项资金管理办法的规定；（1分）</w:t>
            </w:r>
            <w:r>
              <w:rPr>
                <w:rFonts w:ascii="宋体" w:hAnsi="宋体"/>
                <w:sz w:val="18"/>
                <w:szCs w:val="18"/>
              </w:rPr>
              <w:br w:type="textWrapping"/>
            </w:r>
            <w:r>
              <w:rPr>
                <w:rFonts w:ascii="宋体" w:hAnsi="宋体"/>
                <w:sz w:val="18"/>
                <w:szCs w:val="18"/>
              </w:rPr>
              <w:t>②资金的拨付是否有完整的审批程序和手续；（2分）</w:t>
            </w:r>
            <w:r>
              <w:rPr>
                <w:rFonts w:ascii="宋体" w:hAnsi="宋体"/>
                <w:sz w:val="18"/>
                <w:szCs w:val="18"/>
              </w:rPr>
              <w:br w:type="textWrapping"/>
            </w:r>
            <w:r>
              <w:rPr>
                <w:rFonts w:ascii="宋体" w:hAnsi="宋体"/>
                <w:sz w:val="18"/>
                <w:szCs w:val="18"/>
              </w:rPr>
              <w:t>③项目的重大开支是否经过评估认证；（1分）</w:t>
            </w:r>
            <w:r>
              <w:rPr>
                <w:rFonts w:ascii="宋体" w:hAnsi="宋体"/>
                <w:sz w:val="18"/>
                <w:szCs w:val="18"/>
              </w:rPr>
              <w:br w:type="textWrapping"/>
            </w:r>
            <w:r>
              <w:rPr>
                <w:rFonts w:ascii="宋体" w:hAnsi="宋体"/>
                <w:sz w:val="18"/>
                <w:szCs w:val="18"/>
              </w:rPr>
              <w:t>④是否符合项目预算批复或合同规定的用途；（1分）</w:t>
            </w:r>
            <w:r>
              <w:rPr>
                <w:rFonts w:ascii="宋体" w:hAnsi="宋体"/>
                <w:sz w:val="18"/>
                <w:szCs w:val="18"/>
              </w:rPr>
              <w:br w:type="textWrapping"/>
            </w:r>
            <w:r>
              <w:rPr>
                <w:rFonts w:ascii="宋体" w:hAnsi="宋体"/>
                <w:sz w:val="18"/>
                <w:szCs w:val="18"/>
              </w:rPr>
              <w:t>⑤是否存在截留、挤占、挪用、虚列支出等情况。（2分）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7</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财务监控有效性（2分）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项目实施单位是否为保障资金的安全、规范运行而采取了必要的监控措施，用以反映和考核项目实施单位对资金运行的控制情况。</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①是否已制定或具有相应的监控机制；（1分）</w:t>
            </w:r>
            <w:r>
              <w:rPr>
                <w:rFonts w:ascii="宋体" w:hAnsi="宋体"/>
                <w:sz w:val="18"/>
                <w:szCs w:val="18"/>
              </w:rPr>
              <w:br w:type="textWrapping"/>
            </w:r>
            <w:r>
              <w:rPr>
                <w:rFonts w:ascii="宋体" w:hAnsi="宋体"/>
                <w:sz w:val="18"/>
                <w:szCs w:val="18"/>
              </w:rPr>
              <w:t>②是否采取了相应的财务检查等必要的监控措施或手段。（1分）</w:t>
            </w: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1</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90"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产   出（20分）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产出（20分）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实际完成率（4分）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项目实施的实际产出数与计划产出数的比率，用以反映和考核项目产出数量目标的实现程度。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实际完成率=（实际产出数/计划产出数）×100%。（得分=实际完成率*4分）</w:t>
            </w:r>
            <w:r>
              <w:rPr>
                <w:rFonts w:ascii="宋体" w:hAnsi="宋体"/>
                <w:sz w:val="18"/>
                <w:szCs w:val="18"/>
              </w:rPr>
              <w:br w:type="textWrapping"/>
            </w:r>
            <w:r>
              <w:rPr>
                <w:rFonts w:ascii="宋体" w:hAnsi="宋体"/>
                <w:sz w:val="18"/>
                <w:szCs w:val="18"/>
              </w:rPr>
              <w:t>实际产出数：一定时期（本年度或项目期）内项目实际产出的产品或提供的服务数量。</w:t>
            </w:r>
            <w:r>
              <w:rPr>
                <w:rFonts w:ascii="宋体" w:hAnsi="宋体"/>
                <w:sz w:val="18"/>
                <w:szCs w:val="18"/>
              </w:rPr>
              <w:br w:type="textWrapping"/>
            </w:r>
            <w:r>
              <w:rPr>
                <w:rFonts w:ascii="宋体" w:hAnsi="宋体"/>
                <w:sz w:val="18"/>
                <w:szCs w:val="18"/>
              </w:rPr>
              <w:t>计划产出数：项目绩效目标确定的在一定时期（本年度或项目期）内计划产出的产品或提供的服务数量。</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完成及时率（6分）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项目实际提前完成时间与计划完成时间的比率，用以反映和考核项目产出时效目标的实现程度。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完成及时率=[（计划完成时间-实际完成时间）/计划完成时间]×100%。（1--4季度各得1.5分）</w:t>
            </w:r>
            <w:r>
              <w:rPr>
                <w:rFonts w:ascii="宋体" w:hAnsi="宋体"/>
                <w:sz w:val="18"/>
                <w:szCs w:val="18"/>
              </w:rPr>
              <w:br w:type="textWrapping"/>
            </w:r>
            <w:r>
              <w:rPr>
                <w:rFonts w:ascii="宋体" w:hAnsi="宋体"/>
                <w:sz w:val="18"/>
                <w:szCs w:val="18"/>
              </w:rPr>
              <w:t>实际完成时间：项目实施单位完成该项目实际所耗用的时间。</w:t>
            </w:r>
            <w:r>
              <w:rPr>
                <w:rFonts w:ascii="宋体" w:hAnsi="宋体"/>
                <w:sz w:val="18"/>
                <w:szCs w:val="18"/>
              </w:rPr>
              <w:br w:type="textWrapping"/>
            </w:r>
            <w:r>
              <w:rPr>
                <w:rFonts w:ascii="宋体" w:hAnsi="宋体"/>
                <w:sz w:val="18"/>
                <w:szCs w:val="18"/>
              </w:rPr>
              <w:t>计划完成时间：按照项目实施计划或相关规定完成该项目所需的时间。</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6</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项目完成的质量达标产出数与实际产出数的比率，用以反映和考核项目产出质量目标的实现程度。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质量达标率=（质量达标产出数/实际产出数）×100%。（得分=达标率*5分）</w:t>
            </w:r>
            <w:r>
              <w:rPr>
                <w:rFonts w:ascii="宋体" w:hAnsi="宋体"/>
                <w:sz w:val="18"/>
                <w:szCs w:val="18"/>
              </w:rPr>
              <w:br w:type="textWrapping"/>
            </w:r>
            <w:r>
              <w:rPr>
                <w:rFonts w:ascii="宋体" w:hAnsi="宋体"/>
                <w:sz w:val="18"/>
                <w:szCs w:val="18"/>
              </w:rPr>
              <w:t>质量达标产出数：一定时期（本年度或项目期）内实际达到既定质量标准的产品或服务数量。</w:t>
            </w:r>
            <w:r>
              <w:rPr>
                <w:rFonts w:ascii="宋体" w:hAnsi="宋体"/>
                <w:sz w:val="18"/>
                <w:szCs w:val="18"/>
              </w:rPr>
              <w:br w:type="textWrapping"/>
            </w:r>
            <w:r>
              <w:rPr>
                <w:rFonts w:ascii="宋体" w:hAnsi="宋体"/>
                <w:sz w:val="18"/>
                <w:szCs w:val="18"/>
              </w:rPr>
              <w:t>既定质量标准是指项目实施单位设立绩效目标时依据计划标准、行业标准、历史标准或其他标准而设定的绩效指标值。</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完成项目计划工作目标的实际节约成本与计划成本的比率，用以反映和考核项目的成本节约程度。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成本节约率=[（计划成本-实际成本）/计划成本]×100%。（节约的计5分，增加的按比例扣分）</w:t>
            </w:r>
            <w:r>
              <w:rPr>
                <w:rFonts w:ascii="宋体" w:hAnsi="宋体"/>
                <w:sz w:val="18"/>
                <w:szCs w:val="18"/>
              </w:rPr>
              <w:br w:type="textWrapping"/>
            </w:r>
            <w:r>
              <w:rPr>
                <w:rFonts w:ascii="宋体" w:hAnsi="宋体"/>
                <w:sz w:val="18"/>
                <w:szCs w:val="18"/>
              </w:rPr>
              <w:t>实际成本：项目实施单位如期、保质、保量完成既定工作目标实际所耗费的支出。</w:t>
            </w:r>
            <w:r>
              <w:rPr>
                <w:rFonts w:ascii="宋体" w:hAnsi="宋体"/>
                <w:sz w:val="18"/>
                <w:szCs w:val="18"/>
              </w:rPr>
              <w:br w:type="textWrapping"/>
            </w:r>
            <w:r>
              <w:rPr>
                <w:rFonts w:ascii="宋体" w:hAnsi="宋体"/>
                <w:sz w:val="18"/>
                <w:szCs w:val="18"/>
              </w:rPr>
              <w:t>计划成本：项目实施单位为完成工作目标计划安排的支出，一般以项目预算为参考。</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0"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效   果（30分）</w:t>
            </w:r>
          </w:p>
        </w:tc>
        <w:tc>
          <w:tcPr>
            <w:tcW w:w="62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效益（30分）</w:t>
            </w: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经济效益（5分）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项目实施对经济发展所带来的直接或间接影响情况。</w:t>
            </w:r>
          </w:p>
        </w:tc>
        <w:tc>
          <w:tcPr>
            <w:tcW w:w="3209" w:type="dxa"/>
            <w:vMerge w:val="restart"/>
            <w:tcBorders>
              <w:top w:val="nil"/>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社会效益（5分）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项目实施对社会发展所带来的直接或间接影响情况。</w:t>
            </w:r>
          </w:p>
        </w:tc>
        <w:tc>
          <w:tcPr>
            <w:tcW w:w="3209"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生态效益（5分）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项目实施对生态环境所带来的直接或间接影响情况。</w:t>
            </w:r>
          </w:p>
        </w:tc>
        <w:tc>
          <w:tcPr>
            <w:tcW w:w="3209"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可持续影响</w:t>
            </w:r>
            <w:r>
              <w:rPr>
                <w:rFonts w:hint="eastAsia" w:ascii="宋体" w:hAnsi="宋体"/>
                <w:sz w:val="18"/>
                <w:szCs w:val="18"/>
              </w:rPr>
              <w:t>（5分）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项目后续运行及成效发挥的可持续影响情况。</w:t>
            </w:r>
          </w:p>
        </w:tc>
        <w:tc>
          <w:tcPr>
            <w:tcW w:w="3209"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684"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90"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2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958"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社会公众或服务对象满意度（10分）</w:t>
            </w:r>
          </w:p>
        </w:tc>
        <w:tc>
          <w:tcPr>
            <w:tcW w:w="180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社会公众或服务对象对项目实施效果的满意程度。</w:t>
            </w:r>
          </w:p>
        </w:tc>
        <w:tc>
          <w:tcPr>
            <w:tcW w:w="3209"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社会公众或服务对象是指因该项目实施而受到影响的部门（单位）、群体或个人。一般采取社会调查的方式。（按收到的服务对象的满意率计算得分）</w:t>
            </w:r>
          </w:p>
        </w:tc>
        <w:tc>
          <w:tcPr>
            <w:tcW w:w="684"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hint="eastAsia" w:ascii="宋体" w:hAnsi="宋体"/>
                <w:sz w:val="18"/>
                <w:szCs w:val="18"/>
              </w:rPr>
              <w:t>9</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286"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合计</w:t>
            </w:r>
          </w:p>
        </w:tc>
        <w:tc>
          <w:tcPr>
            <w:tcW w:w="684" w:type="dxa"/>
            <w:tcBorders>
              <w:top w:val="single" w:color="auto" w:sz="4" w:space="0"/>
              <w:left w:val="nil"/>
              <w:bottom w:val="single" w:color="auto" w:sz="4" w:space="0"/>
              <w:right w:val="single" w:color="auto" w:sz="4" w:space="0"/>
            </w:tcBorders>
            <w:noWrap/>
            <w:vAlign w:val="center"/>
          </w:tcPr>
          <w:p>
            <w:pPr>
              <w:ind w:firstLine="180" w:firstLineChars="100"/>
              <w:rPr>
                <w:rFonts w:ascii="宋体" w:hAnsi="宋体"/>
                <w:sz w:val="18"/>
                <w:szCs w:val="18"/>
              </w:rPr>
            </w:pPr>
            <w:r>
              <w:rPr>
                <w:rFonts w:hint="eastAsia" w:ascii="宋体" w:hAnsi="宋体"/>
                <w:sz w:val="18"/>
                <w:szCs w:val="18"/>
              </w:rPr>
              <w:t>84</w:t>
            </w:r>
          </w:p>
        </w:tc>
        <w:tc>
          <w:tcPr>
            <w:tcW w:w="884"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bl>
    <w:p>
      <w:pPr>
        <w:spacing w:line="600" w:lineRule="exact"/>
        <w:rPr>
          <w:rFonts w:eastAsia="方正黑体简体"/>
          <w:sz w:val="32"/>
          <w:szCs w:val="32"/>
        </w:rPr>
      </w:pPr>
    </w:p>
    <w:p>
      <w:pPr>
        <w:pStyle w:val="2"/>
        <w:spacing w:before="93"/>
      </w:pPr>
    </w:p>
    <w:p/>
    <w:p>
      <w:pPr>
        <w:pStyle w:val="2"/>
        <w:spacing w:before="93"/>
      </w:pPr>
    </w:p>
    <w:p>
      <w:pPr>
        <w:spacing w:line="600" w:lineRule="exact"/>
        <w:rPr>
          <w:rFonts w:eastAsia="方正黑体简体"/>
          <w:sz w:val="32"/>
          <w:szCs w:val="32"/>
        </w:rPr>
      </w:pPr>
    </w:p>
    <w:p>
      <w:pPr>
        <w:spacing w:line="600" w:lineRule="exact"/>
        <w:rPr>
          <w:rFonts w:eastAsia="方正黑体简体"/>
          <w:sz w:val="32"/>
          <w:szCs w:val="32"/>
        </w:rPr>
      </w:pPr>
      <w:r>
        <w:rPr>
          <w:rFonts w:eastAsia="方正黑体简体"/>
          <w:sz w:val="32"/>
          <w:szCs w:val="32"/>
        </w:rPr>
        <w:t>附件2：</w:t>
      </w:r>
    </w:p>
    <w:p>
      <w:pPr>
        <w:spacing w:line="660" w:lineRule="exact"/>
        <w:jc w:val="center"/>
        <w:rPr>
          <w:rFonts w:eastAsia="方正小标宋简体"/>
          <w:sz w:val="38"/>
          <w:szCs w:val="44"/>
        </w:rPr>
      </w:pPr>
      <w:r>
        <w:rPr>
          <w:rFonts w:eastAsia="方正小标宋简体"/>
          <w:sz w:val="38"/>
          <w:szCs w:val="44"/>
        </w:rPr>
        <w:t>20</w:t>
      </w:r>
      <w:r>
        <w:rPr>
          <w:rFonts w:hint="eastAsia" w:eastAsia="方正小标宋简体"/>
          <w:sz w:val="38"/>
          <w:szCs w:val="44"/>
        </w:rPr>
        <w:t>22</w:t>
      </w:r>
      <w:r>
        <w:rPr>
          <w:rFonts w:eastAsia="方正小标宋简体"/>
          <w:sz w:val="38"/>
          <w:szCs w:val="44"/>
        </w:rPr>
        <w:t>年度区</w:t>
      </w:r>
      <w:r>
        <w:rPr>
          <w:rFonts w:hint="eastAsia" w:eastAsia="方正小标宋简体"/>
          <w:sz w:val="38"/>
          <w:szCs w:val="44"/>
        </w:rPr>
        <w:t>审计局</w:t>
      </w:r>
      <w:r>
        <w:rPr>
          <w:rFonts w:eastAsia="方正小标宋简体"/>
          <w:sz w:val="38"/>
          <w:szCs w:val="44"/>
        </w:rPr>
        <w:t>整体支出绩效目标完成情况表</w:t>
      </w:r>
    </w:p>
    <w:p>
      <w:pPr>
        <w:spacing w:line="480" w:lineRule="exact"/>
      </w:pPr>
    </w:p>
    <w:tbl>
      <w:tblPr>
        <w:tblStyle w:val="22"/>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023"/>
        <w:gridCol w:w="123"/>
        <w:gridCol w:w="1008"/>
        <w:gridCol w:w="1669"/>
        <w:gridCol w:w="1623"/>
        <w:gridCol w:w="1297"/>
        <w:gridCol w:w="75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799" w:type="dxa"/>
            <w:noWrap/>
            <w:vAlign w:val="center"/>
          </w:tcPr>
          <w:p>
            <w:pPr>
              <w:jc w:val="center"/>
              <w:rPr>
                <w:rFonts w:ascii="宋体" w:hAnsi="宋体"/>
                <w:sz w:val="18"/>
                <w:szCs w:val="18"/>
              </w:rPr>
            </w:pPr>
            <w:r>
              <w:rPr>
                <w:rFonts w:ascii="宋体" w:hAnsi="宋体"/>
                <w:sz w:val="18"/>
                <w:szCs w:val="18"/>
              </w:rPr>
              <w:t>部门（单位）名称</w:t>
            </w:r>
          </w:p>
        </w:tc>
        <w:tc>
          <w:tcPr>
            <w:tcW w:w="5446" w:type="dxa"/>
            <w:gridSpan w:val="5"/>
            <w:noWrap/>
            <w:vAlign w:val="center"/>
          </w:tcPr>
          <w:p>
            <w:pPr>
              <w:jc w:val="center"/>
              <w:rPr>
                <w:rFonts w:ascii="宋体" w:hAnsi="宋体"/>
                <w:sz w:val="18"/>
                <w:szCs w:val="18"/>
              </w:rPr>
            </w:pPr>
            <w:r>
              <w:rPr>
                <w:rFonts w:ascii="宋体" w:hAnsi="宋体"/>
                <w:sz w:val="18"/>
                <w:szCs w:val="18"/>
              </w:rPr>
              <w:t>雁江区</w:t>
            </w:r>
            <w:r>
              <w:rPr>
                <w:rFonts w:hint="eastAsia" w:ascii="宋体" w:hAnsi="宋体"/>
                <w:sz w:val="18"/>
                <w:szCs w:val="18"/>
              </w:rPr>
              <w:t>审计</w:t>
            </w:r>
            <w:r>
              <w:rPr>
                <w:rFonts w:ascii="宋体" w:hAnsi="宋体"/>
                <w:sz w:val="18"/>
                <w:szCs w:val="18"/>
              </w:rPr>
              <w:t>局</w:t>
            </w:r>
          </w:p>
        </w:tc>
        <w:tc>
          <w:tcPr>
            <w:tcW w:w="1297" w:type="dxa"/>
            <w:noWrap/>
            <w:vAlign w:val="center"/>
          </w:tcPr>
          <w:p>
            <w:pPr>
              <w:jc w:val="center"/>
              <w:rPr>
                <w:rFonts w:ascii="宋体" w:hAnsi="宋体"/>
                <w:sz w:val="18"/>
                <w:szCs w:val="18"/>
              </w:rPr>
            </w:pPr>
            <w:r>
              <w:rPr>
                <w:rFonts w:ascii="宋体" w:hAnsi="宋体"/>
                <w:sz w:val="18"/>
                <w:szCs w:val="18"/>
              </w:rPr>
              <w:t>预算单位编码</w:t>
            </w:r>
          </w:p>
        </w:tc>
        <w:tc>
          <w:tcPr>
            <w:tcW w:w="1711" w:type="dxa"/>
            <w:gridSpan w:val="2"/>
            <w:noWrap/>
            <w:vAlign w:val="center"/>
          </w:tcPr>
          <w:p>
            <w:pPr>
              <w:jc w:val="center"/>
              <w:rPr>
                <w:rFonts w:ascii="宋体" w:hAnsi="宋体"/>
                <w:sz w:val="18"/>
                <w:szCs w:val="18"/>
              </w:rPr>
            </w:pPr>
            <w:r>
              <w:rPr>
                <w:rFonts w:ascii="宋体" w:hAnsi="宋体"/>
                <w:sz w:val="18"/>
                <w:szCs w:val="18"/>
              </w:rPr>
              <w:t>123001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99" w:type="dxa"/>
            <w:vMerge w:val="restart"/>
            <w:noWrap/>
            <w:vAlign w:val="center"/>
          </w:tcPr>
          <w:p>
            <w:pPr>
              <w:jc w:val="center"/>
              <w:rPr>
                <w:rFonts w:ascii="宋体" w:hAnsi="宋体"/>
                <w:sz w:val="18"/>
                <w:szCs w:val="18"/>
              </w:rPr>
            </w:pPr>
            <w:r>
              <w:rPr>
                <w:rFonts w:ascii="宋体" w:hAnsi="宋体"/>
                <w:sz w:val="18"/>
                <w:szCs w:val="18"/>
              </w:rPr>
              <w:t>预算执行情况</w:t>
            </w:r>
          </w:p>
        </w:tc>
        <w:tc>
          <w:tcPr>
            <w:tcW w:w="1146" w:type="dxa"/>
            <w:gridSpan w:val="2"/>
            <w:noWrap/>
            <w:vAlign w:val="center"/>
          </w:tcPr>
          <w:p>
            <w:pPr>
              <w:jc w:val="center"/>
              <w:rPr>
                <w:rFonts w:ascii="宋体" w:hAnsi="宋体"/>
                <w:sz w:val="18"/>
                <w:szCs w:val="18"/>
              </w:rPr>
            </w:pPr>
            <w:r>
              <w:rPr>
                <w:rFonts w:ascii="宋体" w:hAnsi="宋体"/>
                <w:sz w:val="18"/>
                <w:szCs w:val="18"/>
              </w:rPr>
              <w:t>项目</w:t>
            </w:r>
          </w:p>
        </w:tc>
        <w:tc>
          <w:tcPr>
            <w:tcW w:w="1008" w:type="dxa"/>
            <w:noWrap/>
            <w:vAlign w:val="center"/>
          </w:tcPr>
          <w:p>
            <w:pPr>
              <w:jc w:val="center"/>
              <w:rPr>
                <w:rFonts w:ascii="宋体" w:hAnsi="宋体"/>
                <w:sz w:val="18"/>
                <w:szCs w:val="18"/>
              </w:rPr>
            </w:pPr>
            <w:r>
              <w:rPr>
                <w:rFonts w:ascii="宋体" w:hAnsi="宋体"/>
                <w:sz w:val="18"/>
                <w:szCs w:val="18"/>
              </w:rPr>
              <w:t>预算额（百元）</w:t>
            </w:r>
          </w:p>
        </w:tc>
        <w:tc>
          <w:tcPr>
            <w:tcW w:w="1669" w:type="dxa"/>
            <w:noWrap/>
            <w:vAlign w:val="center"/>
          </w:tcPr>
          <w:p>
            <w:pPr>
              <w:jc w:val="center"/>
              <w:rPr>
                <w:rFonts w:ascii="宋体" w:hAnsi="宋体"/>
                <w:sz w:val="18"/>
                <w:szCs w:val="18"/>
              </w:rPr>
            </w:pPr>
            <w:r>
              <w:rPr>
                <w:rFonts w:ascii="宋体" w:hAnsi="宋体"/>
                <w:sz w:val="18"/>
                <w:szCs w:val="18"/>
              </w:rPr>
              <w:t>执行额（百元）</w:t>
            </w:r>
          </w:p>
        </w:tc>
        <w:tc>
          <w:tcPr>
            <w:tcW w:w="1623" w:type="dxa"/>
            <w:noWrap/>
            <w:vAlign w:val="center"/>
          </w:tcPr>
          <w:p>
            <w:pPr>
              <w:jc w:val="center"/>
              <w:rPr>
                <w:rFonts w:ascii="宋体" w:hAnsi="宋体"/>
                <w:sz w:val="18"/>
                <w:szCs w:val="18"/>
              </w:rPr>
            </w:pPr>
            <w:r>
              <w:rPr>
                <w:rFonts w:ascii="宋体" w:hAnsi="宋体"/>
                <w:sz w:val="18"/>
                <w:szCs w:val="18"/>
              </w:rPr>
              <w:t>当年结转结余额（百元）</w:t>
            </w:r>
          </w:p>
        </w:tc>
        <w:tc>
          <w:tcPr>
            <w:tcW w:w="1297" w:type="dxa"/>
            <w:noWrap/>
            <w:vAlign w:val="center"/>
          </w:tcPr>
          <w:p>
            <w:pPr>
              <w:jc w:val="center"/>
              <w:rPr>
                <w:rFonts w:ascii="宋体" w:hAnsi="宋体"/>
                <w:sz w:val="18"/>
                <w:szCs w:val="18"/>
              </w:rPr>
            </w:pPr>
            <w:r>
              <w:rPr>
                <w:rFonts w:ascii="宋体" w:hAnsi="宋体"/>
                <w:sz w:val="18"/>
                <w:szCs w:val="18"/>
              </w:rPr>
              <w:t>结转结余率%</w:t>
            </w:r>
          </w:p>
        </w:tc>
        <w:tc>
          <w:tcPr>
            <w:tcW w:w="1711" w:type="dxa"/>
            <w:gridSpan w:val="2"/>
            <w:noWrap/>
            <w:vAlign w:val="center"/>
          </w:tcPr>
          <w:p>
            <w:pPr>
              <w:jc w:val="center"/>
              <w:rPr>
                <w:rFonts w:ascii="宋体" w:hAnsi="宋体"/>
                <w:sz w:val="18"/>
                <w:szCs w:val="18"/>
              </w:rPr>
            </w:pPr>
            <w:r>
              <w:rPr>
                <w:rFonts w:ascii="宋体" w:hAnsi="宋体"/>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合计</w:t>
            </w:r>
          </w:p>
        </w:tc>
        <w:tc>
          <w:tcPr>
            <w:tcW w:w="1008" w:type="dxa"/>
            <w:noWrap/>
            <w:vAlign w:val="center"/>
          </w:tcPr>
          <w:p>
            <w:pPr>
              <w:jc w:val="center"/>
              <w:rPr>
                <w:rFonts w:ascii="宋体" w:hAnsi="宋体"/>
                <w:sz w:val="18"/>
                <w:szCs w:val="18"/>
              </w:rPr>
            </w:pPr>
            <w:r>
              <w:rPr>
                <w:rFonts w:hint="eastAsia" w:ascii="宋体" w:hAnsi="宋体"/>
                <w:sz w:val="18"/>
                <w:szCs w:val="18"/>
              </w:rPr>
              <w:t>75643</w:t>
            </w:r>
          </w:p>
        </w:tc>
        <w:tc>
          <w:tcPr>
            <w:tcW w:w="1669" w:type="dxa"/>
            <w:noWrap/>
            <w:vAlign w:val="center"/>
          </w:tcPr>
          <w:p>
            <w:pPr>
              <w:jc w:val="center"/>
              <w:rPr>
                <w:rFonts w:ascii="宋体" w:hAnsi="宋体"/>
                <w:sz w:val="18"/>
                <w:szCs w:val="18"/>
              </w:rPr>
            </w:pPr>
            <w:r>
              <w:rPr>
                <w:rFonts w:hint="eastAsia" w:ascii="宋体" w:hAnsi="宋体"/>
                <w:sz w:val="18"/>
                <w:szCs w:val="18"/>
              </w:rPr>
              <w:t>69663</w:t>
            </w:r>
          </w:p>
        </w:tc>
        <w:tc>
          <w:tcPr>
            <w:tcW w:w="1623" w:type="dxa"/>
            <w:noWrap/>
            <w:vAlign w:val="center"/>
          </w:tcPr>
          <w:p>
            <w:pPr>
              <w:jc w:val="center"/>
            </w:pPr>
            <w:r>
              <w:rPr>
                <w:rFonts w:hint="eastAsia" w:ascii="宋体" w:hAnsi="宋体"/>
                <w:sz w:val="18"/>
                <w:szCs w:val="18"/>
              </w:rPr>
              <w:t>5980</w:t>
            </w:r>
          </w:p>
        </w:tc>
        <w:tc>
          <w:tcPr>
            <w:tcW w:w="1297" w:type="dxa"/>
            <w:noWrap/>
            <w:vAlign w:val="center"/>
          </w:tcPr>
          <w:p>
            <w:pPr>
              <w:jc w:val="center"/>
              <w:rPr>
                <w:rFonts w:ascii="宋体" w:hAnsi="宋体"/>
                <w:sz w:val="18"/>
                <w:szCs w:val="18"/>
              </w:rPr>
            </w:pPr>
            <w:r>
              <w:rPr>
                <w:rFonts w:hint="eastAsia" w:ascii="宋体" w:hAnsi="宋体"/>
                <w:sz w:val="18"/>
                <w:szCs w:val="18"/>
              </w:rPr>
              <w:t>7.91</w:t>
            </w:r>
          </w:p>
        </w:tc>
        <w:tc>
          <w:tcPr>
            <w:tcW w:w="1711" w:type="dxa"/>
            <w:gridSpan w:val="2"/>
            <w:noWrap/>
            <w:vAlign w:val="center"/>
          </w:tcPr>
          <w:p>
            <w:pPr>
              <w:jc w:val="center"/>
              <w:rPr>
                <w:rFonts w:ascii="宋体" w:hAnsi="宋体"/>
                <w:color w:val="C0504D"/>
                <w:sz w:val="18"/>
                <w:szCs w:val="18"/>
              </w:rPr>
            </w:pPr>
            <w:r>
              <w:rPr>
                <w:rFonts w:hint="eastAsia" w:ascii="宋体" w:hAnsi="宋体"/>
                <w:sz w:val="15"/>
                <w:szCs w:val="15"/>
              </w:rPr>
              <w:t>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基本支出</w:t>
            </w:r>
          </w:p>
        </w:tc>
        <w:tc>
          <w:tcPr>
            <w:tcW w:w="1008" w:type="dxa"/>
            <w:noWrap/>
            <w:vAlign w:val="center"/>
          </w:tcPr>
          <w:p>
            <w:pPr>
              <w:jc w:val="center"/>
              <w:rPr>
                <w:rFonts w:ascii="宋体" w:hAnsi="宋体"/>
                <w:sz w:val="18"/>
                <w:szCs w:val="18"/>
              </w:rPr>
            </w:pPr>
            <w:r>
              <w:rPr>
                <w:rFonts w:hint="eastAsia" w:ascii="宋体" w:hAnsi="宋体"/>
                <w:sz w:val="18"/>
                <w:szCs w:val="18"/>
              </w:rPr>
              <w:t>45657</w:t>
            </w:r>
          </w:p>
        </w:tc>
        <w:tc>
          <w:tcPr>
            <w:tcW w:w="1669" w:type="dxa"/>
            <w:noWrap/>
            <w:vAlign w:val="center"/>
          </w:tcPr>
          <w:p>
            <w:pPr>
              <w:jc w:val="center"/>
              <w:rPr>
                <w:rFonts w:ascii="宋体" w:hAnsi="宋体"/>
                <w:sz w:val="18"/>
                <w:szCs w:val="18"/>
              </w:rPr>
            </w:pPr>
            <w:r>
              <w:rPr>
                <w:rFonts w:hint="eastAsia" w:ascii="宋体" w:hAnsi="宋体"/>
                <w:sz w:val="18"/>
                <w:szCs w:val="18"/>
              </w:rPr>
              <w:t>45657</w:t>
            </w:r>
          </w:p>
        </w:tc>
        <w:tc>
          <w:tcPr>
            <w:tcW w:w="1623" w:type="dxa"/>
            <w:noWrap/>
            <w:vAlign w:val="center"/>
          </w:tcPr>
          <w:p>
            <w:pPr>
              <w:jc w:val="center"/>
              <w:rPr>
                <w:rFonts w:ascii="宋体" w:hAnsi="宋体"/>
                <w:sz w:val="18"/>
                <w:szCs w:val="18"/>
              </w:rPr>
            </w:pPr>
            <w:r>
              <w:rPr>
                <w:rFonts w:hint="eastAsia" w:ascii="宋体" w:hAnsi="宋体"/>
                <w:sz w:val="18"/>
                <w:szCs w:val="18"/>
              </w:rPr>
              <w:t>0</w:t>
            </w:r>
          </w:p>
        </w:tc>
        <w:tc>
          <w:tcPr>
            <w:tcW w:w="1297" w:type="dxa"/>
            <w:noWrap/>
            <w:vAlign w:val="center"/>
          </w:tcPr>
          <w:p>
            <w:pPr>
              <w:jc w:val="center"/>
              <w:rPr>
                <w:rFonts w:ascii="宋体" w:hAnsi="宋体"/>
                <w:sz w:val="18"/>
                <w:szCs w:val="18"/>
              </w:rPr>
            </w:pPr>
            <w:r>
              <w:rPr>
                <w:rFonts w:hint="eastAsia" w:ascii="宋体" w:hAnsi="宋体"/>
                <w:sz w:val="18"/>
                <w:szCs w:val="18"/>
              </w:rPr>
              <w:t>0</w:t>
            </w:r>
          </w:p>
        </w:tc>
        <w:tc>
          <w:tcPr>
            <w:tcW w:w="1711" w:type="dxa"/>
            <w:gridSpan w:val="2"/>
            <w:noWrap/>
            <w:vAlign w:val="center"/>
          </w:tcPr>
          <w:p>
            <w:pPr>
              <w:jc w:val="center"/>
              <w:rPr>
                <w:rFonts w:ascii="宋体" w:hAnsi="宋体"/>
                <w:color w:val="C0504D"/>
                <w:sz w:val="18"/>
                <w:szCs w:val="18"/>
              </w:rPr>
            </w:pPr>
            <w:r>
              <w:rPr>
                <w:rFonts w:hint="eastAsia" w:ascii="宋体" w:hAnsi="宋体"/>
                <w:color w:val="C0504D"/>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政策和项目支出</w:t>
            </w:r>
          </w:p>
        </w:tc>
        <w:tc>
          <w:tcPr>
            <w:tcW w:w="1008" w:type="dxa"/>
            <w:noWrap/>
            <w:vAlign w:val="center"/>
          </w:tcPr>
          <w:p>
            <w:pPr>
              <w:jc w:val="center"/>
              <w:rPr>
                <w:rFonts w:ascii="宋体" w:hAnsi="宋体"/>
                <w:sz w:val="18"/>
                <w:szCs w:val="18"/>
              </w:rPr>
            </w:pPr>
            <w:r>
              <w:rPr>
                <w:rFonts w:hint="eastAsia" w:ascii="宋体" w:hAnsi="宋体"/>
                <w:sz w:val="18"/>
                <w:szCs w:val="18"/>
              </w:rPr>
              <w:t>29986</w:t>
            </w:r>
          </w:p>
        </w:tc>
        <w:tc>
          <w:tcPr>
            <w:tcW w:w="1669" w:type="dxa"/>
            <w:noWrap/>
            <w:vAlign w:val="center"/>
          </w:tcPr>
          <w:p>
            <w:pPr>
              <w:jc w:val="center"/>
              <w:rPr>
                <w:rFonts w:ascii="宋体" w:hAnsi="宋体"/>
                <w:sz w:val="18"/>
                <w:szCs w:val="18"/>
              </w:rPr>
            </w:pPr>
            <w:r>
              <w:rPr>
                <w:rFonts w:hint="eastAsia" w:ascii="宋体" w:hAnsi="宋体"/>
                <w:sz w:val="18"/>
                <w:szCs w:val="18"/>
              </w:rPr>
              <w:t>24006</w:t>
            </w:r>
          </w:p>
        </w:tc>
        <w:tc>
          <w:tcPr>
            <w:tcW w:w="1623" w:type="dxa"/>
            <w:noWrap/>
            <w:vAlign w:val="center"/>
          </w:tcPr>
          <w:p>
            <w:pPr>
              <w:jc w:val="center"/>
              <w:rPr>
                <w:rFonts w:ascii="宋体" w:hAnsi="宋体"/>
                <w:sz w:val="18"/>
                <w:szCs w:val="18"/>
              </w:rPr>
            </w:pPr>
            <w:r>
              <w:rPr>
                <w:rFonts w:hint="eastAsia" w:ascii="宋体" w:hAnsi="宋体"/>
                <w:sz w:val="18"/>
                <w:szCs w:val="18"/>
              </w:rPr>
              <w:t>5980</w:t>
            </w:r>
          </w:p>
        </w:tc>
        <w:tc>
          <w:tcPr>
            <w:tcW w:w="1297" w:type="dxa"/>
            <w:noWrap/>
            <w:vAlign w:val="center"/>
          </w:tcPr>
          <w:p>
            <w:pPr>
              <w:jc w:val="center"/>
              <w:rPr>
                <w:rFonts w:ascii="宋体" w:hAnsi="宋体"/>
                <w:sz w:val="18"/>
                <w:szCs w:val="18"/>
              </w:rPr>
            </w:pPr>
            <w:r>
              <w:rPr>
                <w:rFonts w:hint="eastAsia" w:ascii="宋体" w:hAnsi="宋体"/>
                <w:sz w:val="18"/>
                <w:szCs w:val="18"/>
              </w:rPr>
              <w:t>19.94</w:t>
            </w:r>
          </w:p>
        </w:tc>
        <w:tc>
          <w:tcPr>
            <w:tcW w:w="1711" w:type="dxa"/>
            <w:gridSpan w:val="2"/>
            <w:noWrap/>
            <w:vAlign w:val="center"/>
          </w:tcPr>
          <w:p>
            <w:pPr>
              <w:jc w:val="center"/>
              <w:rPr>
                <w:rFonts w:ascii="宋体" w:hAnsi="宋体"/>
                <w:color w:val="C0504D"/>
                <w:sz w:val="18"/>
                <w:szCs w:val="18"/>
              </w:rPr>
            </w:pPr>
            <w:r>
              <w:rPr>
                <w:rFonts w:hint="eastAsia" w:ascii="宋体" w:hAnsi="宋体"/>
                <w:sz w:val="15"/>
                <w:szCs w:val="15"/>
              </w:rPr>
              <w:t>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9" w:type="dxa"/>
            <w:vMerge w:val="restart"/>
            <w:noWrap/>
            <w:vAlign w:val="center"/>
          </w:tcPr>
          <w:p>
            <w:pPr>
              <w:jc w:val="center"/>
              <w:rPr>
                <w:rFonts w:ascii="宋体" w:hAnsi="宋体"/>
                <w:sz w:val="18"/>
                <w:szCs w:val="18"/>
              </w:rPr>
            </w:pPr>
            <w:r>
              <w:rPr>
                <w:rFonts w:ascii="宋体" w:hAnsi="宋体"/>
                <w:sz w:val="18"/>
                <w:szCs w:val="18"/>
              </w:rPr>
              <w:t>预算</w:t>
            </w:r>
          </w:p>
          <w:p>
            <w:pPr>
              <w:jc w:val="center"/>
              <w:rPr>
                <w:rFonts w:ascii="宋体" w:hAnsi="宋体"/>
                <w:sz w:val="18"/>
                <w:szCs w:val="18"/>
              </w:rPr>
            </w:pPr>
            <w:r>
              <w:rPr>
                <w:rFonts w:ascii="宋体" w:hAnsi="宋体"/>
                <w:sz w:val="18"/>
                <w:szCs w:val="18"/>
              </w:rPr>
              <w:t>结构</w:t>
            </w:r>
          </w:p>
        </w:tc>
        <w:tc>
          <w:tcPr>
            <w:tcW w:w="1146" w:type="dxa"/>
            <w:gridSpan w:val="2"/>
            <w:noWrap/>
            <w:vAlign w:val="center"/>
          </w:tcPr>
          <w:p>
            <w:pPr>
              <w:jc w:val="center"/>
              <w:rPr>
                <w:rFonts w:ascii="宋体" w:hAnsi="宋体"/>
                <w:sz w:val="18"/>
                <w:szCs w:val="18"/>
              </w:rPr>
            </w:pPr>
            <w:r>
              <w:rPr>
                <w:rFonts w:ascii="宋体" w:hAnsi="宋体"/>
                <w:sz w:val="18"/>
                <w:szCs w:val="18"/>
              </w:rPr>
              <w:t>项目</w:t>
            </w:r>
          </w:p>
        </w:tc>
        <w:tc>
          <w:tcPr>
            <w:tcW w:w="1008" w:type="dxa"/>
            <w:noWrap/>
            <w:vAlign w:val="center"/>
          </w:tcPr>
          <w:p>
            <w:pPr>
              <w:jc w:val="center"/>
              <w:rPr>
                <w:rFonts w:ascii="宋体" w:hAnsi="宋体"/>
                <w:sz w:val="18"/>
                <w:szCs w:val="18"/>
              </w:rPr>
            </w:pPr>
            <w:r>
              <w:rPr>
                <w:rFonts w:ascii="宋体" w:hAnsi="宋体"/>
                <w:sz w:val="18"/>
                <w:szCs w:val="18"/>
              </w:rPr>
              <w:t>合计</w:t>
            </w:r>
          </w:p>
        </w:tc>
        <w:tc>
          <w:tcPr>
            <w:tcW w:w="1669" w:type="dxa"/>
            <w:noWrap/>
            <w:vAlign w:val="center"/>
          </w:tcPr>
          <w:p>
            <w:pPr>
              <w:jc w:val="center"/>
              <w:rPr>
                <w:rFonts w:ascii="宋体" w:hAnsi="宋体"/>
                <w:sz w:val="18"/>
                <w:szCs w:val="18"/>
              </w:rPr>
            </w:pPr>
            <w:r>
              <w:rPr>
                <w:rFonts w:ascii="宋体" w:hAnsi="宋体"/>
                <w:sz w:val="18"/>
                <w:szCs w:val="18"/>
              </w:rPr>
              <w:t>一般公共预算安排</w:t>
            </w:r>
          </w:p>
        </w:tc>
        <w:tc>
          <w:tcPr>
            <w:tcW w:w="1623" w:type="dxa"/>
            <w:noWrap/>
            <w:vAlign w:val="center"/>
          </w:tcPr>
          <w:p>
            <w:pPr>
              <w:jc w:val="center"/>
              <w:rPr>
                <w:rFonts w:ascii="宋体" w:hAnsi="宋体"/>
                <w:sz w:val="18"/>
                <w:szCs w:val="18"/>
              </w:rPr>
            </w:pPr>
            <w:r>
              <w:rPr>
                <w:rFonts w:ascii="宋体" w:hAnsi="宋体"/>
                <w:sz w:val="18"/>
                <w:szCs w:val="18"/>
              </w:rPr>
              <w:t>政府性基金预算安排</w:t>
            </w:r>
          </w:p>
        </w:tc>
        <w:tc>
          <w:tcPr>
            <w:tcW w:w="1297" w:type="dxa"/>
            <w:noWrap/>
            <w:vAlign w:val="center"/>
          </w:tcPr>
          <w:p>
            <w:pPr>
              <w:jc w:val="center"/>
              <w:rPr>
                <w:rFonts w:ascii="宋体" w:hAnsi="宋体"/>
                <w:sz w:val="18"/>
                <w:szCs w:val="18"/>
              </w:rPr>
            </w:pPr>
            <w:r>
              <w:rPr>
                <w:rFonts w:ascii="宋体" w:hAnsi="宋体"/>
                <w:sz w:val="18"/>
                <w:szCs w:val="18"/>
              </w:rPr>
              <w:t>国有资本经营预算安排</w:t>
            </w:r>
          </w:p>
        </w:tc>
        <w:tc>
          <w:tcPr>
            <w:tcW w:w="1711" w:type="dxa"/>
            <w:gridSpan w:val="2"/>
            <w:noWrap/>
            <w:vAlign w:val="center"/>
          </w:tcPr>
          <w:p>
            <w:pPr>
              <w:jc w:val="center"/>
              <w:rPr>
                <w:rFonts w:ascii="宋体" w:hAnsi="宋体"/>
                <w:sz w:val="18"/>
                <w:szCs w:val="18"/>
              </w:rPr>
            </w:pPr>
            <w:r>
              <w:rPr>
                <w:rFonts w:ascii="宋体" w:hAnsi="宋体"/>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预算额（百元）</w:t>
            </w:r>
          </w:p>
        </w:tc>
        <w:tc>
          <w:tcPr>
            <w:tcW w:w="1008" w:type="dxa"/>
            <w:noWrap/>
            <w:vAlign w:val="center"/>
          </w:tcPr>
          <w:p>
            <w:pPr>
              <w:jc w:val="center"/>
              <w:rPr>
                <w:rFonts w:ascii="宋体" w:hAnsi="宋体"/>
                <w:sz w:val="18"/>
                <w:szCs w:val="18"/>
              </w:rPr>
            </w:pPr>
            <w:r>
              <w:rPr>
                <w:rFonts w:hint="eastAsia" w:ascii="宋体" w:hAnsi="宋体"/>
                <w:sz w:val="18"/>
                <w:szCs w:val="18"/>
              </w:rPr>
              <w:t>75643</w:t>
            </w:r>
          </w:p>
        </w:tc>
        <w:tc>
          <w:tcPr>
            <w:tcW w:w="1669" w:type="dxa"/>
            <w:noWrap/>
            <w:vAlign w:val="center"/>
          </w:tcPr>
          <w:p>
            <w:pPr>
              <w:jc w:val="center"/>
              <w:rPr>
                <w:rFonts w:ascii="宋体" w:hAnsi="宋体"/>
                <w:sz w:val="18"/>
                <w:szCs w:val="18"/>
              </w:rPr>
            </w:pPr>
            <w:r>
              <w:rPr>
                <w:rFonts w:hint="eastAsia" w:ascii="宋体" w:hAnsi="宋体"/>
                <w:sz w:val="18"/>
                <w:szCs w:val="18"/>
              </w:rPr>
              <w:t>75643</w:t>
            </w:r>
          </w:p>
        </w:tc>
        <w:tc>
          <w:tcPr>
            <w:tcW w:w="1623" w:type="dxa"/>
            <w:noWrap/>
            <w:vAlign w:val="center"/>
          </w:tcPr>
          <w:p>
            <w:pPr>
              <w:jc w:val="center"/>
              <w:rPr>
                <w:rFonts w:ascii="宋体" w:hAnsi="宋体"/>
                <w:sz w:val="18"/>
                <w:szCs w:val="18"/>
              </w:rPr>
            </w:pPr>
          </w:p>
        </w:tc>
        <w:tc>
          <w:tcPr>
            <w:tcW w:w="1297" w:type="dxa"/>
            <w:noWrap/>
            <w:vAlign w:val="center"/>
          </w:tcPr>
          <w:p>
            <w:pPr>
              <w:jc w:val="center"/>
              <w:rPr>
                <w:rFonts w:ascii="宋体" w:hAnsi="宋体"/>
                <w:sz w:val="18"/>
                <w:szCs w:val="18"/>
              </w:rPr>
            </w:pPr>
          </w:p>
        </w:tc>
        <w:tc>
          <w:tcPr>
            <w:tcW w:w="1711" w:type="dxa"/>
            <w:gridSpan w:val="2"/>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执行额（百元）</w:t>
            </w:r>
          </w:p>
        </w:tc>
        <w:tc>
          <w:tcPr>
            <w:tcW w:w="1008" w:type="dxa"/>
            <w:noWrap/>
            <w:vAlign w:val="center"/>
          </w:tcPr>
          <w:p>
            <w:pPr>
              <w:jc w:val="center"/>
              <w:rPr>
                <w:rFonts w:ascii="宋体" w:hAnsi="宋体"/>
                <w:sz w:val="18"/>
                <w:szCs w:val="18"/>
              </w:rPr>
            </w:pPr>
            <w:r>
              <w:rPr>
                <w:rFonts w:hint="eastAsia" w:ascii="宋体" w:hAnsi="宋体"/>
                <w:sz w:val="18"/>
                <w:szCs w:val="18"/>
              </w:rPr>
              <w:t>69663</w:t>
            </w:r>
          </w:p>
        </w:tc>
        <w:tc>
          <w:tcPr>
            <w:tcW w:w="1669" w:type="dxa"/>
            <w:noWrap/>
            <w:vAlign w:val="center"/>
          </w:tcPr>
          <w:p>
            <w:pPr>
              <w:jc w:val="center"/>
              <w:rPr>
                <w:rFonts w:ascii="宋体" w:hAnsi="宋体"/>
                <w:sz w:val="18"/>
                <w:szCs w:val="18"/>
              </w:rPr>
            </w:pPr>
            <w:r>
              <w:rPr>
                <w:rFonts w:hint="eastAsia" w:ascii="宋体" w:hAnsi="宋体"/>
                <w:sz w:val="18"/>
                <w:szCs w:val="18"/>
              </w:rPr>
              <w:t>68663</w:t>
            </w:r>
          </w:p>
        </w:tc>
        <w:tc>
          <w:tcPr>
            <w:tcW w:w="1623" w:type="dxa"/>
            <w:noWrap/>
            <w:vAlign w:val="center"/>
          </w:tcPr>
          <w:p>
            <w:pPr>
              <w:jc w:val="center"/>
              <w:rPr>
                <w:rFonts w:ascii="宋体" w:hAnsi="宋体"/>
                <w:sz w:val="18"/>
                <w:szCs w:val="18"/>
              </w:rPr>
            </w:pPr>
          </w:p>
        </w:tc>
        <w:tc>
          <w:tcPr>
            <w:tcW w:w="1297" w:type="dxa"/>
            <w:noWrap/>
            <w:vAlign w:val="center"/>
          </w:tcPr>
          <w:p>
            <w:pPr>
              <w:jc w:val="center"/>
              <w:rPr>
                <w:rFonts w:ascii="宋体" w:hAnsi="宋体"/>
                <w:sz w:val="18"/>
                <w:szCs w:val="18"/>
              </w:rPr>
            </w:pPr>
          </w:p>
        </w:tc>
        <w:tc>
          <w:tcPr>
            <w:tcW w:w="1711" w:type="dxa"/>
            <w:gridSpan w:val="2"/>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当年结转结余额（百元）</w:t>
            </w:r>
          </w:p>
        </w:tc>
        <w:tc>
          <w:tcPr>
            <w:tcW w:w="1008" w:type="dxa"/>
            <w:noWrap/>
            <w:vAlign w:val="center"/>
          </w:tcPr>
          <w:p>
            <w:pPr>
              <w:jc w:val="center"/>
              <w:rPr>
                <w:rFonts w:ascii="宋体" w:hAnsi="宋体"/>
                <w:sz w:val="18"/>
                <w:szCs w:val="18"/>
              </w:rPr>
            </w:pPr>
            <w:r>
              <w:rPr>
                <w:rFonts w:hint="eastAsia" w:ascii="宋体" w:hAnsi="宋体"/>
                <w:sz w:val="18"/>
                <w:szCs w:val="18"/>
              </w:rPr>
              <w:t>5980</w:t>
            </w:r>
          </w:p>
        </w:tc>
        <w:tc>
          <w:tcPr>
            <w:tcW w:w="1669" w:type="dxa"/>
            <w:noWrap/>
            <w:vAlign w:val="center"/>
          </w:tcPr>
          <w:p>
            <w:pPr>
              <w:jc w:val="center"/>
              <w:rPr>
                <w:rFonts w:ascii="宋体" w:hAnsi="宋体"/>
                <w:sz w:val="18"/>
                <w:szCs w:val="18"/>
              </w:rPr>
            </w:pPr>
            <w:r>
              <w:rPr>
                <w:rFonts w:hint="eastAsia" w:ascii="宋体" w:hAnsi="宋体"/>
                <w:sz w:val="18"/>
                <w:szCs w:val="18"/>
              </w:rPr>
              <w:t>6980</w:t>
            </w:r>
          </w:p>
        </w:tc>
        <w:tc>
          <w:tcPr>
            <w:tcW w:w="1623" w:type="dxa"/>
            <w:noWrap/>
            <w:vAlign w:val="center"/>
          </w:tcPr>
          <w:p>
            <w:pPr>
              <w:jc w:val="center"/>
              <w:rPr>
                <w:rFonts w:ascii="宋体" w:hAnsi="宋体"/>
                <w:sz w:val="18"/>
                <w:szCs w:val="18"/>
              </w:rPr>
            </w:pPr>
          </w:p>
        </w:tc>
        <w:tc>
          <w:tcPr>
            <w:tcW w:w="1297" w:type="dxa"/>
            <w:noWrap/>
            <w:vAlign w:val="center"/>
          </w:tcPr>
          <w:p>
            <w:pPr>
              <w:jc w:val="center"/>
              <w:rPr>
                <w:rFonts w:ascii="宋体" w:hAnsi="宋体"/>
                <w:sz w:val="18"/>
                <w:szCs w:val="18"/>
              </w:rPr>
            </w:pPr>
          </w:p>
        </w:tc>
        <w:tc>
          <w:tcPr>
            <w:tcW w:w="1711" w:type="dxa"/>
            <w:gridSpan w:val="2"/>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结转结余率%</w:t>
            </w:r>
          </w:p>
        </w:tc>
        <w:tc>
          <w:tcPr>
            <w:tcW w:w="1008" w:type="dxa"/>
            <w:noWrap/>
            <w:vAlign w:val="center"/>
          </w:tcPr>
          <w:p>
            <w:pPr>
              <w:jc w:val="center"/>
              <w:rPr>
                <w:rFonts w:ascii="宋体" w:hAnsi="宋体"/>
                <w:sz w:val="18"/>
                <w:szCs w:val="18"/>
              </w:rPr>
            </w:pPr>
            <w:r>
              <w:rPr>
                <w:rFonts w:hint="eastAsia" w:ascii="宋体" w:hAnsi="宋体"/>
                <w:sz w:val="18"/>
                <w:szCs w:val="18"/>
              </w:rPr>
              <w:t>7.91</w:t>
            </w:r>
          </w:p>
        </w:tc>
        <w:tc>
          <w:tcPr>
            <w:tcW w:w="1669" w:type="dxa"/>
            <w:noWrap/>
            <w:vAlign w:val="center"/>
          </w:tcPr>
          <w:p>
            <w:pPr>
              <w:jc w:val="center"/>
              <w:rPr>
                <w:rFonts w:ascii="宋体" w:hAnsi="宋体"/>
                <w:sz w:val="18"/>
                <w:szCs w:val="18"/>
              </w:rPr>
            </w:pPr>
            <w:r>
              <w:rPr>
                <w:rFonts w:hint="eastAsia" w:ascii="宋体" w:hAnsi="宋体"/>
                <w:sz w:val="18"/>
                <w:szCs w:val="18"/>
              </w:rPr>
              <w:t>7.91</w:t>
            </w:r>
          </w:p>
        </w:tc>
        <w:tc>
          <w:tcPr>
            <w:tcW w:w="1623" w:type="dxa"/>
            <w:noWrap/>
            <w:vAlign w:val="center"/>
          </w:tcPr>
          <w:p>
            <w:pPr>
              <w:jc w:val="center"/>
              <w:rPr>
                <w:rFonts w:ascii="宋体" w:hAnsi="宋体"/>
                <w:sz w:val="18"/>
                <w:szCs w:val="18"/>
              </w:rPr>
            </w:pPr>
          </w:p>
        </w:tc>
        <w:tc>
          <w:tcPr>
            <w:tcW w:w="1297" w:type="dxa"/>
            <w:noWrap/>
            <w:vAlign w:val="center"/>
          </w:tcPr>
          <w:p>
            <w:pPr>
              <w:jc w:val="center"/>
              <w:rPr>
                <w:rFonts w:ascii="宋体" w:hAnsi="宋体"/>
                <w:sz w:val="18"/>
                <w:szCs w:val="18"/>
              </w:rPr>
            </w:pPr>
          </w:p>
        </w:tc>
        <w:tc>
          <w:tcPr>
            <w:tcW w:w="1711" w:type="dxa"/>
            <w:gridSpan w:val="2"/>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799" w:type="dxa"/>
            <w:vMerge w:val="continue"/>
            <w:noWrap/>
            <w:vAlign w:val="center"/>
          </w:tcPr>
          <w:p>
            <w:pPr>
              <w:jc w:val="center"/>
              <w:rPr>
                <w:rFonts w:ascii="宋体" w:hAnsi="宋体"/>
                <w:sz w:val="18"/>
                <w:szCs w:val="18"/>
              </w:rPr>
            </w:pPr>
          </w:p>
        </w:tc>
        <w:tc>
          <w:tcPr>
            <w:tcW w:w="1146" w:type="dxa"/>
            <w:gridSpan w:val="2"/>
            <w:noWrap/>
            <w:vAlign w:val="center"/>
          </w:tcPr>
          <w:p>
            <w:pPr>
              <w:jc w:val="center"/>
              <w:rPr>
                <w:rFonts w:ascii="宋体" w:hAnsi="宋体"/>
                <w:sz w:val="18"/>
                <w:szCs w:val="18"/>
              </w:rPr>
            </w:pPr>
            <w:r>
              <w:rPr>
                <w:rFonts w:ascii="宋体" w:hAnsi="宋体"/>
                <w:sz w:val="18"/>
                <w:szCs w:val="18"/>
              </w:rPr>
              <w:t>结转结余变动率%</w:t>
            </w:r>
          </w:p>
        </w:tc>
        <w:tc>
          <w:tcPr>
            <w:tcW w:w="1008" w:type="dxa"/>
            <w:noWrap/>
            <w:vAlign w:val="center"/>
          </w:tcPr>
          <w:p>
            <w:pPr>
              <w:jc w:val="center"/>
              <w:rPr>
                <w:rFonts w:ascii="宋体" w:hAnsi="宋体"/>
                <w:color w:val="C0504D"/>
                <w:sz w:val="18"/>
                <w:szCs w:val="18"/>
              </w:rPr>
            </w:pPr>
            <w:r>
              <w:rPr>
                <w:rFonts w:hint="eastAsia" w:ascii="宋体" w:hAnsi="宋体"/>
                <w:sz w:val="15"/>
                <w:szCs w:val="15"/>
              </w:rPr>
              <w:t>26.57</w:t>
            </w:r>
          </w:p>
        </w:tc>
        <w:tc>
          <w:tcPr>
            <w:tcW w:w="1669" w:type="dxa"/>
            <w:noWrap/>
            <w:vAlign w:val="center"/>
          </w:tcPr>
          <w:p>
            <w:pPr>
              <w:jc w:val="center"/>
              <w:rPr>
                <w:rFonts w:ascii="宋体" w:hAnsi="宋体"/>
                <w:color w:val="C0504D"/>
                <w:sz w:val="18"/>
                <w:szCs w:val="18"/>
              </w:rPr>
            </w:pPr>
            <w:r>
              <w:rPr>
                <w:rFonts w:hint="eastAsia" w:ascii="宋体" w:hAnsi="宋体"/>
                <w:sz w:val="15"/>
                <w:szCs w:val="15"/>
              </w:rPr>
              <w:t>26.57</w:t>
            </w:r>
          </w:p>
        </w:tc>
        <w:tc>
          <w:tcPr>
            <w:tcW w:w="1623" w:type="dxa"/>
            <w:noWrap/>
            <w:vAlign w:val="center"/>
          </w:tcPr>
          <w:p>
            <w:pPr>
              <w:jc w:val="center"/>
              <w:rPr>
                <w:rFonts w:ascii="宋体" w:hAnsi="宋体"/>
                <w:sz w:val="18"/>
                <w:szCs w:val="18"/>
              </w:rPr>
            </w:pPr>
          </w:p>
        </w:tc>
        <w:tc>
          <w:tcPr>
            <w:tcW w:w="1297" w:type="dxa"/>
            <w:noWrap/>
            <w:vAlign w:val="center"/>
          </w:tcPr>
          <w:p>
            <w:pPr>
              <w:jc w:val="center"/>
              <w:rPr>
                <w:rFonts w:ascii="宋体" w:hAnsi="宋体"/>
                <w:sz w:val="18"/>
                <w:szCs w:val="18"/>
              </w:rPr>
            </w:pPr>
          </w:p>
        </w:tc>
        <w:tc>
          <w:tcPr>
            <w:tcW w:w="1711" w:type="dxa"/>
            <w:gridSpan w:val="2"/>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99" w:type="dxa"/>
            <w:vMerge w:val="restart"/>
            <w:noWrap/>
            <w:vAlign w:val="center"/>
          </w:tcPr>
          <w:p>
            <w:pPr>
              <w:jc w:val="center"/>
              <w:rPr>
                <w:rFonts w:ascii="宋体" w:hAnsi="宋体"/>
                <w:sz w:val="18"/>
                <w:szCs w:val="18"/>
              </w:rPr>
            </w:pPr>
            <w:r>
              <w:rPr>
                <w:rFonts w:ascii="宋体" w:hAnsi="宋体"/>
                <w:sz w:val="18"/>
                <w:szCs w:val="18"/>
              </w:rPr>
              <w:t>年度总体目标</w:t>
            </w:r>
          </w:p>
        </w:tc>
        <w:tc>
          <w:tcPr>
            <w:tcW w:w="2154" w:type="dxa"/>
            <w:gridSpan w:val="3"/>
            <w:noWrap/>
            <w:vAlign w:val="center"/>
          </w:tcPr>
          <w:p>
            <w:pPr>
              <w:jc w:val="center"/>
              <w:rPr>
                <w:rFonts w:ascii="宋体" w:hAnsi="宋体"/>
                <w:sz w:val="18"/>
                <w:szCs w:val="18"/>
              </w:rPr>
            </w:pPr>
            <w:r>
              <w:rPr>
                <w:rFonts w:ascii="宋体" w:hAnsi="宋体"/>
                <w:sz w:val="18"/>
                <w:szCs w:val="18"/>
              </w:rPr>
              <w:t>预算总体目标</w:t>
            </w:r>
          </w:p>
        </w:tc>
        <w:tc>
          <w:tcPr>
            <w:tcW w:w="3292" w:type="dxa"/>
            <w:gridSpan w:val="2"/>
            <w:noWrap/>
            <w:vAlign w:val="center"/>
          </w:tcPr>
          <w:p>
            <w:pPr>
              <w:jc w:val="center"/>
              <w:rPr>
                <w:rFonts w:ascii="宋体" w:hAnsi="宋体"/>
                <w:sz w:val="18"/>
                <w:szCs w:val="18"/>
              </w:rPr>
            </w:pPr>
            <w:r>
              <w:rPr>
                <w:rFonts w:ascii="宋体" w:hAnsi="宋体"/>
                <w:sz w:val="18"/>
                <w:szCs w:val="18"/>
              </w:rPr>
              <w:t>预算总体目标执行结果</w:t>
            </w:r>
          </w:p>
        </w:tc>
        <w:tc>
          <w:tcPr>
            <w:tcW w:w="3008" w:type="dxa"/>
            <w:gridSpan w:val="3"/>
            <w:noWrap/>
            <w:vAlign w:val="center"/>
          </w:tcPr>
          <w:p>
            <w:pPr>
              <w:jc w:val="center"/>
              <w:rPr>
                <w:rFonts w:ascii="宋体" w:hAnsi="宋体"/>
                <w:sz w:val="18"/>
                <w:szCs w:val="18"/>
              </w:rPr>
            </w:pPr>
            <w:r>
              <w:rPr>
                <w:rFonts w:ascii="宋体" w:hAnsi="宋体"/>
                <w:sz w:val="18"/>
                <w:szCs w:val="18"/>
              </w:rPr>
              <w:t>预算总体目标与预算总体目标</w:t>
            </w:r>
          </w:p>
          <w:p>
            <w:pPr>
              <w:jc w:val="center"/>
              <w:rPr>
                <w:rFonts w:ascii="宋体" w:hAnsi="宋体"/>
                <w:sz w:val="18"/>
                <w:szCs w:val="18"/>
              </w:rPr>
            </w:pPr>
            <w:r>
              <w:rPr>
                <w:rFonts w:ascii="宋体" w:hAnsi="宋体"/>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799" w:type="dxa"/>
            <w:vMerge w:val="continue"/>
            <w:noWrap/>
            <w:vAlign w:val="center"/>
          </w:tcPr>
          <w:p>
            <w:pPr>
              <w:jc w:val="center"/>
              <w:rPr>
                <w:rFonts w:ascii="宋体" w:hAnsi="宋体"/>
                <w:sz w:val="18"/>
                <w:szCs w:val="18"/>
              </w:rPr>
            </w:pPr>
          </w:p>
        </w:tc>
        <w:tc>
          <w:tcPr>
            <w:tcW w:w="2154" w:type="dxa"/>
            <w:gridSpan w:val="3"/>
            <w:noWrap/>
            <w:vAlign w:val="center"/>
          </w:tcPr>
          <w:p>
            <w:pPr>
              <w:rPr>
                <w:rFonts w:ascii="宋体" w:hAnsi="宋体"/>
                <w:sz w:val="18"/>
                <w:szCs w:val="18"/>
              </w:rPr>
            </w:pPr>
            <w:r>
              <w:rPr>
                <w:rFonts w:hint="eastAsia" w:ascii="宋体" w:hAnsi="宋体"/>
                <w:sz w:val="18"/>
                <w:szCs w:val="18"/>
              </w:rPr>
              <w:t>目标1：开展并完成署定审计项目2个（其中：重大政策落实跟踪审计1个；民生审计1个）。</w:t>
            </w:r>
          </w:p>
        </w:tc>
        <w:tc>
          <w:tcPr>
            <w:tcW w:w="3292" w:type="dxa"/>
            <w:gridSpan w:val="2"/>
            <w:noWrap/>
            <w:vAlign w:val="center"/>
          </w:tcPr>
          <w:p>
            <w:pPr>
              <w:rPr>
                <w:rFonts w:ascii="宋体" w:hAnsi="宋体"/>
                <w:sz w:val="18"/>
                <w:szCs w:val="18"/>
              </w:rPr>
            </w:pPr>
            <w:r>
              <w:rPr>
                <w:rFonts w:hint="eastAsia" w:ascii="宋体" w:hAnsi="宋体"/>
                <w:sz w:val="18"/>
                <w:szCs w:val="18"/>
              </w:rPr>
              <w:t>按计划在年度内全面完成署定审计项目2个。</w:t>
            </w:r>
          </w:p>
        </w:tc>
        <w:tc>
          <w:tcPr>
            <w:tcW w:w="3008" w:type="dxa"/>
            <w:gridSpan w:val="3"/>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99" w:type="dxa"/>
            <w:vMerge w:val="continue"/>
            <w:noWrap/>
            <w:vAlign w:val="center"/>
          </w:tcPr>
          <w:p>
            <w:pPr>
              <w:jc w:val="center"/>
              <w:rPr>
                <w:rFonts w:ascii="宋体" w:hAnsi="宋体"/>
                <w:sz w:val="18"/>
                <w:szCs w:val="18"/>
              </w:rPr>
            </w:pPr>
          </w:p>
        </w:tc>
        <w:tc>
          <w:tcPr>
            <w:tcW w:w="2154" w:type="dxa"/>
            <w:gridSpan w:val="3"/>
            <w:noWrap/>
            <w:vAlign w:val="center"/>
          </w:tcPr>
          <w:p>
            <w:pPr>
              <w:rPr>
                <w:rFonts w:ascii="宋体" w:hAnsi="宋体"/>
                <w:sz w:val="18"/>
                <w:szCs w:val="18"/>
              </w:rPr>
            </w:pPr>
            <w:r>
              <w:rPr>
                <w:rFonts w:hint="eastAsia" w:ascii="宋体" w:hAnsi="宋体"/>
                <w:sz w:val="18"/>
                <w:szCs w:val="18"/>
              </w:rPr>
              <w:t>目标2：开展并完成预算执行及财务收支审计4个。</w:t>
            </w:r>
          </w:p>
        </w:tc>
        <w:tc>
          <w:tcPr>
            <w:tcW w:w="3292" w:type="dxa"/>
            <w:gridSpan w:val="2"/>
            <w:noWrap/>
            <w:vAlign w:val="center"/>
          </w:tcPr>
          <w:p>
            <w:pPr>
              <w:rPr>
                <w:rFonts w:ascii="宋体" w:hAnsi="宋体"/>
                <w:sz w:val="18"/>
                <w:szCs w:val="18"/>
              </w:rPr>
            </w:pPr>
            <w:r>
              <w:rPr>
                <w:rFonts w:hint="eastAsia" w:ascii="宋体" w:hAnsi="宋体"/>
                <w:sz w:val="18"/>
                <w:szCs w:val="18"/>
              </w:rPr>
              <w:t>按计划在年度内全面完成预算执行及财务收支审计4个。</w:t>
            </w:r>
          </w:p>
        </w:tc>
        <w:tc>
          <w:tcPr>
            <w:tcW w:w="3008" w:type="dxa"/>
            <w:gridSpan w:val="3"/>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2154" w:type="dxa"/>
            <w:gridSpan w:val="3"/>
            <w:noWrap/>
            <w:vAlign w:val="center"/>
          </w:tcPr>
          <w:p>
            <w:pPr>
              <w:rPr>
                <w:rFonts w:ascii="宋体" w:hAnsi="宋体"/>
                <w:sz w:val="18"/>
                <w:szCs w:val="18"/>
              </w:rPr>
            </w:pPr>
            <w:r>
              <w:rPr>
                <w:rFonts w:hint="eastAsia" w:ascii="宋体" w:hAnsi="宋体"/>
                <w:sz w:val="18"/>
                <w:szCs w:val="18"/>
              </w:rPr>
              <w:t>目标3：开展并完成经责审计和自然资源审计共8个。</w:t>
            </w:r>
          </w:p>
        </w:tc>
        <w:tc>
          <w:tcPr>
            <w:tcW w:w="3292" w:type="dxa"/>
            <w:gridSpan w:val="2"/>
            <w:noWrap/>
            <w:vAlign w:val="center"/>
          </w:tcPr>
          <w:p>
            <w:pPr>
              <w:rPr>
                <w:rFonts w:ascii="宋体" w:hAnsi="宋体"/>
                <w:sz w:val="18"/>
                <w:szCs w:val="18"/>
              </w:rPr>
            </w:pPr>
            <w:r>
              <w:rPr>
                <w:rFonts w:hint="eastAsia" w:ascii="宋体" w:hAnsi="宋体"/>
                <w:sz w:val="18"/>
                <w:szCs w:val="18"/>
              </w:rPr>
              <w:t>按计划在年度内全面完成经责审计和自然资源审计共8个。</w:t>
            </w:r>
          </w:p>
        </w:tc>
        <w:tc>
          <w:tcPr>
            <w:tcW w:w="3008" w:type="dxa"/>
            <w:gridSpan w:val="3"/>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2154" w:type="dxa"/>
            <w:gridSpan w:val="3"/>
            <w:noWrap/>
            <w:vAlign w:val="center"/>
          </w:tcPr>
          <w:p>
            <w:pPr>
              <w:rPr>
                <w:rFonts w:ascii="宋体" w:hAnsi="宋体"/>
                <w:sz w:val="18"/>
                <w:szCs w:val="18"/>
              </w:rPr>
            </w:pPr>
            <w:r>
              <w:rPr>
                <w:rFonts w:hint="eastAsia" w:ascii="宋体" w:hAnsi="宋体"/>
                <w:sz w:val="18"/>
                <w:szCs w:val="18"/>
              </w:rPr>
              <w:t>目标4：开展并完成政府投资审计15个。</w:t>
            </w:r>
          </w:p>
        </w:tc>
        <w:tc>
          <w:tcPr>
            <w:tcW w:w="3292" w:type="dxa"/>
            <w:gridSpan w:val="2"/>
            <w:noWrap/>
            <w:vAlign w:val="center"/>
          </w:tcPr>
          <w:p>
            <w:pPr>
              <w:rPr>
                <w:rFonts w:ascii="宋体" w:hAnsi="宋体"/>
                <w:sz w:val="18"/>
                <w:szCs w:val="18"/>
              </w:rPr>
            </w:pPr>
            <w:r>
              <w:rPr>
                <w:rFonts w:hint="eastAsia" w:ascii="宋体" w:hAnsi="宋体"/>
                <w:sz w:val="18"/>
                <w:szCs w:val="18"/>
              </w:rPr>
              <w:t>按计划在年度内全面完成政府投资审计15个。</w:t>
            </w:r>
          </w:p>
        </w:tc>
        <w:tc>
          <w:tcPr>
            <w:tcW w:w="3008" w:type="dxa"/>
            <w:gridSpan w:val="3"/>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99" w:type="dxa"/>
            <w:vMerge w:val="restart"/>
            <w:noWrap/>
            <w:vAlign w:val="center"/>
          </w:tcPr>
          <w:p>
            <w:pPr>
              <w:jc w:val="center"/>
              <w:rPr>
                <w:rFonts w:ascii="宋体" w:hAnsi="宋体"/>
                <w:sz w:val="18"/>
                <w:szCs w:val="18"/>
              </w:rPr>
            </w:pPr>
            <w:r>
              <w:rPr>
                <w:rFonts w:ascii="宋体" w:hAnsi="宋体"/>
                <w:sz w:val="18"/>
                <w:szCs w:val="18"/>
              </w:rPr>
              <w:t>年度绩效指标</w:t>
            </w:r>
          </w:p>
        </w:tc>
        <w:tc>
          <w:tcPr>
            <w:tcW w:w="1023" w:type="dxa"/>
            <w:noWrap/>
            <w:vAlign w:val="center"/>
          </w:tcPr>
          <w:p>
            <w:pPr>
              <w:jc w:val="center"/>
              <w:rPr>
                <w:rFonts w:ascii="宋体" w:hAnsi="宋体"/>
                <w:sz w:val="18"/>
                <w:szCs w:val="18"/>
              </w:rPr>
            </w:pPr>
            <w:r>
              <w:rPr>
                <w:rFonts w:ascii="宋体" w:hAnsi="宋体"/>
                <w:sz w:val="18"/>
                <w:szCs w:val="18"/>
              </w:rPr>
              <w:t>一级指标</w:t>
            </w:r>
          </w:p>
        </w:tc>
        <w:tc>
          <w:tcPr>
            <w:tcW w:w="1131" w:type="dxa"/>
            <w:gridSpan w:val="2"/>
            <w:noWrap/>
            <w:vAlign w:val="center"/>
          </w:tcPr>
          <w:p>
            <w:pPr>
              <w:jc w:val="center"/>
              <w:rPr>
                <w:rFonts w:ascii="宋体" w:hAnsi="宋体"/>
                <w:sz w:val="18"/>
                <w:szCs w:val="18"/>
              </w:rPr>
            </w:pPr>
            <w:r>
              <w:rPr>
                <w:rFonts w:ascii="宋体" w:hAnsi="宋体"/>
                <w:sz w:val="18"/>
                <w:szCs w:val="18"/>
              </w:rPr>
              <w:t>二级指标</w:t>
            </w:r>
          </w:p>
        </w:tc>
        <w:tc>
          <w:tcPr>
            <w:tcW w:w="1669" w:type="dxa"/>
            <w:noWrap/>
            <w:vAlign w:val="center"/>
          </w:tcPr>
          <w:p>
            <w:pPr>
              <w:jc w:val="center"/>
              <w:rPr>
                <w:rFonts w:ascii="宋体" w:hAnsi="宋体"/>
                <w:sz w:val="18"/>
                <w:szCs w:val="18"/>
              </w:rPr>
            </w:pPr>
            <w:r>
              <w:rPr>
                <w:rFonts w:ascii="宋体" w:hAnsi="宋体"/>
                <w:sz w:val="18"/>
                <w:szCs w:val="18"/>
              </w:rPr>
              <w:t>三级指标</w:t>
            </w:r>
          </w:p>
        </w:tc>
        <w:tc>
          <w:tcPr>
            <w:tcW w:w="1623" w:type="dxa"/>
            <w:noWrap/>
            <w:vAlign w:val="center"/>
          </w:tcPr>
          <w:p>
            <w:pPr>
              <w:jc w:val="center"/>
              <w:rPr>
                <w:rFonts w:ascii="宋体" w:hAnsi="宋体"/>
                <w:sz w:val="18"/>
                <w:szCs w:val="18"/>
              </w:rPr>
            </w:pPr>
            <w:r>
              <w:rPr>
                <w:rFonts w:ascii="宋体" w:hAnsi="宋体"/>
                <w:sz w:val="18"/>
                <w:szCs w:val="18"/>
              </w:rPr>
              <w:t>预算指标值（包含数字及文字描述）</w:t>
            </w:r>
          </w:p>
        </w:tc>
        <w:tc>
          <w:tcPr>
            <w:tcW w:w="2054" w:type="dxa"/>
            <w:gridSpan w:val="2"/>
            <w:noWrap/>
            <w:vAlign w:val="center"/>
          </w:tcPr>
          <w:p>
            <w:pPr>
              <w:jc w:val="center"/>
              <w:rPr>
                <w:rFonts w:ascii="宋体" w:hAnsi="宋体"/>
                <w:sz w:val="18"/>
                <w:szCs w:val="18"/>
              </w:rPr>
            </w:pPr>
            <w:r>
              <w:rPr>
                <w:rFonts w:ascii="宋体" w:hAnsi="宋体"/>
                <w:sz w:val="18"/>
                <w:szCs w:val="18"/>
              </w:rPr>
              <w:t>预算指标值执行结果（包含数字及文字描述）</w:t>
            </w:r>
          </w:p>
        </w:tc>
        <w:tc>
          <w:tcPr>
            <w:tcW w:w="954" w:type="dxa"/>
            <w:noWrap/>
            <w:vAlign w:val="center"/>
          </w:tcPr>
          <w:p>
            <w:pPr>
              <w:jc w:val="center"/>
              <w:rPr>
                <w:rFonts w:ascii="宋体" w:hAnsi="宋体"/>
                <w:sz w:val="18"/>
                <w:szCs w:val="18"/>
              </w:rPr>
            </w:pPr>
            <w:r>
              <w:rPr>
                <w:rFonts w:ascii="宋体" w:hAnsi="宋体"/>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restart"/>
            <w:noWrap/>
            <w:vAlign w:val="center"/>
          </w:tcPr>
          <w:p>
            <w:pPr>
              <w:jc w:val="center"/>
              <w:rPr>
                <w:rFonts w:ascii="宋体" w:hAnsi="宋体"/>
                <w:sz w:val="18"/>
                <w:szCs w:val="18"/>
              </w:rPr>
            </w:pPr>
            <w:r>
              <w:rPr>
                <w:rFonts w:ascii="宋体" w:hAnsi="宋体"/>
                <w:sz w:val="18"/>
                <w:szCs w:val="18"/>
              </w:rPr>
              <w:t>完成</w:t>
            </w:r>
          </w:p>
          <w:p>
            <w:pPr>
              <w:jc w:val="center"/>
              <w:rPr>
                <w:rFonts w:ascii="宋体" w:hAnsi="宋体"/>
                <w:sz w:val="18"/>
                <w:szCs w:val="18"/>
              </w:rPr>
            </w:pPr>
            <w:r>
              <w:rPr>
                <w:rFonts w:ascii="宋体" w:hAnsi="宋体"/>
                <w:sz w:val="18"/>
                <w:szCs w:val="18"/>
              </w:rPr>
              <w:t>指标</w:t>
            </w:r>
          </w:p>
        </w:tc>
        <w:tc>
          <w:tcPr>
            <w:tcW w:w="1131" w:type="dxa"/>
            <w:gridSpan w:val="2"/>
            <w:vMerge w:val="restart"/>
            <w:noWrap/>
            <w:vAlign w:val="center"/>
          </w:tcPr>
          <w:p>
            <w:pPr>
              <w:jc w:val="center"/>
              <w:rPr>
                <w:rFonts w:ascii="宋体" w:hAnsi="宋体"/>
                <w:sz w:val="18"/>
                <w:szCs w:val="18"/>
              </w:rPr>
            </w:pPr>
            <w:r>
              <w:rPr>
                <w:rFonts w:ascii="宋体" w:hAnsi="宋体"/>
                <w:sz w:val="18"/>
                <w:szCs w:val="18"/>
              </w:rPr>
              <w:t>数量</w:t>
            </w:r>
          </w:p>
          <w:p>
            <w:pPr>
              <w:jc w:val="center"/>
              <w:rPr>
                <w:rFonts w:ascii="宋体" w:hAnsi="宋体"/>
                <w:sz w:val="18"/>
                <w:szCs w:val="18"/>
              </w:rPr>
            </w:pPr>
            <w:r>
              <w:rPr>
                <w:rFonts w:ascii="宋体" w:hAnsi="宋体"/>
                <w:sz w:val="18"/>
                <w:szCs w:val="18"/>
              </w:rPr>
              <w:t>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完成集中审计项目数量</w:t>
            </w:r>
          </w:p>
        </w:tc>
        <w:tc>
          <w:tcPr>
            <w:tcW w:w="1623" w:type="dxa"/>
            <w:noWrap/>
            <w:vAlign w:val="center"/>
          </w:tcPr>
          <w:p>
            <w:pPr>
              <w:rPr>
                <w:rFonts w:ascii="宋体" w:hAnsi="宋体"/>
                <w:sz w:val="18"/>
                <w:szCs w:val="18"/>
              </w:rPr>
            </w:pPr>
            <w:r>
              <w:rPr>
                <w:rFonts w:hint="eastAsia" w:ascii="宋体" w:hAnsi="宋体"/>
                <w:sz w:val="18"/>
                <w:szCs w:val="18"/>
              </w:rPr>
              <w:t>完成计划内审计项目和区政府安排的政府投资建设项目审计工作</w:t>
            </w:r>
          </w:p>
        </w:tc>
        <w:tc>
          <w:tcPr>
            <w:tcW w:w="2054" w:type="dxa"/>
            <w:gridSpan w:val="2"/>
            <w:noWrap/>
            <w:vAlign w:val="center"/>
          </w:tcPr>
          <w:p>
            <w:pPr>
              <w:rPr>
                <w:rFonts w:ascii="宋体" w:hAnsi="宋体"/>
                <w:sz w:val="18"/>
                <w:szCs w:val="18"/>
              </w:rPr>
            </w:pPr>
            <w:r>
              <w:rPr>
                <w:rFonts w:hint="eastAsia" w:ascii="宋体" w:hAnsi="宋体"/>
                <w:sz w:val="18"/>
                <w:szCs w:val="18"/>
              </w:rPr>
              <w:t>计划数29个，实际完成29个。</w:t>
            </w:r>
          </w:p>
        </w:tc>
        <w:tc>
          <w:tcPr>
            <w:tcW w:w="954" w:type="dxa"/>
            <w:noWrap/>
            <w:vAlign w:val="center"/>
          </w:tcPr>
          <w:p>
            <w:pPr>
              <w:rPr>
                <w:rFonts w:ascii="宋体" w:hAnsi="宋体"/>
                <w:color w:val="C0504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质量</w:t>
            </w:r>
          </w:p>
          <w:p>
            <w:pPr>
              <w:jc w:val="center"/>
              <w:rPr>
                <w:rFonts w:ascii="宋体" w:hAnsi="宋体"/>
                <w:sz w:val="18"/>
                <w:szCs w:val="18"/>
              </w:rPr>
            </w:pPr>
            <w:r>
              <w:rPr>
                <w:rFonts w:ascii="宋体" w:hAnsi="宋体"/>
                <w:sz w:val="18"/>
                <w:szCs w:val="18"/>
              </w:rPr>
              <w:t>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费用的支出准确率</w:t>
            </w:r>
          </w:p>
        </w:tc>
        <w:tc>
          <w:tcPr>
            <w:tcW w:w="1623" w:type="dxa"/>
            <w:noWrap/>
            <w:vAlign w:val="center"/>
          </w:tcPr>
          <w:p>
            <w:pPr>
              <w:rPr>
                <w:rFonts w:ascii="宋体" w:hAnsi="宋体"/>
                <w:sz w:val="18"/>
                <w:szCs w:val="18"/>
              </w:rPr>
            </w:pPr>
            <w:r>
              <w:rPr>
                <w:rFonts w:hint="eastAsia" w:ascii="宋体" w:hAnsi="宋体"/>
                <w:sz w:val="18"/>
                <w:szCs w:val="18"/>
              </w:rPr>
              <w:t>支出按财务制度的规定,年度内各项支出符合规定</w:t>
            </w:r>
          </w:p>
        </w:tc>
        <w:tc>
          <w:tcPr>
            <w:tcW w:w="2054" w:type="dxa"/>
            <w:gridSpan w:val="2"/>
            <w:noWrap/>
            <w:vAlign w:val="center"/>
          </w:tcPr>
          <w:p>
            <w:pPr>
              <w:rPr>
                <w:rFonts w:ascii="宋体" w:hAnsi="宋体"/>
                <w:sz w:val="18"/>
                <w:szCs w:val="18"/>
              </w:rPr>
            </w:pPr>
            <w:r>
              <w:rPr>
                <w:rFonts w:hint="eastAsia" w:ascii="宋体" w:hAnsi="宋体"/>
                <w:sz w:val="18"/>
                <w:szCs w:val="18"/>
              </w:rPr>
              <w:t>支出按财务制度的规定,年度内各项支出符合规定</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时效</w:t>
            </w:r>
          </w:p>
          <w:p>
            <w:pPr>
              <w:jc w:val="center"/>
              <w:rPr>
                <w:rFonts w:ascii="宋体" w:hAnsi="宋体"/>
                <w:sz w:val="18"/>
                <w:szCs w:val="18"/>
              </w:rPr>
            </w:pPr>
            <w:r>
              <w:rPr>
                <w:rFonts w:ascii="宋体" w:hAnsi="宋体"/>
                <w:sz w:val="18"/>
                <w:szCs w:val="18"/>
              </w:rPr>
              <w:t>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项目资金支出及时率</w:t>
            </w:r>
          </w:p>
        </w:tc>
        <w:tc>
          <w:tcPr>
            <w:tcW w:w="1623" w:type="dxa"/>
            <w:noWrap/>
            <w:vAlign w:val="center"/>
          </w:tcPr>
          <w:p>
            <w:pPr>
              <w:rPr>
                <w:rFonts w:ascii="宋体" w:hAnsi="宋体"/>
                <w:sz w:val="18"/>
                <w:szCs w:val="18"/>
              </w:rPr>
            </w:pPr>
            <w:r>
              <w:rPr>
                <w:rFonts w:hint="eastAsia" w:ascii="宋体" w:hAnsi="宋体"/>
                <w:sz w:val="18"/>
                <w:szCs w:val="18"/>
              </w:rPr>
              <w:t>项目资金是否按规定支出</w:t>
            </w:r>
          </w:p>
        </w:tc>
        <w:tc>
          <w:tcPr>
            <w:tcW w:w="2054" w:type="dxa"/>
            <w:gridSpan w:val="2"/>
            <w:noWrap/>
            <w:vAlign w:val="center"/>
          </w:tcPr>
          <w:p>
            <w:pPr>
              <w:rPr>
                <w:rFonts w:ascii="宋体" w:hAnsi="宋体"/>
                <w:sz w:val="18"/>
                <w:szCs w:val="18"/>
              </w:rPr>
            </w:pPr>
            <w:r>
              <w:rPr>
                <w:rFonts w:hint="eastAsia" w:ascii="宋体" w:hAnsi="宋体"/>
                <w:sz w:val="18"/>
                <w:szCs w:val="18"/>
              </w:rPr>
              <w:t>按财务制度的规定，年度内的项目资金在规定的时间内拨付</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年度内是否完成规定的审计项目　</w:t>
            </w:r>
          </w:p>
        </w:tc>
        <w:tc>
          <w:tcPr>
            <w:tcW w:w="1623" w:type="dxa"/>
            <w:noWrap/>
            <w:vAlign w:val="center"/>
          </w:tcPr>
          <w:p>
            <w:pPr>
              <w:rPr>
                <w:rFonts w:ascii="宋体" w:hAnsi="宋体"/>
                <w:sz w:val="18"/>
                <w:szCs w:val="18"/>
              </w:rPr>
            </w:pPr>
            <w:r>
              <w:rPr>
                <w:rFonts w:hint="eastAsia" w:ascii="宋体" w:hAnsi="宋体"/>
                <w:sz w:val="18"/>
                <w:szCs w:val="18"/>
              </w:rPr>
              <w:t>在规定的时间内完成年度审计项目</w:t>
            </w:r>
          </w:p>
        </w:tc>
        <w:tc>
          <w:tcPr>
            <w:tcW w:w="2054" w:type="dxa"/>
            <w:gridSpan w:val="2"/>
            <w:noWrap/>
            <w:vAlign w:val="center"/>
          </w:tcPr>
          <w:p>
            <w:pPr>
              <w:rPr>
                <w:rFonts w:ascii="宋体" w:hAnsi="宋体"/>
                <w:sz w:val="18"/>
                <w:szCs w:val="18"/>
              </w:rPr>
            </w:pPr>
            <w:r>
              <w:rPr>
                <w:rFonts w:hint="eastAsia" w:ascii="宋体" w:hAnsi="宋体"/>
                <w:sz w:val="18"/>
                <w:szCs w:val="18"/>
              </w:rPr>
              <w:t>年度计划审计项目29个，实际完成29审计项目</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成本</w:t>
            </w:r>
          </w:p>
          <w:p>
            <w:pPr>
              <w:jc w:val="center"/>
              <w:rPr>
                <w:rFonts w:ascii="宋体" w:hAnsi="宋体"/>
                <w:sz w:val="18"/>
                <w:szCs w:val="18"/>
              </w:rPr>
            </w:pPr>
            <w:r>
              <w:rPr>
                <w:rFonts w:ascii="宋体" w:hAnsi="宋体"/>
                <w:sz w:val="18"/>
                <w:szCs w:val="18"/>
              </w:rPr>
              <w:t>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年度内支出是否超过预算总额</w:t>
            </w:r>
          </w:p>
        </w:tc>
        <w:tc>
          <w:tcPr>
            <w:tcW w:w="1623" w:type="dxa"/>
            <w:noWrap/>
            <w:vAlign w:val="center"/>
          </w:tcPr>
          <w:p>
            <w:pPr>
              <w:rPr>
                <w:rFonts w:ascii="宋体" w:hAnsi="宋体"/>
                <w:sz w:val="18"/>
                <w:szCs w:val="18"/>
              </w:rPr>
            </w:pPr>
            <w:r>
              <w:rPr>
                <w:rFonts w:hint="eastAsia" w:ascii="宋体" w:hAnsi="宋体"/>
                <w:sz w:val="18"/>
                <w:szCs w:val="18"/>
              </w:rPr>
              <w:t>年度内预算总额为756.43万元</w:t>
            </w:r>
          </w:p>
        </w:tc>
        <w:tc>
          <w:tcPr>
            <w:tcW w:w="2054" w:type="dxa"/>
            <w:gridSpan w:val="2"/>
            <w:noWrap/>
            <w:vAlign w:val="center"/>
          </w:tcPr>
          <w:p>
            <w:pPr>
              <w:rPr>
                <w:rFonts w:ascii="宋体" w:hAnsi="宋体"/>
                <w:sz w:val="18"/>
                <w:szCs w:val="18"/>
              </w:rPr>
            </w:pPr>
            <w:r>
              <w:rPr>
                <w:rFonts w:hint="eastAsia" w:ascii="宋体" w:hAnsi="宋体"/>
                <w:sz w:val="18"/>
                <w:szCs w:val="18"/>
              </w:rPr>
              <w:t>规范财政收支行为，节约财政资金支出，年度内支出696.63万元</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noWrap/>
            <w:vAlign w:val="center"/>
          </w:tcPr>
          <w:p>
            <w:pPr>
              <w:jc w:val="center"/>
              <w:rPr>
                <w:rFonts w:ascii="宋体" w:hAnsi="宋体"/>
                <w:sz w:val="18"/>
                <w:szCs w:val="18"/>
              </w:rPr>
            </w:pPr>
            <w:r>
              <w:rPr>
                <w:rFonts w:ascii="宋体" w:hAnsi="宋体"/>
                <w:sz w:val="18"/>
                <w:szCs w:val="18"/>
              </w:rPr>
              <w:t>……</w:t>
            </w:r>
          </w:p>
        </w:tc>
        <w:tc>
          <w:tcPr>
            <w:tcW w:w="1669" w:type="dxa"/>
            <w:noWrap/>
            <w:vAlign w:val="center"/>
          </w:tcPr>
          <w:p>
            <w:pPr>
              <w:rPr>
                <w:rFonts w:ascii="宋体" w:hAnsi="宋体"/>
                <w:sz w:val="18"/>
                <w:szCs w:val="18"/>
              </w:rPr>
            </w:pP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restart"/>
            <w:noWrap/>
            <w:vAlign w:val="center"/>
          </w:tcPr>
          <w:p>
            <w:pPr>
              <w:jc w:val="center"/>
              <w:rPr>
                <w:rFonts w:ascii="宋体" w:hAnsi="宋体"/>
                <w:sz w:val="18"/>
                <w:szCs w:val="18"/>
              </w:rPr>
            </w:pPr>
            <w:r>
              <w:rPr>
                <w:rFonts w:ascii="宋体" w:hAnsi="宋体"/>
                <w:sz w:val="18"/>
                <w:szCs w:val="18"/>
              </w:rPr>
              <w:t>效益</w:t>
            </w:r>
          </w:p>
          <w:p>
            <w:pPr>
              <w:jc w:val="center"/>
              <w:rPr>
                <w:rFonts w:ascii="宋体" w:hAnsi="宋体"/>
                <w:sz w:val="18"/>
                <w:szCs w:val="18"/>
              </w:rPr>
            </w:pPr>
            <w:r>
              <w:rPr>
                <w:rFonts w:ascii="宋体" w:hAnsi="宋体"/>
                <w:sz w:val="18"/>
                <w:szCs w:val="18"/>
              </w:rPr>
              <w:t>指标</w:t>
            </w:r>
          </w:p>
        </w:tc>
        <w:tc>
          <w:tcPr>
            <w:tcW w:w="1131" w:type="dxa"/>
            <w:gridSpan w:val="2"/>
            <w:vMerge w:val="restart"/>
            <w:noWrap/>
            <w:vAlign w:val="center"/>
          </w:tcPr>
          <w:p>
            <w:pPr>
              <w:jc w:val="center"/>
              <w:rPr>
                <w:rFonts w:ascii="宋体" w:hAnsi="宋体"/>
                <w:sz w:val="18"/>
                <w:szCs w:val="18"/>
              </w:rPr>
            </w:pPr>
            <w:r>
              <w:rPr>
                <w:rFonts w:ascii="宋体" w:hAnsi="宋体"/>
                <w:sz w:val="18"/>
                <w:szCs w:val="18"/>
              </w:rPr>
              <w:t>经济效益指标</w:t>
            </w:r>
          </w:p>
        </w:tc>
        <w:tc>
          <w:tcPr>
            <w:tcW w:w="1669" w:type="dxa"/>
            <w:noWrap/>
            <w:vAlign w:val="center"/>
          </w:tcPr>
          <w:p>
            <w:pPr>
              <w:rPr>
                <w:rFonts w:ascii="宋体" w:hAnsi="宋体"/>
                <w:sz w:val="18"/>
                <w:szCs w:val="18"/>
              </w:rPr>
            </w:pPr>
            <w:r>
              <w:rPr>
                <w:rFonts w:ascii="宋体" w:hAnsi="宋体"/>
                <w:sz w:val="18"/>
                <w:szCs w:val="18"/>
              </w:rPr>
              <w:t>指标1：</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社会效益指标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被审计单位根据审计建议建立健全规章制度</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移送重大案件线索和事项数量</w:t>
            </w:r>
          </w:p>
        </w:tc>
        <w:tc>
          <w:tcPr>
            <w:tcW w:w="1623" w:type="dxa"/>
            <w:noWrap/>
            <w:vAlign w:val="center"/>
          </w:tcPr>
          <w:p>
            <w:pPr>
              <w:jc w:val="center"/>
              <w:rPr>
                <w:rFonts w:ascii="宋体" w:hAnsi="宋体"/>
                <w:sz w:val="18"/>
                <w:szCs w:val="18"/>
              </w:rPr>
            </w:pPr>
            <w:r>
              <w:rPr>
                <w:rFonts w:hint="eastAsia" w:ascii="宋体" w:hAnsi="宋体"/>
                <w:sz w:val="18"/>
                <w:szCs w:val="18"/>
              </w:rPr>
              <w:t>移送线索2条</w:t>
            </w:r>
          </w:p>
        </w:tc>
        <w:tc>
          <w:tcPr>
            <w:tcW w:w="2054" w:type="dxa"/>
            <w:gridSpan w:val="2"/>
            <w:noWrap/>
            <w:vAlign w:val="center"/>
          </w:tcPr>
          <w:p>
            <w:pPr>
              <w:rPr>
                <w:rFonts w:ascii="宋体" w:hAnsi="宋体"/>
                <w:sz w:val="18"/>
                <w:szCs w:val="18"/>
              </w:rPr>
            </w:pPr>
            <w:r>
              <w:rPr>
                <w:rFonts w:hint="eastAsia" w:ascii="宋体" w:hAnsi="宋体"/>
                <w:sz w:val="18"/>
                <w:szCs w:val="18"/>
              </w:rPr>
              <w:t>移送违法线索5条</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生态效益指标</w:t>
            </w:r>
          </w:p>
        </w:tc>
        <w:tc>
          <w:tcPr>
            <w:tcW w:w="1669" w:type="dxa"/>
            <w:noWrap/>
            <w:vAlign w:val="center"/>
          </w:tcPr>
          <w:p>
            <w:pPr>
              <w:rPr>
                <w:rFonts w:ascii="宋体" w:hAnsi="宋体"/>
                <w:sz w:val="18"/>
                <w:szCs w:val="18"/>
              </w:rPr>
            </w:pPr>
            <w:r>
              <w:rPr>
                <w:rFonts w:ascii="宋体" w:hAnsi="宋体"/>
                <w:sz w:val="18"/>
                <w:szCs w:val="18"/>
              </w:rPr>
              <w:t>指标1：</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restart"/>
            <w:noWrap/>
            <w:vAlign w:val="center"/>
          </w:tcPr>
          <w:p>
            <w:pPr>
              <w:jc w:val="center"/>
              <w:rPr>
                <w:rFonts w:ascii="宋体" w:hAnsi="宋体"/>
                <w:sz w:val="18"/>
                <w:szCs w:val="18"/>
              </w:rPr>
            </w:pPr>
            <w:r>
              <w:rPr>
                <w:rFonts w:ascii="宋体" w:hAnsi="宋体"/>
                <w:sz w:val="18"/>
                <w:szCs w:val="18"/>
              </w:rPr>
              <w:t>可持续影响指标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纪检监察监督、巡察监督与审计监督贯通协作机制</w:t>
            </w:r>
          </w:p>
        </w:tc>
        <w:tc>
          <w:tcPr>
            <w:tcW w:w="1623" w:type="dxa"/>
            <w:noWrap/>
            <w:vAlign w:val="center"/>
          </w:tcPr>
          <w:p>
            <w:pPr>
              <w:jc w:val="center"/>
              <w:rPr>
                <w:rFonts w:ascii="宋体" w:hAnsi="宋体"/>
                <w:sz w:val="18"/>
                <w:szCs w:val="18"/>
              </w:rPr>
            </w:pPr>
            <w:r>
              <w:rPr>
                <w:rFonts w:hint="eastAsia" w:ascii="宋体" w:hAnsi="宋体"/>
                <w:sz w:val="18"/>
                <w:szCs w:val="18"/>
              </w:rPr>
              <w:t>建立健全巡审联动机制</w:t>
            </w:r>
          </w:p>
        </w:tc>
        <w:tc>
          <w:tcPr>
            <w:tcW w:w="2054" w:type="dxa"/>
            <w:gridSpan w:val="2"/>
            <w:noWrap/>
            <w:vAlign w:val="center"/>
          </w:tcPr>
          <w:p>
            <w:pPr>
              <w:rPr>
                <w:rFonts w:ascii="宋体" w:hAnsi="宋体"/>
                <w:sz w:val="18"/>
                <w:szCs w:val="18"/>
              </w:rPr>
            </w:pPr>
            <w:r>
              <w:rPr>
                <w:rFonts w:hint="eastAsia" w:ascii="宋体" w:hAnsi="宋体"/>
                <w:sz w:val="18"/>
                <w:szCs w:val="18"/>
              </w:rPr>
              <w:t>建立出台《雁江区“巡审联动”工作机制（试行）》。</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noWrap/>
            <w:vAlign w:val="center"/>
          </w:tcPr>
          <w:p>
            <w:pPr>
              <w:jc w:val="center"/>
              <w:rPr>
                <w:rFonts w:ascii="宋体" w:hAnsi="宋体"/>
                <w:sz w:val="18"/>
                <w:szCs w:val="18"/>
              </w:rPr>
            </w:pPr>
            <w:r>
              <w:rPr>
                <w:rFonts w:ascii="宋体" w:hAnsi="宋体"/>
                <w:sz w:val="18"/>
                <w:szCs w:val="18"/>
              </w:rPr>
              <w:t>……</w:t>
            </w:r>
          </w:p>
        </w:tc>
        <w:tc>
          <w:tcPr>
            <w:tcW w:w="1669" w:type="dxa"/>
            <w:noWrap/>
            <w:vAlign w:val="center"/>
          </w:tcPr>
          <w:p>
            <w:pPr>
              <w:rPr>
                <w:rFonts w:ascii="宋体" w:hAnsi="宋体"/>
                <w:sz w:val="18"/>
                <w:szCs w:val="18"/>
              </w:rPr>
            </w:pPr>
          </w:p>
        </w:tc>
        <w:tc>
          <w:tcPr>
            <w:tcW w:w="1623" w:type="dxa"/>
            <w:noWrap/>
            <w:vAlign w:val="center"/>
          </w:tcPr>
          <w:p>
            <w:pPr>
              <w:jc w:val="center"/>
              <w:rPr>
                <w:rFonts w:ascii="宋体" w:hAnsi="宋体"/>
                <w:sz w:val="18"/>
                <w:szCs w:val="18"/>
              </w:rPr>
            </w:pPr>
          </w:p>
        </w:tc>
        <w:tc>
          <w:tcPr>
            <w:tcW w:w="2054" w:type="dxa"/>
            <w:gridSpan w:val="2"/>
            <w:noWrap/>
            <w:vAlign w:val="center"/>
          </w:tcPr>
          <w:p>
            <w:pP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restart"/>
            <w:noWrap/>
            <w:vAlign w:val="center"/>
          </w:tcPr>
          <w:p>
            <w:pPr>
              <w:jc w:val="center"/>
              <w:rPr>
                <w:rFonts w:ascii="宋体" w:hAnsi="宋体"/>
                <w:sz w:val="18"/>
                <w:szCs w:val="18"/>
              </w:rPr>
            </w:pPr>
            <w:r>
              <w:rPr>
                <w:rFonts w:ascii="宋体" w:hAnsi="宋体"/>
                <w:sz w:val="18"/>
                <w:szCs w:val="18"/>
              </w:rPr>
              <w:t>满意度</w:t>
            </w:r>
          </w:p>
          <w:p>
            <w:pPr>
              <w:jc w:val="center"/>
              <w:rPr>
                <w:rFonts w:ascii="宋体" w:hAnsi="宋体"/>
                <w:sz w:val="18"/>
                <w:szCs w:val="18"/>
              </w:rPr>
            </w:pPr>
            <w:r>
              <w:rPr>
                <w:rFonts w:ascii="宋体" w:hAnsi="宋体"/>
                <w:sz w:val="18"/>
                <w:szCs w:val="18"/>
              </w:rPr>
              <w:t>指标</w:t>
            </w:r>
          </w:p>
        </w:tc>
        <w:tc>
          <w:tcPr>
            <w:tcW w:w="1131" w:type="dxa"/>
            <w:gridSpan w:val="2"/>
            <w:vMerge w:val="restart"/>
            <w:noWrap/>
            <w:vAlign w:val="center"/>
          </w:tcPr>
          <w:p>
            <w:pPr>
              <w:jc w:val="center"/>
              <w:rPr>
                <w:rFonts w:ascii="宋体" w:hAnsi="宋体"/>
                <w:sz w:val="18"/>
                <w:szCs w:val="18"/>
              </w:rPr>
            </w:pPr>
            <w:r>
              <w:rPr>
                <w:rFonts w:ascii="宋体" w:hAnsi="宋体"/>
                <w:sz w:val="18"/>
                <w:szCs w:val="18"/>
              </w:rPr>
              <w:t>满意度指标</w:t>
            </w:r>
          </w:p>
        </w:tc>
        <w:tc>
          <w:tcPr>
            <w:tcW w:w="1669" w:type="dxa"/>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服务对象（或第三方机构）对审计工作的满意率</w:t>
            </w:r>
          </w:p>
        </w:tc>
        <w:tc>
          <w:tcPr>
            <w:tcW w:w="1623" w:type="dxa"/>
            <w:noWrap/>
            <w:vAlign w:val="center"/>
          </w:tcPr>
          <w:p>
            <w:pPr>
              <w:jc w:val="center"/>
              <w:rPr>
                <w:rFonts w:ascii="宋体" w:hAnsi="宋体"/>
                <w:sz w:val="18"/>
                <w:szCs w:val="18"/>
              </w:rPr>
            </w:pPr>
            <w:r>
              <w:rPr>
                <w:rFonts w:hint="eastAsia" w:ascii="宋体" w:hAnsi="宋体"/>
                <w:sz w:val="18"/>
                <w:szCs w:val="18"/>
              </w:rPr>
              <w:t>95%</w:t>
            </w:r>
          </w:p>
        </w:tc>
        <w:tc>
          <w:tcPr>
            <w:tcW w:w="2054" w:type="dxa"/>
            <w:gridSpan w:val="2"/>
            <w:noWrap/>
            <w:vAlign w:val="center"/>
          </w:tcPr>
          <w:p>
            <w:pPr>
              <w:rPr>
                <w:rFonts w:ascii="宋体" w:hAnsi="宋体"/>
                <w:sz w:val="18"/>
                <w:szCs w:val="18"/>
              </w:rPr>
            </w:pPr>
            <w:r>
              <w:rPr>
                <w:rFonts w:hint="eastAsia" w:ascii="宋体" w:hAnsi="宋体"/>
                <w:sz w:val="18"/>
                <w:szCs w:val="18"/>
              </w:rPr>
              <w:t>年度内支付给中介机构的政府投资评审经费相对较少，购买社会服务的经费逐年累计增加，影响了社会服务机构的工作积极性</w:t>
            </w: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rPr>
                <w:rFonts w:ascii="宋体" w:hAnsi="宋体"/>
                <w:sz w:val="18"/>
                <w:szCs w:val="18"/>
              </w:rPr>
            </w:pPr>
            <w:r>
              <w:rPr>
                <w:rFonts w:ascii="宋体" w:hAnsi="宋体"/>
                <w:sz w:val="18"/>
                <w:szCs w:val="18"/>
              </w:rPr>
              <w:t>指标2：</w:t>
            </w:r>
          </w:p>
        </w:tc>
        <w:tc>
          <w:tcPr>
            <w:tcW w:w="1623" w:type="dxa"/>
            <w:noWrap/>
            <w:vAlign w:val="center"/>
          </w:tcPr>
          <w:p>
            <w:pPr>
              <w:jc w:val="center"/>
              <w:rPr>
                <w:rFonts w:ascii="宋体" w:hAnsi="宋体"/>
                <w:sz w:val="18"/>
                <w:szCs w:val="18"/>
              </w:rPr>
            </w:pPr>
          </w:p>
        </w:tc>
        <w:tc>
          <w:tcPr>
            <w:tcW w:w="2054" w:type="dxa"/>
            <w:gridSpan w:val="2"/>
            <w:noWrap/>
            <w:vAlign w:val="center"/>
          </w:tcPr>
          <w:p>
            <w:pPr>
              <w:jc w:val="cente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vMerge w:val="continue"/>
            <w:noWrap/>
            <w:vAlign w:val="center"/>
          </w:tcPr>
          <w:p>
            <w:pPr>
              <w:jc w:val="center"/>
              <w:rPr>
                <w:rFonts w:ascii="宋体" w:hAnsi="宋体"/>
                <w:sz w:val="18"/>
                <w:szCs w:val="18"/>
              </w:rPr>
            </w:pPr>
          </w:p>
        </w:tc>
        <w:tc>
          <w:tcPr>
            <w:tcW w:w="1669" w:type="dxa"/>
            <w:noWrap/>
            <w:vAlign w:val="center"/>
          </w:tcPr>
          <w:p>
            <w:pPr>
              <w:jc w:val="center"/>
              <w:rPr>
                <w:rFonts w:ascii="宋体" w:hAnsi="宋体"/>
                <w:sz w:val="18"/>
                <w:szCs w:val="18"/>
              </w:rPr>
            </w:pPr>
            <w:r>
              <w:rPr>
                <w:rFonts w:ascii="宋体" w:hAnsi="宋体"/>
                <w:sz w:val="18"/>
                <w:szCs w:val="18"/>
              </w:rPr>
              <w:t>……</w:t>
            </w:r>
          </w:p>
        </w:tc>
        <w:tc>
          <w:tcPr>
            <w:tcW w:w="1623" w:type="dxa"/>
            <w:noWrap/>
            <w:vAlign w:val="center"/>
          </w:tcPr>
          <w:p>
            <w:pPr>
              <w:jc w:val="center"/>
              <w:rPr>
                <w:rFonts w:ascii="宋体" w:hAnsi="宋体"/>
                <w:sz w:val="18"/>
                <w:szCs w:val="18"/>
              </w:rPr>
            </w:pPr>
          </w:p>
        </w:tc>
        <w:tc>
          <w:tcPr>
            <w:tcW w:w="2054" w:type="dxa"/>
            <w:gridSpan w:val="2"/>
            <w:noWrap/>
            <w:vAlign w:val="center"/>
          </w:tcPr>
          <w:p>
            <w:pPr>
              <w:jc w:val="center"/>
              <w:rPr>
                <w:rFonts w:ascii="宋体" w:hAnsi="宋体"/>
                <w:sz w:val="18"/>
                <w:szCs w:val="18"/>
              </w:rPr>
            </w:pPr>
          </w:p>
        </w:tc>
        <w:tc>
          <w:tcPr>
            <w:tcW w:w="954" w:type="dxa"/>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9" w:type="dxa"/>
            <w:vMerge w:val="continue"/>
            <w:noWrap/>
            <w:vAlign w:val="center"/>
          </w:tcPr>
          <w:p>
            <w:pPr>
              <w:jc w:val="center"/>
              <w:rPr>
                <w:rFonts w:ascii="宋体" w:hAnsi="宋体"/>
                <w:sz w:val="18"/>
                <w:szCs w:val="18"/>
              </w:rPr>
            </w:pPr>
          </w:p>
        </w:tc>
        <w:tc>
          <w:tcPr>
            <w:tcW w:w="1023" w:type="dxa"/>
            <w:vMerge w:val="continue"/>
            <w:noWrap/>
            <w:vAlign w:val="center"/>
          </w:tcPr>
          <w:p>
            <w:pPr>
              <w:jc w:val="center"/>
              <w:rPr>
                <w:rFonts w:ascii="宋体" w:hAnsi="宋体"/>
                <w:sz w:val="18"/>
                <w:szCs w:val="18"/>
              </w:rPr>
            </w:pPr>
          </w:p>
        </w:tc>
        <w:tc>
          <w:tcPr>
            <w:tcW w:w="1131" w:type="dxa"/>
            <w:gridSpan w:val="2"/>
            <w:noWrap/>
            <w:vAlign w:val="center"/>
          </w:tcPr>
          <w:p>
            <w:pPr>
              <w:jc w:val="center"/>
              <w:rPr>
                <w:rFonts w:ascii="宋体" w:hAnsi="宋体"/>
                <w:sz w:val="18"/>
                <w:szCs w:val="18"/>
              </w:rPr>
            </w:pPr>
            <w:r>
              <w:rPr>
                <w:rFonts w:ascii="宋体" w:hAnsi="宋体"/>
                <w:sz w:val="18"/>
                <w:szCs w:val="18"/>
              </w:rPr>
              <w:t>……</w:t>
            </w:r>
          </w:p>
        </w:tc>
        <w:tc>
          <w:tcPr>
            <w:tcW w:w="1669" w:type="dxa"/>
            <w:noWrap/>
            <w:vAlign w:val="center"/>
          </w:tcPr>
          <w:p>
            <w:pPr>
              <w:jc w:val="center"/>
              <w:rPr>
                <w:rFonts w:ascii="宋体" w:hAnsi="宋体"/>
                <w:sz w:val="18"/>
                <w:szCs w:val="18"/>
              </w:rPr>
            </w:pPr>
          </w:p>
        </w:tc>
        <w:tc>
          <w:tcPr>
            <w:tcW w:w="1623" w:type="dxa"/>
            <w:noWrap/>
            <w:vAlign w:val="center"/>
          </w:tcPr>
          <w:p>
            <w:pPr>
              <w:jc w:val="center"/>
              <w:rPr>
                <w:rFonts w:ascii="宋体" w:hAnsi="宋体"/>
                <w:sz w:val="18"/>
                <w:szCs w:val="18"/>
              </w:rPr>
            </w:pPr>
          </w:p>
        </w:tc>
        <w:tc>
          <w:tcPr>
            <w:tcW w:w="2054" w:type="dxa"/>
            <w:gridSpan w:val="2"/>
            <w:noWrap/>
            <w:vAlign w:val="center"/>
          </w:tcPr>
          <w:p>
            <w:pPr>
              <w:jc w:val="center"/>
              <w:rPr>
                <w:rFonts w:ascii="宋体" w:hAnsi="宋体"/>
                <w:sz w:val="18"/>
                <w:szCs w:val="18"/>
              </w:rPr>
            </w:pPr>
          </w:p>
        </w:tc>
        <w:tc>
          <w:tcPr>
            <w:tcW w:w="954" w:type="dxa"/>
            <w:noWrap/>
            <w:vAlign w:val="center"/>
          </w:tcPr>
          <w:p>
            <w:pPr>
              <w:jc w:val="center"/>
              <w:rPr>
                <w:rFonts w:ascii="宋体" w:hAnsi="宋体"/>
                <w:sz w:val="18"/>
                <w:szCs w:val="18"/>
              </w:rPr>
            </w:pPr>
          </w:p>
        </w:tc>
      </w:tr>
    </w:tbl>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pStyle w:val="2"/>
        <w:spacing w:before="93"/>
      </w:pPr>
    </w:p>
    <w:p/>
    <w:p>
      <w:pPr>
        <w:pStyle w:val="2"/>
        <w:spacing w:before="93"/>
      </w:pPr>
    </w:p>
    <w:p/>
    <w:p>
      <w:pPr>
        <w:pStyle w:val="2"/>
        <w:spacing w:before="93"/>
      </w:pPr>
    </w:p>
    <w:p/>
    <w:p>
      <w:pPr>
        <w:pStyle w:val="2"/>
        <w:spacing w:before="93"/>
      </w:pPr>
    </w:p>
    <w:p/>
    <w:p>
      <w:pPr>
        <w:pStyle w:val="2"/>
        <w:spacing w:before="93"/>
      </w:pPr>
    </w:p>
    <w:p/>
    <w:p>
      <w:pPr>
        <w:spacing w:line="590" w:lineRule="exact"/>
        <w:rPr>
          <w:rFonts w:ascii="方正黑体_GBK" w:hAnsi="黑体" w:eastAsia="方正黑体_GBK" w:cs="黑体"/>
          <w:bCs/>
          <w:kern w:val="44"/>
          <w:sz w:val="32"/>
          <w:szCs w:val="44"/>
        </w:rPr>
      </w:pPr>
      <w:r>
        <w:rPr>
          <w:rFonts w:hint="eastAsia" w:ascii="方正黑体_GBK" w:hAnsi="黑体" w:eastAsia="方正黑体_GBK" w:cs="黑体"/>
          <w:bCs/>
          <w:kern w:val="44"/>
          <w:sz w:val="32"/>
          <w:szCs w:val="44"/>
        </w:rPr>
        <w:t>附件3：</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资阳市雁江区审计局</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2022年度政府投资审计评审经费</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项目支出绩效评估报告</w:t>
      </w:r>
    </w:p>
    <w:p>
      <w:pPr>
        <w:pStyle w:val="2"/>
        <w:spacing w:before="93" w:line="590" w:lineRule="exact"/>
      </w:pPr>
    </w:p>
    <w:p>
      <w:pPr>
        <w:pStyle w:val="3"/>
        <w:keepNext w:val="0"/>
        <w:keepLines w:val="0"/>
        <w:spacing w:before="0" w:after="0" w:line="590" w:lineRule="exact"/>
        <w:ind w:firstLine="660" w:firstLineChars="200"/>
        <w:rPr>
          <w:rFonts w:ascii="方正黑体_GBK" w:hAnsi="宋体" w:eastAsia="方正黑体_GBK" w:cs="黑体"/>
          <w:b w:val="0"/>
          <w:sz w:val="33"/>
          <w:szCs w:val="33"/>
        </w:rPr>
      </w:pPr>
      <w:r>
        <w:rPr>
          <w:rFonts w:hint="eastAsia" w:ascii="方正黑体_GBK" w:hAnsi="宋体" w:eastAsia="方正黑体_GBK" w:cs="黑体"/>
          <w:b w:val="0"/>
          <w:sz w:val="33"/>
          <w:szCs w:val="33"/>
        </w:rPr>
        <w:t>一、项目基本情况</w:t>
      </w:r>
    </w:p>
    <w:p>
      <w:pPr>
        <w:pStyle w:val="4"/>
        <w:numPr>
          <w:ilvl w:val="0"/>
          <w:numId w:val="6"/>
        </w:numPr>
        <w:adjustRightInd w:val="0"/>
        <w:spacing w:before="0" w:after="0" w:line="590" w:lineRule="exact"/>
        <w:ind w:firstLine="660" w:firstLineChars="200"/>
        <w:rPr>
          <w:rFonts w:ascii="方正楷体_GBK" w:hAnsi="宋体" w:eastAsia="方正楷体_GBK"/>
          <w:sz w:val="33"/>
          <w:szCs w:val="33"/>
          <w:lang w:val="zh-CN"/>
        </w:rPr>
      </w:pPr>
      <w:r>
        <w:rPr>
          <w:rFonts w:hint="eastAsia" w:ascii="方正楷体_GBK" w:hAnsi="宋体" w:eastAsia="方正楷体_GBK"/>
          <w:sz w:val="33"/>
          <w:szCs w:val="33"/>
          <w:lang w:val="zh-CN"/>
        </w:rPr>
        <w:t>概况</w:t>
      </w:r>
    </w:p>
    <w:p>
      <w:pPr>
        <w:pStyle w:val="5"/>
        <w:numPr>
          <w:ilvl w:val="0"/>
          <w:numId w:val="7"/>
        </w:numPr>
        <w:spacing w:before="0" w:after="0" w:line="590" w:lineRule="exact"/>
        <w:ind w:firstLineChars="0"/>
        <w:rPr>
          <w:rFonts w:ascii="宋体" w:hAnsi="宋体"/>
          <w:sz w:val="33"/>
          <w:szCs w:val="33"/>
        </w:rPr>
      </w:pPr>
      <w:r>
        <w:rPr>
          <w:rFonts w:hint="eastAsia" w:ascii="宋体" w:hAnsi="宋体"/>
          <w:sz w:val="33"/>
          <w:szCs w:val="33"/>
        </w:rPr>
        <w:t>立项背景及目的</w:t>
      </w:r>
    </w:p>
    <w:p>
      <w:pPr>
        <w:pStyle w:val="2"/>
        <w:spacing w:before="93" w:line="590" w:lineRule="exact"/>
        <w:ind w:firstLine="660" w:firstLineChars="200"/>
        <w:rPr>
          <w:rFonts w:ascii="宋体" w:hAnsi="宋体" w:eastAsia="方正仿宋_GBK"/>
          <w:sz w:val="33"/>
          <w:szCs w:val="33"/>
        </w:rPr>
      </w:pPr>
      <w:r>
        <w:rPr>
          <w:rFonts w:hint="eastAsia" w:ascii="宋体" w:hAnsi="宋体" w:eastAsia="方正仿宋_GBK"/>
          <w:sz w:val="33"/>
          <w:szCs w:val="33"/>
        </w:rPr>
        <w:t>资阳市雁江区审计局负责对区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区有关重大政策措施贯彻落实情况进行跟踪审计，对审计、专项审计调查和核查社会审计机构相关审计报告的结果承担责任，并负有督促被审计单位整改的责任。根据《中华人民共和国审计法》第二十二条“审计机关对政府投资和以政府投资为主的建设项目的预算执行情况和决算，进行审计监督”的规定，对全区范围内政府投资和政府投资为主的建设项目的预算执行情况和决算进行审计监督。</w:t>
      </w:r>
    </w:p>
    <w:p>
      <w:pPr>
        <w:pStyle w:val="4"/>
        <w:numPr>
          <w:ilvl w:val="0"/>
          <w:numId w:val="7"/>
        </w:numPr>
        <w:adjustRightInd w:val="0"/>
        <w:spacing w:before="0" w:after="0" w:line="590" w:lineRule="exact"/>
        <w:rPr>
          <w:rFonts w:ascii="宋体" w:hAnsi="宋体" w:eastAsia="方正仿宋_GBK"/>
          <w:sz w:val="33"/>
          <w:szCs w:val="33"/>
        </w:rPr>
      </w:pPr>
      <w:r>
        <w:rPr>
          <w:rFonts w:hint="eastAsia" w:ascii="宋体" w:hAnsi="宋体" w:eastAsia="方正仿宋_GBK"/>
          <w:sz w:val="33"/>
          <w:szCs w:val="33"/>
        </w:rPr>
        <w:t>预算资金来源及使用情况</w:t>
      </w:r>
    </w:p>
    <w:p>
      <w:pPr>
        <w:pStyle w:val="2"/>
        <w:spacing w:before="93" w:line="590" w:lineRule="exact"/>
        <w:ind w:firstLine="660" w:firstLineChars="200"/>
        <w:rPr>
          <w:rFonts w:ascii="宋体" w:hAnsi="宋体" w:eastAsia="方正仿宋_GBK"/>
          <w:sz w:val="33"/>
          <w:szCs w:val="33"/>
        </w:rPr>
      </w:pPr>
      <w:r>
        <w:rPr>
          <w:rFonts w:hint="eastAsia" w:ascii="宋体" w:hAnsi="宋体" w:eastAsia="方正仿宋_GBK"/>
          <w:sz w:val="33"/>
          <w:szCs w:val="33"/>
        </w:rPr>
        <w:t>2022年度，根据资阳市雁江区财政局《关于批复2022年部门预算的通知》（资雁财发〔2022〕31号），本项目年初预算为300.00万元。截至2022年12月31日，本项目实际执行219.71万元，执行率为73.24%。</w:t>
      </w:r>
    </w:p>
    <w:p>
      <w:pPr>
        <w:pStyle w:val="5"/>
        <w:numPr>
          <w:ilvl w:val="0"/>
          <w:numId w:val="7"/>
        </w:numPr>
        <w:spacing w:before="0" w:after="0" w:line="590" w:lineRule="exact"/>
        <w:ind w:firstLineChars="0"/>
        <w:rPr>
          <w:rFonts w:ascii="宋体" w:hAnsi="宋体" w:cstheme="majorBidi"/>
          <w:kern w:val="2"/>
          <w:sz w:val="33"/>
          <w:szCs w:val="33"/>
          <w:lang w:val="en-US"/>
        </w:rPr>
      </w:pPr>
      <w:r>
        <w:rPr>
          <w:rFonts w:hint="eastAsia" w:ascii="宋体" w:hAnsi="宋体" w:cstheme="majorBidi"/>
          <w:kern w:val="2"/>
          <w:sz w:val="33"/>
          <w:szCs w:val="33"/>
          <w:lang w:val="en-US"/>
        </w:rPr>
        <w:t>项目完成情况</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2022年完成政府投资建设项目审计中介机构采购项目招投标工作共六批，采购预算为427.97万元，中标价为按基本审核费及效益审核费下浮率50%，及时与中标单位签订服务合同并完成合同公示。2022年共完成10个政府投资项目的竣工结算审计和5个重点民生项目跟踪审计，对涉及的14个社会中介公司（包括初审单位、复审单位）进行经费计算挂账，金额为296.62万元。年度内支付给26个中介公司投资评审经费，金额为63.98万元。</w:t>
      </w:r>
    </w:p>
    <w:p>
      <w:pPr>
        <w:tabs>
          <w:tab w:val="left" w:pos="0"/>
        </w:tabs>
        <w:spacing w:line="590" w:lineRule="exact"/>
        <w:ind w:firstLine="660" w:firstLineChars="200"/>
        <w:rPr>
          <w:rFonts w:ascii="宋体" w:hAnsi="宋体" w:eastAsia="方正仿宋_GBK"/>
          <w:b/>
          <w:sz w:val="33"/>
          <w:szCs w:val="33"/>
        </w:rPr>
      </w:pPr>
      <w:r>
        <w:rPr>
          <w:rFonts w:hint="eastAsia" w:ascii="宋体" w:hAnsi="宋体" w:eastAsia="方正仿宋_GBK"/>
          <w:b/>
          <w:sz w:val="33"/>
          <w:szCs w:val="33"/>
        </w:rPr>
        <w:t xml:space="preserve"> 4.组织及管理</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（1）项目组织情况，总审计师魏宇为项目主要负责人，负责牵头实施本项目。</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（2）项目管理情况，项目管理主体为资阳市雁江区投资审计中心，负责监督、考核并组织验收工作；项目实施主体为通过政府采购的中标社会中介机构，负责具体实施本项目。</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（3）项目执行情况，按照政府采购程序和单位内控管理制度，确定项目实施主体并签订审计服务合同；实施主体按照合同约定，完成履约；我单位根据合同对履约组织验收并通过验收。</w:t>
      </w:r>
    </w:p>
    <w:p>
      <w:pPr>
        <w:tabs>
          <w:tab w:val="left" w:pos="0"/>
        </w:tabs>
        <w:spacing w:line="590" w:lineRule="exact"/>
        <w:ind w:firstLine="660" w:firstLineChars="200"/>
        <w:rPr>
          <w:rFonts w:ascii="方正黑体_GBK" w:hAnsi="宋体" w:eastAsia="方正黑体_GBK"/>
          <w:sz w:val="33"/>
          <w:szCs w:val="33"/>
        </w:rPr>
      </w:pPr>
      <w:r>
        <w:rPr>
          <w:rFonts w:hint="eastAsia" w:ascii="方正黑体_GBK" w:hAnsi="宋体" w:eastAsia="方正黑体_GBK"/>
          <w:sz w:val="33"/>
          <w:szCs w:val="33"/>
        </w:rPr>
        <w:t>二、绩效目标</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计划2022年12月完成该项目实施，计划投入300.00万元，2022年共完成10个政府投资项目的竣工结算审计和5个重点民生项目跟踪审计，该项目年度内实际支出219.71万元。</w:t>
      </w:r>
    </w:p>
    <w:p>
      <w:pPr>
        <w:pStyle w:val="3"/>
        <w:keepNext w:val="0"/>
        <w:keepLines w:val="0"/>
        <w:spacing w:before="0" w:after="0" w:line="590" w:lineRule="exact"/>
        <w:ind w:firstLine="660" w:firstLineChars="200"/>
        <w:rPr>
          <w:rFonts w:ascii="方正黑体_GBK" w:hAnsi="宋体" w:eastAsia="方正黑体_GBK" w:cs="黑体"/>
          <w:b w:val="0"/>
          <w:sz w:val="33"/>
          <w:szCs w:val="33"/>
        </w:rPr>
      </w:pPr>
      <w:r>
        <w:rPr>
          <w:rFonts w:hint="eastAsia" w:ascii="方正黑体_GBK" w:hAnsi="宋体" w:eastAsia="方正黑体_GBK" w:cs="黑体"/>
          <w:b w:val="0"/>
          <w:sz w:val="33"/>
          <w:szCs w:val="33"/>
        </w:rPr>
        <w:t>三、绩效自评工作情况</w:t>
      </w:r>
    </w:p>
    <w:p>
      <w:pPr>
        <w:pStyle w:val="5"/>
        <w:spacing w:before="0" w:after="0" w:line="590" w:lineRule="exact"/>
        <w:ind w:left="420" w:leftChars="200" w:firstLine="0" w:firstLineChars="0"/>
        <w:rPr>
          <w:rFonts w:ascii="方正楷体_GBK" w:hAnsi="宋体" w:eastAsia="方正楷体_GBK" w:cstheme="majorBidi"/>
          <w:kern w:val="2"/>
          <w:sz w:val="33"/>
          <w:szCs w:val="33"/>
          <w:lang w:val="en-US"/>
        </w:rPr>
      </w:pPr>
      <w:r>
        <w:rPr>
          <w:rFonts w:hint="eastAsia" w:ascii="方正楷体_GBK" w:hAnsi="宋体" w:eastAsia="方正楷体_GBK" w:cstheme="majorBidi"/>
          <w:kern w:val="2"/>
          <w:sz w:val="33"/>
          <w:szCs w:val="33"/>
          <w:lang w:val="en-US"/>
        </w:rPr>
        <w:t>（一）自评工作组织领导</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本次由局领导牵头、投资审计中心实施，本着客观、真实、准确的原则开展资阳市雁江区政府投资建设项目审计评审经费自评。</w:t>
      </w:r>
    </w:p>
    <w:p>
      <w:pPr>
        <w:pStyle w:val="5"/>
        <w:spacing w:before="0" w:after="0" w:line="590" w:lineRule="exact"/>
        <w:ind w:firstLine="660"/>
        <w:rPr>
          <w:rFonts w:ascii="方正楷体_GBK" w:hAnsi="宋体" w:eastAsia="方正楷体_GBK" w:cstheme="majorBidi"/>
          <w:kern w:val="2"/>
          <w:sz w:val="33"/>
          <w:szCs w:val="33"/>
          <w:lang w:val="en-US"/>
        </w:rPr>
      </w:pPr>
      <w:r>
        <w:rPr>
          <w:rFonts w:hint="eastAsia" w:ascii="方正楷体_GBK" w:hAnsi="宋体" w:eastAsia="方正楷体_GBK" w:cstheme="majorBidi"/>
          <w:kern w:val="2"/>
          <w:sz w:val="33"/>
          <w:szCs w:val="33"/>
          <w:lang w:val="en-US"/>
        </w:rPr>
        <w:t>（二）自评方式、方法及重点</w:t>
      </w:r>
    </w:p>
    <w:p>
      <w:pPr>
        <w:pStyle w:val="5"/>
        <w:spacing w:before="0" w:after="0" w:line="590" w:lineRule="exact"/>
        <w:ind w:firstLine="990" w:firstLineChars="300"/>
        <w:rPr>
          <w:rFonts w:ascii="宋体" w:hAnsi="宋体"/>
          <w:bCs w:val="0"/>
          <w:kern w:val="2"/>
          <w:sz w:val="33"/>
          <w:szCs w:val="33"/>
          <w:lang w:val="en-US"/>
        </w:rPr>
      </w:pPr>
      <w:r>
        <w:rPr>
          <w:rFonts w:hint="eastAsia" w:ascii="宋体" w:hAnsi="宋体"/>
          <w:bCs w:val="0"/>
          <w:kern w:val="2"/>
          <w:sz w:val="33"/>
          <w:szCs w:val="33"/>
          <w:lang w:val="en-US"/>
        </w:rPr>
        <w:t>1.绩效评价标准及方法</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投资审计中心收集资料，掌握项目立项决策、项目资金落实、项目实施管理、财务管理全过程；收集项目完成情况与年初绩效目标（计划标准、行业标准）开展对比分。对项目绩效差异通过分析内、外部因素，并提出改进措施及建议。</w:t>
      </w:r>
    </w:p>
    <w:p>
      <w:pPr>
        <w:pStyle w:val="5"/>
        <w:spacing w:before="0" w:after="0" w:line="590" w:lineRule="exact"/>
        <w:ind w:left="562" w:firstLine="0" w:firstLineChars="0"/>
        <w:rPr>
          <w:rFonts w:ascii="宋体" w:hAnsi="宋体"/>
          <w:sz w:val="33"/>
          <w:szCs w:val="33"/>
        </w:rPr>
      </w:pPr>
      <w:r>
        <w:rPr>
          <w:rFonts w:hint="eastAsia" w:ascii="宋体" w:hAnsi="宋体" w:cstheme="majorBidi"/>
          <w:kern w:val="2"/>
          <w:sz w:val="33"/>
          <w:szCs w:val="33"/>
          <w:lang w:val="en-US"/>
        </w:rPr>
        <w:t xml:space="preserve"> 2.绩效评价指标体系及重点</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结合该项目特点、评价重点，按照《资阳市雁江区财政局关于开展2022年度财政支出绩效自评工作的通知》“2022年度雁江区项目支出绩效自评计分表”，该项目绩效评价指标分为“投入”、“过程”、“产出”、“效益”四大类。指标数据来源于政府文件、项目资料、实地调研、访谈等。</w:t>
      </w:r>
      <w:r>
        <w:rPr>
          <w:rFonts w:hint="eastAsia" w:ascii="宋体" w:hAnsi="宋体" w:eastAsia="方正仿宋_GBK"/>
          <w:sz w:val="33"/>
          <w:szCs w:val="33"/>
        </w:rPr>
        <w:br w:type="textWrapping"/>
      </w:r>
      <w:r>
        <w:rPr>
          <w:rFonts w:hint="eastAsia" w:ascii="宋体" w:hAnsi="宋体" w:eastAsia="方正仿宋_GBK"/>
          <w:sz w:val="33"/>
          <w:szCs w:val="33"/>
        </w:rPr>
        <w:t xml:space="preserve">   “投入”指标关注重点：项目立项是否规范性、绩效目标是否合理性、需求是否紧迫性、绩效指标是否细化、量化可衡量。</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“过程”指标关注重点：制度执行是否有效性、资金使用是否合规性、财务监控是否有效性。</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“产出”指标关注重点：采购相关设施、设备是否按计划完成；相关质量是否达标；项目实施是否按计划完成；成本控制是否有效。</w:t>
      </w:r>
    </w:p>
    <w:p>
      <w:pPr>
        <w:tabs>
          <w:tab w:val="left" w:pos="0"/>
        </w:tabs>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“效益”指标关注重点：项目建设业主单位、建设单位和第三方公司满意度。</w:t>
      </w:r>
    </w:p>
    <w:p>
      <w:pPr>
        <w:pStyle w:val="3"/>
        <w:keepNext w:val="0"/>
        <w:keepLines w:val="0"/>
        <w:spacing w:before="0" w:after="0" w:line="590" w:lineRule="exact"/>
        <w:ind w:firstLine="660" w:firstLineChars="200"/>
        <w:rPr>
          <w:rFonts w:ascii="方正黑体_GBK" w:hAnsi="宋体" w:eastAsia="方正黑体_GBK" w:cs="黑体"/>
          <w:b w:val="0"/>
          <w:sz w:val="33"/>
          <w:szCs w:val="33"/>
        </w:rPr>
      </w:pPr>
      <w:r>
        <w:rPr>
          <w:rFonts w:hint="eastAsia" w:ascii="方正黑体_GBK" w:hAnsi="宋体" w:eastAsia="方正黑体_GBK" w:cs="黑体"/>
          <w:b w:val="0"/>
          <w:sz w:val="33"/>
          <w:szCs w:val="33"/>
        </w:rPr>
        <w:t>四、评价结论</w:t>
      </w:r>
    </w:p>
    <w:p>
      <w:pPr>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总体而言，本项目实施符合区委区政府决策，与部门职能密切相关，立项依据充分，项目实施及管理制度健全、执行有效。自评级得分88分，等级为良（详见2022年度区审计局项目支出绩效自评计分表）。</w:t>
      </w:r>
    </w:p>
    <w:p>
      <w:pPr>
        <w:pStyle w:val="3"/>
        <w:keepNext w:val="0"/>
        <w:keepLines w:val="0"/>
        <w:spacing w:before="0" w:after="0" w:line="590" w:lineRule="exact"/>
        <w:ind w:firstLine="660" w:firstLineChars="200"/>
        <w:rPr>
          <w:rFonts w:ascii="方正黑体_GBK" w:hAnsi="宋体" w:eastAsia="方正黑体_GBK" w:cs="黑体"/>
          <w:b w:val="0"/>
          <w:sz w:val="33"/>
          <w:szCs w:val="33"/>
        </w:rPr>
      </w:pPr>
      <w:r>
        <w:rPr>
          <w:rFonts w:hint="eastAsia" w:ascii="方正黑体_GBK" w:hAnsi="宋体" w:eastAsia="方正黑体_GBK" w:cs="黑体"/>
          <w:b w:val="0"/>
          <w:sz w:val="33"/>
          <w:szCs w:val="33"/>
        </w:rPr>
        <w:t>五、问题分析</w:t>
      </w:r>
    </w:p>
    <w:p>
      <w:pPr>
        <w:spacing w:line="590" w:lineRule="exact"/>
        <w:ind w:firstLine="660" w:firstLineChars="200"/>
        <w:rPr>
          <w:rFonts w:ascii="宋体" w:hAnsi="宋体" w:eastAsia="方正仿宋_GBK"/>
          <w:sz w:val="33"/>
          <w:szCs w:val="33"/>
        </w:rPr>
      </w:pPr>
      <w:r>
        <w:rPr>
          <w:rFonts w:hint="eastAsia" w:ascii="宋体" w:hAnsi="宋体" w:eastAsia="方正仿宋_GBK"/>
          <w:sz w:val="33"/>
          <w:szCs w:val="33"/>
        </w:rPr>
        <w:t>因财政经费困难，导致年度内支付给中介机构的政府投资评审经费相对较少，又因购买社会服务的经费逐年增加，导致欠拨经费越累越多，影响社会服务机构的工作积极性。</w:t>
      </w:r>
    </w:p>
    <w:p>
      <w:pPr>
        <w:pStyle w:val="3"/>
        <w:keepNext w:val="0"/>
        <w:keepLines w:val="0"/>
        <w:spacing w:before="0" w:after="0" w:line="590" w:lineRule="exact"/>
        <w:ind w:firstLine="660" w:firstLineChars="200"/>
        <w:rPr>
          <w:rFonts w:ascii="方正黑体_GBK" w:hAnsi="宋体" w:eastAsia="方正黑体_GBK" w:cs="黑体"/>
          <w:b w:val="0"/>
          <w:sz w:val="33"/>
          <w:szCs w:val="33"/>
        </w:rPr>
      </w:pPr>
      <w:r>
        <w:rPr>
          <w:rFonts w:hint="eastAsia" w:ascii="方正黑体_GBK" w:hAnsi="宋体" w:eastAsia="方正黑体_GBK" w:cs="黑体"/>
          <w:b w:val="0"/>
          <w:sz w:val="33"/>
          <w:szCs w:val="33"/>
        </w:rPr>
        <w:t>六、建议</w:t>
      </w:r>
    </w:p>
    <w:p>
      <w:pPr>
        <w:spacing w:line="590" w:lineRule="exact"/>
        <w:ind w:firstLine="660" w:firstLineChars="200"/>
        <w:rPr>
          <w:rFonts w:hint="eastAsia" w:ascii="宋体" w:hAnsi="宋体" w:eastAsia="方正仿宋_GBK"/>
          <w:sz w:val="33"/>
          <w:szCs w:val="33"/>
        </w:rPr>
      </w:pPr>
      <w:r>
        <w:rPr>
          <w:rFonts w:hint="eastAsia" w:ascii="宋体" w:hAnsi="宋体" w:eastAsia="方正仿宋_GBK"/>
          <w:sz w:val="33"/>
          <w:szCs w:val="33"/>
        </w:rPr>
        <w:t>积极做好与社会中介机构的沟通解释工作，加强与区财政局沟通联系，积极争取项目资金，及时拨付到位。</w:t>
      </w:r>
    </w:p>
    <w:p>
      <w:pPr>
        <w:pStyle w:val="42"/>
        <w:jc w:val="left"/>
        <w:rPr>
          <w:rFonts w:ascii="仿宋" w:hAnsi="仿宋" w:eastAsia="仿宋"/>
          <w:sz w:val="28"/>
        </w:rPr>
      </w:pPr>
      <w:r>
        <w:rPr>
          <w:rFonts w:hint="eastAsia" w:ascii="仿宋" w:hAnsi="仿宋" w:eastAsia="仿宋"/>
          <w:sz w:val="28"/>
        </w:rPr>
        <w:t>附件3－1：</w:t>
      </w:r>
    </w:p>
    <w:p>
      <w:pPr>
        <w:spacing w:line="660" w:lineRule="exact"/>
        <w:jc w:val="center"/>
        <w:rPr>
          <w:rFonts w:ascii="方正小标宋_GBK" w:eastAsia="方正小标宋_GBK"/>
          <w:sz w:val="40"/>
          <w:szCs w:val="44"/>
        </w:rPr>
      </w:pPr>
      <w:r>
        <w:rPr>
          <w:rFonts w:hint="eastAsia" w:ascii="方正小标宋_GBK" w:eastAsia="方正小标宋_GBK"/>
          <w:sz w:val="40"/>
          <w:szCs w:val="44"/>
        </w:rPr>
        <w:t>2022年度区审计局项目支出绩效自评计分表</w:t>
      </w:r>
    </w:p>
    <w:p>
      <w:pPr>
        <w:spacing w:line="600" w:lineRule="exact"/>
        <w:jc w:val="center"/>
        <w:rPr>
          <w:rFonts w:eastAsia="楷体"/>
          <w:b/>
          <w:bCs/>
          <w:sz w:val="32"/>
          <w:szCs w:val="32"/>
        </w:rPr>
      </w:pPr>
      <w:r>
        <w:rPr>
          <w:rFonts w:eastAsia="楷体"/>
          <w:b/>
          <w:bCs/>
          <w:sz w:val="32"/>
          <w:szCs w:val="32"/>
        </w:rPr>
        <w:t>（</w:t>
      </w:r>
      <w:r>
        <w:rPr>
          <w:rFonts w:hint="eastAsia" w:eastAsia="楷体"/>
          <w:b/>
          <w:bCs/>
          <w:sz w:val="32"/>
          <w:szCs w:val="32"/>
        </w:rPr>
        <w:t>政府投资审计经费</w:t>
      </w:r>
      <w:r>
        <w:rPr>
          <w:rFonts w:eastAsia="楷体"/>
          <w:b/>
          <w:bCs/>
          <w:sz w:val="32"/>
          <w:szCs w:val="32"/>
        </w:rPr>
        <w:t>项目）</w:t>
      </w:r>
    </w:p>
    <w:p>
      <w:pPr>
        <w:spacing w:line="480" w:lineRule="exact"/>
      </w:pPr>
      <w:r>
        <w:t>预算单位名称：                  预算单位编码：                   自评等级：</w:t>
      </w:r>
    </w:p>
    <w:tbl>
      <w:tblPr>
        <w:tblStyle w:val="22"/>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15"/>
        <w:gridCol w:w="784"/>
        <w:gridCol w:w="1580"/>
        <w:gridCol w:w="3395"/>
        <w:gridCol w:w="55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blHeader/>
        </w:trPr>
        <w:tc>
          <w:tcPr>
            <w:tcW w:w="8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一级</w:t>
            </w:r>
            <w:r>
              <w:rPr>
                <w:rFonts w:ascii="宋体" w:hAnsi="宋体"/>
                <w:b/>
                <w:bCs/>
                <w:sz w:val="18"/>
                <w:szCs w:val="18"/>
              </w:rPr>
              <w:br w:type="textWrapping"/>
            </w:r>
            <w:r>
              <w:rPr>
                <w:rFonts w:ascii="宋体" w:hAnsi="宋体"/>
                <w:b/>
                <w:bCs/>
                <w:sz w:val="18"/>
                <w:szCs w:val="18"/>
              </w:rPr>
              <w:t>指标</w:t>
            </w:r>
          </w:p>
        </w:tc>
        <w:tc>
          <w:tcPr>
            <w:tcW w:w="61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二级</w:t>
            </w:r>
            <w:r>
              <w:rPr>
                <w:rFonts w:ascii="宋体" w:hAnsi="宋体"/>
                <w:b/>
                <w:bCs/>
                <w:sz w:val="18"/>
                <w:szCs w:val="18"/>
              </w:rPr>
              <w:br w:type="textWrapping"/>
            </w:r>
            <w:r>
              <w:rPr>
                <w:rFonts w:ascii="宋体" w:hAnsi="宋体"/>
                <w:b/>
                <w:bCs/>
                <w:sz w:val="18"/>
                <w:szCs w:val="18"/>
              </w:rPr>
              <w:t>指标</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三级</w:t>
            </w:r>
          </w:p>
          <w:p>
            <w:pPr>
              <w:jc w:val="center"/>
              <w:rPr>
                <w:rFonts w:ascii="宋体" w:hAnsi="宋体"/>
                <w:b/>
                <w:bCs/>
                <w:sz w:val="18"/>
                <w:szCs w:val="18"/>
              </w:rPr>
            </w:pPr>
            <w:r>
              <w:rPr>
                <w:rFonts w:ascii="宋体" w:hAnsi="宋体"/>
                <w:b/>
                <w:bCs/>
                <w:sz w:val="18"/>
                <w:szCs w:val="18"/>
              </w:rPr>
              <w:t>指标</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指标解释</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指标说明（评价计分标准）</w:t>
            </w:r>
          </w:p>
        </w:tc>
        <w:tc>
          <w:tcPr>
            <w:tcW w:w="552"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w:t>
            </w:r>
          </w:p>
          <w:p>
            <w:pPr>
              <w:jc w:val="center"/>
              <w:rPr>
                <w:rFonts w:ascii="宋体" w:hAnsi="宋体"/>
                <w:b/>
                <w:bCs/>
                <w:sz w:val="18"/>
                <w:szCs w:val="18"/>
              </w:rPr>
            </w:pPr>
            <w:r>
              <w:rPr>
                <w:rFonts w:ascii="宋体" w:hAnsi="宋体"/>
                <w:b/>
                <w:bCs/>
                <w:sz w:val="18"/>
                <w:szCs w:val="18"/>
              </w:rPr>
              <w:t>分数</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b/>
                <w:bCs/>
                <w:sz w:val="18"/>
                <w:szCs w:val="18"/>
              </w:rPr>
            </w:pPr>
            <w:r>
              <w:rPr>
                <w:rFonts w:ascii="宋体" w:hAnsi="宋体"/>
                <w:b/>
                <w:bCs/>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投   入（25分）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立项（15分）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项目立项规范性（5分）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项目的申请、设立过程是否符合相关要求，用以反映和考核项目立项的规范情况。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①项目是否按照规定的程序申请设立；（1分）</w:t>
            </w:r>
            <w:r>
              <w:rPr>
                <w:rFonts w:ascii="宋体" w:hAnsi="宋体"/>
                <w:sz w:val="18"/>
                <w:szCs w:val="18"/>
              </w:rPr>
              <w:br w:type="textWrapping"/>
            </w:r>
            <w:r>
              <w:rPr>
                <w:rFonts w:ascii="宋体" w:hAnsi="宋体"/>
                <w:sz w:val="18"/>
                <w:szCs w:val="18"/>
              </w:rPr>
              <w:t>②所提交的文件、材料是否符合相关要求；（2分）</w:t>
            </w:r>
            <w:r>
              <w:rPr>
                <w:rFonts w:ascii="宋体" w:hAnsi="宋体"/>
                <w:sz w:val="18"/>
                <w:szCs w:val="18"/>
              </w:rPr>
              <w:br w:type="textWrapping"/>
            </w:r>
            <w:r>
              <w:rPr>
                <w:rFonts w:ascii="宋体" w:hAnsi="宋体"/>
                <w:sz w:val="18"/>
                <w:szCs w:val="18"/>
              </w:rPr>
              <w:t>③事前是否已经过必要的可行性研究、专家论证、风险评估、集体决策等。（2分）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绩效目标合理性（4分）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项目所设定的绩效目标是否依据充分，是否符合客观实际，用以反映和考核项目绩效目标与项目实施的相符情况。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①是否符合国家相关法律法规、国民经济发展规划和党委政府决策；（1分）</w:t>
            </w:r>
            <w:r>
              <w:rPr>
                <w:rFonts w:ascii="宋体" w:hAnsi="宋体"/>
                <w:sz w:val="18"/>
                <w:szCs w:val="18"/>
              </w:rPr>
              <w:br w:type="textWrapping"/>
            </w:r>
            <w:r>
              <w:rPr>
                <w:rFonts w:ascii="宋体" w:hAnsi="宋体"/>
                <w:sz w:val="18"/>
                <w:szCs w:val="18"/>
              </w:rPr>
              <w:t>②是否与项目实施单位或委托单位职责密切相关；（1分）</w:t>
            </w:r>
            <w:r>
              <w:rPr>
                <w:rFonts w:ascii="宋体" w:hAnsi="宋体"/>
                <w:sz w:val="18"/>
                <w:szCs w:val="18"/>
              </w:rPr>
              <w:br w:type="textWrapping"/>
            </w:r>
            <w:r>
              <w:rPr>
                <w:rFonts w:ascii="宋体" w:hAnsi="宋体"/>
                <w:sz w:val="18"/>
                <w:szCs w:val="18"/>
              </w:rPr>
              <w:t>③项目是否为促进事业发展所必需；（1分）</w:t>
            </w:r>
            <w:r>
              <w:rPr>
                <w:rFonts w:ascii="宋体" w:hAnsi="宋体"/>
                <w:sz w:val="18"/>
                <w:szCs w:val="18"/>
              </w:rPr>
              <w:br w:type="textWrapping"/>
            </w:r>
            <w:r>
              <w:rPr>
                <w:rFonts w:ascii="宋体" w:hAnsi="宋体"/>
                <w:sz w:val="18"/>
                <w:szCs w:val="18"/>
              </w:rPr>
              <w:t>④项目预期产出效益和效果是否符合正常的业绩水平。（1分）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绩效指标明确性（6分）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依据绩效目标设定的绩效指标是否清晰、细化、可衡量等，用以反映和考核项目绩效目标的明细化情况。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①是否将项目绩效目标细化分解为具体的绩效指标；（2分）</w:t>
            </w:r>
            <w:r>
              <w:rPr>
                <w:rFonts w:ascii="宋体" w:hAnsi="宋体"/>
                <w:sz w:val="18"/>
                <w:szCs w:val="18"/>
              </w:rPr>
              <w:br w:type="textWrapping"/>
            </w:r>
            <w:r>
              <w:rPr>
                <w:rFonts w:ascii="宋体" w:hAnsi="宋体"/>
                <w:sz w:val="18"/>
                <w:szCs w:val="18"/>
              </w:rPr>
              <w:t>②是否通过清晰、可衡量的指标值予以体现；（1分）</w:t>
            </w:r>
            <w:r>
              <w:rPr>
                <w:rFonts w:ascii="宋体" w:hAnsi="宋体"/>
                <w:sz w:val="18"/>
                <w:szCs w:val="18"/>
              </w:rPr>
              <w:br w:type="textWrapping"/>
            </w:r>
            <w:r>
              <w:rPr>
                <w:rFonts w:ascii="宋体" w:hAnsi="宋体"/>
                <w:sz w:val="18"/>
                <w:szCs w:val="18"/>
              </w:rPr>
              <w:t>③是否与项目年度任务数或计划数相对应；（1分）</w:t>
            </w:r>
            <w:r>
              <w:rPr>
                <w:rFonts w:ascii="宋体" w:hAnsi="宋体"/>
                <w:sz w:val="18"/>
                <w:szCs w:val="18"/>
              </w:rPr>
              <w:br w:type="textWrapping"/>
            </w:r>
            <w:r>
              <w:rPr>
                <w:rFonts w:ascii="宋体" w:hAnsi="宋体"/>
                <w:sz w:val="18"/>
                <w:szCs w:val="18"/>
              </w:rPr>
              <w:t>④是否与预算确定的项目投资额或资金量相匹配。（2分）</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ascii="宋体" w:hAnsi="宋体"/>
                <w:sz w:val="18"/>
                <w:szCs w:val="18"/>
              </w:rPr>
              <w:t>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资金</w:t>
            </w:r>
            <w:r>
              <w:rPr>
                <w:rFonts w:ascii="宋体" w:hAnsi="宋体"/>
                <w:sz w:val="18"/>
                <w:szCs w:val="18"/>
              </w:rPr>
              <w:br w:type="textWrapping"/>
            </w:r>
            <w:r>
              <w:rPr>
                <w:rFonts w:ascii="宋体" w:hAnsi="宋体"/>
                <w:sz w:val="18"/>
                <w:szCs w:val="18"/>
              </w:rPr>
              <w:t>落实（10分）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实际到位资金与计划投入资金的比率，用以反映和考核资金落实情况对项目实施的总体保障程度。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资金到位率=（实际到位资金/计划投入资金）×100%。（达到目标值得5分，每少一个百分点扣1分，扣完为止）</w:t>
            </w:r>
            <w:r>
              <w:rPr>
                <w:rFonts w:ascii="宋体" w:hAnsi="宋体"/>
                <w:sz w:val="18"/>
                <w:szCs w:val="18"/>
              </w:rPr>
              <w:br w:type="textWrapping"/>
            </w:r>
            <w:r>
              <w:rPr>
                <w:rFonts w:ascii="宋体" w:hAnsi="宋体"/>
                <w:sz w:val="18"/>
                <w:szCs w:val="18"/>
              </w:rPr>
              <w:t>实际到位资金：一定时期（本年度或项目期）内实际落实到具体项目的资金。</w:t>
            </w:r>
            <w:r>
              <w:rPr>
                <w:rFonts w:ascii="宋体" w:hAnsi="宋体"/>
                <w:sz w:val="18"/>
                <w:szCs w:val="18"/>
              </w:rPr>
              <w:br w:type="textWrapping"/>
            </w:r>
            <w:r>
              <w:rPr>
                <w:rFonts w:ascii="宋体" w:hAnsi="宋体"/>
                <w:sz w:val="18"/>
                <w:szCs w:val="18"/>
              </w:rPr>
              <w:t>计划投入资金：一定时期（本年度或项目期）内计划投入到具体项目的资金。</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0</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3"/>
                <w:szCs w:val="13"/>
              </w:rPr>
              <w:t>（219.71万元/300万元）*100%=73.24%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及时到位资金与应到位资金的比率，用以反映和考核项目资金落实的及时性程度。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到位及时率=（及时到位资金/应到位资金）×100%。（达到目标值得5分，每少一个百分点扣1分，扣完为止）</w:t>
            </w:r>
            <w:r>
              <w:rPr>
                <w:rFonts w:ascii="宋体" w:hAnsi="宋体"/>
                <w:sz w:val="18"/>
                <w:szCs w:val="18"/>
              </w:rPr>
              <w:br w:type="textWrapping"/>
            </w:r>
            <w:r>
              <w:rPr>
                <w:rFonts w:ascii="宋体" w:hAnsi="宋体"/>
                <w:sz w:val="18"/>
                <w:szCs w:val="18"/>
              </w:rPr>
              <w:t>及时到位资金：截至规定时点实际落实到具体项目的资金。</w:t>
            </w:r>
            <w:r>
              <w:rPr>
                <w:rFonts w:ascii="宋体" w:hAnsi="宋体"/>
                <w:sz w:val="18"/>
                <w:szCs w:val="18"/>
              </w:rPr>
              <w:br w:type="textWrapping"/>
            </w:r>
            <w:r>
              <w:rPr>
                <w:rFonts w:ascii="宋体" w:hAnsi="宋体"/>
                <w:sz w:val="18"/>
                <w:szCs w:val="18"/>
              </w:rPr>
              <w:t>应到位资金：按照合同或项目进度要求截至规定时点应落实到具体项目的资金。</w:t>
            </w:r>
          </w:p>
        </w:tc>
        <w:tc>
          <w:tcPr>
            <w:tcW w:w="552" w:type="dxa"/>
            <w:tcBorders>
              <w:top w:val="single" w:color="auto" w:sz="4" w:space="0"/>
              <w:left w:val="nil"/>
              <w:bottom w:val="single" w:color="auto" w:sz="4" w:space="0"/>
              <w:right w:val="single" w:color="auto" w:sz="4" w:space="0"/>
            </w:tcBorders>
            <w:noWrap/>
            <w:vAlign w:val="center"/>
          </w:tcPr>
          <w:p>
            <w:pPr>
              <w:jc w:val="center"/>
              <w:rPr>
                <w:rFonts w:ascii="宋体" w:hAnsi="宋体"/>
                <w:sz w:val="18"/>
                <w:szCs w:val="18"/>
              </w:rPr>
            </w:pPr>
            <w:r>
              <w:rPr>
                <w:rFonts w:hint="eastAsia" w:ascii="宋体" w:hAnsi="宋体"/>
                <w:sz w:val="18"/>
                <w:szCs w:val="18"/>
              </w:rPr>
              <w:t>0</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3"/>
                <w:szCs w:val="13"/>
              </w:rPr>
              <w:t>（219.71万元/300万元）*100%=73.24%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过   程（25分）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业务</w:t>
            </w:r>
            <w:r>
              <w:rPr>
                <w:rFonts w:ascii="宋体" w:hAnsi="宋体"/>
                <w:sz w:val="18"/>
                <w:szCs w:val="18"/>
              </w:rPr>
              <w:br w:type="textWrapping"/>
            </w:r>
            <w:r>
              <w:rPr>
                <w:rFonts w:ascii="宋体" w:hAnsi="宋体"/>
                <w:sz w:val="18"/>
                <w:szCs w:val="18"/>
              </w:rPr>
              <w:t>管理（13分）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项目实施单位的业务管理制度是否健全，用以反映和考核业务管理制度对项目顺利实施的保障情况。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①是否已制定或具有相应的业务管理制度；（2分）</w:t>
            </w:r>
            <w:r>
              <w:rPr>
                <w:rFonts w:ascii="宋体" w:hAnsi="宋体"/>
                <w:sz w:val="18"/>
                <w:szCs w:val="18"/>
              </w:rPr>
              <w:br w:type="textWrapping"/>
            </w:r>
            <w:r>
              <w:rPr>
                <w:rFonts w:ascii="宋体" w:hAnsi="宋体"/>
                <w:sz w:val="18"/>
                <w:szCs w:val="18"/>
              </w:rPr>
              <w:t>②业务管理制度是否合法、合规、完整。（2分）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制度执行有效性（6分）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项目实施是否符合相关业务管理规定，用以反映和考核业务管理制度的有效执行情况。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①是否遵守相关法律法规和业务管理规定；（1分）</w:t>
            </w:r>
            <w:r>
              <w:rPr>
                <w:rFonts w:ascii="宋体" w:hAnsi="宋体"/>
                <w:sz w:val="18"/>
                <w:szCs w:val="18"/>
              </w:rPr>
              <w:br w:type="textWrapping"/>
            </w:r>
            <w:r>
              <w:rPr>
                <w:rFonts w:ascii="宋体" w:hAnsi="宋体"/>
                <w:sz w:val="18"/>
                <w:szCs w:val="18"/>
              </w:rPr>
              <w:t>②项目调整及支出调整手续是否完备；（1分）</w:t>
            </w:r>
            <w:r>
              <w:rPr>
                <w:rFonts w:ascii="宋体" w:hAnsi="宋体"/>
                <w:sz w:val="18"/>
                <w:szCs w:val="18"/>
              </w:rPr>
              <w:br w:type="textWrapping"/>
            </w:r>
            <w:r>
              <w:rPr>
                <w:rFonts w:ascii="宋体" w:hAnsi="宋体"/>
                <w:sz w:val="18"/>
                <w:szCs w:val="18"/>
              </w:rPr>
              <w:t>③项目合同书、验收报告、技术鉴定等资料是否齐全并及时归档；（2分）</w:t>
            </w:r>
            <w:r>
              <w:rPr>
                <w:rFonts w:ascii="宋体" w:hAnsi="宋体"/>
                <w:sz w:val="18"/>
                <w:szCs w:val="18"/>
              </w:rPr>
              <w:br w:type="textWrapping"/>
            </w:r>
            <w:r>
              <w:rPr>
                <w:rFonts w:ascii="宋体" w:hAnsi="宋体"/>
                <w:sz w:val="18"/>
                <w:szCs w:val="18"/>
              </w:rPr>
              <w:t>④项目实施的人员条件、场地设备、信息支撑等是否落实到位。（2分）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项目质量可控性（3分）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项目实施单位是否为达到项目质量要求而采取了必需的措施，用以反映和考核项目实施单位对项目质量的控制情况。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①是否已制定或具有相应的项目质量要求或标准；（1分）</w:t>
            </w:r>
            <w:r>
              <w:rPr>
                <w:rFonts w:ascii="宋体" w:hAnsi="宋体"/>
                <w:sz w:val="18"/>
                <w:szCs w:val="18"/>
              </w:rPr>
              <w:br w:type="textWrapping"/>
            </w:r>
            <w:r>
              <w:rPr>
                <w:rFonts w:ascii="宋体" w:hAnsi="宋体"/>
                <w:sz w:val="18"/>
                <w:szCs w:val="18"/>
              </w:rPr>
              <w:t>②是否采取了相应的项目质量检查、验收等必需的控制措施或手段。（2分）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财务</w:t>
            </w:r>
            <w:r>
              <w:rPr>
                <w:rFonts w:ascii="宋体" w:hAnsi="宋体"/>
                <w:sz w:val="18"/>
                <w:szCs w:val="18"/>
              </w:rPr>
              <w:br w:type="textWrapping"/>
            </w:r>
            <w:r>
              <w:rPr>
                <w:rFonts w:ascii="宋体" w:hAnsi="宋体"/>
                <w:sz w:val="18"/>
                <w:szCs w:val="18"/>
              </w:rPr>
              <w:t>管理（12分）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管理制度健全性（3分）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项目实施单位的财务制度是否健全，用以反映和考核财务管理制度对资金规范、安全运行的保障情况。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①是否已制定或具有相应的项目资金管理办法；（2分）</w:t>
            </w:r>
            <w:r>
              <w:rPr>
                <w:rFonts w:ascii="宋体" w:hAnsi="宋体"/>
                <w:sz w:val="18"/>
                <w:szCs w:val="18"/>
              </w:rPr>
              <w:br w:type="textWrapping"/>
            </w:r>
            <w:r>
              <w:rPr>
                <w:rFonts w:ascii="宋体" w:hAnsi="宋体"/>
                <w:sz w:val="18"/>
                <w:szCs w:val="18"/>
              </w:rPr>
              <w:t>②项目资金管理办法是否符合相关财务会计制度的规定。（1分）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3</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资金使用合规性（7分）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项目资金使用是否符合相关的财务管理制度规定，用以反映和考核项目资金的规范运行情况。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①是否符合国家财经法规和财务管理制度以及有关专项资金管理办法的规定；（1分）</w:t>
            </w:r>
            <w:r>
              <w:rPr>
                <w:rFonts w:ascii="宋体" w:hAnsi="宋体"/>
                <w:sz w:val="18"/>
                <w:szCs w:val="18"/>
              </w:rPr>
              <w:br w:type="textWrapping"/>
            </w:r>
            <w:r>
              <w:rPr>
                <w:rFonts w:ascii="宋体" w:hAnsi="宋体"/>
                <w:sz w:val="18"/>
                <w:szCs w:val="18"/>
              </w:rPr>
              <w:t>②资金的拨付是否有完整的审批程序和手续；（2分）</w:t>
            </w:r>
            <w:r>
              <w:rPr>
                <w:rFonts w:ascii="宋体" w:hAnsi="宋体"/>
                <w:sz w:val="18"/>
                <w:szCs w:val="18"/>
              </w:rPr>
              <w:br w:type="textWrapping"/>
            </w:r>
            <w:r>
              <w:rPr>
                <w:rFonts w:ascii="宋体" w:hAnsi="宋体"/>
                <w:sz w:val="18"/>
                <w:szCs w:val="18"/>
              </w:rPr>
              <w:t>③项目的重大开支是否经过评估认证；（1分）</w:t>
            </w:r>
            <w:r>
              <w:rPr>
                <w:rFonts w:ascii="宋体" w:hAnsi="宋体"/>
                <w:sz w:val="18"/>
                <w:szCs w:val="18"/>
              </w:rPr>
              <w:br w:type="textWrapping"/>
            </w:r>
            <w:r>
              <w:rPr>
                <w:rFonts w:ascii="宋体" w:hAnsi="宋体"/>
                <w:sz w:val="18"/>
                <w:szCs w:val="18"/>
              </w:rPr>
              <w:t>④是否符合项目预算批复或合同规定的用途；（1分）</w:t>
            </w:r>
            <w:r>
              <w:rPr>
                <w:rFonts w:ascii="宋体" w:hAnsi="宋体"/>
                <w:sz w:val="18"/>
                <w:szCs w:val="18"/>
              </w:rPr>
              <w:br w:type="textWrapping"/>
            </w:r>
            <w:r>
              <w:rPr>
                <w:rFonts w:ascii="宋体" w:hAnsi="宋体"/>
                <w:sz w:val="18"/>
                <w:szCs w:val="18"/>
              </w:rPr>
              <w:t>⑤是否存在截留、挤占、挪用、虚列支出等情况。（2分）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7</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财务监控有效性（2分）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项目实施单位是否为保障资金的安全、规范运行而采取了必要的监控措施，用以反映和考核项目实施单位对资金运行的控制情况。</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①是否已制定或具有相应的监控机制；（1分）</w:t>
            </w:r>
            <w:r>
              <w:rPr>
                <w:rFonts w:ascii="宋体" w:hAnsi="宋体"/>
                <w:sz w:val="18"/>
                <w:szCs w:val="18"/>
              </w:rPr>
              <w:br w:type="textWrapping"/>
            </w:r>
            <w:r>
              <w:rPr>
                <w:rFonts w:ascii="宋体" w:hAnsi="宋体"/>
                <w:sz w:val="18"/>
                <w:szCs w:val="18"/>
              </w:rPr>
              <w:t>②是否采取了相应的财务检查等必要的监控措施或手段。（1分）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2</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产   出（20分）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产出（20分）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实际完成率（4分）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项目实施的实际产出数与计划产出数的比率，用以反映和考核项目产出数量目标的实现程度。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实际完成率=（实际产出数/计划产出数）×100%。（得分=实际完成率*4分）</w:t>
            </w:r>
            <w:r>
              <w:rPr>
                <w:rFonts w:ascii="宋体" w:hAnsi="宋体"/>
                <w:sz w:val="18"/>
                <w:szCs w:val="18"/>
              </w:rPr>
              <w:br w:type="textWrapping"/>
            </w:r>
            <w:r>
              <w:rPr>
                <w:rFonts w:ascii="宋体" w:hAnsi="宋体"/>
                <w:sz w:val="18"/>
                <w:szCs w:val="18"/>
              </w:rPr>
              <w:t>实际产出数：一定时期（本年度或项目期）内项目实际产出的产品或提供的服务数量。</w:t>
            </w:r>
            <w:r>
              <w:rPr>
                <w:rFonts w:ascii="宋体" w:hAnsi="宋体"/>
                <w:sz w:val="18"/>
                <w:szCs w:val="18"/>
              </w:rPr>
              <w:br w:type="textWrapping"/>
            </w:r>
            <w:r>
              <w:rPr>
                <w:rFonts w:ascii="宋体" w:hAnsi="宋体"/>
                <w:sz w:val="18"/>
                <w:szCs w:val="18"/>
              </w:rPr>
              <w:t>计划产出数：项目绩效目标确定的在一定时期（本年度或项目期）内计划产出的产品或提供的服务数量。</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xml:space="preserve"> 4</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完成及时率（6分）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项目实际提前完成时间与计划完成时间的比率，用以反映和考核项目产出时效目标的实现程度。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完成及时率=[（计划完成时间-实际完成时间）/计划完成时间]×100%。（1--4季度各得1.5分）</w:t>
            </w:r>
            <w:r>
              <w:rPr>
                <w:rFonts w:ascii="宋体" w:hAnsi="宋体"/>
                <w:sz w:val="18"/>
                <w:szCs w:val="18"/>
              </w:rPr>
              <w:br w:type="textWrapping"/>
            </w:r>
            <w:r>
              <w:rPr>
                <w:rFonts w:ascii="宋体" w:hAnsi="宋体"/>
                <w:sz w:val="18"/>
                <w:szCs w:val="18"/>
              </w:rPr>
              <w:t>实际完成时间：项目实施单位完成该项目实际所耗用的时间。</w:t>
            </w:r>
            <w:r>
              <w:rPr>
                <w:rFonts w:ascii="宋体" w:hAnsi="宋体"/>
                <w:sz w:val="18"/>
                <w:szCs w:val="18"/>
              </w:rPr>
              <w:br w:type="textWrapping"/>
            </w:r>
            <w:r>
              <w:rPr>
                <w:rFonts w:ascii="宋体" w:hAnsi="宋体"/>
                <w:sz w:val="18"/>
                <w:szCs w:val="18"/>
              </w:rPr>
              <w:t>计划完成时间：按照项目实施计划或相关规定完成该项目所需的时间。</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xml:space="preserve"> 6</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项目完成的质量达标产出数与实际产出数的比率，用以反映和考核项目产出质量目标的实现程度。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质量达标率=（质量达标产出数/实际产出数）×100%。（得分=达标率*5分）</w:t>
            </w:r>
            <w:r>
              <w:rPr>
                <w:rFonts w:ascii="宋体" w:hAnsi="宋体"/>
                <w:sz w:val="18"/>
                <w:szCs w:val="18"/>
              </w:rPr>
              <w:br w:type="textWrapping"/>
            </w:r>
            <w:r>
              <w:rPr>
                <w:rFonts w:ascii="宋体" w:hAnsi="宋体"/>
                <w:sz w:val="18"/>
                <w:szCs w:val="18"/>
              </w:rPr>
              <w:t>质量达标产出数：一定时期（本年度或项目期）内实际达到既定质量标准的产品或服务数量。</w:t>
            </w:r>
            <w:r>
              <w:rPr>
                <w:rFonts w:ascii="宋体" w:hAnsi="宋体"/>
                <w:sz w:val="18"/>
                <w:szCs w:val="18"/>
              </w:rPr>
              <w:br w:type="textWrapping"/>
            </w:r>
            <w:r>
              <w:rPr>
                <w:rFonts w:ascii="宋体" w:hAnsi="宋体"/>
                <w:sz w:val="18"/>
                <w:szCs w:val="18"/>
              </w:rPr>
              <w:t>既定质量标准是指项目实施单位设立绩效目标时依据计划标准、行业标准、历史标准或其他标准而设定的绩效指标值。</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完成项目计划工作目标的实际节约成本与计划成本的比率，用以反映和考核项目的成本节约程度。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成本节约率=[（计划成本-实际成本）/计划成本]×100%。（节约的计5分，增加的按比例扣分）</w:t>
            </w:r>
            <w:r>
              <w:rPr>
                <w:rFonts w:ascii="宋体" w:hAnsi="宋体"/>
                <w:sz w:val="18"/>
                <w:szCs w:val="18"/>
              </w:rPr>
              <w:br w:type="textWrapping"/>
            </w:r>
            <w:r>
              <w:rPr>
                <w:rFonts w:ascii="宋体" w:hAnsi="宋体"/>
                <w:sz w:val="18"/>
                <w:szCs w:val="18"/>
              </w:rPr>
              <w:t>实际成本：项目实施单位如期、保质、保量完成既定工作目标实际所耗费的支出。</w:t>
            </w:r>
            <w:r>
              <w:rPr>
                <w:rFonts w:ascii="宋体" w:hAnsi="宋体"/>
                <w:sz w:val="18"/>
                <w:szCs w:val="18"/>
              </w:rPr>
              <w:br w:type="textWrapping"/>
            </w:r>
            <w:r>
              <w:rPr>
                <w:rFonts w:ascii="宋体" w:hAnsi="宋体"/>
                <w:sz w:val="18"/>
                <w:szCs w:val="18"/>
              </w:rPr>
              <w:t>计划成本：项目实施单位为完成工作目标计划安排的支出，一般以项目预算为参考。</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75" w:type="dxa"/>
            <w:vMerge w:val="restart"/>
            <w:tcBorders>
              <w:top w:val="nil"/>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效   果（30分）</w:t>
            </w:r>
          </w:p>
        </w:tc>
        <w:tc>
          <w:tcPr>
            <w:tcW w:w="615" w:type="dxa"/>
            <w:vMerge w:val="restart"/>
            <w:tcBorders>
              <w:top w:val="nil"/>
              <w:left w:val="nil"/>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项目</w:t>
            </w:r>
            <w:r>
              <w:rPr>
                <w:rFonts w:ascii="宋体" w:hAnsi="宋体"/>
                <w:sz w:val="18"/>
                <w:szCs w:val="18"/>
              </w:rPr>
              <w:br w:type="textWrapping"/>
            </w:r>
            <w:r>
              <w:rPr>
                <w:rFonts w:ascii="宋体" w:hAnsi="宋体"/>
                <w:sz w:val="18"/>
                <w:szCs w:val="18"/>
              </w:rPr>
              <w:t>效益（30分）</w:t>
            </w: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经济效益（5分）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项目实施对经济发展所带来的直接或间接影响情况。</w:t>
            </w:r>
          </w:p>
        </w:tc>
        <w:tc>
          <w:tcPr>
            <w:tcW w:w="3395" w:type="dxa"/>
            <w:vMerge w:val="restart"/>
            <w:tcBorders>
              <w:top w:val="nil"/>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项目实施对社会发展所带来的直接或间接影响情况。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生态效益（5分）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项目实施对生态环境所带来的直接或间接影响情况。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可持续影响（5分）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项目后续运行及成效发挥的可持续影响情况。</w:t>
            </w:r>
          </w:p>
        </w:tc>
        <w:tc>
          <w:tcPr>
            <w:tcW w:w="3395" w:type="dxa"/>
            <w:vMerge w:val="continue"/>
            <w:tcBorders>
              <w:top w:val="nil"/>
              <w:left w:val="nil"/>
              <w:bottom w:val="single" w:color="auto" w:sz="4" w:space="0"/>
              <w:right w:val="single" w:color="auto" w:sz="4" w:space="0"/>
            </w:tcBorders>
            <w:noWrap/>
            <w:vAlign w:val="center"/>
          </w:tcPr>
          <w:p>
            <w:pPr>
              <w:rPr>
                <w:rFonts w:ascii="宋体" w:hAnsi="宋体"/>
                <w:sz w:val="18"/>
                <w:szCs w:val="18"/>
              </w:rPr>
            </w:pP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5</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875"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宋体" w:hAnsi="宋体"/>
                <w:sz w:val="18"/>
                <w:szCs w:val="18"/>
              </w:rPr>
            </w:pPr>
          </w:p>
        </w:tc>
        <w:tc>
          <w:tcPr>
            <w:tcW w:w="615" w:type="dxa"/>
            <w:vMerge w:val="continue"/>
            <w:tcBorders>
              <w:top w:val="nil"/>
              <w:left w:val="nil"/>
              <w:bottom w:val="single" w:color="auto" w:sz="4" w:space="0"/>
              <w:right w:val="single" w:color="auto" w:sz="4" w:space="0"/>
            </w:tcBorders>
            <w:shd w:val="clear" w:color="auto" w:fill="auto"/>
            <w:noWrap/>
            <w:vAlign w:val="center"/>
          </w:tcPr>
          <w:p>
            <w:pPr>
              <w:rPr>
                <w:rFonts w:ascii="宋体" w:hAnsi="宋体"/>
                <w:sz w:val="18"/>
                <w:szCs w:val="18"/>
              </w:rPr>
            </w:pPr>
          </w:p>
        </w:tc>
        <w:tc>
          <w:tcPr>
            <w:tcW w:w="784"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社会公众或服务对象满意度（10分）</w:t>
            </w:r>
          </w:p>
        </w:tc>
        <w:tc>
          <w:tcPr>
            <w:tcW w:w="1580"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社会公众或服务对象对项目实施效果的满意程度。</w:t>
            </w:r>
          </w:p>
        </w:tc>
        <w:tc>
          <w:tcPr>
            <w:tcW w:w="3395" w:type="dxa"/>
            <w:tcBorders>
              <w:top w:val="single" w:color="auto" w:sz="4" w:space="0"/>
              <w:left w:val="nil"/>
              <w:bottom w:val="single" w:color="auto" w:sz="4" w:space="0"/>
              <w:right w:val="single" w:color="auto" w:sz="4" w:space="0"/>
            </w:tcBorders>
            <w:shd w:val="clear" w:color="auto" w:fill="FFFFFF"/>
            <w:noWrap/>
            <w:vAlign w:val="center"/>
          </w:tcPr>
          <w:p>
            <w:pPr>
              <w:rPr>
                <w:rFonts w:ascii="宋体" w:hAnsi="宋体"/>
                <w:sz w:val="18"/>
                <w:szCs w:val="18"/>
              </w:rPr>
            </w:pPr>
            <w:r>
              <w:rPr>
                <w:rFonts w:ascii="宋体" w:hAnsi="宋体"/>
                <w:sz w:val="18"/>
                <w:szCs w:val="18"/>
              </w:rPr>
              <w:t>社会公众或服务对象是指因该项目实施而受到影响的部门（单位）、群体或个人。一般采取社会调查的方式。（按收到的服务对象的满意率计算得分）</w:t>
            </w:r>
          </w:p>
        </w:tc>
        <w:tc>
          <w:tcPr>
            <w:tcW w:w="552"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hint="eastAsia" w:ascii="宋体" w:hAnsi="宋体"/>
                <w:sz w:val="18"/>
                <w:szCs w:val="18"/>
              </w:rPr>
              <w:t>8</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7249"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sz w:val="18"/>
                <w:szCs w:val="18"/>
              </w:rPr>
            </w:pPr>
            <w:r>
              <w:rPr>
                <w:rFonts w:ascii="宋体" w:hAnsi="宋体"/>
                <w:sz w:val="18"/>
                <w:szCs w:val="18"/>
              </w:rPr>
              <w:t>合计</w:t>
            </w:r>
          </w:p>
        </w:tc>
        <w:tc>
          <w:tcPr>
            <w:tcW w:w="552" w:type="dxa"/>
            <w:tcBorders>
              <w:top w:val="single" w:color="auto" w:sz="4" w:space="0"/>
              <w:left w:val="nil"/>
              <w:bottom w:val="single" w:color="auto" w:sz="4" w:space="0"/>
              <w:right w:val="single" w:color="auto" w:sz="4" w:space="0"/>
            </w:tcBorders>
            <w:noWrap/>
            <w:vAlign w:val="center"/>
          </w:tcPr>
          <w:p>
            <w:pPr>
              <w:ind w:left="180" w:hanging="180" w:hangingChars="100"/>
              <w:jc w:val="center"/>
              <w:rPr>
                <w:rFonts w:ascii="宋体" w:hAnsi="宋体"/>
                <w:sz w:val="18"/>
                <w:szCs w:val="18"/>
              </w:rPr>
            </w:pPr>
            <w:r>
              <w:rPr>
                <w:rFonts w:hint="eastAsia" w:ascii="宋体" w:hAnsi="宋体"/>
                <w:sz w:val="18"/>
                <w:szCs w:val="18"/>
              </w:rPr>
              <w:t>88</w:t>
            </w:r>
          </w:p>
        </w:tc>
        <w:tc>
          <w:tcPr>
            <w:tcW w:w="1080" w:type="dxa"/>
            <w:tcBorders>
              <w:top w:val="single" w:color="auto" w:sz="4" w:space="0"/>
              <w:left w:val="nil"/>
              <w:bottom w:val="single" w:color="auto" w:sz="4" w:space="0"/>
              <w:right w:val="single" w:color="auto" w:sz="4" w:space="0"/>
            </w:tcBorders>
            <w:noWrap/>
            <w:vAlign w:val="center"/>
          </w:tcPr>
          <w:p>
            <w:pPr>
              <w:rPr>
                <w:rFonts w:ascii="宋体" w:hAnsi="宋体"/>
                <w:sz w:val="18"/>
                <w:szCs w:val="18"/>
              </w:rPr>
            </w:pPr>
            <w:r>
              <w:rPr>
                <w:rFonts w:ascii="宋体" w:hAnsi="宋体"/>
                <w:sz w:val="18"/>
                <w:szCs w:val="18"/>
              </w:rPr>
              <w:t>　</w:t>
            </w:r>
          </w:p>
        </w:tc>
      </w:tr>
    </w:tbl>
    <w:p>
      <w:pPr>
        <w:spacing w:line="660" w:lineRule="exact"/>
        <w:rPr>
          <w:rFonts w:ascii="仿宋" w:hAnsi="仿宋" w:eastAsia="仿宋"/>
          <w:b/>
          <w:sz w:val="28"/>
          <w:szCs w:val="28"/>
        </w:rPr>
      </w:pPr>
    </w:p>
    <w:p>
      <w:pPr>
        <w:spacing w:line="6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附件3－2：</w:t>
      </w:r>
    </w:p>
    <w:p>
      <w:pPr>
        <w:spacing w:line="660" w:lineRule="exact"/>
        <w:jc w:val="center"/>
        <w:rPr>
          <w:rFonts w:ascii="方正小标宋_GBK" w:eastAsia="方正小标宋_GBK"/>
          <w:sz w:val="40"/>
          <w:szCs w:val="44"/>
        </w:rPr>
      </w:pPr>
      <w:r>
        <w:rPr>
          <w:rFonts w:hint="eastAsia" w:ascii="方正小标宋_GBK" w:eastAsia="方正小标宋_GBK"/>
          <w:sz w:val="40"/>
          <w:szCs w:val="44"/>
        </w:rPr>
        <w:t>2022年度区本级项目支出绩效目标完成情况表</w:t>
      </w:r>
    </w:p>
    <w:p>
      <w:pPr>
        <w:spacing w:line="480" w:lineRule="exact"/>
      </w:pPr>
    </w:p>
    <w:tbl>
      <w:tblPr>
        <w:tblStyle w:val="22"/>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8"/>
        <w:gridCol w:w="325"/>
        <w:gridCol w:w="764"/>
        <w:gridCol w:w="1256"/>
        <w:gridCol w:w="284"/>
        <w:gridCol w:w="1138"/>
        <w:gridCol w:w="1246"/>
        <w:gridCol w:w="1134"/>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48" w:type="dxa"/>
            <w:noWrap/>
            <w:vAlign w:val="center"/>
          </w:tcPr>
          <w:p>
            <w:pPr>
              <w:jc w:val="center"/>
              <w:rPr>
                <w:rFonts w:ascii="宋体" w:hAnsi="宋体"/>
                <w:sz w:val="18"/>
                <w:szCs w:val="18"/>
              </w:rPr>
            </w:pPr>
            <w:r>
              <w:rPr>
                <w:rFonts w:ascii="宋体" w:hAnsi="宋体"/>
                <w:sz w:val="18"/>
                <w:szCs w:val="18"/>
              </w:rPr>
              <w:t>项目</w:t>
            </w:r>
          </w:p>
          <w:p>
            <w:pPr>
              <w:jc w:val="center"/>
              <w:rPr>
                <w:rFonts w:ascii="宋体" w:hAnsi="宋体"/>
                <w:sz w:val="18"/>
                <w:szCs w:val="18"/>
              </w:rPr>
            </w:pPr>
            <w:r>
              <w:rPr>
                <w:rFonts w:ascii="宋体" w:hAnsi="宋体"/>
                <w:sz w:val="18"/>
                <w:szCs w:val="18"/>
              </w:rPr>
              <w:t>名称</w:t>
            </w:r>
          </w:p>
        </w:tc>
        <w:tc>
          <w:tcPr>
            <w:tcW w:w="7994" w:type="dxa"/>
            <w:gridSpan w:val="9"/>
            <w:noWrap/>
            <w:vAlign w:val="center"/>
          </w:tcPr>
          <w:p>
            <w:pPr>
              <w:jc w:val="center"/>
              <w:rPr>
                <w:rFonts w:ascii="宋体" w:hAnsi="宋体"/>
                <w:sz w:val="18"/>
                <w:szCs w:val="18"/>
              </w:rPr>
            </w:pPr>
            <w:r>
              <w:rPr>
                <w:rFonts w:ascii="宋体" w:hAnsi="宋体"/>
                <w:sz w:val="18"/>
                <w:szCs w:val="18"/>
              </w:rPr>
              <w:t>20</w:t>
            </w:r>
            <w:r>
              <w:rPr>
                <w:rFonts w:hint="eastAsia" w:ascii="宋体" w:hAnsi="宋体"/>
                <w:sz w:val="18"/>
                <w:szCs w:val="18"/>
              </w:rPr>
              <w:t>22</w:t>
            </w:r>
            <w:r>
              <w:rPr>
                <w:rFonts w:ascii="宋体" w:hAnsi="宋体"/>
                <w:sz w:val="18"/>
                <w:szCs w:val="18"/>
              </w:rPr>
              <w:t>年</w:t>
            </w:r>
            <w:r>
              <w:rPr>
                <w:rFonts w:hint="eastAsia" w:ascii="宋体" w:hAnsi="宋体"/>
                <w:sz w:val="18"/>
                <w:szCs w:val="18"/>
              </w:rPr>
              <w:t>政府投资审计经费</w:t>
            </w:r>
            <w:r>
              <w:rPr>
                <w:rFonts w:ascii="宋体" w:hAnsi="宋体"/>
                <w:sz w:val="18"/>
                <w:szCs w:val="1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48" w:type="dxa"/>
            <w:vMerge w:val="restart"/>
            <w:noWrap/>
            <w:vAlign w:val="center"/>
          </w:tcPr>
          <w:p>
            <w:pPr>
              <w:jc w:val="center"/>
              <w:rPr>
                <w:rFonts w:ascii="宋体" w:hAnsi="宋体"/>
                <w:sz w:val="18"/>
                <w:szCs w:val="18"/>
              </w:rPr>
            </w:pPr>
            <w:r>
              <w:rPr>
                <w:rFonts w:ascii="宋体" w:hAnsi="宋体"/>
                <w:sz w:val="18"/>
                <w:szCs w:val="18"/>
              </w:rPr>
              <w:t>项目</w:t>
            </w:r>
          </w:p>
          <w:p>
            <w:pPr>
              <w:jc w:val="center"/>
              <w:rPr>
                <w:rFonts w:ascii="宋体" w:hAnsi="宋体"/>
                <w:sz w:val="18"/>
                <w:szCs w:val="18"/>
              </w:rPr>
            </w:pPr>
            <w:r>
              <w:rPr>
                <w:rFonts w:ascii="宋体" w:hAnsi="宋体"/>
                <w:sz w:val="18"/>
                <w:szCs w:val="18"/>
              </w:rPr>
              <w:t>类型</w:t>
            </w:r>
          </w:p>
        </w:tc>
        <w:tc>
          <w:tcPr>
            <w:tcW w:w="1133" w:type="dxa"/>
            <w:gridSpan w:val="2"/>
            <w:noWrap/>
            <w:vAlign w:val="center"/>
          </w:tcPr>
          <w:p>
            <w:pPr>
              <w:jc w:val="center"/>
              <w:rPr>
                <w:rFonts w:ascii="宋体" w:hAnsi="宋体"/>
                <w:sz w:val="18"/>
                <w:szCs w:val="18"/>
              </w:rPr>
            </w:pPr>
            <w:r>
              <w:rPr>
                <w:rFonts w:ascii="宋体" w:hAnsi="宋体"/>
                <w:sz w:val="18"/>
                <w:szCs w:val="18"/>
              </w:rPr>
              <w:t>产业发展</w:t>
            </w:r>
          </w:p>
        </w:tc>
        <w:tc>
          <w:tcPr>
            <w:tcW w:w="764" w:type="dxa"/>
            <w:noWrap/>
            <w:vAlign w:val="center"/>
          </w:tcPr>
          <w:p>
            <w:pPr>
              <w:jc w:val="center"/>
              <w:rPr>
                <w:rFonts w:ascii="宋体" w:hAnsi="宋体"/>
                <w:sz w:val="18"/>
                <w:szCs w:val="18"/>
              </w:rPr>
            </w:pPr>
            <w:r>
              <w:rPr>
                <w:rFonts w:ascii="宋体" w:hAnsi="宋体"/>
                <w:sz w:val="18"/>
                <w:szCs w:val="18"/>
              </w:rPr>
              <w:t>民生</w:t>
            </w:r>
          </w:p>
          <w:p>
            <w:pPr>
              <w:jc w:val="center"/>
              <w:rPr>
                <w:rFonts w:ascii="宋体" w:hAnsi="宋体"/>
                <w:sz w:val="18"/>
                <w:szCs w:val="18"/>
              </w:rPr>
            </w:pPr>
            <w:r>
              <w:rPr>
                <w:rFonts w:ascii="宋体" w:hAnsi="宋体"/>
                <w:sz w:val="18"/>
                <w:szCs w:val="18"/>
              </w:rPr>
              <w:t>保障</w:t>
            </w:r>
          </w:p>
        </w:tc>
        <w:tc>
          <w:tcPr>
            <w:tcW w:w="2678" w:type="dxa"/>
            <w:gridSpan w:val="3"/>
            <w:noWrap/>
            <w:vAlign w:val="center"/>
          </w:tcPr>
          <w:p>
            <w:pPr>
              <w:jc w:val="center"/>
              <w:rPr>
                <w:rFonts w:ascii="宋体" w:hAnsi="宋体"/>
                <w:sz w:val="18"/>
                <w:szCs w:val="18"/>
              </w:rPr>
            </w:pPr>
            <w:r>
              <w:rPr>
                <w:rFonts w:ascii="宋体" w:hAnsi="宋体"/>
                <w:sz w:val="18"/>
                <w:szCs w:val="18"/>
              </w:rPr>
              <w:t>基础设施</w:t>
            </w:r>
          </w:p>
        </w:tc>
        <w:tc>
          <w:tcPr>
            <w:tcW w:w="3419" w:type="dxa"/>
            <w:gridSpan w:val="3"/>
            <w:noWrap/>
            <w:vAlign w:val="center"/>
          </w:tcPr>
          <w:p>
            <w:pPr>
              <w:jc w:val="center"/>
              <w:rPr>
                <w:rFonts w:ascii="宋体" w:hAnsi="宋体"/>
                <w:sz w:val="18"/>
                <w:szCs w:val="18"/>
              </w:rPr>
            </w:pPr>
            <w:r>
              <w:rPr>
                <w:rFonts w:ascii="宋体" w:hAnsi="宋体"/>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w:t>
            </w:r>
          </w:p>
        </w:tc>
        <w:tc>
          <w:tcPr>
            <w:tcW w:w="764" w:type="dxa"/>
            <w:noWrap/>
            <w:vAlign w:val="center"/>
          </w:tcPr>
          <w:p>
            <w:pPr>
              <w:jc w:val="center"/>
              <w:rPr>
                <w:rFonts w:ascii="宋体" w:hAnsi="宋体"/>
                <w:szCs w:val="21"/>
              </w:rPr>
            </w:pPr>
            <w:r>
              <w:rPr>
                <w:rFonts w:ascii="宋体" w:hAnsi="宋体"/>
                <w:sz w:val="18"/>
                <w:szCs w:val="18"/>
              </w:rPr>
              <w:t>□</w:t>
            </w:r>
          </w:p>
        </w:tc>
        <w:tc>
          <w:tcPr>
            <w:tcW w:w="2678" w:type="dxa"/>
            <w:gridSpan w:val="3"/>
            <w:noWrap/>
            <w:vAlign w:val="center"/>
          </w:tcPr>
          <w:p>
            <w:pPr>
              <w:jc w:val="center"/>
              <w:rPr>
                <w:rFonts w:ascii="宋体" w:hAnsi="宋体"/>
                <w:szCs w:val="21"/>
              </w:rPr>
            </w:pPr>
            <w:r>
              <w:rPr>
                <w:rFonts w:ascii="宋体" w:hAnsi="宋体"/>
                <w:sz w:val="18"/>
                <w:szCs w:val="18"/>
              </w:rPr>
              <w:t>□</w:t>
            </w:r>
          </w:p>
        </w:tc>
        <w:tc>
          <w:tcPr>
            <w:tcW w:w="3419" w:type="dxa"/>
            <w:gridSpan w:val="3"/>
            <w:noWrap/>
            <w:vAlign w:val="center"/>
          </w:tcPr>
          <w:p>
            <w:pPr>
              <w:jc w:val="center"/>
              <w:rPr>
                <w:rFonts w:ascii="宋体" w:hAnsi="宋体"/>
                <w:szCs w:val="21"/>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noWrap/>
            <w:vAlign w:val="center"/>
          </w:tcPr>
          <w:p>
            <w:pPr>
              <w:jc w:val="center"/>
              <w:rPr>
                <w:rFonts w:ascii="宋体" w:hAnsi="宋体"/>
                <w:sz w:val="18"/>
                <w:szCs w:val="18"/>
              </w:rPr>
            </w:pPr>
            <w:r>
              <w:rPr>
                <w:rFonts w:ascii="宋体" w:hAnsi="宋体"/>
                <w:sz w:val="18"/>
                <w:szCs w:val="18"/>
              </w:rPr>
              <w:t>部门（单位）名称</w:t>
            </w:r>
          </w:p>
        </w:tc>
        <w:tc>
          <w:tcPr>
            <w:tcW w:w="4575" w:type="dxa"/>
            <w:gridSpan w:val="6"/>
            <w:noWrap/>
            <w:vAlign w:val="center"/>
          </w:tcPr>
          <w:p>
            <w:pPr>
              <w:jc w:val="center"/>
              <w:rPr>
                <w:rFonts w:ascii="宋体" w:hAnsi="宋体"/>
                <w:sz w:val="18"/>
                <w:szCs w:val="18"/>
              </w:rPr>
            </w:pPr>
            <w:r>
              <w:rPr>
                <w:rFonts w:hint="eastAsia"/>
              </w:rPr>
              <w:t>资阳市雁江区审计局</w:t>
            </w:r>
            <w:r>
              <w:rPr>
                <w:rFonts w:ascii="宋体" w:hAnsi="宋体"/>
                <w:sz w:val="18"/>
                <w:szCs w:val="18"/>
              </w:rPr>
              <w:t>　</w:t>
            </w:r>
          </w:p>
        </w:tc>
        <w:tc>
          <w:tcPr>
            <w:tcW w:w="1246" w:type="dxa"/>
            <w:noWrap/>
            <w:vAlign w:val="center"/>
          </w:tcPr>
          <w:p>
            <w:pPr>
              <w:jc w:val="center"/>
              <w:rPr>
                <w:rFonts w:ascii="宋体" w:hAnsi="宋体"/>
                <w:sz w:val="18"/>
                <w:szCs w:val="18"/>
              </w:rPr>
            </w:pPr>
            <w:r>
              <w:rPr>
                <w:rFonts w:ascii="宋体" w:hAnsi="宋体"/>
                <w:sz w:val="18"/>
                <w:szCs w:val="18"/>
              </w:rPr>
              <w:t>预算单位编码</w:t>
            </w:r>
          </w:p>
        </w:tc>
        <w:tc>
          <w:tcPr>
            <w:tcW w:w="2173" w:type="dxa"/>
            <w:gridSpan w:val="2"/>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123001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restart"/>
            <w:noWrap/>
            <w:vAlign w:val="center"/>
          </w:tcPr>
          <w:p>
            <w:pPr>
              <w:jc w:val="center"/>
              <w:rPr>
                <w:rFonts w:ascii="宋体" w:hAnsi="宋体"/>
                <w:sz w:val="18"/>
                <w:szCs w:val="18"/>
              </w:rPr>
            </w:pPr>
            <w:r>
              <w:rPr>
                <w:rFonts w:ascii="宋体" w:hAnsi="宋体"/>
                <w:sz w:val="18"/>
                <w:szCs w:val="18"/>
              </w:rPr>
              <w:t>预算执行情况</w:t>
            </w:r>
          </w:p>
        </w:tc>
        <w:tc>
          <w:tcPr>
            <w:tcW w:w="1133" w:type="dxa"/>
            <w:gridSpan w:val="2"/>
            <w:noWrap/>
            <w:vAlign w:val="center"/>
          </w:tcPr>
          <w:p>
            <w:pPr>
              <w:jc w:val="center"/>
              <w:rPr>
                <w:rFonts w:ascii="宋体" w:hAnsi="宋体"/>
                <w:sz w:val="18"/>
                <w:szCs w:val="18"/>
              </w:rPr>
            </w:pPr>
            <w:r>
              <w:rPr>
                <w:rFonts w:ascii="宋体" w:hAnsi="宋体"/>
                <w:sz w:val="18"/>
                <w:szCs w:val="18"/>
              </w:rPr>
              <w:t>项目</w:t>
            </w:r>
          </w:p>
        </w:tc>
        <w:tc>
          <w:tcPr>
            <w:tcW w:w="764" w:type="dxa"/>
            <w:noWrap/>
            <w:vAlign w:val="center"/>
          </w:tcPr>
          <w:p>
            <w:pPr>
              <w:jc w:val="center"/>
              <w:rPr>
                <w:rFonts w:ascii="宋体" w:hAnsi="宋体"/>
                <w:sz w:val="18"/>
                <w:szCs w:val="18"/>
              </w:rPr>
            </w:pPr>
            <w:r>
              <w:rPr>
                <w:rFonts w:ascii="宋体" w:hAnsi="宋体"/>
                <w:sz w:val="18"/>
                <w:szCs w:val="18"/>
              </w:rPr>
              <w:t>预算额（百元）</w:t>
            </w:r>
          </w:p>
        </w:tc>
        <w:tc>
          <w:tcPr>
            <w:tcW w:w="1256" w:type="dxa"/>
            <w:noWrap/>
            <w:vAlign w:val="center"/>
          </w:tcPr>
          <w:p>
            <w:pPr>
              <w:jc w:val="center"/>
              <w:rPr>
                <w:rFonts w:ascii="宋体" w:hAnsi="宋体"/>
                <w:sz w:val="18"/>
                <w:szCs w:val="18"/>
              </w:rPr>
            </w:pPr>
            <w:r>
              <w:rPr>
                <w:rFonts w:ascii="宋体" w:hAnsi="宋体"/>
                <w:sz w:val="18"/>
                <w:szCs w:val="18"/>
              </w:rPr>
              <w:t>执行额（百元）</w:t>
            </w:r>
          </w:p>
        </w:tc>
        <w:tc>
          <w:tcPr>
            <w:tcW w:w="1422" w:type="dxa"/>
            <w:gridSpan w:val="2"/>
            <w:noWrap/>
            <w:vAlign w:val="center"/>
          </w:tcPr>
          <w:p>
            <w:pPr>
              <w:jc w:val="center"/>
              <w:rPr>
                <w:rFonts w:ascii="宋体" w:hAnsi="宋体"/>
                <w:sz w:val="18"/>
                <w:szCs w:val="18"/>
              </w:rPr>
            </w:pPr>
            <w:r>
              <w:rPr>
                <w:rFonts w:ascii="宋体" w:hAnsi="宋体"/>
                <w:sz w:val="18"/>
                <w:szCs w:val="18"/>
              </w:rPr>
              <w:t>当年结转结余额（百元）</w:t>
            </w:r>
          </w:p>
        </w:tc>
        <w:tc>
          <w:tcPr>
            <w:tcW w:w="1246" w:type="dxa"/>
            <w:noWrap/>
            <w:vAlign w:val="center"/>
          </w:tcPr>
          <w:p>
            <w:pPr>
              <w:jc w:val="center"/>
              <w:rPr>
                <w:rFonts w:ascii="宋体" w:hAnsi="宋体"/>
                <w:sz w:val="18"/>
                <w:szCs w:val="18"/>
              </w:rPr>
            </w:pPr>
            <w:r>
              <w:rPr>
                <w:rFonts w:ascii="宋体" w:hAnsi="宋体"/>
                <w:sz w:val="18"/>
                <w:szCs w:val="18"/>
              </w:rPr>
              <w:t>结转结余率%</w:t>
            </w:r>
          </w:p>
        </w:tc>
        <w:tc>
          <w:tcPr>
            <w:tcW w:w="2173" w:type="dxa"/>
            <w:gridSpan w:val="2"/>
            <w:noWrap/>
            <w:vAlign w:val="center"/>
          </w:tcPr>
          <w:p>
            <w:pPr>
              <w:jc w:val="center"/>
              <w:rPr>
                <w:rFonts w:ascii="宋体" w:hAnsi="宋体"/>
                <w:sz w:val="18"/>
                <w:szCs w:val="18"/>
              </w:rPr>
            </w:pPr>
            <w:r>
              <w:rPr>
                <w:rFonts w:ascii="宋体" w:hAnsi="宋体"/>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合   计</w:t>
            </w:r>
          </w:p>
        </w:tc>
        <w:tc>
          <w:tcPr>
            <w:tcW w:w="764" w:type="dxa"/>
            <w:noWrap/>
            <w:vAlign w:val="center"/>
          </w:tcPr>
          <w:p>
            <w:pPr>
              <w:rPr>
                <w:rFonts w:ascii="宋体" w:hAnsi="宋体"/>
                <w:sz w:val="18"/>
                <w:szCs w:val="18"/>
              </w:rPr>
            </w:pPr>
            <w:r>
              <w:rPr>
                <w:rFonts w:hint="eastAsia" w:ascii="宋体" w:hAnsi="宋体"/>
                <w:sz w:val="18"/>
                <w:szCs w:val="18"/>
              </w:rPr>
              <w:t>30000</w:t>
            </w:r>
          </w:p>
        </w:tc>
        <w:tc>
          <w:tcPr>
            <w:tcW w:w="1256" w:type="dxa"/>
            <w:noWrap/>
            <w:vAlign w:val="center"/>
          </w:tcPr>
          <w:p>
            <w:pPr>
              <w:ind w:firstLine="180" w:firstLineChars="100"/>
              <w:rPr>
                <w:rFonts w:ascii="宋体" w:hAnsi="宋体"/>
                <w:sz w:val="18"/>
                <w:szCs w:val="18"/>
              </w:rPr>
            </w:pPr>
            <w:r>
              <w:rPr>
                <w:rFonts w:hint="eastAsia" w:ascii="宋体" w:hAnsi="宋体"/>
                <w:sz w:val="18"/>
                <w:szCs w:val="18"/>
              </w:rPr>
              <w:t>21971</w:t>
            </w:r>
          </w:p>
        </w:tc>
        <w:tc>
          <w:tcPr>
            <w:tcW w:w="1422" w:type="dxa"/>
            <w:gridSpan w:val="2"/>
            <w:noWrap/>
            <w:vAlign w:val="center"/>
          </w:tcPr>
          <w:p>
            <w:pPr>
              <w:jc w:val="center"/>
              <w:rPr>
                <w:rFonts w:ascii="宋体" w:hAnsi="宋体"/>
                <w:sz w:val="18"/>
                <w:szCs w:val="18"/>
              </w:rPr>
            </w:pPr>
            <w:r>
              <w:rPr>
                <w:rFonts w:hint="eastAsia" w:ascii="宋体" w:hAnsi="宋体"/>
                <w:sz w:val="18"/>
                <w:szCs w:val="18"/>
              </w:rPr>
              <w:t>8029</w:t>
            </w:r>
          </w:p>
        </w:tc>
        <w:tc>
          <w:tcPr>
            <w:tcW w:w="1246" w:type="dxa"/>
            <w:noWrap/>
            <w:vAlign w:val="center"/>
          </w:tcPr>
          <w:p>
            <w:pPr>
              <w:jc w:val="center"/>
              <w:rPr>
                <w:rFonts w:ascii="宋体" w:hAnsi="宋体"/>
                <w:sz w:val="18"/>
                <w:szCs w:val="18"/>
              </w:rPr>
            </w:pPr>
            <w:r>
              <w:rPr>
                <w:rFonts w:hint="eastAsia" w:ascii="宋体" w:hAnsi="宋体"/>
                <w:sz w:val="18"/>
                <w:szCs w:val="18"/>
              </w:rPr>
              <w:t>26.76</w:t>
            </w:r>
          </w:p>
        </w:tc>
        <w:tc>
          <w:tcPr>
            <w:tcW w:w="2173" w:type="dxa"/>
            <w:gridSpan w:val="2"/>
            <w:noWrap/>
            <w:vAlign w:val="center"/>
          </w:tcPr>
          <w:p>
            <w:pPr>
              <w:jc w:val="center"/>
              <w:rPr>
                <w:rFonts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财政拨款</w:t>
            </w:r>
          </w:p>
        </w:tc>
        <w:tc>
          <w:tcPr>
            <w:tcW w:w="764" w:type="dxa"/>
            <w:noWrap/>
            <w:vAlign w:val="center"/>
          </w:tcPr>
          <w:p>
            <w:pPr>
              <w:rPr>
                <w:rFonts w:ascii="宋体" w:hAnsi="宋体"/>
                <w:sz w:val="18"/>
                <w:szCs w:val="18"/>
              </w:rPr>
            </w:pPr>
            <w:r>
              <w:rPr>
                <w:rFonts w:hint="eastAsia" w:ascii="宋体" w:hAnsi="宋体"/>
                <w:sz w:val="18"/>
                <w:szCs w:val="18"/>
              </w:rPr>
              <w:t>30000</w:t>
            </w:r>
          </w:p>
        </w:tc>
        <w:tc>
          <w:tcPr>
            <w:tcW w:w="1256" w:type="dxa"/>
            <w:noWrap/>
            <w:vAlign w:val="center"/>
          </w:tcPr>
          <w:p>
            <w:pPr>
              <w:ind w:firstLine="180" w:firstLineChars="100"/>
              <w:rPr>
                <w:rFonts w:ascii="宋体" w:hAnsi="宋体"/>
                <w:sz w:val="18"/>
                <w:szCs w:val="18"/>
              </w:rPr>
            </w:pPr>
            <w:r>
              <w:rPr>
                <w:rFonts w:ascii="宋体" w:hAnsi="宋体"/>
                <w:sz w:val="18"/>
                <w:szCs w:val="18"/>
              </w:rPr>
              <w:t>21</w:t>
            </w:r>
            <w:r>
              <w:rPr>
                <w:rFonts w:hint="eastAsia" w:ascii="宋体" w:hAnsi="宋体"/>
                <w:sz w:val="18"/>
                <w:szCs w:val="18"/>
              </w:rPr>
              <w:t>971</w:t>
            </w:r>
          </w:p>
        </w:tc>
        <w:tc>
          <w:tcPr>
            <w:tcW w:w="1422" w:type="dxa"/>
            <w:gridSpan w:val="2"/>
            <w:noWrap/>
            <w:vAlign w:val="center"/>
          </w:tcPr>
          <w:p>
            <w:pPr>
              <w:jc w:val="center"/>
              <w:rPr>
                <w:rFonts w:ascii="宋体" w:hAnsi="宋体"/>
                <w:sz w:val="18"/>
                <w:szCs w:val="18"/>
              </w:rPr>
            </w:pPr>
            <w:r>
              <w:rPr>
                <w:rFonts w:hint="eastAsia" w:ascii="宋体" w:hAnsi="宋体"/>
                <w:sz w:val="18"/>
                <w:szCs w:val="18"/>
              </w:rPr>
              <w:t>8029</w:t>
            </w:r>
          </w:p>
        </w:tc>
        <w:tc>
          <w:tcPr>
            <w:tcW w:w="1246" w:type="dxa"/>
            <w:noWrap/>
            <w:vAlign w:val="center"/>
          </w:tcPr>
          <w:p>
            <w:pPr>
              <w:jc w:val="center"/>
              <w:rPr>
                <w:rFonts w:ascii="宋体" w:hAnsi="宋体"/>
                <w:sz w:val="18"/>
                <w:szCs w:val="18"/>
              </w:rPr>
            </w:pPr>
            <w:r>
              <w:rPr>
                <w:rFonts w:hint="eastAsia" w:ascii="宋体" w:hAnsi="宋体"/>
                <w:sz w:val="18"/>
                <w:szCs w:val="18"/>
              </w:rPr>
              <w:t>26.76</w:t>
            </w:r>
          </w:p>
        </w:tc>
        <w:tc>
          <w:tcPr>
            <w:tcW w:w="2173" w:type="dxa"/>
            <w:gridSpan w:val="2"/>
            <w:noWrap/>
            <w:vAlign w:val="center"/>
          </w:tcPr>
          <w:p>
            <w:pPr>
              <w:jc w:val="center"/>
              <w:rPr>
                <w:rFonts w:ascii="宋体" w:hAnsi="宋体"/>
                <w:sz w:val="18"/>
                <w:szCs w:val="18"/>
              </w:rPr>
            </w:pP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其他资金</w:t>
            </w:r>
          </w:p>
        </w:tc>
        <w:tc>
          <w:tcPr>
            <w:tcW w:w="764" w:type="dxa"/>
            <w:noWrap/>
            <w:vAlign w:val="center"/>
          </w:tcPr>
          <w:p>
            <w:pPr>
              <w:rPr>
                <w:rFonts w:ascii="宋体" w:hAnsi="宋体"/>
                <w:sz w:val="18"/>
                <w:szCs w:val="18"/>
              </w:rPr>
            </w:pPr>
            <w:r>
              <w:rPr>
                <w:rFonts w:ascii="宋体" w:hAnsi="宋体"/>
                <w:sz w:val="18"/>
                <w:szCs w:val="18"/>
              </w:rPr>
              <w:t>　</w:t>
            </w:r>
          </w:p>
        </w:tc>
        <w:tc>
          <w:tcPr>
            <w:tcW w:w="1256" w:type="dxa"/>
            <w:noWrap/>
            <w:vAlign w:val="center"/>
          </w:tcPr>
          <w:p>
            <w:pPr>
              <w:rPr>
                <w:rFonts w:ascii="宋体" w:hAnsi="宋体"/>
                <w:sz w:val="18"/>
                <w:szCs w:val="18"/>
              </w:rPr>
            </w:pPr>
            <w:r>
              <w:rPr>
                <w:rFonts w:ascii="宋体" w:hAnsi="宋体"/>
                <w:sz w:val="18"/>
                <w:szCs w:val="18"/>
              </w:rPr>
              <w:t>　</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restart"/>
            <w:noWrap/>
            <w:vAlign w:val="center"/>
          </w:tcPr>
          <w:p>
            <w:pPr>
              <w:jc w:val="center"/>
              <w:rPr>
                <w:rFonts w:ascii="宋体" w:hAnsi="宋体"/>
                <w:sz w:val="18"/>
                <w:szCs w:val="18"/>
              </w:rPr>
            </w:pPr>
            <w:r>
              <w:rPr>
                <w:rFonts w:ascii="宋体" w:hAnsi="宋体"/>
                <w:sz w:val="18"/>
                <w:szCs w:val="18"/>
              </w:rPr>
              <w:t>财政拨款结构</w:t>
            </w:r>
          </w:p>
        </w:tc>
        <w:tc>
          <w:tcPr>
            <w:tcW w:w="1133" w:type="dxa"/>
            <w:gridSpan w:val="2"/>
            <w:noWrap/>
            <w:vAlign w:val="center"/>
          </w:tcPr>
          <w:p>
            <w:pPr>
              <w:jc w:val="center"/>
              <w:rPr>
                <w:rFonts w:ascii="宋体" w:hAnsi="宋体"/>
                <w:sz w:val="18"/>
                <w:szCs w:val="18"/>
              </w:rPr>
            </w:pPr>
            <w:r>
              <w:rPr>
                <w:rFonts w:ascii="宋体" w:hAnsi="宋体"/>
                <w:sz w:val="18"/>
                <w:szCs w:val="18"/>
              </w:rPr>
              <w:t>项目</w:t>
            </w:r>
          </w:p>
        </w:tc>
        <w:tc>
          <w:tcPr>
            <w:tcW w:w="764" w:type="dxa"/>
            <w:noWrap/>
            <w:vAlign w:val="center"/>
          </w:tcPr>
          <w:p>
            <w:pPr>
              <w:jc w:val="center"/>
              <w:rPr>
                <w:rFonts w:ascii="宋体" w:hAnsi="宋体"/>
                <w:sz w:val="18"/>
                <w:szCs w:val="18"/>
              </w:rPr>
            </w:pPr>
            <w:r>
              <w:rPr>
                <w:rFonts w:ascii="宋体" w:hAnsi="宋体"/>
                <w:sz w:val="18"/>
                <w:szCs w:val="18"/>
              </w:rPr>
              <w:t>合计</w:t>
            </w:r>
          </w:p>
        </w:tc>
        <w:tc>
          <w:tcPr>
            <w:tcW w:w="1256" w:type="dxa"/>
            <w:noWrap/>
            <w:vAlign w:val="center"/>
          </w:tcPr>
          <w:p>
            <w:pPr>
              <w:jc w:val="center"/>
              <w:rPr>
                <w:rFonts w:ascii="宋体" w:hAnsi="宋体"/>
                <w:sz w:val="18"/>
                <w:szCs w:val="18"/>
              </w:rPr>
            </w:pPr>
            <w:r>
              <w:rPr>
                <w:rFonts w:ascii="宋体" w:hAnsi="宋体"/>
                <w:sz w:val="18"/>
                <w:szCs w:val="18"/>
              </w:rPr>
              <w:t>一般公共预算安排</w:t>
            </w:r>
          </w:p>
        </w:tc>
        <w:tc>
          <w:tcPr>
            <w:tcW w:w="1422" w:type="dxa"/>
            <w:gridSpan w:val="2"/>
            <w:noWrap/>
            <w:vAlign w:val="center"/>
          </w:tcPr>
          <w:p>
            <w:pPr>
              <w:jc w:val="center"/>
              <w:rPr>
                <w:rFonts w:ascii="宋体" w:hAnsi="宋体"/>
                <w:sz w:val="18"/>
                <w:szCs w:val="18"/>
              </w:rPr>
            </w:pPr>
            <w:r>
              <w:rPr>
                <w:rFonts w:ascii="宋体" w:hAnsi="宋体"/>
                <w:sz w:val="18"/>
                <w:szCs w:val="18"/>
              </w:rPr>
              <w:t>政府性基金预算安排</w:t>
            </w:r>
          </w:p>
        </w:tc>
        <w:tc>
          <w:tcPr>
            <w:tcW w:w="1246" w:type="dxa"/>
            <w:noWrap/>
            <w:vAlign w:val="center"/>
          </w:tcPr>
          <w:p>
            <w:pPr>
              <w:jc w:val="center"/>
              <w:rPr>
                <w:rFonts w:ascii="宋体" w:hAnsi="宋体"/>
                <w:sz w:val="18"/>
                <w:szCs w:val="18"/>
              </w:rPr>
            </w:pPr>
            <w:r>
              <w:rPr>
                <w:rFonts w:ascii="宋体" w:hAnsi="宋体"/>
                <w:sz w:val="18"/>
                <w:szCs w:val="18"/>
              </w:rPr>
              <w:t>国有资本经营预算安排</w:t>
            </w:r>
          </w:p>
        </w:tc>
        <w:tc>
          <w:tcPr>
            <w:tcW w:w="2173" w:type="dxa"/>
            <w:gridSpan w:val="2"/>
            <w:noWrap/>
            <w:vAlign w:val="center"/>
          </w:tcPr>
          <w:p>
            <w:pPr>
              <w:jc w:val="center"/>
              <w:rPr>
                <w:rFonts w:ascii="宋体" w:hAnsi="宋体"/>
                <w:sz w:val="18"/>
                <w:szCs w:val="18"/>
              </w:rPr>
            </w:pPr>
            <w:r>
              <w:rPr>
                <w:rFonts w:ascii="宋体" w:hAnsi="宋体"/>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预算额</w:t>
            </w:r>
          </w:p>
          <w:p>
            <w:pPr>
              <w:jc w:val="center"/>
              <w:rPr>
                <w:rFonts w:ascii="宋体" w:hAnsi="宋体"/>
                <w:sz w:val="18"/>
                <w:szCs w:val="18"/>
              </w:rPr>
            </w:pPr>
            <w:r>
              <w:rPr>
                <w:rFonts w:ascii="宋体" w:hAnsi="宋体"/>
                <w:sz w:val="18"/>
                <w:szCs w:val="18"/>
              </w:rPr>
              <w:t>（百元）</w:t>
            </w:r>
          </w:p>
        </w:tc>
        <w:tc>
          <w:tcPr>
            <w:tcW w:w="764" w:type="dxa"/>
            <w:noWrap/>
            <w:vAlign w:val="center"/>
          </w:tcPr>
          <w:p>
            <w:pPr>
              <w:rPr>
                <w:rFonts w:ascii="宋体" w:hAnsi="宋体"/>
                <w:sz w:val="18"/>
                <w:szCs w:val="18"/>
              </w:rPr>
            </w:pPr>
            <w:r>
              <w:rPr>
                <w:rFonts w:hint="eastAsia" w:ascii="宋体" w:hAnsi="宋体"/>
                <w:sz w:val="18"/>
                <w:szCs w:val="18"/>
              </w:rPr>
              <w:t>30000</w:t>
            </w:r>
          </w:p>
        </w:tc>
        <w:tc>
          <w:tcPr>
            <w:tcW w:w="1256" w:type="dxa"/>
            <w:noWrap/>
            <w:vAlign w:val="center"/>
          </w:tcPr>
          <w:p>
            <w:pPr>
              <w:jc w:val="center"/>
              <w:rPr>
                <w:rFonts w:ascii="宋体" w:hAnsi="宋体"/>
                <w:sz w:val="18"/>
                <w:szCs w:val="18"/>
              </w:rPr>
            </w:pPr>
            <w:r>
              <w:rPr>
                <w:rFonts w:ascii="宋体" w:hAnsi="宋体"/>
                <w:sz w:val="18"/>
                <w:szCs w:val="18"/>
              </w:rPr>
              <w:t>21</w:t>
            </w:r>
            <w:r>
              <w:rPr>
                <w:rFonts w:hint="eastAsia" w:ascii="宋体" w:hAnsi="宋体"/>
                <w:sz w:val="18"/>
                <w:szCs w:val="18"/>
              </w:rPr>
              <w:t>971</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执行额</w:t>
            </w:r>
          </w:p>
          <w:p>
            <w:pPr>
              <w:jc w:val="center"/>
              <w:rPr>
                <w:rFonts w:ascii="宋体" w:hAnsi="宋体"/>
                <w:sz w:val="18"/>
                <w:szCs w:val="18"/>
              </w:rPr>
            </w:pPr>
            <w:r>
              <w:rPr>
                <w:rFonts w:ascii="宋体" w:hAnsi="宋体"/>
                <w:sz w:val="18"/>
                <w:szCs w:val="18"/>
              </w:rPr>
              <w:t>（百元）</w:t>
            </w:r>
          </w:p>
        </w:tc>
        <w:tc>
          <w:tcPr>
            <w:tcW w:w="764" w:type="dxa"/>
            <w:noWrap/>
            <w:vAlign w:val="center"/>
          </w:tcPr>
          <w:p>
            <w:pPr>
              <w:jc w:val="center"/>
              <w:rPr>
                <w:rFonts w:ascii="宋体" w:hAnsi="宋体"/>
                <w:sz w:val="18"/>
                <w:szCs w:val="18"/>
              </w:rPr>
            </w:pPr>
            <w:r>
              <w:rPr>
                <w:rFonts w:hint="eastAsia" w:ascii="宋体" w:hAnsi="宋体"/>
                <w:sz w:val="18"/>
                <w:szCs w:val="18"/>
              </w:rPr>
              <w:t>30000</w:t>
            </w:r>
          </w:p>
        </w:tc>
        <w:tc>
          <w:tcPr>
            <w:tcW w:w="1256" w:type="dxa"/>
            <w:noWrap/>
            <w:vAlign w:val="center"/>
          </w:tcPr>
          <w:p>
            <w:pPr>
              <w:jc w:val="center"/>
              <w:rPr>
                <w:rFonts w:ascii="宋体" w:hAnsi="宋体"/>
                <w:sz w:val="18"/>
                <w:szCs w:val="18"/>
              </w:rPr>
            </w:pPr>
            <w:r>
              <w:rPr>
                <w:rFonts w:ascii="宋体" w:hAnsi="宋体"/>
                <w:sz w:val="18"/>
                <w:szCs w:val="18"/>
              </w:rPr>
              <w:t>21</w:t>
            </w:r>
            <w:r>
              <w:rPr>
                <w:rFonts w:hint="eastAsia" w:ascii="宋体" w:hAnsi="宋体"/>
                <w:sz w:val="18"/>
                <w:szCs w:val="18"/>
              </w:rPr>
              <w:t>971</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当年结转结余额（百元）</w:t>
            </w:r>
          </w:p>
        </w:tc>
        <w:tc>
          <w:tcPr>
            <w:tcW w:w="764" w:type="dxa"/>
            <w:noWrap/>
            <w:vAlign w:val="center"/>
          </w:tcPr>
          <w:p>
            <w:pPr>
              <w:jc w:val="center"/>
              <w:rPr>
                <w:rFonts w:ascii="宋体" w:hAnsi="宋体"/>
                <w:sz w:val="18"/>
                <w:szCs w:val="18"/>
              </w:rPr>
            </w:pPr>
            <w:r>
              <w:rPr>
                <w:rFonts w:hint="eastAsia" w:ascii="宋体" w:hAnsi="宋体"/>
                <w:sz w:val="18"/>
                <w:szCs w:val="18"/>
              </w:rPr>
              <w:t>8029</w:t>
            </w:r>
          </w:p>
        </w:tc>
        <w:tc>
          <w:tcPr>
            <w:tcW w:w="1256" w:type="dxa"/>
            <w:noWrap/>
            <w:vAlign w:val="center"/>
          </w:tcPr>
          <w:p>
            <w:pPr>
              <w:jc w:val="center"/>
              <w:rPr>
                <w:rFonts w:ascii="宋体" w:hAnsi="宋体"/>
                <w:sz w:val="18"/>
                <w:szCs w:val="18"/>
              </w:rPr>
            </w:pPr>
            <w:r>
              <w:rPr>
                <w:rFonts w:hint="eastAsia" w:ascii="宋体" w:hAnsi="宋体"/>
                <w:sz w:val="18"/>
                <w:szCs w:val="18"/>
              </w:rPr>
              <w:t>8029</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结转结余率%</w:t>
            </w:r>
          </w:p>
        </w:tc>
        <w:tc>
          <w:tcPr>
            <w:tcW w:w="764" w:type="dxa"/>
            <w:noWrap/>
            <w:vAlign w:val="center"/>
          </w:tcPr>
          <w:p>
            <w:pPr>
              <w:jc w:val="center"/>
              <w:rPr>
                <w:rFonts w:ascii="宋体" w:hAnsi="宋体"/>
                <w:sz w:val="18"/>
                <w:szCs w:val="18"/>
              </w:rPr>
            </w:pPr>
            <w:r>
              <w:rPr>
                <w:rFonts w:hint="eastAsia" w:ascii="宋体" w:hAnsi="宋体"/>
                <w:sz w:val="18"/>
                <w:szCs w:val="18"/>
              </w:rPr>
              <w:t>26.76</w:t>
            </w:r>
          </w:p>
        </w:tc>
        <w:tc>
          <w:tcPr>
            <w:tcW w:w="1256" w:type="dxa"/>
            <w:noWrap/>
            <w:vAlign w:val="center"/>
          </w:tcPr>
          <w:p>
            <w:pPr>
              <w:jc w:val="center"/>
              <w:rPr>
                <w:rFonts w:ascii="宋体" w:hAnsi="宋体"/>
                <w:sz w:val="18"/>
                <w:szCs w:val="18"/>
              </w:rPr>
            </w:pPr>
            <w:r>
              <w:rPr>
                <w:rFonts w:hint="eastAsia" w:ascii="宋体" w:hAnsi="宋体"/>
                <w:sz w:val="18"/>
                <w:szCs w:val="18"/>
              </w:rPr>
              <w:t>26.76</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848" w:type="dxa"/>
            <w:vMerge w:val="continue"/>
            <w:noWrap/>
            <w:vAlign w:val="center"/>
          </w:tcPr>
          <w:p>
            <w:pPr>
              <w:rPr>
                <w:rFonts w:ascii="宋体" w:hAnsi="宋体"/>
                <w:sz w:val="18"/>
                <w:szCs w:val="18"/>
              </w:rPr>
            </w:pPr>
          </w:p>
        </w:tc>
        <w:tc>
          <w:tcPr>
            <w:tcW w:w="1133" w:type="dxa"/>
            <w:gridSpan w:val="2"/>
            <w:noWrap/>
            <w:vAlign w:val="center"/>
          </w:tcPr>
          <w:p>
            <w:pPr>
              <w:jc w:val="center"/>
              <w:rPr>
                <w:rFonts w:ascii="宋体" w:hAnsi="宋体"/>
                <w:sz w:val="18"/>
                <w:szCs w:val="18"/>
              </w:rPr>
            </w:pPr>
            <w:r>
              <w:rPr>
                <w:rFonts w:ascii="宋体" w:hAnsi="宋体"/>
                <w:sz w:val="18"/>
                <w:szCs w:val="18"/>
              </w:rPr>
              <w:t>结转结余变动率%</w:t>
            </w:r>
          </w:p>
        </w:tc>
        <w:tc>
          <w:tcPr>
            <w:tcW w:w="764" w:type="dxa"/>
            <w:noWrap/>
            <w:vAlign w:val="center"/>
          </w:tcPr>
          <w:p>
            <w:pPr>
              <w:jc w:val="center"/>
              <w:rPr>
                <w:rFonts w:ascii="宋体" w:hAnsi="宋体"/>
                <w:sz w:val="18"/>
                <w:szCs w:val="18"/>
              </w:rPr>
            </w:pPr>
            <w:r>
              <w:rPr>
                <w:rFonts w:hint="eastAsia" w:ascii="宋体" w:hAnsi="宋体"/>
                <w:sz w:val="18"/>
                <w:szCs w:val="18"/>
              </w:rPr>
              <w:t>0</w:t>
            </w:r>
          </w:p>
        </w:tc>
        <w:tc>
          <w:tcPr>
            <w:tcW w:w="1256" w:type="dxa"/>
            <w:noWrap/>
            <w:vAlign w:val="center"/>
          </w:tcPr>
          <w:p>
            <w:pPr>
              <w:jc w:val="center"/>
              <w:rPr>
                <w:rFonts w:ascii="宋体" w:hAnsi="宋体"/>
                <w:sz w:val="18"/>
                <w:szCs w:val="18"/>
              </w:rPr>
            </w:pPr>
            <w:r>
              <w:rPr>
                <w:rFonts w:hint="eastAsia" w:ascii="宋体" w:hAnsi="宋体"/>
                <w:sz w:val="18"/>
                <w:szCs w:val="18"/>
              </w:rPr>
              <w:t>0</w:t>
            </w:r>
          </w:p>
        </w:tc>
        <w:tc>
          <w:tcPr>
            <w:tcW w:w="1422" w:type="dxa"/>
            <w:gridSpan w:val="2"/>
            <w:noWrap/>
            <w:vAlign w:val="center"/>
          </w:tcPr>
          <w:p>
            <w:pPr>
              <w:rPr>
                <w:rFonts w:ascii="宋体" w:hAnsi="宋体"/>
                <w:sz w:val="18"/>
                <w:szCs w:val="18"/>
              </w:rPr>
            </w:pPr>
            <w:r>
              <w:rPr>
                <w:rFonts w:ascii="宋体" w:hAnsi="宋体"/>
                <w:sz w:val="18"/>
                <w:szCs w:val="18"/>
              </w:rPr>
              <w:t>　</w:t>
            </w:r>
          </w:p>
        </w:tc>
        <w:tc>
          <w:tcPr>
            <w:tcW w:w="1246" w:type="dxa"/>
            <w:noWrap/>
            <w:vAlign w:val="center"/>
          </w:tcPr>
          <w:p>
            <w:pPr>
              <w:rPr>
                <w:rFonts w:ascii="宋体" w:hAnsi="宋体"/>
                <w:sz w:val="18"/>
                <w:szCs w:val="18"/>
              </w:rPr>
            </w:pPr>
            <w:r>
              <w:rPr>
                <w:rFonts w:ascii="宋体" w:hAnsi="宋体"/>
                <w:sz w:val="18"/>
                <w:szCs w:val="18"/>
              </w:rPr>
              <w:t>　</w:t>
            </w:r>
          </w:p>
        </w:tc>
        <w:tc>
          <w:tcPr>
            <w:tcW w:w="2173" w:type="dxa"/>
            <w:gridSpan w:val="2"/>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48" w:type="dxa"/>
            <w:vMerge w:val="restart"/>
            <w:noWrap/>
            <w:vAlign w:val="center"/>
          </w:tcPr>
          <w:p>
            <w:pPr>
              <w:jc w:val="center"/>
              <w:rPr>
                <w:rFonts w:ascii="宋体" w:hAnsi="宋体"/>
                <w:sz w:val="18"/>
                <w:szCs w:val="18"/>
              </w:rPr>
            </w:pPr>
            <w:r>
              <w:rPr>
                <w:rFonts w:ascii="宋体" w:hAnsi="宋体"/>
                <w:sz w:val="18"/>
                <w:szCs w:val="18"/>
              </w:rPr>
              <w:t>年度总体目标</w:t>
            </w:r>
          </w:p>
        </w:tc>
        <w:tc>
          <w:tcPr>
            <w:tcW w:w="1897" w:type="dxa"/>
            <w:gridSpan w:val="3"/>
            <w:noWrap/>
            <w:vAlign w:val="center"/>
          </w:tcPr>
          <w:p>
            <w:pPr>
              <w:jc w:val="center"/>
              <w:rPr>
                <w:rFonts w:ascii="宋体" w:hAnsi="宋体"/>
                <w:sz w:val="18"/>
                <w:szCs w:val="18"/>
              </w:rPr>
            </w:pPr>
            <w:r>
              <w:rPr>
                <w:rFonts w:ascii="宋体" w:hAnsi="宋体"/>
                <w:sz w:val="18"/>
                <w:szCs w:val="18"/>
              </w:rPr>
              <w:t>预算总体目标</w:t>
            </w:r>
          </w:p>
        </w:tc>
        <w:tc>
          <w:tcPr>
            <w:tcW w:w="2678" w:type="dxa"/>
            <w:gridSpan w:val="3"/>
            <w:noWrap/>
            <w:vAlign w:val="center"/>
          </w:tcPr>
          <w:p>
            <w:pPr>
              <w:jc w:val="center"/>
              <w:rPr>
                <w:rFonts w:ascii="宋体" w:hAnsi="宋体"/>
                <w:sz w:val="18"/>
                <w:szCs w:val="18"/>
              </w:rPr>
            </w:pPr>
            <w:r>
              <w:rPr>
                <w:rFonts w:ascii="宋体" w:hAnsi="宋体"/>
                <w:sz w:val="18"/>
                <w:szCs w:val="18"/>
              </w:rPr>
              <w:t>预算总体目标执行结果</w:t>
            </w:r>
          </w:p>
        </w:tc>
        <w:tc>
          <w:tcPr>
            <w:tcW w:w="3419" w:type="dxa"/>
            <w:gridSpan w:val="3"/>
            <w:noWrap/>
            <w:vAlign w:val="center"/>
          </w:tcPr>
          <w:p>
            <w:pPr>
              <w:jc w:val="center"/>
              <w:rPr>
                <w:rFonts w:ascii="宋体" w:hAnsi="宋体"/>
                <w:sz w:val="18"/>
                <w:szCs w:val="18"/>
              </w:rPr>
            </w:pPr>
            <w:r>
              <w:rPr>
                <w:rFonts w:ascii="宋体" w:hAnsi="宋体"/>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48" w:type="dxa"/>
            <w:vMerge w:val="continue"/>
            <w:noWrap/>
            <w:vAlign w:val="center"/>
          </w:tcPr>
          <w:p>
            <w:pPr>
              <w:rPr>
                <w:rFonts w:ascii="宋体" w:hAnsi="宋体"/>
                <w:sz w:val="18"/>
                <w:szCs w:val="18"/>
              </w:rPr>
            </w:pPr>
          </w:p>
        </w:tc>
        <w:tc>
          <w:tcPr>
            <w:tcW w:w="1897" w:type="dxa"/>
            <w:gridSpan w:val="3"/>
            <w:noWrap/>
            <w:vAlign w:val="center"/>
          </w:tcPr>
          <w:p>
            <w:pPr>
              <w:rPr>
                <w:rFonts w:ascii="宋体" w:hAnsi="宋体"/>
                <w:sz w:val="18"/>
                <w:szCs w:val="18"/>
              </w:rPr>
            </w:pPr>
            <w:r>
              <w:rPr>
                <w:rFonts w:ascii="宋体" w:hAnsi="宋体"/>
                <w:sz w:val="18"/>
                <w:szCs w:val="18"/>
              </w:rPr>
              <w:t>目标1：</w:t>
            </w:r>
            <w:r>
              <w:rPr>
                <w:rFonts w:hint="eastAsia" w:ascii="宋体" w:hAnsi="宋体"/>
                <w:sz w:val="18"/>
                <w:szCs w:val="18"/>
              </w:rPr>
              <w:t>完成年度内计划政府投资项目的竣工结算、决算、跟踪审计及专项审计调查等</w:t>
            </w:r>
          </w:p>
        </w:tc>
        <w:tc>
          <w:tcPr>
            <w:tcW w:w="2678" w:type="dxa"/>
            <w:gridSpan w:val="3"/>
            <w:noWrap/>
            <w:vAlign w:val="center"/>
          </w:tcPr>
          <w:p>
            <w:pPr>
              <w:pStyle w:val="17"/>
              <w:widowControl/>
              <w:spacing w:line="240" w:lineRule="exact"/>
              <w:ind w:left="840"/>
              <w:rPr>
                <w:rFonts w:ascii="宋体" w:hAnsi="宋体"/>
                <w:sz w:val="18"/>
                <w:szCs w:val="18"/>
              </w:rPr>
            </w:pPr>
            <w:r>
              <w:rPr>
                <w:rFonts w:hint="eastAsia" w:ascii="宋体" w:hAnsi="宋体"/>
                <w:sz w:val="18"/>
                <w:szCs w:val="18"/>
              </w:rPr>
              <w:t>完成了10个政府投资项目的竣工结算审计和5个重点民生项目跟踪审计,针对审计发现的多计工程价款、违反基建程序等问题提出审计建议，责令整改。</w:t>
            </w:r>
          </w:p>
        </w:tc>
        <w:tc>
          <w:tcPr>
            <w:tcW w:w="3419" w:type="dxa"/>
            <w:gridSpan w:val="3"/>
            <w:noWrap/>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1897" w:type="dxa"/>
            <w:gridSpan w:val="3"/>
            <w:noWrap/>
            <w:vAlign w:val="center"/>
          </w:tcPr>
          <w:p>
            <w:pPr>
              <w:rPr>
                <w:rFonts w:ascii="宋体" w:hAnsi="宋体"/>
                <w:sz w:val="18"/>
                <w:szCs w:val="18"/>
              </w:rPr>
            </w:pPr>
            <w:r>
              <w:rPr>
                <w:rFonts w:ascii="宋体" w:hAnsi="宋体"/>
                <w:sz w:val="18"/>
                <w:szCs w:val="18"/>
              </w:rPr>
              <w:t>目标2：………</w:t>
            </w:r>
          </w:p>
        </w:tc>
        <w:tc>
          <w:tcPr>
            <w:tcW w:w="2678" w:type="dxa"/>
            <w:gridSpan w:val="3"/>
            <w:noWrap/>
            <w:vAlign w:val="center"/>
          </w:tcPr>
          <w:p>
            <w:pPr>
              <w:jc w:val="center"/>
              <w:rPr>
                <w:rFonts w:ascii="宋体" w:hAnsi="宋体"/>
                <w:sz w:val="18"/>
                <w:szCs w:val="18"/>
              </w:rPr>
            </w:pPr>
            <w:r>
              <w:rPr>
                <w:rFonts w:ascii="宋体" w:hAnsi="宋体"/>
                <w:sz w:val="18"/>
                <w:szCs w:val="18"/>
              </w:rPr>
              <w:t>　</w:t>
            </w:r>
          </w:p>
        </w:tc>
        <w:tc>
          <w:tcPr>
            <w:tcW w:w="3419" w:type="dxa"/>
            <w:gridSpan w:val="3"/>
            <w:noWrap/>
            <w:vAlign w:val="center"/>
          </w:tcPr>
          <w:p>
            <w:pPr>
              <w:jc w:val="cente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1897" w:type="dxa"/>
            <w:gridSpan w:val="3"/>
            <w:noWrap/>
            <w:vAlign w:val="center"/>
          </w:tcPr>
          <w:p>
            <w:pPr>
              <w:rPr>
                <w:rFonts w:ascii="宋体" w:hAnsi="宋体"/>
                <w:sz w:val="18"/>
                <w:szCs w:val="18"/>
              </w:rPr>
            </w:pPr>
            <w:r>
              <w:rPr>
                <w:rFonts w:ascii="宋体" w:hAnsi="宋体"/>
                <w:sz w:val="18"/>
                <w:szCs w:val="18"/>
              </w:rPr>
              <w:t>目标3：………</w:t>
            </w:r>
          </w:p>
        </w:tc>
        <w:tc>
          <w:tcPr>
            <w:tcW w:w="2678" w:type="dxa"/>
            <w:gridSpan w:val="3"/>
            <w:noWrap/>
            <w:vAlign w:val="center"/>
          </w:tcPr>
          <w:p>
            <w:pPr>
              <w:jc w:val="center"/>
              <w:rPr>
                <w:rFonts w:ascii="宋体" w:hAnsi="宋体"/>
                <w:sz w:val="18"/>
                <w:szCs w:val="18"/>
              </w:rPr>
            </w:pPr>
            <w:r>
              <w:rPr>
                <w:rFonts w:ascii="宋体" w:hAnsi="宋体"/>
                <w:sz w:val="18"/>
                <w:szCs w:val="18"/>
              </w:rPr>
              <w:t>　</w:t>
            </w:r>
          </w:p>
        </w:tc>
        <w:tc>
          <w:tcPr>
            <w:tcW w:w="3419" w:type="dxa"/>
            <w:gridSpan w:val="3"/>
            <w:noWrap/>
            <w:vAlign w:val="center"/>
          </w:tcPr>
          <w:p>
            <w:pPr>
              <w:jc w:val="cente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1897" w:type="dxa"/>
            <w:gridSpan w:val="3"/>
            <w:noWrap/>
            <w:vAlign w:val="center"/>
          </w:tcPr>
          <w:p>
            <w:pPr>
              <w:rPr>
                <w:rFonts w:ascii="宋体" w:hAnsi="宋体"/>
                <w:sz w:val="18"/>
                <w:szCs w:val="18"/>
              </w:rPr>
            </w:pPr>
            <w:r>
              <w:rPr>
                <w:rFonts w:ascii="宋体" w:hAnsi="宋体"/>
                <w:sz w:val="18"/>
                <w:szCs w:val="18"/>
              </w:rPr>
              <w:t>　</w:t>
            </w:r>
          </w:p>
        </w:tc>
        <w:tc>
          <w:tcPr>
            <w:tcW w:w="2678" w:type="dxa"/>
            <w:gridSpan w:val="3"/>
            <w:noWrap/>
            <w:vAlign w:val="center"/>
          </w:tcPr>
          <w:p>
            <w:pPr>
              <w:jc w:val="center"/>
              <w:rPr>
                <w:rFonts w:ascii="宋体" w:hAnsi="宋体"/>
                <w:sz w:val="18"/>
                <w:szCs w:val="18"/>
              </w:rPr>
            </w:pPr>
            <w:r>
              <w:rPr>
                <w:rFonts w:ascii="宋体" w:hAnsi="宋体"/>
                <w:sz w:val="18"/>
                <w:szCs w:val="18"/>
              </w:rPr>
              <w:t>　</w:t>
            </w:r>
          </w:p>
        </w:tc>
        <w:tc>
          <w:tcPr>
            <w:tcW w:w="3419" w:type="dxa"/>
            <w:gridSpan w:val="3"/>
            <w:noWrap/>
            <w:vAlign w:val="center"/>
          </w:tcPr>
          <w:p>
            <w:pPr>
              <w:jc w:val="cente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1897" w:type="dxa"/>
            <w:gridSpan w:val="3"/>
            <w:noWrap/>
            <w:vAlign w:val="center"/>
          </w:tcPr>
          <w:p>
            <w:pPr>
              <w:rPr>
                <w:rFonts w:ascii="宋体" w:hAnsi="宋体"/>
                <w:sz w:val="18"/>
                <w:szCs w:val="18"/>
              </w:rPr>
            </w:pPr>
            <w:r>
              <w:rPr>
                <w:rFonts w:ascii="宋体" w:hAnsi="宋体"/>
                <w:sz w:val="18"/>
                <w:szCs w:val="18"/>
              </w:rPr>
              <w:t>　</w:t>
            </w:r>
          </w:p>
        </w:tc>
        <w:tc>
          <w:tcPr>
            <w:tcW w:w="2678" w:type="dxa"/>
            <w:gridSpan w:val="3"/>
            <w:noWrap/>
            <w:vAlign w:val="center"/>
          </w:tcPr>
          <w:p>
            <w:pPr>
              <w:jc w:val="center"/>
              <w:rPr>
                <w:rFonts w:ascii="宋体" w:hAnsi="宋体"/>
                <w:sz w:val="18"/>
                <w:szCs w:val="18"/>
              </w:rPr>
            </w:pPr>
            <w:r>
              <w:rPr>
                <w:rFonts w:ascii="宋体" w:hAnsi="宋体"/>
                <w:sz w:val="18"/>
                <w:szCs w:val="18"/>
              </w:rPr>
              <w:t>　</w:t>
            </w:r>
          </w:p>
        </w:tc>
        <w:tc>
          <w:tcPr>
            <w:tcW w:w="3419" w:type="dxa"/>
            <w:gridSpan w:val="3"/>
            <w:noWrap/>
            <w:vAlign w:val="center"/>
          </w:tcPr>
          <w:p>
            <w:pPr>
              <w:jc w:val="cente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48" w:type="dxa"/>
            <w:vMerge w:val="restart"/>
            <w:noWrap/>
            <w:vAlign w:val="center"/>
          </w:tcPr>
          <w:p>
            <w:pPr>
              <w:jc w:val="center"/>
              <w:rPr>
                <w:rFonts w:ascii="宋体" w:hAnsi="宋体"/>
                <w:sz w:val="18"/>
                <w:szCs w:val="18"/>
              </w:rPr>
            </w:pPr>
            <w:r>
              <w:rPr>
                <w:rFonts w:ascii="宋体" w:hAnsi="宋体"/>
                <w:sz w:val="18"/>
                <w:szCs w:val="18"/>
              </w:rPr>
              <w:t>年度绩</w:t>
            </w:r>
          </w:p>
          <w:p>
            <w:pPr>
              <w:jc w:val="center"/>
              <w:rPr>
                <w:rFonts w:ascii="宋体" w:hAnsi="宋体"/>
                <w:sz w:val="18"/>
                <w:szCs w:val="18"/>
              </w:rPr>
            </w:pPr>
            <w:r>
              <w:rPr>
                <w:rFonts w:ascii="宋体" w:hAnsi="宋体"/>
                <w:sz w:val="18"/>
                <w:szCs w:val="18"/>
              </w:rPr>
              <w:t>效指标</w:t>
            </w:r>
          </w:p>
        </w:tc>
        <w:tc>
          <w:tcPr>
            <w:tcW w:w="808" w:type="dxa"/>
            <w:noWrap/>
            <w:vAlign w:val="center"/>
          </w:tcPr>
          <w:p>
            <w:pPr>
              <w:jc w:val="center"/>
              <w:rPr>
                <w:rFonts w:ascii="宋体" w:hAnsi="宋体"/>
                <w:sz w:val="18"/>
                <w:szCs w:val="18"/>
              </w:rPr>
            </w:pPr>
            <w:r>
              <w:rPr>
                <w:rFonts w:ascii="宋体" w:hAnsi="宋体"/>
                <w:sz w:val="18"/>
                <w:szCs w:val="18"/>
              </w:rPr>
              <w:t>一级</w:t>
            </w:r>
          </w:p>
          <w:p>
            <w:pPr>
              <w:jc w:val="center"/>
              <w:rPr>
                <w:rFonts w:ascii="宋体" w:hAnsi="宋体"/>
                <w:sz w:val="18"/>
                <w:szCs w:val="18"/>
              </w:rPr>
            </w:pPr>
            <w:r>
              <w:rPr>
                <w:rFonts w:ascii="宋体" w:hAnsi="宋体"/>
                <w:sz w:val="18"/>
                <w:szCs w:val="18"/>
              </w:rPr>
              <w:t>指标</w:t>
            </w:r>
          </w:p>
        </w:tc>
        <w:tc>
          <w:tcPr>
            <w:tcW w:w="1089" w:type="dxa"/>
            <w:gridSpan w:val="2"/>
            <w:noWrap/>
            <w:vAlign w:val="center"/>
          </w:tcPr>
          <w:p>
            <w:pPr>
              <w:jc w:val="center"/>
              <w:rPr>
                <w:rFonts w:ascii="宋体" w:hAnsi="宋体"/>
                <w:sz w:val="18"/>
                <w:szCs w:val="18"/>
              </w:rPr>
            </w:pPr>
            <w:r>
              <w:rPr>
                <w:rFonts w:ascii="宋体" w:hAnsi="宋体"/>
                <w:sz w:val="18"/>
                <w:szCs w:val="18"/>
              </w:rPr>
              <w:t>二级指标</w:t>
            </w:r>
          </w:p>
        </w:tc>
        <w:tc>
          <w:tcPr>
            <w:tcW w:w="1540" w:type="dxa"/>
            <w:gridSpan w:val="2"/>
            <w:noWrap/>
            <w:vAlign w:val="center"/>
          </w:tcPr>
          <w:p>
            <w:pPr>
              <w:jc w:val="center"/>
              <w:rPr>
                <w:rFonts w:ascii="宋体" w:hAnsi="宋体"/>
                <w:sz w:val="18"/>
                <w:szCs w:val="18"/>
              </w:rPr>
            </w:pPr>
            <w:r>
              <w:rPr>
                <w:rFonts w:ascii="宋体" w:hAnsi="宋体"/>
                <w:sz w:val="18"/>
                <w:szCs w:val="18"/>
              </w:rPr>
              <w:t>三级</w:t>
            </w:r>
          </w:p>
          <w:p>
            <w:pPr>
              <w:jc w:val="center"/>
              <w:rPr>
                <w:rFonts w:ascii="宋体" w:hAnsi="宋体"/>
                <w:sz w:val="18"/>
                <w:szCs w:val="18"/>
              </w:rPr>
            </w:pPr>
            <w:r>
              <w:rPr>
                <w:rFonts w:ascii="宋体" w:hAnsi="宋体"/>
                <w:sz w:val="18"/>
                <w:szCs w:val="18"/>
              </w:rPr>
              <w:t>指标</w:t>
            </w:r>
          </w:p>
        </w:tc>
        <w:tc>
          <w:tcPr>
            <w:tcW w:w="1138" w:type="dxa"/>
            <w:noWrap/>
            <w:vAlign w:val="center"/>
          </w:tcPr>
          <w:p>
            <w:pPr>
              <w:jc w:val="center"/>
              <w:rPr>
                <w:rFonts w:ascii="宋体" w:hAnsi="宋体"/>
                <w:sz w:val="18"/>
                <w:szCs w:val="18"/>
              </w:rPr>
            </w:pPr>
            <w:r>
              <w:rPr>
                <w:rFonts w:ascii="宋体" w:hAnsi="宋体"/>
                <w:sz w:val="18"/>
                <w:szCs w:val="18"/>
              </w:rPr>
              <w:t>预算指标值（包含数字及文字描述）</w:t>
            </w:r>
          </w:p>
        </w:tc>
        <w:tc>
          <w:tcPr>
            <w:tcW w:w="2380" w:type="dxa"/>
            <w:gridSpan w:val="2"/>
            <w:noWrap/>
            <w:vAlign w:val="center"/>
          </w:tcPr>
          <w:p>
            <w:pPr>
              <w:jc w:val="center"/>
              <w:rPr>
                <w:rFonts w:ascii="宋体" w:hAnsi="宋体"/>
                <w:sz w:val="18"/>
                <w:szCs w:val="18"/>
              </w:rPr>
            </w:pPr>
            <w:r>
              <w:rPr>
                <w:rFonts w:ascii="宋体" w:hAnsi="宋体"/>
                <w:sz w:val="18"/>
                <w:szCs w:val="18"/>
              </w:rPr>
              <w:t>预算指标值执行结果（包含数字及文字描述）</w:t>
            </w:r>
          </w:p>
        </w:tc>
        <w:tc>
          <w:tcPr>
            <w:tcW w:w="1039" w:type="dxa"/>
            <w:noWrap/>
            <w:vAlign w:val="center"/>
          </w:tcPr>
          <w:p>
            <w:pPr>
              <w:jc w:val="center"/>
              <w:rPr>
                <w:rFonts w:ascii="宋体" w:hAnsi="宋体"/>
                <w:sz w:val="18"/>
                <w:szCs w:val="18"/>
              </w:rPr>
            </w:pPr>
            <w:r>
              <w:rPr>
                <w:rFonts w:ascii="宋体" w:hAnsi="宋体"/>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48" w:type="dxa"/>
            <w:vMerge w:val="continue"/>
            <w:noWrap/>
            <w:vAlign w:val="center"/>
          </w:tcPr>
          <w:p>
            <w:pPr>
              <w:rPr>
                <w:rFonts w:ascii="宋体" w:hAnsi="宋体"/>
                <w:sz w:val="18"/>
                <w:szCs w:val="18"/>
              </w:rPr>
            </w:pPr>
          </w:p>
        </w:tc>
        <w:tc>
          <w:tcPr>
            <w:tcW w:w="808" w:type="dxa"/>
            <w:vMerge w:val="restart"/>
            <w:noWrap/>
            <w:vAlign w:val="center"/>
          </w:tcPr>
          <w:p>
            <w:pPr>
              <w:jc w:val="center"/>
              <w:rPr>
                <w:rFonts w:ascii="宋体" w:hAnsi="宋体"/>
                <w:sz w:val="18"/>
                <w:szCs w:val="18"/>
              </w:rPr>
            </w:pPr>
            <w:r>
              <w:rPr>
                <w:rFonts w:ascii="宋体" w:hAnsi="宋体"/>
                <w:sz w:val="18"/>
                <w:szCs w:val="18"/>
              </w:rPr>
              <w:t>项目</w:t>
            </w:r>
          </w:p>
          <w:p>
            <w:pPr>
              <w:jc w:val="center"/>
              <w:rPr>
                <w:rFonts w:ascii="宋体" w:hAnsi="宋体"/>
                <w:sz w:val="18"/>
                <w:szCs w:val="18"/>
              </w:rPr>
            </w:pPr>
            <w:r>
              <w:rPr>
                <w:rFonts w:ascii="宋体" w:hAnsi="宋体"/>
                <w:sz w:val="18"/>
                <w:szCs w:val="18"/>
              </w:rPr>
              <w:t>完成</w:t>
            </w:r>
          </w:p>
        </w:tc>
        <w:tc>
          <w:tcPr>
            <w:tcW w:w="1089" w:type="dxa"/>
            <w:gridSpan w:val="2"/>
            <w:vMerge w:val="restart"/>
            <w:noWrap/>
            <w:vAlign w:val="center"/>
          </w:tcPr>
          <w:p>
            <w:pPr>
              <w:jc w:val="center"/>
              <w:rPr>
                <w:rFonts w:ascii="宋体" w:hAnsi="宋体"/>
                <w:sz w:val="18"/>
                <w:szCs w:val="18"/>
              </w:rPr>
            </w:pPr>
            <w:r>
              <w:rPr>
                <w:rFonts w:ascii="宋体" w:hAnsi="宋体"/>
                <w:sz w:val="18"/>
                <w:szCs w:val="18"/>
              </w:rPr>
              <w:t>数量</w:t>
            </w:r>
          </w:p>
          <w:p>
            <w:pPr>
              <w:jc w:val="center"/>
              <w:rPr>
                <w:rFonts w:ascii="宋体" w:hAnsi="宋体"/>
                <w:sz w:val="18"/>
                <w:szCs w:val="18"/>
              </w:rPr>
            </w:pPr>
            <w:r>
              <w:rPr>
                <w:rFonts w:ascii="宋体" w:hAnsi="宋体"/>
                <w:sz w:val="18"/>
                <w:szCs w:val="18"/>
              </w:rPr>
              <w:t>指标</w:t>
            </w:r>
          </w:p>
        </w:tc>
        <w:tc>
          <w:tcPr>
            <w:tcW w:w="1540" w:type="dxa"/>
            <w:gridSpan w:val="2"/>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完成集中审计项目数量</w:t>
            </w:r>
          </w:p>
        </w:tc>
        <w:tc>
          <w:tcPr>
            <w:tcW w:w="1138" w:type="dxa"/>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15个</w:t>
            </w:r>
          </w:p>
        </w:tc>
        <w:tc>
          <w:tcPr>
            <w:tcW w:w="2380" w:type="dxa"/>
            <w:gridSpan w:val="2"/>
            <w:noWrap/>
            <w:vAlign w:val="center"/>
          </w:tcPr>
          <w:p>
            <w:pPr>
              <w:rPr>
                <w:rFonts w:ascii="宋体" w:hAnsi="宋体"/>
                <w:sz w:val="18"/>
                <w:szCs w:val="18"/>
              </w:rPr>
            </w:pPr>
            <w:r>
              <w:rPr>
                <w:rFonts w:hint="eastAsia" w:ascii="宋体" w:hAnsi="宋体"/>
                <w:sz w:val="18"/>
                <w:szCs w:val="18"/>
              </w:rPr>
              <w:t>计划完成15个审计项目，实际完成15个</w:t>
            </w:r>
          </w:p>
        </w:tc>
        <w:tc>
          <w:tcPr>
            <w:tcW w:w="1039" w:type="dxa"/>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w:t>
            </w:r>
            <w:r>
              <w:rPr>
                <w:rFonts w:hint="eastAsia" w:ascii="宋体" w:hAnsi="宋体"/>
                <w:sz w:val="18"/>
                <w:szCs w:val="18"/>
              </w:rPr>
              <w:t>2</w:t>
            </w:r>
            <w:r>
              <w:rPr>
                <w:rFonts w:ascii="宋体" w:hAnsi="宋体"/>
                <w:sz w:val="18"/>
                <w:szCs w:val="18"/>
              </w:rPr>
              <w:t>：</w:t>
            </w:r>
            <w:r>
              <w:rPr>
                <w:rFonts w:hint="eastAsia" w:ascii="宋体" w:hAnsi="宋体"/>
                <w:sz w:val="18"/>
                <w:szCs w:val="18"/>
              </w:rPr>
              <w:t>审计人员差旅费的支付人数</w:t>
            </w:r>
          </w:p>
        </w:tc>
        <w:tc>
          <w:tcPr>
            <w:tcW w:w="1138" w:type="dxa"/>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10人</w:t>
            </w:r>
          </w:p>
        </w:tc>
        <w:tc>
          <w:tcPr>
            <w:tcW w:w="2380" w:type="dxa"/>
            <w:gridSpan w:val="2"/>
            <w:noWrap/>
            <w:vAlign w:val="center"/>
          </w:tcPr>
          <w:p>
            <w:pPr>
              <w:rPr>
                <w:rFonts w:ascii="宋体" w:hAnsi="宋体"/>
                <w:sz w:val="18"/>
                <w:szCs w:val="18"/>
              </w:rPr>
            </w:pPr>
            <w:r>
              <w:rPr>
                <w:rFonts w:hint="eastAsia" w:ascii="宋体" w:hAnsi="宋体"/>
                <w:sz w:val="18"/>
                <w:szCs w:val="18"/>
              </w:rPr>
              <w:t>实际支付差旅费的审计人员10人</w:t>
            </w:r>
          </w:p>
        </w:tc>
        <w:tc>
          <w:tcPr>
            <w:tcW w:w="1039" w:type="dxa"/>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w:t>
            </w:r>
            <w:r>
              <w:rPr>
                <w:rFonts w:hint="eastAsia" w:ascii="宋体" w:hAnsi="宋体"/>
                <w:sz w:val="18"/>
                <w:szCs w:val="18"/>
              </w:rPr>
              <w:t>3</w:t>
            </w:r>
            <w:r>
              <w:rPr>
                <w:rFonts w:ascii="宋体" w:hAnsi="宋体"/>
                <w:sz w:val="18"/>
                <w:szCs w:val="18"/>
              </w:rPr>
              <w:t>：</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质量</w:t>
            </w:r>
          </w:p>
          <w:p>
            <w:pPr>
              <w:jc w:val="center"/>
              <w:rPr>
                <w:rFonts w:ascii="宋体" w:hAnsi="宋体"/>
                <w:sz w:val="18"/>
                <w:szCs w:val="18"/>
              </w:rPr>
            </w:pPr>
            <w:r>
              <w:rPr>
                <w:rFonts w:ascii="宋体" w:hAnsi="宋体"/>
                <w:sz w:val="18"/>
                <w:szCs w:val="18"/>
              </w:rPr>
              <w:t>指标</w:t>
            </w:r>
          </w:p>
        </w:tc>
        <w:tc>
          <w:tcPr>
            <w:tcW w:w="1540" w:type="dxa"/>
            <w:gridSpan w:val="2"/>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差旅费发放的准确率</w:t>
            </w:r>
          </w:p>
        </w:tc>
        <w:tc>
          <w:tcPr>
            <w:tcW w:w="1138" w:type="dxa"/>
            <w:noWrap/>
            <w:vAlign w:val="center"/>
          </w:tcPr>
          <w:p>
            <w:pPr>
              <w:ind w:firstLine="180" w:firstLineChars="100"/>
              <w:rPr>
                <w:rFonts w:ascii="宋体" w:hAnsi="宋体"/>
                <w:sz w:val="18"/>
                <w:szCs w:val="18"/>
              </w:rPr>
            </w:pPr>
            <w:r>
              <w:rPr>
                <w:rFonts w:hint="eastAsia" w:ascii="宋体" w:hAnsi="宋体"/>
                <w:sz w:val="18"/>
                <w:szCs w:val="18"/>
              </w:rPr>
              <w:t>100%</w:t>
            </w:r>
          </w:p>
        </w:tc>
        <w:tc>
          <w:tcPr>
            <w:tcW w:w="2380" w:type="dxa"/>
            <w:gridSpan w:val="2"/>
            <w:noWrap/>
            <w:vAlign w:val="center"/>
          </w:tcPr>
          <w:p>
            <w:pPr>
              <w:rPr>
                <w:rFonts w:ascii="宋体" w:hAnsi="宋体"/>
                <w:sz w:val="18"/>
                <w:szCs w:val="18"/>
              </w:rPr>
            </w:pPr>
            <w:r>
              <w:rPr>
                <w:rFonts w:hint="eastAsia" w:ascii="宋体" w:hAnsi="宋体"/>
                <w:sz w:val="18"/>
                <w:szCs w:val="18"/>
              </w:rPr>
              <w:t>按审计人员出差情况按月支付差旅费</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业务接待费的支出准确率</w:t>
            </w:r>
          </w:p>
        </w:tc>
        <w:tc>
          <w:tcPr>
            <w:tcW w:w="1138" w:type="dxa"/>
            <w:noWrap/>
            <w:vAlign w:val="center"/>
          </w:tcPr>
          <w:p>
            <w:pPr>
              <w:ind w:firstLine="180" w:firstLineChars="100"/>
              <w:rPr>
                <w:rFonts w:ascii="宋体" w:hAnsi="宋体"/>
                <w:sz w:val="18"/>
                <w:szCs w:val="18"/>
              </w:rPr>
            </w:pPr>
            <w:r>
              <w:rPr>
                <w:rFonts w:hint="eastAsia" w:ascii="宋体" w:hAnsi="宋体"/>
                <w:sz w:val="18"/>
                <w:szCs w:val="18"/>
              </w:rPr>
              <w:t>100%</w:t>
            </w:r>
          </w:p>
        </w:tc>
        <w:tc>
          <w:tcPr>
            <w:tcW w:w="2380" w:type="dxa"/>
            <w:gridSpan w:val="2"/>
            <w:noWrap/>
            <w:vAlign w:val="center"/>
          </w:tcPr>
          <w:p>
            <w:pPr>
              <w:rPr>
                <w:rFonts w:ascii="宋体" w:hAnsi="宋体"/>
                <w:sz w:val="18"/>
                <w:szCs w:val="18"/>
              </w:rPr>
            </w:pPr>
            <w:r>
              <w:rPr>
                <w:rFonts w:hint="eastAsia" w:ascii="宋体" w:hAnsi="宋体"/>
                <w:sz w:val="18"/>
                <w:szCs w:val="18"/>
              </w:rPr>
              <w:t>年度内发生业务招待费0.41万元，支出准确。</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w:t>
            </w:r>
            <w:r>
              <w:rPr>
                <w:rFonts w:hint="eastAsia" w:ascii="宋体" w:hAnsi="宋体"/>
                <w:sz w:val="18"/>
                <w:szCs w:val="18"/>
              </w:rPr>
              <w:t>3</w:t>
            </w:r>
            <w:r>
              <w:rPr>
                <w:rFonts w:ascii="宋体" w:hAnsi="宋体"/>
                <w:sz w:val="18"/>
                <w:szCs w:val="18"/>
              </w:rPr>
              <w:t>：</w:t>
            </w:r>
            <w:r>
              <w:rPr>
                <w:rFonts w:hint="eastAsia" w:ascii="宋体" w:hAnsi="宋体"/>
                <w:sz w:val="18"/>
                <w:szCs w:val="18"/>
              </w:rPr>
              <w:t>审计项目完成情况</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hint="eastAsia" w:ascii="宋体" w:hAnsi="宋体"/>
                <w:sz w:val="18"/>
                <w:szCs w:val="18"/>
              </w:rPr>
              <w:t>完成了10个政府投资项目的竣工结算审计和5个重点民生项目跟踪审计,针对审计发现的多计工程价款、违反基建程序等问题提出审计建议，责令整改。</w:t>
            </w: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时效</w:t>
            </w:r>
          </w:p>
          <w:p>
            <w:pPr>
              <w:jc w:val="center"/>
              <w:rPr>
                <w:rFonts w:ascii="宋体" w:hAnsi="宋体"/>
                <w:sz w:val="18"/>
                <w:szCs w:val="18"/>
              </w:rPr>
            </w:pPr>
            <w:r>
              <w:rPr>
                <w:rFonts w:ascii="宋体" w:hAnsi="宋体"/>
                <w:sz w:val="18"/>
                <w:szCs w:val="18"/>
              </w:rPr>
              <w:t>指标</w:t>
            </w:r>
          </w:p>
        </w:tc>
        <w:tc>
          <w:tcPr>
            <w:tcW w:w="1540" w:type="dxa"/>
            <w:gridSpan w:val="2"/>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项目资金支出及时率</w:t>
            </w:r>
          </w:p>
        </w:tc>
        <w:tc>
          <w:tcPr>
            <w:tcW w:w="1138" w:type="dxa"/>
            <w:noWrap/>
            <w:vAlign w:val="center"/>
          </w:tcPr>
          <w:p>
            <w:pPr>
              <w:ind w:firstLine="180" w:firstLineChars="100"/>
              <w:rPr>
                <w:rFonts w:ascii="宋体" w:hAnsi="宋体"/>
                <w:sz w:val="18"/>
                <w:szCs w:val="18"/>
              </w:rPr>
            </w:pPr>
            <w:r>
              <w:rPr>
                <w:rFonts w:hint="eastAsia" w:ascii="宋体" w:hAnsi="宋体"/>
                <w:sz w:val="18"/>
                <w:szCs w:val="18"/>
              </w:rPr>
              <w:t>100%</w:t>
            </w:r>
          </w:p>
        </w:tc>
        <w:tc>
          <w:tcPr>
            <w:tcW w:w="2380" w:type="dxa"/>
            <w:gridSpan w:val="2"/>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年初预算300.00万元、中期调整</w:t>
            </w:r>
            <w:r>
              <w:rPr>
                <w:rFonts w:ascii="宋体" w:hAnsi="宋体"/>
                <w:sz w:val="18"/>
                <w:szCs w:val="18"/>
              </w:rPr>
              <w:t>8</w:t>
            </w:r>
            <w:r>
              <w:rPr>
                <w:rFonts w:hint="eastAsia" w:ascii="宋体" w:hAnsi="宋体"/>
                <w:sz w:val="18"/>
                <w:szCs w:val="18"/>
              </w:rPr>
              <w:t>0.29万元，年度总预算为</w:t>
            </w:r>
            <w:r>
              <w:rPr>
                <w:rFonts w:ascii="宋体" w:hAnsi="宋体"/>
                <w:sz w:val="18"/>
                <w:szCs w:val="18"/>
              </w:rPr>
              <w:t>21</w:t>
            </w:r>
            <w:r>
              <w:rPr>
                <w:rFonts w:hint="eastAsia" w:ascii="宋体" w:hAnsi="宋体"/>
                <w:sz w:val="18"/>
                <w:szCs w:val="18"/>
              </w:rPr>
              <w:t>9.71万元。截至202</w:t>
            </w:r>
            <w:r>
              <w:rPr>
                <w:rFonts w:ascii="宋体" w:hAnsi="宋体"/>
                <w:sz w:val="18"/>
                <w:szCs w:val="18"/>
              </w:rPr>
              <w:t>2</w:t>
            </w:r>
            <w:r>
              <w:rPr>
                <w:rFonts w:hint="eastAsia" w:ascii="宋体" w:hAnsi="宋体"/>
                <w:sz w:val="18"/>
                <w:szCs w:val="18"/>
              </w:rPr>
              <w:t>年12月31日，本项目实际执行</w:t>
            </w:r>
            <w:r>
              <w:rPr>
                <w:rFonts w:ascii="宋体" w:hAnsi="宋体"/>
                <w:sz w:val="18"/>
                <w:szCs w:val="18"/>
              </w:rPr>
              <w:t>21</w:t>
            </w:r>
            <w:r>
              <w:rPr>
                <w:rFonts w:hint="eastAsia" w:ascii="宋体" w:hAnsi="宋体"/>
                <w:sz w:val="18"/>
                <w:szCs w:val="18"/>
              </w:rPr>
              <w:t>9.71万元，执行率为100%。</w:t>
            </w:r>
          </w:p>
        </w:tc>
        <w:tc>
          <w:tcPr>
            <w:tcW w:w="1039" w:type="dxa"/>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年度内是否完成规定的审计项目　</w:t>
            </w:r>
          </w:p>
        </w:tc>
        <w:tc>
          <w:tcPr>
            <w:tcW w:w="1138" w:type="dxa"/>
            <w:noWrap/>
            <w:vAlign w:val="center"/>
          </w:tcPr>
          <w:p>
            <w:pPr>
              <w:ind w:firstLine="180" w:firstLineChars="100"/>
              <w:rPr>
                <w:rFonts w:ascii="宋体" w:hAnsi="宋体"/>
                <w:sz w:val="18"/>
                <w:szCs w:val="18"/>
              </w:rPr>
            </w:pPr>
          </w:p>
        </w:tc>
        <w:tc>
          <w:tcPr>
            <w:tcW w:w="2380" w:type="dxa"/>
            <w:gridSpan w:val="2"/>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计划完成15个审计项目，实际完成15个</w:t>
            </w:r>
          </w:p>
        </w:tc>
        <w:tc>
          <w:tcPr>
            <w:tcW w:w="1039" w:type="dxa"/>
            <w:noWrap/>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成本</w:t>
            </w:r>
          </w:p>
          <w:p>
            <w:pPr>
              <w:jc w:val="center"/>
              <w:rPr>
                <w:rFonts w:ascii="宋体" w:hAnsi="宋体"/>
                <w:sz w:val="18"/>
                <w:szCs w:val="18"/>
              </w:rPr>
            </w:pPr>
            <w:r>
              <w:rPr>
                <w:rFonts w:ascii="宋体" w:hAnsi="宋体"/>
                <w:sz w:val="18"/>
                <w:szCs w:val="18"/>
              </w:rPr>
              <w:t>指标</w:t>
            </w:r>
          </w:p>
        </w:tc>
        <w:tc>
          <w:tcPr>
            <w:tcW w:w="1540" w:type="dxa"/>
            <w:gridSpan w:val="2"/>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年度内资金支出情况</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hint="eastAsia" w:ascii="宋体" w:hAnsi="宋体"/>
                <w:sz w:val="18"/>
                <w:szCs w:val="18"/>
              </w:rPr>
              <w:t>年初预算300.00万元、中期调整</w:t>
            </w:r>
            <w:r>
              <w:rPr>
                <w:rFonts w:ascii="宋体" w:hAnsi="宋体"/>
                <w:sz w:val="18"/>
                <w:szCs w:val="18"/>
              </w:rPr>
              <w:t>8</w:t>
            </w:r>
            <w:r>
              <w:rPr>
                <w:rFonts w:hint="eastAsia" w:ascii="宋体" w:hAnsi="宋体"/>
                <w:sz w:val="18"/>
                <w:szCs w:val="18"/>
              </w:rPr>
              <w:t>0.29万元，年度总预算为</w:t>
            </w:r>
            <w:r>
              <w:rPr>
                <w:rFonts w:ascii="宋体" w:hAnsi="宋体"/>
                <w:sz w:val="18"/>
                <w:szCs w:val="18"/>
              </w:rPr>
              <w:t>21</w:t>
            </w:r>
            <w:r>
              <w:rPr>
                <w:rFonts w:hint="eastAsia" w:ascii="宋体" w:hAnsi="宋体"/>
                <w:sz w:val="18"/>
                <w:szCs w:val="18"/>
              </w:rPr>
              <w:t>9.71万元。截至202</w:t>
            </w:r>
            <w:r>
              <w:rPr>
                <w:rFonts w:ascii="宋体" w:hAnsi="宋体"/>
                <w:sz w:val="18"/>
                <w:szCs w:val="18"/>
              </w:rPr>
              <w:t>2</w:t>
            </w:r>
            <w:r>
              <w:rPr>
                <w:rFonts w:hint="eastAsia" w:ascii="宋体" w:hAnsi="宋体"/>
                <w:sz w:val="18"/>
                <w:szCs w:val="18"/>
              </w:rPr>
              <w:t>年12月31日，本项目实际执行</w:t>
            </w:r>
            <w:r>
              <w:rPr>
                <w:rFonts w:ascii="宋体" w:hAnsi="宋体"/>
                <w:sz w:val="18"/>
                <w:szCs w:val="18"/>
              </w:rPr>
              <w:t>21</w:t>
            </w:r>
            <w:r>
              <w:rPr>
                <w:rFonts w:hint="eastAsia" w:ascii="宋体" w:hAnsi="宋体"/>
                <w:sz w:val="18"/>
                <w:szCs w:val="18"/>
              </w:rPr>
              <w:t>9.71万元，执行率为100%。</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年度内节约的政府投资项目资金</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hint="eastAsia" w:ascii="宋体" w:hAnsi="宋体"/>
                <w:sz w:val="18"/>
                <w:szCs w:val="18"/>
              </w:rPr>
              <w:t>完成了10个政府投资项目的竣工结算审计和5个重点民生项目跟踪审计。</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noWrap/>
            <w:vAlign w:val="center"/>
          </w:tcPr>
          <w:p>
            <w:pPr>
              <w:rPr>
                <w:rFonts w:ascii="宋体" w:hAnsi="宋体"/>
                <w:sz w:val="18"/>
                <w:szCs w:val="18"/>
              </w:rPr>
            </w:pPr>
            <w:r>
              <w:rPr>
                <w:rFonts w:ascii="宋体" w:hAnsi="宋体"/>
                <w:sz w:val="18"/>
                <w:szCs w:val="18"/>
              </w:rPr>
              <w:t>……</w:t>
            </w:r>
          </w:p>
        </w:tc>
        <w:tc>
          <w:tcPr>
            <w:tcW w:w="1540" w:type="dxa"/>
            <w:gridSpan w:val="2"/>
            <w:noWrap/>
            <w:vAlign w:val="center"/>
          </w:tcPr>
          <w:p>
            <w:pPr>
              <w:rPr>
                <w:rFonts w:ascii="宋体" w:hAnsi="宋体"/>
                <w:sz w:val="18"/>
                <w:szCs w:val="18"/>
              </w:rPr>
            </w:pPr>
            <w:r>
              <w:rPr>
                <w:rFonts w:ascii="宋体" w:hAnsi="宋体"/>
                <w:sz w:val="18"/>
                <w:szCs w:val="18"/>
              </w:rPr>
              <w:t>　</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restart"/>
            <w:noWrap/>
            <w:vAlign w:val="center"/>
          </w:tcPr>
          <w:p>
            <w:pPr>
              <w:jc w:val="center"/>
              <w:rPr>
                <w:rFonts w:ascii="宋体" w:hAnsi="宋体"/>
                <w:sz w:val="18"/>
                <w:szCs w:val="18"/>
              </w:rPr>
            </w:pPr>
            <w:r>
              <w:rPr>
                <w:rFonts w:ascii="宋体" w:hAnsi="宋体"/>
                <w:sz w:val="18"/>
                <w:szCs w:val="18"/>
              </w:rPr>
              <w:t>年度绩效指标</w:t>
            </w:r>
          </w:p>
        </w:tc>
        <w:tc>
          <w:tcPr>
            <w:tcW w:w="808" w:type="dxa"/>
            <w:vMerge w:val="restart"/>
            <w:noWrap/>
            <w:vAlign w:val="center"/>
          </w:tcPr>
          <w:p>
            <w:pPr>
              <w:jc w:val="center"/>
              <w:rPr>
                <w:rFonts w:ascii="宋体" w:hAnsi="宋体"/>
                <w:sz w:val="18"/>
                <w:szCs w:val="18"/>
              </w:rPr>
            </w:pPr>
            <w:r>
              <w:rPr>
                <w:rFonts w:ascii="宋体" w:hAnsi="宋体"/>
                <w:sz w:val="18"/>
                <w:szCs w:val="18"/>
              </w:rPr>
              <w:t>项目</w:t>
            </w:r>
          </w:p>
          <w:p>
            <w:pPr>
              <w:jc w:val="center"/>
              <w:rPr>
                <w:rFonts w:ascii="宋体" w:hAnsi="宋体"/>
                <w:sz w:val="18"/>
                <w:szCs w:val="18"/>
              </w:rPr>
            </w:pPr>
            <w:r>
              <w:rPr>
                <w:rFonts w:ascii="宋体" w:hAnsi="宋体"/>
                <w:sz w:val="18"/>
                <w:szCs w:val="18"/>
              </w:rPr>
              <w:t>效益</w:t>
            </w:r>
          </w:p>
        </w:tc>
        <w:tc>
          <w:tcPr>
            <w:tcW w:w="1089" w:type="dxa"/>
            <w:gridSpan w:val="2"/>
            <w:vMerge w:val="restart"/>
            <w:noWrap/>
            <w:vAlign w:val="center"/>
          </w:tcPr>
          <w:p>
            <w:pPr>
              <w:jc w:val="center"/>
              <w:rPr>
                <w:rFonts w:ascii="宋体" w:hAnsi="宋体"/>
                <w:sz w:val="18"/>
                <w:szCs w:val="18"/>
              </w:rPr>
            </w:pPr>
            <w:r>
              <w:rPr>
                <w:rFonts w:ascii="宋体" w:hAnsi="宋体"/>
                <w:sz w:val="18"/>
                <w:szCs w:val="18"/>
              </w:rPr>
              <w:t>经济效益指标</w:t>
            </w:r>
          </w:p>
        </w:tc>
        <w:tc>
          <w:tcPr>
            <w:tcW w:w="1540" w:type="dxa"/>
            <w:gridSpan w:val="2"/>
            <w:noWrap/>
            <w:vAlign w:val="center"/>
          </w:tcPr>
          <w:p>
            <w:pPr>
              <w:rPr>
                <w:rFonts w:ascii="宋体" w:hAnsi="宋体"/>
                <w:sz w:val="18"/>
                <w:szCs w:val="18"/>
              </w:rPr>
            </w:pPr>
            <w:r>
              <w:rPr>
                <w:rFonts w:ascii="宋体" w:hAnsi="宋体"/>
                <w:sz w:val="18"/>
                <w:szCs w:val="18"/>
              </w:rPr>
              <w:t>指标1：</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社会效益指标</w:t>
            </w:r>
          </w:p>
        </w:tc>
        <w:tc>
          <w:tcPr>
            <w:tcW w:w="1540" w:type="dxa"/>
            <w:gridSpan w:val="2"/>
            <w:noWrap/>
            <w:vAlign w:val="center"/>
          </w:tcPr>
          <w:p>
            <w:pPr>
              <w:rPr>
                <w:rFonts w:ascii="宋体" w:hAnsi="宋体"/>
                <w:sz w:val="18"/>
                <w:szCs w:val="18"/>
              </w:rPr>
            </w:pPr>
            <w:r>
              <w:rPr>
                <w:rFonts w:ascii="宋体" w:hAnsi="宋体"/>
                <w:sz w:val="18"/>
                <w:szCs w:val="18"/>
              </w:rPr>
              <w:t>指标1：</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生态效益指标</w:t>
            </w:r>
          </w:p>
        </w:tc>
        <w:tc>
          <w:tcPr>
            <w:tcW w:w="1540" w:type="dxa"/>
            <w:gridSpan w:val="2"/>
            <w:noWrap/>
            <w:vAlign w:val="center"/>
          </w:tcPr>
          <w:p>
            <w:pPr>
              <w:rPr>
                <w:rFonts w:ascii="宋体" w:hAnsi="宋体"/>
                <w:sz w:val="18"/>
                <w:szCs w:val="18"/>
              </w:rPr>
            </w:pPr>
            <w:r>
              <w:rPr>
                <w:rFonts w:ascii="宋体" w:hAnsi="宋体"/>
                <w:sz w:val="18"/>
                <w:szCs w:val="18"/>
              </w:rPr>
              <w:t>指标1：</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restart"/>
            <w:noWrap/>
            <w:vAlign w:val="center"/>
          </w:tcPr>
          <w:p>
            <w:pPr>
              <w:jc w:val="center"/>
              <w:rPr>
                <w:rFonts w:ascii="宋体" w:hAnsi="宋体"/>
                <w:sz w:val="18"/>
                <w:szCs w:val="18"/>
              </w:rPr>
            </w:pPr>
            <w:r>
              <w:rPr>
                <w:rFonts w:ascii="宋体" w:hAnsi="宋体"/>
                <w:sz w:val="18"/>
                <w:szCs w:val="18"/>
              </w:rPr>
              <w:t>可持续影响指标</w:t>
            </w:r>
          </w:p>
        </w:tc>
        <w:tc>
          <w:tcPr>
            <w:tcW w:w="1540" w:type="dxa"/>
            <w:gridSpan w:val="2"/>
            <w:noWrap/>
            <w:vAlign w:val="center"/>
          </w:tcPr>
          <w:p>
            <w:pPr>
              <w:rPr>
                <w:rFonts w:ascii="宋体" w:hAnsi="宋体"/>
                <w:sz w:val="18"/>
                <w:szCs w:val="18"/>
              </w:rPr>
            </w:pPr>
            <w:r>
              <w:rPr>
                <w:rFonts w:ascii="宋体" w:hAnsi="宋体"/>
                <w:sz w:val="18"/>
                <w:szCs w:val="18"/>
              </w:rPr>
              <w:t>指标1：</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p>
        </w:tc>
        <w:tc>
          <w:tcPr>
            <w:tcW w:w="1138" w:type="dxa"/>
            <w:noWrap/>
            <w:vAlign w:val="center"/>
          </w:tcPr>
          <w:p>
            <w:pPr>
              <w:rPr>
                <w:rFonts w:ascii="宋体" w:hAnsi="宋体"/>
                <w:sz w:val="18"/>
                <w:szCs w:val="18"/>
              </w:rPr>
            </w:pP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noWrap/>
            <w:vAlign w:val="center"/>
          </w:tcPr>
          <w:p>
            <w:pPr>
              <w:rPr>
                <w:rFonts w:ascii="宋体" w:hAnsi="宋体"/>
                <w:sz w:val="18"/>
                <w:szCs w:val="18"/>
              </w:rPr>
            </w:pPr>
            <w:r>
              <w:rPr>
                <w:rFonts w:ascii="宋体" w:hAnsi="宋体"/>
                <w:sz w:val="18"/>
                <w:szCs w:val="18"/>
              </w:rPr>
              <w:t>……</w:t>
            </w:r>
          </w:p>
        </w:tc>
        <w:tc>
          <w:tcPr>
            <w:tcW w:w="1540" w:type="dxa"/>
            <w:gridSpan w:val="2"/>
            <w:noWrap/>
            <w:vAlign w:val="center"/>
          </w:tcPr>
          <w:p>
            <w:pPr>
              <w:rPr>
                <w:rFonts w:ascii="宋体" w:hAnsi="宋体"/>
                <w:sz w:val="18"/>
                <w:szCs w:val="18"/>
              </w:rPr>
            </w:pPr>
            <w:r>
              <w:rPr>
                <w:rFonts w:ascii="宋体" w:hAnsi="宋体"/>
                <w:sz w:val="18"/>
                <w:szCs w:val="18"/>
              </w:rPr>
              <w:t>　</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restart"/>
            <w:noWrap/>
            <w:vAlign w:val="center"/>
          </w:tcPr>
          <w:p>
            <w:pPr>
              <w:jc w:val="center"/>
              <w:rPr>
                <w:rFonts w:ascii="宋体" w:hAnsi="宋体"/>
                <w:sz w:val="18"/>
                <w:szCs w:val="18"/>
              </w:rPr>
            </w:pPr>
            <w:r>
              <w:rPr>
                <w:rFonts w:ascii="宋体" w:hAnsi="宋体"/>
                <w:sz w:val="18"/>
                <w:szCs w:val="18"/>
              </w:rPr>
              <w:t>满意度</w:t>
            </w:r>
          </w:p>
          <w:p>
            <w:pPr>
              <w:jc w:val="center"/>
              <w:rPr>
                <w:rFonts w:ascii="宋体" w:hAnsi="宋体"/>
                <w:sz w:val="18"/>
                <w:szCs w:val="18"/>
              </w:rPr>
            </w:pPr>
            <w:r>
              <w:rPr>
                <w:rFonts w:ascii="宋体" w:hAnsi="宋体"/>
                <w:sz w:val="18"/>
                <w:szCs w:val="18"/>
              </w:rPr>
              <w:t>指标</w:t>
            </w:r>
          </w:p>
        </w:tc>
        <w:tc>
          <w:tcPr>
            <w:tcW w:w="1089" w:type="dxa"/>
            <w:gridSpan w:val="2"/>
            <w:vMerge w:val="restart"/>
            <w:noWrap/>
            <w:vAlign w:val="center"/>
          </w:tcPr>
          <w:p>
            <w:pPr>
              <w:jc w:val="center"/>
              <w:rPr>
                <w:rFonts w:ascii="宋体" w:hAnsi="宋体"/>
                <w:sz w:val="18"/>
                <w:szCs w:val="18"/>
              </w:rPr>
            </w:pPr>
            <w:r>
              <w:rPr>
                <w:rFonts w:ascii="宋体" w:hAnsi="宋体"/>
                <w:sz w:val="18"/>
                <w:szCs w:val="18"/>
              </w:rPr>
              <w:t>满意度指标</w:t>
            </w:r>
          </w:p>
        </w:tc>
        <w:tc>
          <w:tcPr>
            <w:tcW w:w="1540" w:type="dxa"/>
            <w:gridSpan w:val="2"/>
            <w:noWrap/>
            <w:vAlign w:val="center"/>
          </w:tcPr>
          <w:p>
            <w:pPr>
              <w:rPr>
                <w:rFonts w:ascii="宋体" w:hAnsi="宋体"/>
                <w:sz w:val="18"/>
                <w:szCs w:val="18"/>
              </w:rPr>
            </w:pPr>
            <w:r>
              <w:rPr>
                <w:rFonts w:ascii="宋体" w:hAnsi="宋体"/>
                <w:sz w:val="18"/>
                <w:szCs w:val="18"/>
              </w:rPr>
              <w:t>指标1：</w:t>
            </w:r>
            <w:r>
              <w:rPr>
                <w:rFonts w:hint="eastAsia" w:ascii="宋体" w:hAnsi="宋体"/>
                <w:sz w:val="18"/>
                <w:szCs w:val="18"/>
              </w:rPr>
              <w:t>服务对象（或第三方机构）对审计工作的满意率</w:t>
            </w:r>
          </w:p>
        </w:tc>
        <w:tc>
          <w:tcPr>
            <w:tcW w:w="1138" w:type="dxa"/>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95%</w:t>
            </w:r>
          </w:p>
        </w:tc>
        <w:tc>
          <w:tcPr>
            <w:tcW w:w="2380" w:type="dxa"/>
            <w:gridSpan w:val="2"/>
            <w:noWrap/>
            <w:vAlign w:val="center"/>
          </w:tcPr>
          <w:p>
            <w:pPr>
              <w:rPr>
                <w:rFonts w:ascii="宋体" w:hAnsi="宋体"/>
                <w:sz w:val="18"/>
                <w:szCs w:val="18"/>
              </w:rPr>
            </w:pPr>
            <w:r>
              <w:rPr>
                <w:rFonts w:hint="eastAsia" w:ascii="宋体" w:hAnsi="宋体"/>
                <w:sz w:val="18"/>
                <w:szCs w:val="18"/>
              </w:rPr>
              <w:t>年度内支付给中介机构的政府投资评审经费相对较少，购买社会服务的经费越累越大，影响了社会服务机构的工作积极性</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指标2：</w:t>
            </w:r>
            <w:r>
              <w:rPr>
                <w:rFonts w:hint="eastAsia" w:ascii="宋体" w:hAnsi="宋体"/>
                <w:sz w:val="18"/>
                <w:szCs w:val="18"/>
              </w:rPr>
              <w:t>审计人员被投诉率</w:t>
            </w:r>
          </w:p>
        </w:tc>
        <w:tc>
          <w:tcPr>
            <w:tcW w:w="1138" w:type="dxa"/>
            <w:noWrap/>
            <w:vAlign w:val="center"/>
          </w:tcPr>
          <w:p>
            <w:pPr>
              <w:rPr>
                <w:rFonts w:ascii="宋体" w:hAnsi="宋体"/>
                <w:sz w:val="18"/>
                <w:szCs w:val="18"/>
              </w:rPr>
            </w:pPr>
            <w:r>
              <w:rPr>
                <w:rFonts w:ascii="宋体" w:hAnsi="宋体"/>
                <w:sz w:val="18"/>
                <w:szCs w:val="18"/>
              </w:rPr>
              <w:t>　</w:t>
            </w:r>
            <w:r>
              <w:rPr>
                <w:rFonts w:hint="eastAsia" w:ascii="宋体" w:hAnsi="宋体"/>
                <w:sz w:val="18"/>
                <w:szCs w:val="18"/>
              </w:rPr>
              <w:t>10%</w:t>
            </w:r>
          </w:p>
        </w:tc>
        <w:tc>
          <w:tcPr>
            <w:tcW w:w="2380" w:type="dxa"/>
            <w:gridSpan w:val="2"/>
            <w:noWrap/>
            <w:vAlign w:val="center"/>
          </w:tcPr>
          <w:p>
            <w:pPr>
              <w:rPr>
                <w:rFonts w:ascii="宋体" w:hAnsi="宋体"/>
                <w:sz w:val="18"/>
                <w:szCs w:val="18"/>
              </w:rPr>
            </w:pPr>
            <w:r>
              <w:rPr>
                <w:rFonts w:hint="eastAsia" w:ascii="宋体" w:hAnsi="宋体"/>
                <w:sz w:val="18"/>
                <w:szCs w:val="18"/>
              </w:rPr>
              <w:t xml:space="preserve">在审计工作中未收到审计人员被投诉的情况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vMerge w:val="continue"/>
            <w:noWrap/>
            <w:vAlign w:val="center"/>
          </w:tcPr>
          <w:p>
            <w:pPr>
              <w:rPr>
                <w:rFonts w:ascii="宋体" w:hAnsi="宋体"/>
                <w:sz w:val="18"/>
                <w:szCs w:val="18"/>
              </w:rPr>
            </w:pPr>
          </w:p>
        </w:tc>
        <w:tc>
          <w:tcPr>
            <w:tcW w:w="1540" w:type="dxa"/>
            <w:gridSpan w:val="2"/>
            <w:noWrap/>
            <w:vAlign w:val="center"/>
          </w:tcPr>
          <w:p>
            <w:pPr>
              <w:rPr>
                <w:rFonts w:ascii="宋体" w:hAnsi="宋体"/>
                <w:sz w:val="18"/>
                <w:szCs w:val="18"/>
              </w:rPr>
            </w:pPr>
            <w:r>
              <w:rPr>
                <w:rFonts w:ascii="宋体" w:hAnsi="宋体"/>
                <w:sz w:val="18"/>
                <w:szCs w:val="18"/>
              </w:rPr>
              <w:t>……</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848" w:type="dxa"/>
            <w:vMerge w:val="continue"/>
            <w:noWrap/>
            <w:vAlign w:val="center"/>
          </w:tcPr>
          <w:p>
            <w:pPr>
              <w:rPr>
                <w:rFonts w:ascii="宋体" w:hAnsi="宋体"/>
                <w:sz w:val="18"/>
                <w:szCs w:val="18"/>
              </w:rPr>
            </w:pPr>
          </w:p>
        </w:tc>
        <w:tc>
          <w:tcPr>
            <w:tcW w:w="808" w:type="dxa"/>
            <w:vMerge w:val="continue"/>
            <w:noWrap/>
            <w:vAlign w:val="center"/>
          </w:tcPr>
          <w:p>
            <w:pPr>
              <w:rPr>
                <w:rFonts w:ascii="宋体" w:hAnsi="宋体"/>
                <w:sz w:val="18"/>
                <w:szCs w:val="18"/>
              </w:rPr>
            </w:pPr>
          </w:p>
        </w:tc>
        <w:tc>
          <w:tcPr>
            <w:tcW w:w="1089" w:type="dxa"/>
            <w:gridSpan w:val="2"/>
            <w:noWrap/>
            <w:vAlign w:val="center"/>
          </w:tcPr>
          <w:p>
            <w:pPr>
              <w:rPr>
                <w:rFonts w:ascii="宋体" w:hAnsi="宋体"/>
                <w:sz w:val="18"/>
                <w:szCs w:val="18"/>
              </w:rPr>
            </w:pPr>
            <w:r>
              <w:rPr>
                <w:rFonts w:ascii="宋体" w:hAnsi="宋体"/>
                <w:sz w:val="18"/>
                <w:szCs w:val="18"/>
              </w:rPr>
              <w:t>……</w:t>
            </w:r>
          </w:p>
        </w:tc>
        <w:tc>
          <w:tcPr>
            <w:tcW w:w="1540" w:type="dxa"/>
            <w:gridSpan w:val="2"/>
            <w:noWrap/>
            <w:vAlign w:val="center"/>
          </w:tcPr>
          <w:p>
            <w:pPr>
              <w:rPr>
                <w:rFonts w:ascii="宋体" w:hAnsi="宋体"/>
                <w:sz w:val="18"/>
                <w:szCs w:val="18"/>
              </w:rPr>
            </w:pPr>
            <w:r>
              <w:rPr>
                <w:rFonts w:ascii="宋体" w:hAnsi="宋体"/>
                <w:sz w:val="18"/>
                <w:szCs w:val="18"/>
              </w:rPr>
              <w:t>　</w:t>
            </w:r>
          </w:p>
        </w:tc>
        <w:tc>
          <w:tcPr>
            <w:tcW w:w="1138" w:type="dxa"/>
            <w:noWrap/>
            <w:vAlign w:val="center"/>
          </w:tcPr>
          <w:p>
            <w:pPr>
              <w:rPr>
                <w:rFonts w:ascii="宋体" w:hAnsi="宋体"/>
                <w:sz w:val="18"/>
                <w:szCs w:val="18"/>
              </w:rPr>
            </w:pPr>
            <w:r>
              <w:rPr>
                <w:rFonts w:ascii="宋体" w:hAnsi="宋体"/>
                <w:sz w:val="18"/>
                <w:szCs w:val="18"/>
              </w:rPr>
              <w:t>　</w:t>
            </w:r>
          </w:p>
        </w:tc>
        <w:tc>
          <w:tcPr>
            <w:tcW w:w="2380" w:type="dxa"/>
            <w:gridSpan w:val="2"/>
            <w:noWrap/>
            <w:vAlign w:val="center"/>
          </w:tcPr>
          <w:p>
            <w:pPr>
              <w:rPr>
                <w:rFonts w:ascii="宋体" w:hAnsi="宋体"/>
                <w:sz w:val="18"/>
                <w:szCs w:val="18"/>
              </w:rPr>
            </w:pPr>
            <w:r>
              <w:rPr>
                <w:rFonts w:ascii="宋体" w:hAnsi="宋体"/>
                <w:sz w:val="18"/>
                <w:szCs w:val="18"/>
              </w:rPr>
              <w:t>　</w:t>
            </w:r>
          </w:p>
        </w:tc>
        <w:tc>
          <w:tcPr>
            <w:tcW w:w="1039" w:type="dxa"/>
            <w:noWrap/>
            <w:vAlign w:val="center"/>
          </w:tcPr>
          <w:p>
            <w:pPr>
              <w:rPr>
                <w:rFonts w:ascii="宋体" w:hAnsi="宋体"/>
                <w:sz w:val="18"/>
                <w:szCs w:val="18"/>
              </w:rPr>
            </w:pPr>
            <w:r>
              <w:rPr>
                <w:rFonts w:ascii="宋体" w:hAnsi="宋体"/>
                <w:sz w:val="18"/>
                <w:szCs w:val="18"/>
              </w:rPr>
              <w:t>　</w:t>
            </w:r>
          </w:p>
        </w:tc>
      </w:tr>
    </w:tbl>
    <w:p/>
    <w:p>
      <w:pPr>
        <w:pStyle w:val="11"/>
        <w:spacing w:before="93"/>
      </w:pPr>
    </w:p>
    <w:p>
      <w:pPr>
        <w:pStyle w:val="11"/>
        <w:spacing w:before="93"/>
      </w:pPr>
    </w:p>
    <w:p>
      <w:pPr>
        <w:pStyle w:val="11"/>
        <w:spacing w:before="93"/>
      </w:pPr>
    </w:p>
    <w:p>
      <w:pPr>
        <w:pStyle w:val="11"/>
        <w:spacing w:before="93"/>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spacing w:before="93"/>
      </w:pPr>
    </w:p>
    <w:p>
      <w:pPr>
        <w:pStyle w:val="2"/>
        <w:spacing w:before="93"/>
      </w:pPr>
    </w:p>
    <w:p>
      <w:pPr>
        <w:pStyle w:val="2"/>
        <w:spacing w:before="93"/>
      </w:pPr>
    </w:p>
    <w:p>
      <w:pPr>
        <w:pStyle w:val="2"/>
        <w:spacing w:before="93"/>
        <w:rPr>
          <w:rFonts w:hint="eastAsia"/>
        </w:rPr>
      </w:pPr>
    </w:p>
    <w:p>
      <w:pPr>
        <w:spacing w:line="600" w:lineRule="exact"/>
        <w:jc w:val="center"/>
        <w:outlineLvl w:val="0"/>
        <w:rPr>
          <w:rFonts w:ascii="仿宋" w:hAnsi="仿宋" w:eastAsia="仿宋"/>
          <w:b/>
          <w:color w:val="000000"/>
          <w:sz w:val="44"/>
          <w:szCs w:val="44"/>
        </w:rPr>
      </w:pPr>
      <w:r>
        <w:rPr>
          <w:rFonts w:hint="eastAsia" w:ascii="黑体" w:hAnsi="黑体" w:eastAsia="黑体"/>
          <w:color w:val="000000"/>
          <w:sz w:val="44"/>
          <w:szCs w:val="44"/>
        </w:rPr>
        <w:t>第</w:t>
      </w:r>
      <w:r>
        <w:rPr>
          <w:rStyle w:val="23"/>
          <w:rFonts w:hint="eastAsia" w:ascii="黑体" w:hAnsi="黑体" w:eastAsia="黑体"/>
          <w:b w:val="0"/>
        </w:rPr>
        <w:t>五部分</w:t>
      </w:r>
      <w:r>
        <w:rPr>
          <w:rFonts w:hint="eastAsia" w:eastAsia="方正小标宋简体" w:cs="方正小标宋简体"/>
          <w:sz w:val="44"/>
          <w:szCs w:val="44"/>
        </w:rPr>
        <w:t>2022年部门决算公开附表</w:t>
      </w:r>
      <w:bookmarkEnd w:id="97"/>
      <w:bookmarkEnd w:id="98"/>
      <w:bookmarkEnd w:id="99"/>
    </w:p>
    <w:p>
      <w:pPr>
        <w:ind w:firstLine="560" w:firstLineChars="200"/>
        <w:rPr>
          <w:sz w:val="28"/>
          <w:szCs w:val="28"/>
        </w:rPr>
      </w:pPr>
      <w:r>
        <w:rPr>
          <w:rFonts w:hint="eastAsia"/>
          <w:sz w:val="28"/>
          <w:szCs w:val="28"/>
        </w:rPr>
        <w:t>一、收入支出决算总表</w:t>
      </w:r>
    </w:p>
    <w:p>
      <w:pPr>
        <w:ind w:firstLine="560" w:firstLineChars="200"/>
        <w:rPr>
          <w:sz w:val="28"/>
          <w:szCs w:val="28"/>
        </w:rPr>
      </w:pPr>
      <w:r>
        <w:rPr>
          <w:rFonts w:hint="eastAsia"/>
          <w:sz w:val="28"/>
          <w:szCs w:val="28"/>
        </w:rPr>
        <w:t>二、收入决算表</w:t>
      </w:r>
    </w:p>
    <w:p>
      <w:pPr>
        <w:ind w:firstLine="560" w:firstLineChars="200"/>
        <w:rPr>
          <w:sz w:val="28"/>
          <w:szCs w:val="28"/>
        </w:rPr>
      </w:pPr>
      <w:r>
        <w:rPr>
          <w:rFonts w:hint="eastAsia"/>
          <w:sz w:val="28"/>
          <w:szCs w:val="28"/>
        </w:rPr>
        <w:t>三、支出决算表</w:t>
      </w:r>
    </w:p>
    <w:p>
      <w:pPr>
        <w:ind w:firstLine="560" w:firstLineChars="200"/>
        <w:rPr>
          <w:sz w:val="28"/>
          <w:szCs w:val="28"/>
        </w:rPr>
      </w:pPr>
      <w:r>
        <w:rPr>
          <w:rFonts w:hint="eastAsia"/>
          <w:sz w:val="28"/>
          <w:szCs w:val="28"/>
        </w:rPr>
        <w:t>四、财政拨款收入支出决算总表</w:t>
      </w:r>
    </w:p>
    <w:p>
      <w:pPr>
        <w:ind w:firstLine="560" w:firstLineChars="200"/>
        <w:rPr>
          <w:sz w:val="28"/>
          <w:szCs w:val="28"/>
        </w:rPr>
      </w:pPr>
      <w:r>
        <w:rPr>
          <w:rFonts w:hint="eastAsia"/>
          <w:sz w:val="28"/>
          <w:szCs w:val="28"/>
        </w:rPr>
        <w:t>五、财政拨款支出决算明细表</w:t>
      </w:r>
    </w:p>
    <w:p>
      <w:pPr>
        <w:ind w:firstLine="560" w:firstLineChars="200"/>
        <w:rPr>
          <w:sz w:val="28"/>
          <w:szCs w:val="28"/>
        </w:rPr>
      </w:pPr>
      <w:r>
        <w:rPr>
          <w:rFonts w:hint="eastAsia"/>
          <w:sz w:val="28"/>
          <w:szCs w:val="28"/>
        </w:rPr>
        <w:t>六、一般公共预算财政拨款支出决算表</w:t>
      </w:r>
    </w:p>
    <w:p>
      <w:pPr>
        <w:ind w:firstLine="560" w:firstLineChars="200"/>
        <w:rPr>
          <w:sz w:val="28"/>
          <w:szCs w:val="28"/>
        </w:rPr>
      </w:pPr>
      <w:r>
        <w:rPr>
          <w:rFonts w:hint="eastAsia"/>
          <w:sz w:val="28"/>
          <w:szCs w:val="28"/>
        </w:rPr>
        <w:t>七、一般公共预算财政拨款支出决算明细表</w:t>
      </w:r>
    </w:p>
    <w:p>
      <w:pPr>
        <w:ind w:firstLine="560" w:firstLineChars="200"/>
        <w:rPr>
          <w:sz w:val="28"/>
          <w:szCs w:val="28"/>
        </w:rPr>
      </w:pPr>
      <w:r>
        <w:rPr>
          <w:rFonts w:hint="eastAsia"/>
          <w:sz w:val="28"/>
          <w:szCs w:val="28"/>
        </w:rPr>
        <w:t>八、一般公共预算财政拨款基本支出决算明细表</w:t>
      </w:r>
    </w:p>
    <w:p>
      <w:pPr>
        <w:ind w:firstLine="560" w:firstLineChars="200"/>
        <w:rPr>
          <w:sz w:val="28"/>
          <w:szCs w:val="28"/>
        </w:rPr>
      </w:pPr>
      <w:r>
        <w:rPr>
          <w:rFonts w:hint="eastAsia"/>
          <w:sz w:val="28"/>
          <w:szCs w:val="28"/>
        </w:rPr>
        <w:t>九、一般公共预算财政拨款项目支出决算表</w:t>
      </w:r>
    </w:p>
    <w:p>
      <w:pPr>
        <w:ind w:firstLine="560" w:firstLineChars="200"/>
        <w:rPr>
          <w:sz w:val="28"/>
          <w:szCs w:val="28"/>
        </w:rPr>
      </w:pPr>
      <w:r>
        <w:rPr>
          <w:rFonts w:hint="eastAsia"/>
          <w:sz w:val="28"/>
          <w:szCs w:val="28"/>
        </w:rPr>
        <w:t>十、政府性基金预算财政拨款收入支出决算表</w:t>
      </w:r>
    </w:p>
    <w:p>
      <w:pPr>
        <w:ind w:firstLine="560" w:firstLineChars="200"/>
        <w:rPr>
          <w:sz w:val="28"/>
          <w:szCs w:val="28"/>
        </w:rPr>
      </w:pPr>
      <w:r>
        <w:rPr>
          <w:rFonts w:hint="eastAsia"/>
          <w:sz w:val="28"/>
          <w:szCs w:val="28"/>
        </w:rPr>
        <w:t>十一、国有资本经营预算财政拨款收入支出决算表</w:t>
      </w:r>
    </w:p>
    <w:p>
      <w:pPr>
        <w:ind w:firstLine="560" w:firstLineChars="200"/>
        <w:rPr>
          <w:sz w:val="28"/>
          <w:szCs w:val="28"/>
        </w:rPr>
      </w:pPr>
      <w:r>
        <w:rPr>
          <w:rFonts w:hint="eastAsia"/>
          <w:sz w:val="28"/>
          <w:szCs w:val="28"/>
        </w:rPr>
        <w:t>十二、国有资本经营预算财政拨款支出决算表</w:t>
      </w:r>
    </w:p>
    <w:p>
      <w:pPr>
        <w:ind w:firstLine="560" w:firstLineChars="200"/>
        <w:rPr>
          <w:sz w:val="28"/>
          <w:szCs w:val="28"/>
        </w:rPr>
      </w:pPr>
      <w:r>
        <w:rPr>
          <w:rFonts w:hint="eastAsia"/>
          <w:sz w:val="28"/>
          <w:szCs w:val="28"/>
        </w:rPr>
        <w:t>十三、财政拨款“三公”经费支出决算表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1350091"/>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1731350091"/>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4445F"/>
    <w:multiLevelType w:val="singleLevel"/>
    <w:tmpl w:val="8084445F"/>
    <w:lvl w:ilvl="0" w:tentative="0">
      <w:start w:val="5"/>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1E34A123"/>
    <w:multiLevelType w:val="singleLevel"/>
    <w:tmpl w:val="1E34A123"/>
    <w:lvl w:ilvl="0" w:tentative="0">
      <w:start w:val="1"/>
      <w:numFmt w:val="chineseCounting"/>
      <w:suff w:val="nothing"/>
      <w:lvlText w:val="（%1）"/>
      <w:lvlJc w:val="left"/>
      <w:pPr>
        <w:ind w:left="0" w:firstLine="420"/>
      </w:pPr>
      <w:rPr>
        <w:rFonts w:hint="eastAsia"/>
      </w:rPr>
    </w:lvl>
  </w:abstractNum>
  <w:abstractNum w:abstractNumId="5">
    <w:nsid w:val="3CB3173E"/>
    <w:multiLevelType w:val="singleLevel"/>
    <w:tmpl w:val="3CB3173E"/>
    <w:lvl w:ilvl="0" w:tentative="0">
      <w:start w:val="2"/>
      <w:numFmt w:val="chineseCounting"/>
      <w:suff w:val="nothing"/>
      <w:lvlText w:val="（%1）"/>
      <w:lvlJc w:val="left"/>
      <w:pPr>
        <w:ind w:left="600" w:firstLine="0"/>
      </w:pPr>
      <w:rPr>
        <w:rFonts w:hint="eastAsia"/>
      </w:rPr>
    </w:lvl>
  </w:abstractNum>
  <w:abstractNum w:abstractNumId="6">
    <w:nsid w:val="64C94625"/>
    <w:multiLevelType w:val="multilevel"/>
    <w:tmpl w:val="64C94625"/>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A80663"/>
    <w:rsid w:val="00014170"/>
    <w:rsid w:val="00162B70"/>
    <w:rsid w:val="002A1F57"/>
    <w:rsid w:val="004E60A9"/>
    <w:rsid w:val="00550388"/>
    <w:rsid w:val="00635229"/>
    <w:rsid w:val="00660172"/>
    <w:rsid w:val="00686611"/>
    <w:rsid w:val="00696407"/>
    <w:rsid w:val="006E1DA9"/>
    <w:rsid w:val="00734C3A"/>
    <w:rsid w:val="00734E69"/>
    <w:rsid w:val="007725EC"/>
    <w:rsid w:val="0077450C"/>
    <w:rsid w:val="007774EC"/>
    <w:rsid w:val="007E72E4"/>
    <w:rsid w:val="0082318A"/>
    <w:rsid w:val="009D0692"/>
    <w:rsid w:val="00A44932"/>
    <w:rsid w:val="00A9217B"/>
    <w:rsid w:val="00AA0A3E"/>
    <w:rsid w:val="00AA7F4A"/>
    <w:rsid w:val="00AB740E"/>
    <w:rsid w:val="00AC52E7"/>
    <w:rsid w:val="00B438D0"/>
    <w:rsid w:val="00B476CA"/>
    <w:rsid w:val="00B64A83"/>
    <w:rsid w:val="00BD76E4"/>
    <w:rsid w:val="00BE2A78"/>
    <w:rsid w:val="00C22BEB"/>
    <w:rsid w:val="00DB5016"/>
    <w:rsid w:val="00DC1FAF"/>
    <w:rsid w:val="00E236C3"/>
    <w:rsid w:val="00E3262C"/>
    <w:rsid w:val="00E43D87"/>
    <w:rsid w:val="00E55FF7"/>
    <w:rsid w:val="2535064B"/>
    <w:rsid w:val="2D9D4EFF"/>
    <w:rsid w:val="381D1443"/>
    <w:rsid w:val="428F4F21"/>
    <w:rsid w:val="42A80663"/>
    <w:rsid w:val="444229E6"/>
    <w:rsid w:val="53B3665C"/>
    <w:rsid w:val="5E015565"/>
    <w:rsid w:val="7659217B"/>
    <w:rsid w:val="7AEF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1"/>
    <w:pPr>
      <w:keepNext/>
      <w:keepLines/>
      <w:spacing w:before="260" w:after="260" w:line="416" w:lineRule="auto"/>
      <w:outlineLvl w:val="1"/>
    </w:pPr>
    <w:rPr>
      <w:rFonts w:ascii="Cambria" w:hAnsi="Cambria"/>
      <w:b/>
      <w:bCs/>
      <w:sz w:val="32"/>
      <w:szCs w:val="32"/>
    </w:rPr>
  </w:style>
  <w:style w:type="paragraph" w:styleId="5">
    <w:name w:val="heading 3"/>
    <w:basedOn w:val="6"/>
    <w:next w:val="6"/>
    <w:link w:val="35"/>
    <w:unhideWhenUsed/>
    <w:qFormat/>
    <w:uiPriority w:val="2"/>
    <w:pPr>
      <w:keepNext/>
      <w:keepLines/>
      <w:spacing w:before="260" w:after="260" w:line="416" w:lineRule="auto"/>
      <w:outlineLvl w:val="2"/>
    </w:pPr>
    <w:rPr>
      <w:b/>
      <w:bCs/>
      <w:szCs w:val="32"/>
    </w:rPr>
  </w:style>
  <w:style w:type="character" w:default="1" w:styleId="19">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39"/>
    <w:qFormat/>
    <w:uiPriority w:val="0"/>
    <w:pPr>
      <w:spacing w:beforeLines="30"/>
    </w:pPr>
    <w:rPr>
      <w:rFonts w:ascii="仿宋_GB2312" w:eastAsia="仿宋_GB2312"/>
      <w:kern w:val="0"/>
      <w:sz w:val="24"/>
      <w:szCs w:val="20"/>
    </w:rPr>
  </w:style>
  <w:style w:type="paragraph" w:customStyle="1" w:styleId="6">
    <w:name w:val="汇政正文"/>
    <w:basedOn w:val="1"/>
    <w:qFormat/>
    <w:uiPriority w:val="3"/>
    <w:pPr>
      <w:spacing w:line="500" w:lineRule="exact"/>
      <w:ind w:firstLine="200" w:firstLineChars="200"/>
    </w:pPr>
    <w:rPr>
      <w:rFonts w:eastAsia="方正仿宋_GBK"/>
      <w:kern w:val="0"/>
      <w:sz w:val="32"/>
      <w:szCs w:val="28"/>
      <w:lang w:val="zh-CN"/>
    </w:rPr>
  </w:style>
  <w:style w:type="paragraph" w:styleId="7">
    <w:name w:val="Normal Indent"/>
    <w:basedOn w:val="1"/>
    <w:qFormat/>
    <w:uiPriority w:val="0"/>
    <w:pPr>
      <w:ind w:firstLine="420" w:firstLineChars="200"/>
    </w:pPr>
  </w:style>
  <w:style w:type="paragraph" w:styleId="8">
    <w:name w:val="annotation text"/>
    <w:basedOn w:val="1"/>
    <w:link w:val="40"/>
    <w:qFormat/>
    <w:uiPriority w:val="0"/>
    <w:pPr>
      <w:jc w:val="left"/>
    </w:pPr>
  </w:style>
  <w:style w:type="paragraph" w:styleId="9">
    <w:name w:val="toc 3"/>
    <w:basedOn w:val="1"/>
    <w:next w:val="1"/>
    <w:qFormat/>
    <w:uiPriority w:val="39"/>
    <w:pPr>
      <w:ind w:left="840" w:leftChars="400"/>
    </w:pPr>
  </w:style>
  <w:style w:type="paragraph" w:styleId="10">
    <w:name w:val="Plain Text"/>
    <w:basedOn w:val="1"/>
    <w:link w:val="36"/>
    <w:unhideWhenUsed/>
    <w:qFormat/>
    <w:uiPriority w:val="99"/>
    <w:rPr>
      <w:rFonts w:ascii="宋体" w:hAnsi="Courier New"/>
      <w:szCs w:val="21"/>
    </w:rPr>
  </w:style>
  <w:style w:type="paragraph" w:styleId="11">
    <w:name w:val="Body Text Indent 2"/>
    <w:basedOn w:val="1"/>
    <w:link w:val="45"/>
    <w:qFormat/>
    <w:uiPriority w:val="99"/>
    <w:pPr>
      <w:spacing w:after="120" w:line="480" w:lineRule="auto"/>
      <w:ind w:left="420" w:leftChars="200"/>
    </w:pPr>
  </w:style>
  <w:style w:type="paragraph" w:styleId="12">
    <w:name w:val="footer"/>
    <w:basedOn w:val="1"/>
    <w:link w:val="44"/>
    <w:qFormat/>
    <w:uiPriority w:val="99"/>
    <w:pPr>
      <w:tabs>
        <w:tab w:val="center" w:pos="4153"/>
        <w:tab w:val="right" w:pos="8306"/>
      </w:tabs>
      <w:snapToGrid w:val="0"/>
      <w:jc w:val="left"/>
    </w:pPr>
    <w:rPr>
      <w:rFonts w:ascii="Calibri" w:hAnsi="Calibri"/>
      <w:kern w:val="0"/>
      <w:sz w:val="18"/>
      <w:szCs w:val="20"/>
    </w:rPr>
  </w:style>
  <w:style w:type="paragraph" w:styleId="13">
    <w:name w:val="header"/>
    <w:basedOn w:val="1"/>
    <w:link w:val="43"/>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420" w:hanging="420"/>
      <w:jc w:val="left"/>
    </w:pPr>
    <w:rPr>
      <w:rFonts w:asciiTheme="minorHAnsi" w:hAnsiTheme="minorHAnsi" w:cstheme="minorHAnsi"/>
      <w:b/>
      <w:bCs/>
      <w:sz w:val="20"/>
      <w:szCs w:val="20"/>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next w:val="1"/>
    <w:qFormat/>
    <w:uiPriority w:val="0"/>
    <w:pPr>
      <w:jc w:val="left"/>
    </w:pPr>
    <w:rPr>
      <w:kern w:val="0"/>
      <w:sz w:val="24"/>
    </w:rPr>
  </w:style>
  <w:style w:type="paragraph" w:styleId="18">
    <w:name w:val="Title"/>
    <w:basedOn w:val="1"/>
    <w:next w:val="1"/>
    <w:link w:val="48"/>
    <w:qFormat/>
    <w:uiPriority w:val="0"/>
    <w:pPr>
      <w:spacing w:before="240" w:after="60"/>
      <w:jc w:val="center"/>
      <w:outlineLvl w:val="0"/>
    </w:pPr>
    <w:rPr>
      <w:rFonts w:asciiTheme="majorHAnsi" w:hAnsiTheme="majorHAnsi" w:eastAsiaTheme="majorEastAsia" w:cstheme="majorBidi"/>
      <w:b/>
      <w:bCs/>
      <w:sz w:val="32"/>
      <w:szCs w:val="32"/>
    </w:rPr>
  </w:style>
  <w:style w:type="character" w:styleId="20">
    <w:name w:val="Strong"/>
    <w:basedOn w:val="19"/>
    <w:qFormat/>
    <w:uiPriority w:val="99"/>
    <w:rPr>
      <w:rFonts w:cs="Times New Roman"/>
      <w:b/>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3">
    <w:name w:val="标题 1 字符"/>
    <w:basedOn w:val="19"/>
    <w:link w:val="3"/>
    <w:qFormat/>
    <w:locked/>
    <w:uiPriority w:val="0"/>
    <w:rPr>
      <w:b/>
      <w:bCs/>
      <w:kern w:val="44"/>
      <w:sz w:val="44"/>
      <w:szCs w:val="44"/>
    </w:rPr>
  </w:style>
  <w:style w:type="character" w:customStyle="1" w:styleId="24">
    <w:name w:val="标题 2 字符"/>
    <w:basedOn w:val="19"/>
    <w:link w:val="4"/>
    <w:qFormat/>
    <w:locked/>
    <w:uiPriority w:val="1"/>
    <w:rPr>
      <w:rFonts w:ascii="Cambria" w:hAnsi="Cambria"/>
      <w:b/>
      <w:bCs/>
      <w:sz w:val="32"/>
      <w:szCs w:val="32"/>
    </w:rPr>
  </w:style>
  <w:style w:type="paragraph" w:customStyle="1" w:styleId="25">
    <w:name w:val="列表段落1"/>
    <w:basedOn w:val="1"/>
    <w:qFormat/>
    <w:uiPriority w:val="34"/>
    <w:pPr>
      <w:ind w:firstLine="420" w:firstLineChars="200"/>
    </w:pPr>
  </w:style>
  <w:style w:type="paragraph" w:customStyle="1" w:styleId="26">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7">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29">
    <w:name w:val="正文 New New New New New New New New New New New New New New"/>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3">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标题 3 字符"/>
    <w:basedOn w:val="19"/>
    <w:link w:val="5"/>
    <w:qFormat/>
    <w:uiPriority w:val="2"/>
    <w:rPr>
      <w:rFonts w:ascii="Times New Roman" w:hAnsi="Times New Roman" w:eastAsia="方正仿宋_GBK" w:cs="Times New Roman"/>
      <w:b/>
      <w:bCs/>
      <w:sz w:val="32"/>
      <w:szCs w:val="32"/>
      <w:lang w:val="zh-CN"/>
    </w:rPr>
  </w:style>
  <w:style w:type="character" w:customStyle="1" w:styleId="36">
    <w:name w:val="纯文本 字符"/>
    <w:basedOn w:val="19"/>
    <w:link w:val="10"/>
    <w:qFormat/>
    <w:uiPriority w:val="99"/>
    <w:rPr>
      <w:rFonts w:ascii="宋体" w:hAnsi="Courier New" w:eastAsia="宋体" w:cs="Times New Roman"/>
      <w:kern w:val="2"/>
      <w:sz w:val="21"/>
      <w:szCs w:val="21"/>
    </w:rPr>
  </w:style>
  <w:style w:type="paragraph" w:customStyle="1" w:styleId="37">
    <w:name w:val="标题 Char Char"/>
    <w:basedOn w:val="1"/>
    <w:qFormat/>
    <w:uiPriority w:val="0"/>
    <w:pPr>
      <w:jc w:val="center"/>
      <w:outlineLvl w:val="0"/>
    </w:pPr>
    <w:rPr>
      <w:rFonts w:ascii="Arial" w:hAnsi="Arial"/>
      <w:b/>
      <w:sz w:val="32"/>
    </w:rPr>
  </w:style>
  <w:style w:type="paragraph" w:styleId="38">
    <w:name w:val="List Paragraph"/>
    <w:basedOn w:val="1"/>
    <w:unhideWhenUsed/>
    <w:qFormat/>
    <w:uiPriority w:val="99"/>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39">
    <w:name w:val="正文文本 字符"/>
    <w:basedOn w:val="19"/>
    <w:link w:val="2"/>
    <w:qFormat/>
    <w:uiPriority w:val="0"/>
    <w:rPr>
      <w:rFonts w:ascii="仿宋_GB2312" w:hAnsi="Times New Roman" w:eastAsia="仿宋_GB2312" w:cs="Times New Roman"/>
      <w:sz w:val="24"/>
    </w:rPr>
  </w:style>
  <w:style w:type="character" w:customStyle="1" w:styleId="40">
    <w:name w:val="批注文字 字符"/>
    <w:basedOn w:val="19"/>
    <w:link w:val="8"/>
    <w:qFormat/>
    <w:uiPriority w:val="0"/>
    <w:rPr>
      <w:rFonts w:ascii="Times New Roman" w:hAnsi="Times New Roman" w:eastAsia="宋体" w:cs="Times New Roman"/>
      <w:kern w:val="2"/>
      <w:sz w:val="21"/>
      <w:szCs w:val="24"/>
    </w:rPr>
  </w:style>
  <w:style w:type="paragraph" w:customStyle="1" w:styleId="41">
    <w:name w:val="闻政正文"/>
    <w:basedOn w:val="1"/>
    <w:qFormat/>
    <w:uiPriority w:val="0"/>
    <w:pPr>
      <w:spacing w:line="500" w:lineRule="exact"/>
      <w:ind w:firstLine="200" w:firstLineChars="200"/>
    </w:pPr>
    <w:rPr>
      <w:rFonts w:eastAsia="仿宋_GB2312"/>
      <w:kern w:val="0"/>
      <w:sz w:val="28"/>
      <w:szCs w:val="28"/>
      <w:lang w:val="zh-CN"/>
    </w:rPr>
  </w:style>
  <w:style w:type="paragraph" w:customStyle="1" w:styleId="42">
    <w:name w:val="闻政图表名"/>
    <w:basedOn w:val="1"/>
    <w:qFormat/>
    <w:uiPriority w:val="4"/>
    <w:pPr>
      <w:spacing w:before="60" w:after="60"/>
      <w:jc w:val="center"/>
    </w:pPr>
    <w:rPr>
      <w:rFonts w:eastAsia="仿宋_GB2312"/>
      <w:b/>
      <w:szCs w:val="28"/>
    </w:rPr>
  </w:style>
  <w:style w:type="character" w:customStyle="1" w:styleId="43">
    <w:name w:val="页眉 字符"/>
    <w:basedOn w:val="19"/>
    <w:link w:val="13"/>
    <w:qFormat/>
    <w:uiPriority w:val="0"/>
    <w:rPr>
      <w:rFonts w:ascii="Calibri" w:hAnsi="Calibri" w:eastAsia="宋体" w:cs="Times New Roman"/>
      <w:sz w:val="18"/>
    </w:rPr>
  </w:style>
  <w:style w:type="character" w:customStyle="1" w:styleId="44">
    <w:name w:val="页脚 字符"/>
    <w:basedOn w:val="19"/>
    <w:link w:val="12"/>
    <w:qFormat/>
    <w:uiPriority w:val="99"/>
    <w:rPr>
      <w:rFonts w:ascii="Calibri" w:hAnsi="Calibri" w:eastAsia="宋体" w:cs="Times New Roman"/>
      <w:sz w:val="18"/>
    </w:rPr>
  </w:style>
  <w:style w:type="character" w:customStyle="1" w:styleId="45">
    <w:name w:val="正文文本缩进 2 字符"/>
    <w:basedOn w:val="19"/>
    <w:link w:val="11"/>
    <w:qFormat/>
    <w:uiPriority w:val="99"/>
    <w:rPr>
      <w:rFonts w:ascii="Times New Roman" w:hAnsi="Times New Roman" w:eastAsia="宋体" w:cs="Times New Roman"/>
      <w:kern w:val="2"/>
      <w:sz w:val="21"/>
      <w:szCs w:val="24"/>
    </w:rPr>
  </w:style>
  <w:style w:type="paragraph" w:customStyle="1" w:styleId="46">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8">
    <w:name w:val="标题 字符"/>
    <w:basedOn w:val="19"/>
    <w:link w:val="18"/>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1.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财政拨款收、支决算总计变动情况</c:v>
                </c:pt>
              </c:strCache>
            </c:strRef>
          </c:tx>
          <c:spPr>
            <a:solidFill>
              <a:schemeClr val="accent1"/>
            </a:solidFill>
            <a:ln>
              <a:noFill/>
            </a:ln>
            <a:effectLst/>
          </c:spPr>
          <c:invertIfNegative val="0"/>
          <c:dLbls>
            <c:delete val="1"/>
          </c:dLbls>
          <c:cat>
            <c:strRef>
              <c:f>Sheet1!$A$2:$A$5</c:f>
              <c:strCache>
                <c:ptCount val="4"/>
                <c:pt idx="0">
                  <c:v>2022收入</c:v>
                </c:pt>
                <c:pt idx="1">
                  <c:v>2021收入</c:v>
                </c:pt>
                <c:pt idx="2">
                  <c:v>2022支出</c:v>
                </c:pt>
                <c:pt idx="3">
                  <c:v>2021支出</c:v>
                </c:pt>
              </c:strCache>
            </c:strRef>
          </c:cat>
          <c:val>
            <c:numRef>
              <c:f>Sheet1!$B$2:$B$5</c:f>
              <c:numCache>
                <c:formatCode>General</c:formatCode>
                <c:ptCount val="4"/>
                <c:pt idx="0">
                  <c:v>686.63</c:v>
                </c:pt>
                <c:pt idx="1">
                  <c:v>685.66</c:v>
                </c:pt>
                <c:pt idx="2">
                  <c:v>696.63</c:v>
                </c:pt>
                <c:pt idx="3">
                  <c:v>756.86</c:v>
                </c:pt>
              </c:numCache>
            </c:numRef>
          </c:val>
        </c:ser>
        <c:dLbls>
          <c:showLegendKey val="0"/>
          <c:showVal val="0"/>
          <c:showCatName val="0"/>
          <c:showSerName val="0"/>
          <c:showPercent val="0"/>
          <c:showBubbleSize val="0"/>
        </c:dLbls>
        <c:gapWidth val="150"/>
        <c:overlap val="100"/>
        <c:axId val="652364456"/>
        <c:axId val="652364128"/>
      </c:barChart>
      <c:catAx>
        <c:axId val="65236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364128"/>
        <c:crosses val="autoZero"/>
        <c:auto val="1"/>
        <c:lblAlgn val="ctr"/>
        <c:lblOffset val="100"/>
        <c:noMultiLvlLbl val="0"/>
      </c:catAx>
      <c:valAx>
        <c:axId val="65236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364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一般公共预算收入</c:v>
                </c:pt>
                <c:pt idx="1">
                  <c:v>其他收入</c:v>
                </c:pt>
              </c:strCache>
            </c:strRef>
          </c:cat>
          <c:val>
            <c:numRef>
              <c:f>Sheet1!$B$2:$B$3</c:f>
              <c:numCache>
                <c:formatCode>0.00%</c:formatCode>
                <c:ptCount val="2"/>
                <c:pt idx="0">
                  <c:v>1</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0.6554</c:v>
                </c:pt>
                <c:pt idx="1">
                  <c:v>0.3446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收入支出总体情况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1442.52</c:v>
                </c:pt>
                <c:pt idx="1">
                  <c:v>1383.26</c:v>
                </c:pt>
              </c:numCache>
            </c:numRef>
          </c:val>
        </c:ser>
        <c:dLbls>
          <c:showLegendKey val="0"/>
          <c:showVal val="0"/>
          <c:showCatName val="0"/>
          <c:showSerName val="0"/>
          <c:showPercent val="0"/>
          <c:showBubbleSize val="0"/>
        </c:dLbls>
        <c:gapWidth val="150"/>
        <c:overlap val="100"/>
        <c:axId val="870058936"/>
        <c:axId val="799187792"/>
      </c:barChart>
      <c:catAx>
        <c:axId val="87005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187792"/>
        <c:crosses val="autoZero"/>
        <c:auto val="1"/>
        <c:lblAlgn val="ctr"/>
        <c:lblOffset val="100"/>
        <c:noMultiLvlLbl val="0"/>
      </c:catAx>
      <c:valAx>
        <c:axId val="79918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058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一般公共预算财政拨款支出决算总体情况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756.86</c:v>
                </c:pt>
                <c:pt idx="1">
                  <c:v>686.63</c:v>
                </c:pt>
              </c:numCache>
            </c:numRef>
          </c:val>
        </c:ser>
        <c:dLbls>
          <c:showLegendKey val="0"/>
          <c:showVal val="0"/>
          <c:showCatName val="0"/>
          <c:showSerName val="0"/>
          <c:showPercent val="0"/>
          <c:showBubbleSize val="0"/>
        </c:dLbls>
        <c:gapWidth val="150"/>
        <c:overlap val="100"/>
        <c:axId val="768435008"/>
        <c:axId val="945757000"/>
      </c:barChart>
      <c:catAx>
        <c:axId val="76843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757000"/>
        <c:crosses val="autoZero"/>
        <c:auto val="1"/>
        <c:lblAlgn val="ctr"/>
        <c:lblOffset val="100"/>
        <c:noMultiLvlLbl val="0"/>
      </c:catAx>
      <c:valAx>
        <c:axId val="94575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8435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0.00%</c:formatCode>
                <c:ptCount val="4"/>
                <c:pt idx="0">
                  <c:v>0.8474</c:v>
                </c:pt>
                <c:pt idx="1">
                  <c:v>0.0801</c:v>
                </c:pt>
                <c:pt idx="2">
                  <c:v>0.0251</c:v>
                </c:pt>
                <c:pt idx="3">
                  <c:v>0.0474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公务用车购置及运行维护费支出</c:v>
                </c:pt>
                <c:pt idx="1">
                  <c:v>公务接待费支出</c:v>
                </c:pt>
                <c:pt idx="2">
                  <c:v>因公出国出境支出</c:v>
                </c:pt>
              </c:strCache>
            </c:strRef>
          </c:cat>
          <c:val>
            <c:numRef>
              <c:f>Sheet1!$B$2:$B$4</c:f>
              <c:numCache>
                <c:formatCode>0.00%</c:formatCode>
                <c:ptCount val="3"/>
                <c:pt idx="0">
                  <c:v>0.8337</c:v>
                </c:pt>
                <c:pt idx="1">
                  <c:v>0.1663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1A696-628B-4991-AE3F-CC076538B114}">
  <ds:schemaRefs/>
</ds:datastoreItem>
</file>

<file path=docProps/app.xml><?xml version="1.0" encoding="utf-8"?>
<Properties xmlns="http://schemas.openxmlformats.org/officeDocument/2006/extended-properties" xmlns:vt="http://schemas.openxmlformats.org/officeDocument/2006/docPropsVTypes">
  <Template>Normal</Template>
  <Company>市审计局</Company>
  <Pages>68</Pages>
  <Words>5930</Words>
  <Characters>33802</Characters>
  <Lines>281</Lines>
  <Paragraphs>79</Paragraphs>
  <TotalTime>41</TotalTime>
  <ScaleCrop>false</ScaleCrop>
  <LinksUpToDate>false</LinksUpToDate>
  <CharactersWithSpaces>39653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2023-08-28T08:31:00Z</dcterms:created>
  <dc:creator>Administrator</dc:creator>
  <cp:lastModifiedBy>Administrator</cp:lastModifiedBy>
  <cp:lastPrinted>2023-08-31T01:14:00Z</cp:lastPrinted>
  <dcterms:modified xsi:type="dcterms:W3CDTF">2023-08-31T02:33:24Z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