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资阳市雁江区经济科技信息化局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年部门预算编制说明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1.</w:t>
      </w:r>
      <w:r>
        <w:rPr>
          <w:rFonts w:hint="default" w:ascii="宋体" w:hAnsi="宋体" w:eastAsia="方正仿宋简体" w:cs="Times New Roman"/>
          <w:sz w:val="33"/>
          <w:szCs w:val="33"/>
          <w:lang w:val="en-US" w:eastAsia="zh-CN"/>
        </w:rPr>
        <w:t>负责全区工业经济、高新技术产业数据统计工作；负责全区工业经济运行综合管理，预警、监测、分析全区工业经济运行态势和质量，建立工业经济运行机制，对重大问题提出政策措施建议；负责工业经济信息收集、研究、发布；协调推进产业金融工作，负责工业企业生产运行中涉及财政、金融、税收、用地等方面重大问题的协调工作；负责战略性新兴产业发展规划；负责工业经济重大政策执行情况的绩效评估；负责年度工业经济责任目标的</w:t>
      </w:r>
      <w:r>
        <w:rPr>
          <w:rFonts w:hint="eastAsia" w:ascii="宋体" w:hAnsi="宋体" w:eastAsia="方正仿宋简体" w:cs="Times New Roman"/>
          <w:sz w:val="33"/>
          <w:szCs w:val="33"/>
          <w:lang w:val="en-US" w:eastAsia="zh-CN"/>
        </w:rPr>
        <w:t>拟订</w:t>
      </w:r>
      <w:r>
        <w:rPr>
          <w:rFonts w:hint="default" w:ascii="宋体" w:hAnsi="宋体" w:eastAsia="方正仿宋简体" w:cs="Times New Roman"/>
          <w:sz w:val="33"/>
          <w:szCs w:val="33"/>
          <w:lang w:val="en-US" w:eastAsia="zh-CN"/>
        </w:rPr>
        <w:t>、监督实施和考核工作；协调工业企业直接融资和通过多层次资本市场融资，加强企业诚信体系建设；组织协调全区工业企业治乱减负工作；牵头企业扶困、解困及挂联帮扶工作；负责行业中小企业贷款贴息专项资金；负责区工业领导小组办公室日常工作</w:t>
      </w:r>
      <w:r>
        <w:rPr>
          <w:rFonts w:hint="eastAsia" w:ascii="宋体" w:hAnsi="宋体" w:eastAsia="方正仿宋简体" w:cs="Times New Roman"/>
          <w:sz w:val="33"/>
          <w:szCs w:val="33"/>
          <w:lang w:val="en-US" w:eastAsia="zh-CN"/>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2.</w:t>
      </w:r>
      <w:r>
        <w:rPr>
          <w:rFonts w:hint="default" w:ascii="宋体" w:hAnsi="宋体" w:eastAsia="方正仿宋简体" w:cs="Times New Roman"/>
          <w:sz w:val="33"/>
          <w:szCs w:val="33"/>
          <w:lang w:val="en-US" w:eastAsia="zh-CN"/>
        </w:rPr>
        <w:t>牵头负责工业经济发展规划编制</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提出推进工业经济结构和布局调整的方案并组织实施</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拟订推进重要产业区域的发展规划和政策措施；负责推进区域总体规划、专项发展规划</w:t>
      </w:r>
      <w:r>
        <w:rPr>
          <w:rFonts w:hint="eastAsia" w:ascii="宋体" w:hAnsi="宋体" w:eastAsia="方正仿宋简体" w:cs="Times New Roman"/>
          <w:sz w:val="33"/>
          <w:szCs w:val="33"/>
          <w:lang w:val="en-US" w:eastAsia="zh-CN"/>
        </w:rPr>
        <w:t>、成资同城化产业发展规划</w:t>
      </w:r>
      <w:r>
        <w:rPr>
          <w:rFonts w:hint="default" w:ascii="宋体" w:hAnsi="宋体" w:eastAsia="方正仿宋简体" w:cs="Times New Roman"/>
          <w:sz w:val="33"/>
          <w:szCs w:val="33"/>
          <w:lang w:val="en-US" w:eastAsia="zh-CN"/>
        </w:rPr>
        <w:t>编制及布局；拟订并组织实施产业园区、产业集群发展规划和政策措施；负责推进产业园区建设发展，推进园区公共配套设施建设，组织实施推进产业园区公共服务平台项目计划；负责产业园区发展监测运行分析，提出政策建议；推进园区及行业整合工作，负责专项资金申报和验收；协调产业园区相关事宜；负责生物医药、食品、装备制造等重点产业发展工作；负责工业经济、信息化领域的生产性服务业发展工作</w:t>
      </w:r>
      <w:r>
        <w:rPr>
          <w:rFonts w:hint="eastAsia" w:ascii="宋体" w:hAnsi="宋体" w:eastAsia="方正仿宋简体" w:cs="Times New Roman"/>
          <w:sz w:val="33"/>
          <w:szCs w:val="33"/>
          <w:lang w:val="en-US" w:eastAsia="zh-CN"/>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3.</w:t>
      </w:r>
      <w:r>
        <w:rPr>
          <w:rFonts w:hint="default" w:ascii="宋体" w:hAnsi="宋体" w:eastAsia="方正仿宋简体" w:cs="Times New Roman"/>
          <w:sz w:val="33"/>
          <w:szCs w:val="33"/>
          <w:lang w:val="en-US" w:eastAsia="zh-CN"/>
        </w:rPr>
        <w:t>负责全区工业建设项目投资管理；编制工业建设项目中、长期投资规划、年度计划并组织实施；组织工业建设项目推进工作，拟订规划和引导目录；提出固定资产投资意见，组织国家、省、市工业建设项目专项计划的实施，按规定权限负责工业建设项目上报、登记备案及审核，组织工业建设项目申报国家和省有关专项计划并监督实施；跟踪推进重大项目建设，负责确认项目优惠政策享受情况；负责技术改造项目资金申报、验收及绩效评估工作；负责组织开展工业经济领域对外经济合作与交流，拟订工业招商引资政策和议事规则等制度；负责成资同城化工作；负责工业企业技术创新体系建设，</w:t>
      </w:r>
      <w:r>
        <w:rPr>
          <w:rFonts w:hint="eastAsia" w:ascii="宋体" w:hAnsi="宋体" w:eastAsia="方正仿宋简体" w:cs="Times New Roman"/>
          <w:sz w:val="33"/>
          <w:szCs w:val="33"/>
          <w:lang w:val="en-US" w:eastAsia="zh-CN"/>
        </w:rPr>
        <w:t>拟订</w:t>
      </w:r>
      <w:r>
        <w:rPr>
          <w:rFonts w:hint="default" w:ascii="宋体" w:hAnsi="宋体" w:eastAsia="方正仿宋简体" w:cs="Times New Roman"/>
          <w:sz w:val="33"/>
          <w:szCs w:val="33"/>
          <w:lang w:val="en-US" w:eastAsia="zh-CN"/>
        </w:rPr>
        <w:t>技术创新政策和指南；组织申报国家重大技术创新专项、编制企业技术创新项目计划并组织实施；负责重大技术装备的管理和基地建设</w:t>
      </w:r>
      <w:r>
        <w:rPr>
          <w:rFonts w:hint="eastAsia" w:ascii="宋体" w:hAnsi="宋体" w:eastAsia="方正仿宋简体" w:cs="Times New Roman"/>
          <w:sz w:val="33"/>
          <w:szCs w:val="33"/>
          <w:lang w:val="en-US" w:eastAsia="zh-CN"/>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4.</w:t>
      </w:r>
      <w:r>
        <w:rPr>
          <w:rFonts w:hint="default" w:ascii="宋体" w:hAnsi="宋体" w:eastAsia="方正仿宋简体" w:cs="Times New Roman"/>
          <w:sz w:val="33"/>
          <w:szCs w:val="33"/>
          <w:lang w:val="en-US" w:eastAsia="zh-CN"/>
        </w:rPr>
        <w:t>贯彻实施科教兴国战略、人才强国战略、创新驱动发展战略、农业农村政策方针；负责</w:t>
      </w:r>
      <w:r>
        <w:rPr>
          <w:rFonts w:hint="eastAsia" w:ascii="宋体" w:hAnsi="宋体" w:eastAsia="方正仿宋简体" w:cs="Times New Roman"/>
          <w:sz w:val="33"/>
          <w:szCs w:val="33"/>
          <w:lang w:val="en-US" w:eastAsia="zh-CN"/>
        </w:rPr>
        <w:t>拟订</w:t>
      </w:r>
      <w:r>
        <w:rPr>
          <w:rFonts w:hint="default" w:ascii="宋体" w:hAnsi="宋体" w:eastAsia="方正仿宋简体" w:cs="Times New Roman"/>
          <w:sz w:val="33"/>
          <w:szCs w:val="33"/>
          <w:lang w:val="en-US" w:eastAsia="zh-CN"/>
        </w:rPr>
        <w:t>全区科技创新及农业科技发展、农业科技人才队伍建设政策及措施；负责科技进步和科技创新工作，指导全社会提高自主创新能力；负责重点实验室、工程技术研究中心、孵化器、众创空间、科普基地、农业科技园区等创新载体和平台工作；负责高新技术园区、成果转化孵化园区等品牌建设工作；负责科技攻关及成果推广应用，促进先进技术转化和产业化；负责各级科技项目组织、申报、实施、监督、验收和管理；负责农业科技创新人才队伍建设和农业科技人才管理；负责科技奖励工作，组织申报国、省科学技术奖；负责科技合作与交流，加强技术交易市场管理；负责科技知识宣传、普及和培训工作；负责科技助力乡村振兴工作；负责科技类培训机构审批和日常监管及违法违规办学行为查处工作</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5.</w:t>
      </w:r>
      <w:r>
        <w:rPr>
          <w:rFonts w:hint="default" w:ascii="宋体" w:hAnsi="宋体" w:eastAsia="方正仿宋简体" w:cs="Times New Roman"/>
          <w:sz w:val="33"/>
          <w:szCs w:val="33"/>
          <w:lang w:val="en-US" w:eastAsia="zh-CN"/>
        </w:rPr>
        <w:t>负责规下民营企业发展规划和综合协调工作；负责统筹民营企业融通发展；负责大企业大集团、专精特新企业的培育、负责中小企业升规培育；指导企业实施规范化改制、兼并重组和稳定工作；指导规下民营企业建立现代企业制度和加强管理工作；负责规下民营企业项目申报、管理和实施</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负责拟订鼓励规下民营企业发展政策措施并组织实施；推进规下民营企业创业促进及平台建设，开展规下民营企业创业基地建设指导工作，指导开展规下民营企业创业辅导培训；组织推进规下民营企业服务体系建设；负责工业领域社会信用体系建设；综合分析市场动态和发展趋势，拟订并实施工业企业开拓市场和产品促销政策措施，组织和指导工业领域市场拓展活动，组织重工企业产品展示展销活动；组织工业企业技术中心申报、认定和建设管理工作；贯彻国家关于军民融合及国防科技工业发展战略、方针政策等，组织开展军民融合发展战略、重大决策、产业布局研究并提出建议</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6.</w:t>
      </w:r>
      <w:r>
        <w:rPr>
          <w:rFonts w:hint="eastAsia" w:ascii="宋体" w:hAnsi="宋体" w:eastAsia="方正仿宋简体" w:cs="Times New Roman"/>
          <w:sz w:val="33"/>
          <w:szCs w:val="33"/>
          <w:lang w:val="en-US" w:eastAsia="zh-CN"/>
        </w:rPr>
        <w:t>负责</w:t>
      </w:r>
      <w:r>
        <w:rPr>
          <w:rFonts w:hint="default" w:ascii="宋体" w:hAnsi="宋体" w:eastAsia="方正仿宋简体" w:cs="Times New Roman"/>
          <w:sz w:val="33"/>
          <w:szCs w:val="33"/>
          <w:lang w:val="en-US" w:eastAsia="zh-CN"/>
        </w:rPr>
        <w:t>协调企业发展与环境发展的重大问题；负责推进全区节能降耗工作，负责循环经济发展、资源综合利用、清洁生产、水资源节约与污染治理、应对气候变化及低碳经济发展工作；指导节能新技术、新工艺、新材料，新产品推广应用；提出鼓励再生资源综合利用的政策措施并监督实施；牵头工业淘汰落后产能工作；组织申报中央、省财政节能技术改造奖励奖金项目；负责企业技术改造项目节能评估审查，监管考核重点用能企业节能工作；负责电力、煤炭、成品油、天然气等重要物资的综合调控、紧急调度管理和交通运输协调工作；负责石油天然气管道运行协调，保障能源供应稳定；指导压缩天然气、汽油双燃料汽车产业化工作；提出电力经济综合调控目标，监测、分析电力运行态势，提出平衡电力资源的建议；负责培育和监管电力市场，规范电力市场秩序，提出电力市场的建设和发展方案并监督实施；协调电网运行、电力经济运行中的重大问题；负责电力行政执法；负责电力专项扶贫工作</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7.</w:t>
      </w:r>
      <w:r>
        <w:rPr>
          <w:rFonts w:hint="default" w:ascii="宋体" w:hAnsi="宋体" w:eastAsia="方正仿宋简体" w:cs="Times New Roman"/>
          <w:sz w:val="33"/>
          <w:szCs w:val="33"/>
          <w:lang w:val="en-US" w:eastAsia="zh-CN"/>
        </w:rPr>
        <w:t>统筹推进全区信息化工作，拟订并组织实施相关政策，指导电子政务、企业信息化、电子商务和互联网发展，推动面向社会服务的互联互通和信息资源的共享</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承担全区信息基础设施建设的规划、协调工作，协调电信市场涉及社会利益的重大事项</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承担指导、建立全区信息安全保障体系；指导重点行业的重要信息系统与信息网络的安全保障和防范工作，协调网络与信息安全重大事件；指导、协调开展信息化宣传普及教育；承担信息化工作的对外交流与合作</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贯彻执行国家无线电管理的方针、政策、法规和规章，拟订全区无线电管理的制度；承担无线电电磁环保工作，承担无线电监测、检测和干扰查处，协调无线电台、站相关事宜，依法组织实施无线电管理制度，负责网络安全工作</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8.</w:t>
      </w:r>
      <w:r>
        <w:rPr>
          <w:rFonts w:hint="default" w:ascii="宋体" w:hAnsi="宋体" w:eastAsia="方正仿宋简体" w:cs="Times New Roman"/>
          <w:sz w:val="33"/>
          <w:szCs w:val="33"/>
          <w:lang w:val="en-US" w:eastAsia="zh-CN"/>
        </w:rPr>
        <w:t>负责全区食品、轻工、纺织、食盐、酒类的行业研究、行业管理和综合协调服务；负责拟订全区食品、轻工、纺织、盐业、酒类行业发展规划和推进措施并组织实施，推进消费品产业结构调整，引导产业合理布局；负责收集、汇总、食品、轻工、纺织、盐业、酒类工业生产和经营情况，发布市场动态信息；指导消费品行业新产品、新技术、新工艺、新设备、新材料的研发和推广应用，组织消费品工业产品展示展销等活动；参与有机食品的调研、申报、审查、推荐、推广工作，负责农产品加工示范企业、示范基地建设，指导农业产业化龙头企业建设工作，参与新农村建设，牵头负责乡村振兴工作；组织贯彻落实国家食盐专营政策和相关盐业法规规章，拟订有关盐业的地方规范性文件，依法查处食盐违法违规经营行为；</w:t>
      </w:r>
      <w:r>
        <w:rPr>
          <w:rFonts w:hint="eastAsia" w:ascii="宋体" w:hAnsi="宋体" w:eastAsia="方正仿宋简体" w:cs="Times New Roman"/>
          <w:sz w:val="33"/>
          <w:szCs w:val="33"/>
          <w:lang w:val="en-US" w:eastAsia="zh-CN"/>
        </w:rPr>
        <w:t>拟订</w:t>
      </w:r>
      <w:r>
        <w:rPr>
          <w:rFonts w:hint="default" w:ascii="宋体" w:hAnsi="宋体" w:eastAsia="方正仿宋简体" w:cs="Times New Roman"/>
          <w:sz w:val="33"/>
          <w:szCs w:val="33"/>
          <w:lang w:val="en-US" w:eastAsia="zh-CN"/>
        </w:rPr>
        <w:t>和组织实施食盐供应应急预案，落实食盐储备制度；会同有关部门建立食盐生产、批发企业及其负责人和高管人员信用记录，纳入国家统一的社会信用体系，对有违法失信行为的企业及高管依法实施联合惩戒；配合物价管理部门做好食盐零售价格市场监测和特殊情况下的价格干预工作，保持食盐价格基本稳定；配合卫生计生部门做好碘缺乏病防治监测与宣传工作；指导农产品加工业、盐业产品质量安全和标准化工作；</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中国白酒金三角</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专项资金项目申报、审查和管理工作</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ascii="宋体" w:hAnsi="宋体" w:eastAsia="方正仿宋简体"/>
          <w:color w:val="000000"/>
          <w:sz w:val="33"/>
          <w:szCs w:val="33"/>
        </w:rPr>
        <w:t>9.</w:t>
      </w:r>
      <w:r>
        <w:rPr>
          <w:rFonts w:hint="default" w:ascii="宋体" w:hAnsi="宋体" w:eastAsia="方正仿宋简体" w:cs="Times New Roman"/>
          <w:sz w:val="33"/>
          <w:szCs w:val="33"/>
          <w:lang w:val="en-US" w:eastAsia="zh-CN"/>
        </w:rPr>
        <w:t>贯彻执行国家安全生产的法律、法规和方针政策；负责工业企业、能源行业等安全生产工作，提出年度安全生产工作意见并组织实施；履行安全生产监督、检查、督促、服务协调职责；督促企业履行安全生产主体责任、落实内部安全生产责任制，制定安全生产管理制度和措施；负责监督检查、指导考核本部门本系统抓好安全生产工作，组织开展系统行业安全生产大检查和专项督查，督促问题整改；负责涉及企业安全的应急管理工作，编制工业产业、能源行业安全生产突发事件应急处置预案；组织或参与安全生产事故的调查处理；负责民用爆破器材生产经销的安全生产监督管理；负责监管煤炭、电力、成品油、民爆等行业（领域），依法开展新、改、扩建、项目安全设施</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三同时</w:t>
      </w:r>
      <w:r>
        <w:rPr>
          <w:rFonts w:hint="eastAsia" w:ascii="宋体" w:hAnsi="宋体" w:eastAsia="方正仿宋简体" w:cs="Times New Roman"/>
          <w:sz w:val="33"/>
          <w:szCs w:val="33"/>
          <w:lang w:val="en-US" w:eastAsia="zh-CN"/>
        </w:rPr>
        <w:t>”</w:t>
      </w:r>
      <w:r>
        <w:rPr>
          <w:rFonts w:hint="default" w:ascii="宋体" w:hAnsi="宋体" w:eastAsia="方正仿宋简体" w:cs="Times New Roman"/>
          <w:sz w:val="33"/>
          <w:szCs w:val="33"/>
          <w:lang w:val="en-US" w:eastAsia="zh-CN"/>
        </w:rPr>
        <w:t>工作；鼓励引导企业研发、扩广采用先进适用的安全技术和产品；大力发展安全装备融资租赁业务，促进高危行业企业加快提升安全装备水平；积极参加安全生产重大活动，组织实施和完成区政府及区安全生产委员会下达的安全生产目标和综合目标任务，负责安全生产宣传教育</w:t>
      </w:r>
      <w:r>
        <w:rPr>
          <w:rFonts w:ascii="宋体" w:hAnsi="宋体" w:eastAsia="方正仿宋简体"/>
          <w:color w:val="000000"/>
          <w:sz w:val="33"/>
          <w:szCs w:val="33"/>
        </w:rPr>
        <w:t>。</w:t>
      </w:r>
    </w:p>
    <w:p>
      <w:pPr>
        <w:spacing w:line="600" w:lineRule="exact"/>
        <w:ind w:firstLine="633" w:firstLineChars="192"/>
        <w:rPr>
          <w:rFonts w:ascii="宋体" w:hAnsi="宋体" w:eastAsia="方正仿宋简体"/>
          <w:color w:val="000000"/>
          <w:sz w:val="33"/>
          <w:szCs w:val="33"/>
        </w:rPr>
      </w:pPr>
      <w:r>
        <w:rPr>
          <w:rFonts w:hint="eastAsia" w:ascii="宋体" w:hAnsi="宋体" w:eastAsia="方正仿宋简体"/>
          <w:color w:val="000000"/>
          <w:sz w:val="33"/>
          <w:szCs w:val="33"/>
          <w:lang w:val="en-US" w:eastAsia="zh-CN"/>
        </w:rPr>
        <w:t>11</w:t>
      </w:r>
      <w:r>
        <w:rPr>
          <w:rFonts w:ascii="宋体" w:hAnsi="宋体" w:eastAsia="方正仿宋简体"/>
          <w:color w:val="000000"/>
          <w:sz w:val="33"/>
          <w:szCs w:val="33"/>
        </w:rPr>
        <w:t>.承担区政府公布的有关行政审批事项。</w:t>
      </w:r>
    </w:p>
    <w:p>
      <w:pPr>
        <w:spacing w:line="600" w:lineRule="exact"/>
        <w:ind w:firstLine="633" w:firstLineChars="192"/>
        <w:rPr>
          <w:rFonts w:eastAsia="方正仿宋简体"/>
          <w:sz w:val="32"/>
          <w:szCs w:val="32"/>
        </w:rPr>
      </w:pPr>
      <w:r>
        <w:rPr>
          <w:rFonts w:hint="eastAsia" w:ascii="宋体" w:hAnsi="宋体" w:eastAsia="方正仿宋简体"/>
          <w:color w:val="000000"/>
          <w:sz w:val="33"/>
          <w:szCs w:val="33"/>
          <w:lang w:val="en-US" w:eastAsia="zh-CN"/>
        </w:rPr>
        <w:t>12</w:t>
      </w:r>
      <w:r>
        <w:rPr>
          <w:rFonts w:ascii="宋体" w:hAnsi="宋体" w:eastAsia="方正仿宋简体"/>
          <w:color w:val="000000"/>
          <w:sz w:val="33"/>
          <w:szCs w:val="33"/>
        </w:rPr>
        <w:t>.承办区政府交办的其他事项。</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640" w:firstLineChars="200"/>
        <w:jc w:val="lef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坚定实施工业强区战略，坚持主导产业优先，其他产业优势准入，实施“先有后优再壮大”战略，将2023年定位为“瓶颈突破年”，全力以赴谋转型、育企业、抓项目、建园区、强保障，推动雁江工业经济迅速转型提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firstLine="643" w:firstLineChars="200"/>
        <w:jc w:val="left"/>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三</w:t>
      </w:r>
      <w:r>
        <w:rPr>
          <w:rFonts w:hint="default" w:ascii="Times New Roman" w:hAnsi="Times New Roman" w:eastAsia="方正楷体简体" w:cs="Times New Roman"/>
          <w:b/>
          <w:bCs/>
          <w:sz w:val="32"/>
          <w:szCs w:val="32"/>
          <w:lang w:val="en-US" w:eastAsia="zh-CN"/>
        </w:rPr>
        <w:t>）主要工作计划</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60" w:firstLineChars="200"/>
        <w:jc w:val="both"/>
        <w:textAlignment w:val="auto"/>
        <w:rPr>
          <w:rFonts w:hint="default" w:ascii="Times New Roman" w:hAnsi="Times New Roman" w:eastAsia="方正仿宋简体" w:cs="Times New Roman"/>
          <w:b w:val="0"/>
          <w:bCs w:val="0"/>
          <w:kern w:val="2"/>
          <w:sz w:val="33"/>
          <w:szCs w:val="33"/>
          <w:highlight w:val="yellow"/>
          <w:lang w:val="en-US" w:eastAsia="zh-CN" w:bidi="ar-SA"/>
        </w:rPr>
      </w:pPr>
      <w:r>
        <w:rPr>
          <w:rFonts w:hint="default" w:ascii="Times New Roman" w:hAnsi="Times New Roman" w:eastAsia="方正仿宋简体" w:cs="Times New Roman"/>
          <w:b w:val="0"/>
          <w:bCs w:val="0"/>
          <w:color w:val="auto"/>
          <w:kern w:val="2"/>
          <w:sz w:val="33"/>
          <w:szCs w:val="33"/>
          <w:lang w:val="en-US" w:eastAsia="zh-CN" w:bidi="ar-SA"/>
        </w:rPr>
        <w:t>深入贯彻全市“再造一个工业资阳”决策部署及“工业倍增攻坚年”工作要求，持续推进工业强区战略，坚持以产业、企业和项目为中心，一手抓存量、一手抓增量，通过做大总量、优化结构，实现工业经济量质双增，推动食品饮料产业链更加健全，医药与大健康产业取得新的突破，天然气产业布局及勘探开发取得积极进展。</w:t>
      </w:r>
      <w:r>
        <w:rPr>
          <w:rFonts w:hint="default" w:ascii="Times New Roman" w:hAnsi="Times New Roman" w:eastAsia="方正仿宋简体" w:cs="Times New Roman"/>
          <w:b w:val="0"/>
          <w:bCs w:val="0"/>
          <w:kern w:val="2"/>
          <w:sz w:val="33"/>
          <w:szCs w:val="33"/>
          <w:lang w:val="en-US" w:eastAsia="zh-CN" w:bidi="ar-SA"/>
        </w:rPr>
        <w:t>2023年，区属规模工业增加值增速继续保持高于全市水平</w:t>
      </w:r>
      <w:r>
        <w:rPr>
          <w:rFonts w:hint="eastAsia" w:ascii="Times New Roman" w:hAnsi="Times New Roman" w:eastAsia="方正仿宋简体" w:cs="Times New Roman"/>
          <w:b w:val="0"/>
          <w:bCs w:val="0"/>
          <w:kern w:val="2"/>
          <w:sz w:val="33"/>
          <w:szCs w:val="33"/>
          <w:highlight w:val="none"/>
          <w:lang w:val="en-US" w:eastAsia="zh-CN" w:bidi="ar-SA"/>
        </w:rPr>
        <w:t>1</w:t>
      </w:r>
      <w:r>
        <w:rPr>
          <w:rFonts w:hint="default" w:ascii="Times New Roman" w:hAnsi="Times New Roman" w:eastAsia="方正仿宋简体" w:cs="Times New Roman"/>
          <w:b w:val="0"/>
          <w:bCs w:val="0"/>
          <w:kern w:val="2"/>
          <w:sz w:val="33"/>
          <w:szCs w:val="33"/>
          <w:lang w:val="en-US" w:eastAsia="zh-CN" w:bidi="ar-SA"/>
        </w:rPr>
        <w:t>个百分点以上，工业投资增长50%以上，新培育规模以上工业企业10户，新签约工业项目10个以上、投资额40亿元以上，新开工项目12个、竣工项目9个。</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firstLine="643" w:firstLineChars="200"/>
        <w:jc w:val="both"/>
        <w:textAlignment w:val="auto"/>
        <w:rPr>
          <w:rFonts w:hint="default" w:ascii="Times New Roman" w:hAnsi="Times New Roman" w:eastAsia="方正仿宋简体" w:cs="Times New Roman"/>
          <w:b w:val="0"/>
          <w:bCs w:val="0"/>
          <w:sz w:val="33"/>
          <w:szCs w:val="33"/>
          <w:lang w:val="en-US" w:eastAsia="zh-CN"/>
        </w:rPr>
      </w:pPr>
      <w:r>
        <w:rPr>
          <w:rFonts w:hint="default" w:ascii="Times New Roman" w:hAnsi="Times New Roman" w:eastAsia="方正仿宋简体" w:cs="Times New Roman"/>
          <w:b/>
          <w:bCs/>
          <w:sz w:val="32"/>
          <w:szCs w:val="32"/>
          <w:highlight w:val="none"/>
          <w:lang w:val="en-US" w:eastAsia="zh-CN"/>
        </w:rPr>
        <w:t xml:space="preserve">1. </w:t>
      </w:r>
      <w:r>
        <w:rPr>
          <w:rFonts w:hint="default" w:ascii="Times New Roman" w:hAnsi="Times New Roman" w:eastAsia="方正仿宋简体" w:cs="Times New Roman"/>
          <w:b/>
          <w:bCs/>
          <w:kern w:val="2"/>
          <w:sz w:val="33"/>
          <w:szCs w:val="33"/>
          <w:lang w:val="en-US" w:eastAsia="zh-CN" w:bidi="ar-SA"/>
        </w:rPr>
        <w:t>重构工业布局，拓展产业空间。</w:t>
      </w:r>
      <w:r>
        <w:rPr>
          <w:rFonts w:hint="default" w:ascii="Times New Roman" w:hAnsi="Times New Roman" w:eastAsia="方正仿宋简体" w:cs="Times New Roman"/>
          <w:b w:val="0"/>
          <w:bCs w:val="0"/>
          <w:kern w:val="2"/>
          <w:sz w:val="33"/>
          <w:szCs w:val="33"/>
          <w:lang w:val="en-US" w:eastAsia="zh-CN" w:bidi="ar-SA"/>
        </w:rPr>
        <w:t>围绕“产、城、人”融合发展理念，立足城东新区聚人，依托现有基础设施条件，启动城东医药食品产业园空间布局工作。</w:t>
      </w:r>
      <w:r>
        <w:rPr>
          <w:rFonts w:hint="default" w:ascii="Times New Roman" w:hAnsi="Times New Roman" w:eastAsia="方正仿宋简体" w:cs="Times New Roman"/>
          <w:b w:val="0"/>
          <w:bCs w:val="0"/>
          <w:sz w:val="33"/>
          <w:szCs w:val="33"/>
          <w:lang w:val="en-US" w:eastAsia="zh-CN"/>
        </w:rPr>
        <w:t>用好用活集体经济建设</w:t>
      </w:r>
      <w:r>
        <w:rPr>
          <w:rFonts w:hint="eastAsia" w:ascii="Times New Roman" w:hAnsi="Times New Roman" w:eastAsia="方正仿宋简体" w:cs="Times New Roman"/>
          <w:b w:val="0"/>
          <w:bCs w:val="0"/>
          <w:sz w:val="33"/>
          <w:szCs w:val="33"/>
          <w:lang w:val="en-US" w:eastAsia="zh-CN"/>
        </w:rPr>
        <w:t>用地</w:t>
      </w:r>
      <w:r>
        <w:rPr>
          <w:rFonts w:hint="default" w:ascii="Times New Roman" w:hAnsi="Times New Roman" w:eastAsia="方正仿宋简体" w:cs="Times New Roman"/>
          <w:b w:val="0"/>
          <w:bCs w:val="0"/>
          <w:sz w:val="33"/>
          <w:szCs w:val="33"/>
          <w:lang w:val="en-US" w:eastAsia="zh-CN"/>
        </w:rPr>
        <w:t>指标，根据用地条件、综合开发成本等因素，研究拓宽城东医药食品产业园发展空间2平方公里，2023年新增工业用地750亩。积极向上争取用地指标，用好工业用地出让约束机制，采用项目置换、兼并重组、依法回收等方式盘活闲置土地300亩以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firstLine="643" w:firstLineChars="200"/>
        <w:jc w:val="both"/>
        <w:textAlignment w:val="auto"/>
        <w:rPr>
          <w:rFonts w:hint="default" w:ascii="Times New Roman" w:hAnsi="Times New Roman" w:eastAsia="方正仿宋简体" w:cs="Times New Roman"/>
          <w:b w:val="0"/>
          <w:bCs w:val="0"/>
          <w:kern w:val="2"/>
          <w:sz w:val="33"/>
          <w:szCs w:val="33"/>
          <w:highlight w:val="none"/>
          <w:lang w:val="en-US" w:eastAsia="zh-CN" w:bidi="ar-SA"/>
        </w:rPr>
      </w:pPr>
      <w:r>
        <w:rPr>
          <w:rFonts w:hint="default" w:ascii="Times New Roman" w:hAnsi="Times New Roman" w:eastAsia="方正仿宋简体" w:cs="Times New Roman"/>
          <w:b/>
          <w:bCs/>
          <w:sz w:val="32"/>
          <w:szCs w:val="32"/>
          <w:highlight w:val="none"/>
          <w:lang w:val="en-US" w:eastAsia="zh-CN"/>
        </w:rPr>
        <w:t xml:space="preserve">2. </w:t>
      </w:r>
      <w:r>
        <w:rPr>
          <w:rFonts w:hint="default" w:ascii="Times New Roman" w:hAnsi="Times New Roman" w:eastAsia="方正仿宋简体" w:cs="Times New Roman"/>
          <w:b/>
          <w:bCs/>
          <w:kern w:val="2"/>
          <w:sz w:val="33"/>
          <w:szCs w:val="33"/>
          <w:lang w:val="en-US" w:eastAsia="zh-CN" w:bidi="ar-SA"/>
        </w:rPr>
        <w:t>完善基础配套，提升承载能力。</w:t>
      </w:r>
      <w:r>
        <w:rPr>
          <w:rFonts w:hint="default" w:ascii="Times New Roman" w:hAnsi="Times New Roman" w:eastAsia="方正仿宋简体" w:cs="Times New Roman"/>
          <w:b w:val="0"/>
          <w:bCs w:val="0"/>
          <w:kern w:val="2"/>
          <w:sz w:val="33"/>
          <w:szCs w:val="33"/>
          <w:lang w:val="en-US" w:eastAsia="zh-CN" w:bidi="ar-SA"/>
        </w:rPr>
        <w:t>强化生产要素保障，实施中和110KV变电站、中和工业污水处理厂扩容建设，引入企业投资建设园区综合能源配套设施。扩建园区骨干路网，启动雁江临空制造配套产业园5号道路延长线、6号</w:t>
      </w:r>
      <w:r>
        <w:rPr>
          <w:rFonts w:hint="default" w:ascii="Times New Roman" w:hAnsi="Times New Roman" w:eastAsia="方正仿宋简体" w:cs="Times New Roman"/>
          <w:b w:val="0"/>
          <w:bCs w:val="0"/>
          <w:kern w:val="2"/>
          <w:sz w:val="33"/>
          <w:szCs w:val="33"/>
          <w:highlight w:val="none"/>
          <w:lang w:val="en-US" w:eastAsia="zh-CN" w:bidi="ar-SA"/>
        </w:rPr>
        <w:t>道路B段、桐子路延长线B段、中园路建设。完善生活功能配套，启动雁江临空制造配套产业园邻里中心、安置房二期建设，保障入驻企业发展和拆迁安置需要。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left="0" w:firstLine="643" w:firstLineChars="200"/>
        <w:jc w:val="both"/>
        <w:textAlignment w:val="auto"/>
        <w:rPr>
          <w:rFonts w:hint="default" w:ascii="Times New Roman" w:hAnsi="Times New Roman" w:eastAsia="方正仿宋简体" w:cs="Times New Roman"/>
          <w:b w:val="0"/>
          <w:bCs w:val="0"/>
          <w:color w:val="auto"/>
          <w:sz w:val="33"/>
          <w:szCs w:val="33"/>
          <w:highlight w:val="none"/>
          <w:lang w:val="en-US" w:eastAsia="zh-CN"/>
        </w:rPr>
      </w:pPr>
      <w:r>
        <w:rPr>
          <w:rFonts w:hint="default" w:ascii="Times New Roman" w:hAnsi="Times New Roman" w:eastAsia="方正仿宋简体" w:cs="Times New Roman"/>
          <w:b/>
          <w:bCs/>
          <w:sz w:val="32"/>
          <w:szCs w:val="32"/>
          <w:highlight w:val="none"/>
          <w:lang w:val="en-US" w:eastAsia="zh-CN"/>
        </w:rPr>
        <w:t xml:space="preserve">3. </w:t>
      </w:r>
      <w:r>
        <w:rPr>
          <w:rFonts w:hint="default" w:ascii="Times New Roman" w:hAnsi="Times New Roman" w:eastAsia="方正仿宋简体" w:cs="Times New Roman"/>
          <w:b/>
          <w:bCs/>
          <w:kern w:val="2"/>
          <w:sz w:val="33"/>
          <w:szCs w:val="33"/>
          <w:highlight w:val="none"/>
          <w:lang w:val="en-US" w:eastAsia="zh-CN" w:bidi="ar-SA"/>
        </w:rPr>
        <w:t>推进项目攻坚，增强发展后劲。</w:t>
      </w:r>
      <w:r>
        <w:rPr>
          <w:rFonts w:hint="default" w:ascii="Times New Roman" w:hAnsi="Times New Roman" w:eastAsia="方正仿宋简体" w:cs="Times New Roman"/>
          <w:b w:val="0"/>
          <w:bCs w:val="0"/>
          <w:color w:val="auto"/>
          <w:sz w:val="33"/>
          <w:szCs w:val="33"/>
          <w:highlight w:val="none"/>
          <w:lang w:val="en-US" w:eastAsia="zh-CN"/>
        </w:rPr>
        <w:t>聚焦食品饮料、医药与大健康、天然气开发利用主导产业，滚动策划储备</w:t>
      </w:r>
      <w:r>
        <w:rPr>
          <w:rFonts w:hint="default" w:ascii="Times New Roman" w:hAnsi="Times New Roman" w:eastAsia="方正仿宋简体" w:cs="Times New Roman"/>
          <w:b w:val="0"/>
          <w:bCs w:val="0"/>
          <w:color w:val="auto"/>
          <w:kern w:val="2"/>
          <w:sz w:val="33"/>
          <w:szCs w:val="33"/>
          <w:highlight w:val="none"/>
          <w:lang w:val="en-US" w:eastAsia="zh-CN" w:bidi="ar-SA"/>
        </w:rPr>
        <w:t>工业领域项目50个、总投资200亿元以上。</w:t>
      </w:r>
      <w:r>
        <w:rPr>
          <w:rFonts w:hint="default" w:ascii="Times New Roman" w:hAnsi="Times New Roman" w:eastAsia="方正仿宋简体" w:cs="Times New Roman"/>
          <w:b w:val="0"/>
          <w:bCs w:val="0"/>
          <w:color w:val="auto"/>
          <w:sz w:val="33"/>
          <w:szCs w:val="33"/>
          <w:highlight w:val="none"/>
          <w:lang w:val="en-US" w:eastAsia="zh-CN"/>
        </w:rPr>
        <w:t>对在建项目实行倒排工期、挂图作战，对进展缓慢项目实行跟踪服务、精准</w:t>
      </w:r>
      <w:r>
        <w:rPr>
          <w:rFonts w:hint="default" w:ascii="Times New Roman" w:hAnsi="Times New Roman" w:eastAsia="方正仿宋简体" w:cs="Times New Roman"/>
          <w:b w:val="0"/>
          <w:bCs w:val="0"/>
          <w:color w:val="auto"/>
          <w:sz w:val="33"/>
          <w:szCs w:val="33"/>
          <w:highlight w:val="none"/>
          <w:lang w:val="en-US" w:eastAsia="zh-CN"/>
        </w:rPr>
        <w:t>问效，2023年，重点推动光珲食品、绿杉新能源设备等12个项目开工建设，振兴产业园、丰源钢构等9个项目竣工投产，10KV以下配电网、川渝特高压等11个项目加快建设。全年计划实施重点工业及配套项目32个，总投资80.9亿元，年度计划投资28.3亿元，力争工业固定资产投资增长50%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firstLine="643" w:firstLineChars="200"/>
        <w:textAlignment w:val="auto"/>
        <w:rPr>
          <w:rFonts w:hint="default" w:ascii="Times New Roman" w:hAnsi="Times New Roman" w:eastAsia="方正仿宋简体" w:cs="Times New Roman"/>
          <w:b w:val="0"/>
          <w:bCs w:val="0"/>
          <w:color w:val="auto"/>
          <w:kern w:val="2"/>
          <w:sz w:val="33"/>
          <w:szCs w:val="33"/>
          <w:highlight w:val="none"/>
          <w:lang w:val="en-US" w:eastAsia="zh-CN" w:bidi="ar-SA"/>
        </w:rPr>
      </w:pPr>
      <w:r>
        <w:rPr>
          <w:rFonts w:hint="default" w:ascii="Times New Roman" w:hAnsi="Times New Roman" w:eastAsia="方正仿宋简体" w:cs="Times New Roman"/>
          <w:b/>
          <w:bCs/>
          <w:sz w:val="32"/>
          <w:szCs w:val="32"/>
          <w:highlight w:val="none"/>
          <w:lang w:val="en-US" w:eastAsia="zh-CN"/>
        </w:rPr>
        <w:t xml:space="preserve">4. </w:t>
      </w:r>
      <w:r>
        <w:rPr>
          <w:rFonts w:hint="default" w:ascii="Times New Roman" w:hAnsi="Times New Roman" w:eastAsia="方正仿宋简体" w:cs="Times New Roman"/>
          <w:b/>
          <w:bCs/>
          <w:kern w:val="2"/>
          <w:sz w:val="33"/>
          <w:szCs w:val="33"/>
          <w:highlight w:val="none"/>
          <w:lang w:val="en-US" w:eastAsia="zh-CN" w:bidi="ar-SA"/>
        </w:rPr>
        <w:t>加快企业招引，储备发展增量。</w:t>
      </w:r>
      <w:r>
        <w:rPr>
          <w:rFonts w:hint="default" w:ascii="Times New Roman" w:hAnsi="Times New Roman" w:eastAsia="方正仿宋简体" w:cs="Times New Roman"/>
          <w:b w:val="0"/>
          <w:bCs w:val="0"/>
          <w:color w:val="auto"/>
          <w:kern w:val="2"/>
          <w:sz w:val="33"/>
          <w:szCs w:val="33"/>
          <w:highlight w:val="none"/>
          <w:lang w:val="en-US" w:eastAsia="zh-CN" w:bidi="ar-SA"/>
        </w:rPr>
        <w:t>聚焦主导产业发展方向和产业链关键领域、缺失领域，精准细化制定“两图一表”，全覆盖广撒网，咬定目标行业、重点企业不放松。围绕食品饮料、医药与大健康产业补链、集链、壮链，以预制菜、酒水饮料、航空食品为目标，招引食品饮料及配套项目10个以上、投资额25亿元以上；以院内制剂中心、西部生育健康服务中心项目为突破口，招引中医药、大健康产业链项目3个以上、投资额10亿元以上；围绕天然气勘探开发利用，引入投资5亿元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0" w:lineRule="exact"/>
        <w:ind w:left="0" w:firstLine="643" w:firstLineChars="200"/>
        <w:jc w:val="both"/>
        <w:textAlignment w:val="auto"/>
        <w:rPr>
          <w:rFonts w:hint="default" w:ascii="Times New Roman" w:hAnsi="Times New Roman" w:eastAsia="方正仿宋简体" w:cs="Times New Roman"/>
          <w:b w:val="0"/>
          <w:bCs w:val="0"/>
          <w:color w:val="auto"/>
          <w:kern w:val="2"/>
          <w:sz w:val="33"/>
          <w:szCs w:val="33"/>
          <w:highlight w:val="none"/>
          <w:lang w:val="en-US" w:eastAsia="zh-CN" w:bidi="ar-SA"/>
        </w:rPr>
      </w:pPr>
      <w:r>
        <w:rPr>
          <w:rFonts w:hint="default" w:ascii="Times New Roman" w:hAnsi="Times New Roman" w:eastAsia="方正仿宋简体" w:cs="Times New Roman"/>
          <w:b/>
          <w:bCs/>
          <w:sz w:val="32"/>
          <w:szCs w:val="32"/>
          <w:highlight w:val="none"/>
          <w:lang w:val="en-US" w:eastAsia="zh-CN"/>
        </w:rPr>
        <w:t xml:space="preserve">5. </w:t>
      </w:r>
      <w:r>
        <w:rPr>
          <w:rFonts w:hint="default" w:ascii="Times New Roman" w:hAnsi="Times New Roman" w:eastAsia="方正仿宋简体" w:cs="Times New Roman"/>
          <w:b/>
          <w:bCs/>
          <w:kern w:val="2"/>
          <w:sz w:val="33"/>
          <w:szCs w:val="33"/>
          <w:highlight w:val="none"/>
          <w:lang w:val="en-US" w:eastAsia="zh-CN" w:bidi="ar-SA"/>
        </w:rPr>
        <w:t>加快企业培育，夯实发展基础。</w:t>
      </w:r>
      <w:r>
        <w:rPr>
          <w:rFonts w:hint="default" w:ascii="Times New Roman" w:hAnsi="Times New Roman" w:eastAsia="方正仿宋简体" w:cs="Times New Roman"/>
          <w:b w:val="0"/>
          <w:bCs w:val="0"/>
          <w:color w:val="auto"/>
          <w:kern w:val="2"/>
          <w:sz w:val="33"/>
          <w:szCs w:val="33"/>
          <w:highlight w:val="none"/>
          <w:lang w:val="en-US" w:eastAsia="zh-CN" w:bidi="ar-SA"/>
        </w:rPr>
        <w:t>实施“企业梯度培育计划”，支持龙头企业做大做强，推动安井食品预制菜生产线投产达效，加速二期项目产能释放，力争产值突破10亿元。推动专精企业上榜升级，梯次培育金辉制药、捷邦电子等骨干企业走“专精特新”发展路子，2023年新培育产值超1亿元企业3户，总量达到10户；新培育“专精特新”企业1户，总量达到5户；新培育国家高新技术企业2户，总量达到6户。培育小微企业升规入库，建立梯次培育清单，力争2023年规模以上工业企业突破50户。</w:t>
      </w:r>
    </w:p>
    <w:p>
      <w:pPr>
        <w:keepNext w:val="0"/>
        <w:keepLines w:val="0"/>
        <w:pageBreakBefore w:val="0"/>
        <w:widowControl w:val="0"/>
        <w:kinsoku/>
        <w:wordWrap/>
        <w:overflowPunct/>
        <w:topLinePunct w:val="0"/>
        <w:autoSpaceDE/>
        <w:autoSpaceDN/>
        <w:bidi w:val="0"/>
        <w:adjustRightInd/>
        <w:snapToGrid/>
        <w:spacing w:line="590" w:lineRule="exact"/>
        <w:ind w:left="0" w:firstLine="643" w:firstLineChars="200"/>
        <w:textAlignment w:val="auto"/>
        <w:rPr>
          <w:rFonts w:ascii="宋体" w:hAnsi="宋体" w:eastAsia="方正仿宋简体"/>
          <w:color w:val="000000"/>
          <w:sz w:val="33"/>
          <w:szCs w:val="33"/>
          <w:highlight w:val="none"/>
        </w:rPr>
      </w:pPr>
      <w:r>
        <w:rPr>
          <w:rFonts w:hint="default" w:ascii="Times New Roman" w:hAnsi="Times New Roman" w:eastAsia="方正仿宋简体" w:cs="Times New Roman"/>
          <w:b/>
          <w:bCs/>
          <w:sz w:val="32"/>
          <w:szCs w:val="32"/>
          <w:highlight w:val="none"/>
          <w:lang w:val="en-US" w:eastAsia="zh-CN"/>
        </w:rPr>
        <w:t xml:space="preserve">6. </w:t>
      </w:r>
      <w:r>
        <w:rPr>
          <w:rFonts w:hint="default" w:ascii="Times New Roman" w:hAnsi="Times New Roman" w:eastAsia="方正仿宋简体" w:cs="Times New Roman"/>
          <w:b/>
          <w:bCs/>
          <w:kern w:val="2"/>
          <w:sz w:val="33"/>
          <w:szCs w:val="33"/>
          <w:highlight w:val="none"/>
          <w:lang w:val="en-US" w:eastAsia="zh-CN" w:bidi="ar-SA"/>
        </w:rPr>
        <w:t>优化服务保障，营造良好环境。</w:t>
      </w:r>
      <w:r>
        <w:rPr>
          <w:rFonts w:hint="default" w:ascii="Times New Roman" w:hAnsi="Times New Roman" w:eastAsia="方正仿宋简体" w:cs="Times New Roman"/>
          <w:b w:val="0"/>
          <w:bCs w:val="0"/>
          <w:color w:val="auto"/>
          <w:kern w:val="2"/>
          <w:sz w:val="33"/>
          <w:szCs w:val="33"/>
          <w:highlight w:val="none"/>
          <w:lang w:val="en-US" w:eastAsia="zh-CN" w:bidi="ar-SA"/>
        </w:rPr>
        <w:t>建立“店小二”服务机制，确保企业、项目实现全覆盖“一对一”服务；建立问题销号考核制度，设立服务效率问题投诉箱，倒逼干部强化纪律意识、服务意识。建立融资对接机制，每季度组织开展银企专题对接，</w:t>
      </w:r>
      <w:r>
        <w:rPr>
          <w:rFonts w:hint="default" w:ascii="Times New Roman" w:hAnsi="Times New Roman" w:eastAsia="方正仿宋简体" w:cs="Times New Roman"/>
          <w:b w:val="0"/>
          <w:bCs w:val="0"/>
          <w:color w:val="auto"/>
          <w:kern w:val="2"/>
          <w:sz w:val="33"/>
          <w:szCs w:val="33"/>
          <w:highlight w:val="none"/>
          <w:lang w:val="en-US" w:eastAsia="zh-CN" w:bidi="ar-SA"/>
        </w:rPr>
        <w:t>协调金融机构主动靠前、下沉服务，促进信贷融资降低门槛、扩大规模。探索建立产业创新孵化中心，引入专业机构运营众创空间，推动高新技术企业、科技型中小企业增长。</w:t>
      </w:r>
    </w:p>
    <w:p>
      <w:pPr>
        <w:spacing w:line="600" w:lineRule="exact"/>
        <w:ind w:firstLine="640" w:firstLineChars="200"/>
        <w:rPr>
          <w:rFonts w:eastAsia="黑体"/>
          <w:sz w:val="32"/>
          <w:szCs w:val="32"/>
          <w:highlight w:val="none"/>
        </w:rPr>
      </w:pPr>
      <w:r>
        <w:rPr>
          <w:rFonts w:eastAsia="黑体"/>
          <w:sz w:val="32"/>
          <w:szCs w:val="32"/>
          <w:highlight w:val="none"/>
        </w:rPr>
        <w:t>二、部门</w:t>
      </w:r>
      <w:r>
        <w:rPr>
          <w:rFonts w:hint="eastAsia" w:eastAsia="黑体"/>
          <w:sz w:val="32"/>
          <w:szCs w:val="32"/>
          <w:highlight w:val="none"/>
        </w:rPr>
        <w:t>预算单位构成</w:t>
      </w:r>
    </w:p>
    <w:p>
      <w:pPr>
        <w:spacing w:line="600" w:lineRule="exact"/>
        <w:ind w:firstLine="633" w:firstLineChars="192"/>
        <w:rPr>
          <w:rFonts w:eastAsia="方正仿宋简体"/>
          <w:sz w:val="32"/>
          <w:szCs w:val="32"/>
          <w:highlight w:val="none"/>
        </w:rPr>
      </w:pPr>
      <w:r>
        <w:rPr>
          <w:rFonts w:eastAsia="方正仿宋简体"/>
          <w:sz w:val="33"/>
          <w:szCs w:val="33"/>
          <w:highlight w:val="none"/>
        </w:rPr>
        <w:t>资阳市雁江区经济科技信息化局下属事业单位2个，主要包括：</w:t>
      </w:r>
      <w:r>
        <w:rPr>
          <w:rFonts w:eastAsia="方正仿宋简体"/>
          <w:sz w:val="32"/>
          <w:szCs w:val="32"/>
          <w:highlight w:val="none"/>
        </w:rPr>
        <w:t>雁江区节能监察中心、雁江区科技信息研究所。</w:t>
      </w:r>
    </w:p>
    <w:p>
      <w:pPr>
        <w:spacing w:line="600" w:lineRule="exact"/>
        <w:ind w:firstLine="640" w:firstLineChars="200"/>
        <w:rPr>
          <w:rFonts w:eastAsia="黑体"/>
          <w:sz w:val="32"/>
          <w:szCs w:val="32"/>
          <w:highlight w:val="none"/>
        </w:rPr>
      </w:pPr>
      <w:r>
        <w:rPr>
          <w:rFonts w:eastAsia="黑体"/>
          <w:sz w:val="32"/>
          <w:szCs w:val="32"/>
          <w:highlight w:val="none"/>
        </w:rPr>
        <w:t>三、收支预算情况</w:t>
      </w:r>
      <w:r>
        <w:rPr>
          <w:rFonts w:hint="eastAsia" w:eastAsia="黑体"/>
          <w:sz w:val="32"/>
          <w:szCs w:val="32"/>
          <w:highlight w:val="none"/>
        </w:rPr>
        <w:t>说明</w:t>
      </w:r>
      <w:r>
        <w:rPr>
          <w:rFonts w:eastAsia="黑体"/>
          <w:sz w:val="32"/>
          <w:szCs w:val="32"/>
          <w:highlight w:val="none"/>
        </w:rPr>
        <w:t xml:space="preserve"> </w:t>
      </w:r>
    </w:p>
    <w:p>
      <w:pPr>
        <w:adjustRightInd w:val="0"/>
        <w:snapToGrid w:val="0"/>
        <w:spacing w:line="600" w:lineRule="exact"/>
        <w:ind w:firstLine="640" w:firstLineChars="200"/>
        <w:rPr>
          <w:rFonts w:eastAsia="方正仿宋简体"/>
          <w:color w:val="FF0000"/>
          <w:sz w:val="32"/>
          <w:szCs w:val="32"/>
          <w:highlight w:val="none"/>
        </w:rPr>
      </w:pPr>
      <w:r>
        <w:rPr>
          <w:rFonts w:eastAsia="方正仿宋简体"/>
          <w:sz w:val="32"/>
          <w:szCs w:val="32"/>
          <w:highlight w:val="none"/>
        </w:rPr>
        <w:t>按照综合预算的原则，资阳市雁江区经济科技信息化局所有收入和支出均纳入部门预算管理。收入包括：一般公共预算拨款收入</w:t>
      </w:r>
      <w:r>
        <w:rPr>
          <w:rFonts w:hint="eastAsia" w:eastAsia="方正仿宋简体"/>
          <w:sz w:val="32"/>
          <w:szCs w:val="32"/>
          <w:highlight w:val="none"/>
          <w:lang w:val="en-US" w:eastAsia="zh-CN"/>
        </w:rPr>
        <w:t>636.44</w:t>
      </w:r>
      <w:r>
        <w:rPr>
          <w:rFonts w:eastAsia="方正仿宋简体"/>
          <w:sz w:val="32"/>
          <w:szCs w:val="32"/>
          <w:highlight w:val="none"/>
        </w:rPr>
        <w:t>万元；支出包括：</w:t>
      </w:r>
      <w:r>
        <w:rPr>
          <w:rFonts w:hint="eastAsia" w:eastAsia="方正仿宋简体"/>
          <w:sz w:val="32"/>
          <w:szCs w:val="32"/>
          <w:highlight w:val="none"/>
        </w:rPr>
        <w:t>科技成果转化与扩散</w:t>
      </w:r>
      <w:r>
        <w:rPr>
          <w:rFonts w:hint="eastAsia" w:eastAsia="方正仿宋简体"/>
          <w:sz w:val="32"/>
          <w:szCs w:val="32"/>
          <w:highlight w:val="none"/>
          <w:lang w:eastAsia="zh-CN"/>
        </w:rPr>
        <w:t>支出</w:t>
      </w:r>
      <w:r>
        <w:rPr>
          <w:rFonts w:hint="eastAsia" w:eastAsia="方正仿宋简体"/>
          <w:sz w:val="32"/>
          <w:szCs w:val="32"/>
          <w:highlight w:val="none"/>
          <w:lang w:val="en-US" w:eastAsia="zh-CN"/>
        </w:rPr>
        <w:t>10</w:t>
      </w:r>
      <w:r>
        <w:rPr>
          <w:rFonts w:eastAsia="方正仿宋简体"/>
          <w:sz w:val="32"/>
          <w:szCs w:val="32"/>
          <w:highlight w:val="none"/>
        </w:rPr>
        <w:t>万元</w:t>
      </w:r>
      <w:r>
        <w:rPr>
          <w:rFonts w:hint="eastAsia" w:eastAsia="方正仿宋简体"/>
          <w:sz w:val="32"/>
          <w:szCs w:val="32"/>
          <w:highlight w:val="none"/>
          <w:lang w:eastAsia="zh-CN"/>
        </w:rPr>
        <w:t>、</w:t>
      </w:r>
      <w:r>
        <w:rPr>
          <w:rFonts w:hint="eastAsia" w:eastAsia="方正仿宋简体"/>
          <w:sz w:val="32"/>
          <w:szCs w:val="32"/>
          <w:highlight w:val="none"/>
        </w:rPr>
        <w:t>社会保障和就业支出</w:t>
      </w:r>
      <w:r>
        <w:rPr>
          <w:rFonts w:hint="eastAsia" w:eastAsia="方正仿宋简体"/>
          <w:sz w:val="32"/>
          <w:szCs w:val="32"/>
          <w:highlight w:val="none"/>
          <w:lang w:val="en-US" w:eastAsia="zh-CN"/>
        </w:rPr>
        <w:t>58.36</w:t>
      </w:r>
      <w:r>
        <w:rPr>
          <w:rFonts w:hint="eastAsia" w:eastAsia="方正仿宋简体"/>
          <w:sz w:val="32"/>
          <w:szCs w:val="32"/>
          <w:highlight w:val="none"/>
        </w:rPr>
        <w:t>万元</w:t>
      </w:r>
      <w:r>
        <w:rPr>
          <w:rFonts w:hint="eastAsia" w:eastAsia="方正仿宋简体"/>
          <w:sz w:val="32"/>
          <w:szCs w:val="32"/>
          <w:highlight w:val="none"/>
          <w:lang w:eastAsia="zh-CN"/>
        </w:rPr>
        <w:t>、</w:t>
      </w:r>
      <w:r>
        <w:rPr>
          <w:rFonts w:hint="eastAsia" w:eastAsia="方正仿宋简体"/>
          <w:sz w:val="32"/>
          <w:szCs w:val="32"/>
          <w:highlight w:val="none"/>
        </w:rPr>
        <w:t>卫生健康支出</w:t>
      </w:r>
      <w:r>
        <w:rPr>
          <w:rFonts w:hint="eastAsia" w:eastAsia="方正仿宋简体"/>
          <w:sz w:val="32"/>
          <w:szCs w:val="32"/>
          <w:highlight w:val="none"/>
          <w:lang w:val="en-US" w:eastAsia="zh-CN"/>
        </w:rPr>
        <w:t>26.1</w:t>
      </w:r>
      <w:r>
        <w:rPr>
          <w:rFonts w:hint="eastAsia" w:eastAsia="方正仿宋简体"/>
          <w:sz w:val="32"/>
          <w:szCs w:val="32"/>
          <w:highlight w:val="none"/>
        </w:rPr>
        <w:t>万元</w:t>
      </w:r>
      <w:r>
        <w:rPr>
          <w:rFonts w:hint="eastAsia" w:eastAsia="方正仿宋简体"/>
          <w:sz w:val="32"/>
          <w:szCs w:val="32"/>
          <w:highlight w:val="none"/>
          <w:lang w:eastAsia="zh-CN"/>
        </w:rPr>
        <w:t>、</w:t>
      </w:r>
      <w:r>
        <w:rPr>
          <w:rFonts w:hint="eastAsia" w:eastAsia="方正仿宋简体"/>
          <w:sz w:val="32"/>
          <w:szCs w:val="32"/>
          <w:highlight w:val="none"/>
        </w:rPr>
        <w:t>资源勘探工业信息等支出</w:t>
      </w:r>
      <w:r>
        <w:rPr>
          <w:rFonts w:hint="eastAsia" w:eastAsia="方正仿宋简体"/>
          <w:sz w:val="32"/>
          <w:szCs w:val="32"/>
          <w:highlight w:val="none"/>
          <w:lang w:val="en-US" w:eastAsia="zh-CN"/>
        </w:rPr>
        <w:t>495.6</w:t>
      </w:r>
      <w:r>
        <w:rPr>
          <w:rFonts w:hint="eastAsia" w:eastAsia="方正仿宋简体"/>
          <w:sz w:val="32"/>
          <w:szCs w:val="32"/>
          <w:highlight w:val="none"/>
        </w:rPr>
        <w:t>万元</w:t>
      </w:r>
      <w:r>
        <w:rPr>
          <w:rFonts w:hint="eastAsia" w:eastAsia="方正仿宋简体"/>
          <w:sz w:val="32"/>
          <w:szCs w:val="32"/>
          <w:highlight w:val="none"/>
          <w:lang w:eastAsia="zh-CN"/>
        </w:rPr>
        <w:t>、</w:t>
      </w:r>
      <w:r>
        <w:rPr>
          <w:rFonts w:hint="eastAsia" w:eastAsia="方正仿宋简体"/>
          <w:sz w:val="32"/>
          <w:szCs w:val="32"/>
          <w:highlight w:val="none"/>
        </w:rPr>
        <w:t>住房保障支出</w:t>
      </w:r>
      <w:r>
        <w:rPr>
          <w:rFonts w:hint="eastAsia" w:eastAsia="方正仿宋简体"/>
          <w:sz w:val="32"/>
          <w:szCs w:val="32"/>
          <w:highlight w:val="none"/>
          <w:lang w:val="en-US" w:eastAsia="zh-CN"/>
        </w:rPr>
        <w:t>46.38</w:t>
      </w:r>
      <w:r>
        <w:rPr>
          <w:rFonts w:hint="eastAsia" w:eastAsia="方正仿宋简体"/>
          <w:sz w:val="32"/>
          <w:szCs w:val="32"/>
          <w:highlight w:val="none"/>
        </w:rPr>
        <w:t>万元。</w:t>
      </w:r>
      <w:r>
        <w:rPr>
          <w:rFonts w:eastAsia="方正仿宋简体"/>
          <w:sz w:val="32"/>
          <w:szCs w:val="32"/>
          <w:highlight w:val="none"/>
        </w:rPr>
        <w:t>资阳市雁江区雁江区经济科技信息化局202</w:t>
      </w:r>
      <w:r>
        <w:rPr>
          <w:rFonts w:hint="eastAsia" w:eastAsia="方正仿宋简体"/>
          <w:sz w:val="32"/>
          <w:szCs w:val="32"/>
          <w:highlight w:val="none"/>
        </w:rPr>
        <w:t>2</w:t>
      </w:r>
      <w:r>
        <w:rPr>
          <w:rFonts w:eastAsia="方正仿宋简体"/>
          <w:sz w:val="32"/>
          <w:szCs w:val="32"/>
          <w:highlight w:val="none"/>
        </w:rPr>
        <w:t>年收支总预算</w:t>
      </w:r>
      <w:r>
        <w:rPr>
          <w:rFonts w:hint="eastAsia" w:eastAsia="方正仿宋简体"/>
          <w:sz w:val="32"/>
          <w:szCs w:val="32"/>
          <w:highlight w:val="none"/>
          <w:lang w:val="en-US" w:eastAsia="zh-CN"/>
        </w:rPr>
        <w:t>689.3</w:t>
      </w:r>
      <w:r>
        <w:rPr>
          <w:rFonts w:eastAsia="方正仿宋简体"/>
          <w:sz w:val="32"/>
          <w:szCs w:val="32"/>
          <w:highlight w:val="none"/>
        </w:rPr>
        <w:t>万元，比202</w:t>
      </w:r>
      <w:r>
        <w:rPr>
          <w:rFonts w:hint="eastAsia" w:eastAsia="方正仿宋简体"/>
          <w:sz w:val="32"/>
          <w:szCs w:val="32"/>
          <w:highlight w:val="none"/>
          <w:lang w:val="en-US" w:eastAsia="zh-CN"/>
        </w:rPr>
        <w:t>2</w:t>
      </w:r>
      <w:r>
        <w:rPr>
          <w:rFonts w:eastAsia="方正仿宋简体"/>
          <w:sz w:val="32"/>
          <w:szCs w:val="32"/>
          <w:highlight w:val="none"/>
        </w:rPr>
        <w:t>年收支预算总数减少</w:t>
      </w:r>
      <w:r>
        <w:rPr>
          <w:rFonts w:hint="eastAsia" w:eastAsia="方正仿宋简体"/>
          <w:sz w:val="32"/>
          <w:szCs w:val="32"/>
          <w:highlight w:val="none"/>
          <w:lang w:val="en-US" w:eastAsia="zh-CN"/>
        </w:rPr>
        <w:t>52.86</w:t>
      </w:r>
      <w:r>
        <w:rPr>
          <w:rFonts w:eastAsia="方正仿宋简体"/>
          <w:sz w:val="32"/>
          <w:szCs w:val="32"/>
          <w:highlight w:val="none"/>
        </w:rPr>
        <w:t>万元，主要原因是项目支出</w:t>
      </w:r>
      <w:r>
        <w:rPr>
          <w:rFonts w:hint="eastAsia" w:eastAsia="方正仿宋简体"/>
          <w:sz w:val="32"/>
          <w:szCs w:val="32"/>
          <w:highlight w:val="none"/>
        </w:rPr>
        <w:t>科技成果转化与扩散</w:t>
      </w:r>
      <w:r>
        <w:rPr>
          <w:rFonts w:hint="eastAsia" w:eastAsia="方正仿宋简体"/>
          <w:sz w:val="32"/>
          <w:szCs w:val="32"/>
          <w:highlight w:val="none"/>
          <w:lang w:eastAsia="zh-CN"/>
        </w:rPr>
        <w:t>支出</w:t>
      </w:r>
      <w:r>
        <w:rPr>
          <w:rFonts w:eastAsia="方正仿宋简体"/>
          <w:sz w:val="32"/>
          <w:szCs w:val="32"/>
          <w:highlight w:val="none"/>
        </w:rPr>
        <w:t>减少。</w:t>
      </w:r>
    </w:p>
    <w:p>
      <w:pPr>
        <w:spacing w:line="600" w:lineRule="exact"/>
        <w:ind w:firstLine="617" w:firstLineChars="192"/>
        <w:rPr>
          <w:rFonts w:eastAsia="方正楷体简体"/>
          <w:b/>
          <w:sz w:val="32"/>
          <w:szCs w:val="32"/>
          <w:highlight w:val="none"/>
        </w:rPr>
      </w:pPr>
      <w:r>
        <w:rPr>
          <w:rFonts w:hint="eastAsia" w:eastAsia="方正楷体简体"/>
          <w:b/>
          <w:sz w:val="32"/>
          <w:szCs w:val="32"/>
          <w:highlight w:val="none"/>
        </w:rPr>
        <w:t>（一）收入预算情况</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资阳市雁江区经济科技信息化局202</w:t>
      </w:r>
      <w:r>
        <w:rPr>
          <w:rFonts w:hint="eastAsia" w:eastAsia="方正仿宋简体"/>
          <w:sz w:val="32"/>
          <w:szCs w:val="32"/>
          <w:highlight w:val="none"/>
          <w:lang w:val="en-US" w:eastAsia="zh-CN"/>
        </w:rPr>
        <w:t>3</w:t>
      </w:r>
      <w:r>
        <w:rPr>
          <w:rFonts w:eastAsia="方正仿宋简体"/>
          <w:sz w:val="32"/>
          <w:szCs w:val="32"/>
          <w:highlight w:val="none"/>
        </w:rPr>
        <w:t>年收入预算总额为</w:t>
      </w:r>
      <w:r>
        <w:rPr>
          <w:rFonts w:hint="eastAsia" w:eastAsia="方正仿宋简体"/>
          <w:sz w:val="32"/>
          <w:szCs w:val="32"/>
          <w:highlight w:val="none"/>
          <w:lang w:val="en-US" w:eastAsia="zh-CN"/>
        </w:rPr>
        <w:t>636.44</w:t>
      </w:r>
      <w:r>
        <w:rPr>
          <w:rFonts w:eastAsia="方正仿宋简体"/>
          <w:sz w:val="32"/>
          <w:szCs w:val="32"/>
          <w:highlight w:val="none"/>
        </w:rPr>
        <w:t>万元，其中：一般公共预算拨款收入</w:t>
      </w:r>
      <w:r>
        <w:rPr>
          <w:rFonts w:hint="eastAsia" w:eastAsia="方正仿宋简体"/>
          <w:sz w:val="32"/>
          <w:szCs w:val="32"/>
          <w:highlight w:val="none"/>
          <w:lang w:val="en-US" w:eastAsia="zh-CN"/>
        </w:rPr>
        <w:t>636.44</w:t>
      </w:r>
      <w:r>
        <w:rPr>
          <w:rFonts w:eastAsia="方正仿宋简体"/>
          <w:sz w:val="32"/>
          <w:szCs w:val="32"/>
          <w:highlight w:val="none"/>
        </w:rPr>
        <w:t>万元，占100%。</w:t>
      </w:r>
    </w:p>
    <w:p>
      <w:pPr>
        <w:spacing w:line="600" w:lineRule="exact"/>
        <w:ind w:firstLine="617" w:firstLineChars="192"/>
        <w:rPr>
          <w:rFonts w:eastAsia="方正楷体简体"/>
          <w:b/>
          <w:sz w:val="32"/>
          <w:szCs w:val="32"/>
          <w:highlight w:val="none"/>
        </w:rPr>
      </w:pPr>
      <w:r>
        <w:rPr>
          <w:rFonts w:hint="eastAsia" w:eastAsia="方正楷体简体"/>
          <w:b/>
          <w:sz w:val="32"/>
          <w:szCs w:val="32"/>
          <w:highlight w:val="none"/>
        </w:rPr>
        <w:t>（二）支出预算情况</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资阳市雁江区经济科技信息化局202</w:t>
      </w:r>
      <w:r>
        <w:rPr>
          <w:rFonts w:hint="eastAsia" w:eastAsia="方正仿宋简体"/>
          <w:sz w:val="32"/>
          <w:szCs w:val="32"/>
          <w:highlight w:val="none"/>
          <w:lang w:val="en-US" w:eastAsia="zh-CN"/>
        </w:rPr>
        <w:t>3</w:t>
      </w:r>
      <w:r>
        <w:rPr>
          <w:rFonts w:eastAsia="方正仿宋简体"/>
          <w:sz w:val="32"/>
          <w:szCs w:val="32"/>
          <w:highlight w:val="none"/>
        </w:rPr>
        <w:t>年支出预算总额</w:t>
      </w:r>
      <w:r>
        <w:rPr>
          <w:rFonts w:hint="eastAsia" w:eastAsia="方正仿宋简体"/>
          <w:sz w:val="32"/>
          <w:szCs w:val="32"/>
          <w:highlight w:val="none"/>
          <w:lang w:val="en-US" w:eastAsia="zh-CN"/>
        </w:rPr>
        <w:t>636.44</w:t>
      </w:r>
      <w:r>
        <w:rPr>
          <w:rFonts w:eastAsia="方正仿宋简体"/>
          <w:sz w:val="32"/>
          <w:szCs w:val="32"/>
          <w:highlight w:val="none"/>
        </w:rPr>
        <w:t>万元，其中：基本支出</w:t>
      </w:r>
      <w:r>
        <w:rPr>
          <w:rFonts w:hint="eastAsia" w:eastAsia="方正仿宋简体"/>
          <w:sz w:val="32"/>
          <w:szCs w:val="32"/>
          <w:highlight w:val="none"/>
          <w:lang w:val="en-US" w:eastAsia="zh-CN"/>
        </w:rPr>
        <w:t>581.44</w:t>
      </w:r>
      <w:r>
        <w:rPr>
          <w:rFonts w:eastAsia="方正仿宋简体"/>
          <w:sz w:val="32"/>
          <w:szCs w:val="32"/>
          <w:highlight w:val="none"/>
        </w:rPr>
        <w:t>万元，占</w:t>
      </w:r>
      <w:r>
        <w:rPr>
          <w:rFonts w:hint="eastAsia" w:eastAsia="方正仿宋简体"/>
          <w:sz w:val="32"/>
          <w:szCs w:val="32"/>
          <w:highlight w:val="none"/>
          <w:lang w:val="en-US" w:eastAsia="zh-CN"/>
        </w:rPr>
        <w:t>91.36</w:t>
      </w:r>
      <w:r>
        <w:rPr>
          <w:rFonts w:eastAsia="方正仿宋简体"/>
          <w:sz w:val="32"/>
          <w:szCs w:val="32"/>
          <w:highlight w:val="none"/>
        </w:rPr>
        <w:t>%；项目支出</w:t>
      </w:r>
      <w:r>
        <w:rPr>
          <w:rFonts w:hint="eastAsia" w:eastAsia="方正仿宋简体"/>
          <w:sz w:val="32"/>
          <w:szCs w:val="32"/>
          <w:highlight w:val="none"/>
          <w:lang w:val="en-US" w:eastAsia="zh-CN"/>
        </w:rPr>
        <w:t>55</w:t>
      </w:r>
      <w:r>
        <w:rPr>
          <w:rFonts w:eastAsia="方正仿宋简体"/>
          <w:sz w:val="32"/>
          <w:szCs w:val="32"/>
          <w:highlight w:val="none"/>
        </w:rPr>
        <w:t>万元，占</w:t>
      </w:r>
      <w:r>
        <w:rPr>
          <w:rFonts w:hint="eastAsia" w:eastAsia="方正仿宋简体"/>
          <w:sz w:val="32"/>
          <w:szCs w:val="32"/>
          <w:highlight w:val="none"/>
          <w:lang w:val="en-US" w:eastAsia="zh-CN"/>
        </w:rPr>
        <w:t>8.64</w:t>
      </w:r>
      <w:r>
        <w:rPr>
          <w:rFonts w:eastAsia="方正仿宋简体"/>
          <w:sz w:val="32"/>
          <w:szCs w:val="32"/>
          <w:highlight w:val="none"/>
        </w:rPr>
        <w:t>%。</w:t>
      </w:r>
    </w:p>
    <w:p>
      <w:pPr>
        <w:spacing w:line="600" w:lineRule="exact"/>
        <w:ind w:firstLine="640" w:firstLineChars="200"/>
        <w:rPr>
          <w:rFonts w:eastAsia="黑体"/>
          <w:sz w:val="32"/>
          <w:szCs w:val="32"/>
          <w:highlight w:val="none"/>
        </w:rPr>
      </w:pPr>
      <w:r>
        <w:rPr>
          <w:rFonts w:hint="eastAsia" w:eastAsia="黑体"/>
          <w:sz w:val="32"/>
          <w:szCs w:val="32"/>
          <w:highlight w:val="none"/>
        </w:rPr>
        <w:t>四、财政拨款收支预算情况说明</w:t>
      </w:r>
    </w:p>
    <w:p>
      <w:pPr>
        <w:adjustRightInd w:val="0"/>
        <w:snapToGrid w:val="0"/>
        <w:spacing w:line="600" w:lineRule="exact"/>
        <w:ind w:firstLine="640" w:firstLineChars="200"/>
        <w:rPr>
          <w:rFonts w:hint="eastAsia" w:eastAsia="方正仿宋简体"/>
          <w:sz w:val="32"/>
          <w:szCs w:val="32"/>
          <w:highlight w:val="none"/>
          <w:lang w:eastAsia="zh-CN"/>
        </w:rPr>
      </w:pPr>
      <w:r>
        <w:rPr>
          <w:rFonts w:eastAsia="方正仿宋简体"/>
          <w:sz w:val="32"/>
          <w:szCs w:val="32"/>
          <w:highlight w:val="none"/>
        </w:rPr>
        <w:t>资阳市雁江区雁江区经济科技信息化局</w:t>
      </w:r>
      <w:r>
        <w:rPr>
          <w:rFonts w:hint="eastAsia" w:eastAsia="方正仿宋简体"/>
          <w:sz w:val="32"/>
          <w:szCs w:val="32"/>
          <w:highlight w:val="none"/>
        </w:rPr>
        <w:t>202</w:t>
      </w:r>
      <w:r>
        <w:rPr>
          <w:rFonts w:hint="eastAsia" w:eastAsia="方正仿宋简体"/>
          <w:sz w:val="32"/>
          <w:szCs w:val="32"/>
          <w:highlight w:val="none"/>
          <w:lang w:val="en-US" w:eastAsia="zh-CN"/>
        </w:rPr>
        <w:t>3</w:t>
      </w:r>
      <w:r>
        <w:rPr>
          <w:rFonts w:hint="eastAsia" w:eastAsia="方正仿宋简体"/>
          <w:sz w:val="32"/>
          <w:szCs w:val="32"/>
          <w:highlight w:val="none"/>
        </w:rPr>
        <w:t>年财政拨款收支总预算</w:t>
      </w:r>
      <w:r>
        <w:rPr>
          <w:rFonts w:hint="eastAsia" w:eastAsia="方正仿宋简体"/>
          <w:sz w:val="32"/>
          <w:szCs w:val="32"/>
          <w:highlight w:val="none"/>
          <w:lang w:val="en-US" w:eastAsia="zh-CN"/>
        </w:rPr>
        <w:t>636.44</w:t>
      </w:r>
      <w:r>
        <w:rPr>
          <w:rFonts w:eastAsia="方正仿宋简体"/>
          <w:sz w:val="32"/>
          <w:szCs w:val="32"/>
          <w:highlight w:val="none"/>
        </w:rPr>
        <w:t>万元，比</w:t>
      </w:r>
      <w:r>
        <w:rPr>
          <w:rFonts w:hint="eastAsia" w:eastAsia="方正仿宋简体"/>
          <w:sz w:val="32"/>
          <w:szCs w:val="32"/>
          <w:highlight w:val="none"/>
        </w:rPr>
        <w:t>202</w:t>
      </w:r>
      <w:r>
        <w:rPr>
          <w:rFonts w:hint="eastAsia" w:eastAsia="方正仿宋简体"/>
          <w:sz w:val="32"/>
          <w:szCs w:val="32"/>
          <w:highlight w:val="none"/>
          <w:lang w:val="en-US" w:eastAsia="zh-CN"/>
        </w:rPr>
        <w:t>2</w:t>
      </w:r>
      <w:r>
        <w:rPr>
          <w:rFonts w:hint="eastAsia" w:eastAsia="方正仿宋简体"/>
          <w:sz w:val="32"/>
          <w:szCs w:val="32"/>
          <w:highlight w:val="none"/>
        </w:rPr>
        <w:t>年财政拨款收支总预算</w:t>
      </w:r>
      <w:r>
        <w:rPr>
          <w:rFonts w:eastAsia="方正仿宋简体"/>
          <w:sz w:val="32"/>
          <w:szCs w:val="32"/>
          <w:highlight w:val="none"/>
        </w:rPr>
        <w:t>减少</w:t>
      </w:r>
      <w:r>
        <w:rPr>
          <w:rFonts w:hint="eastAsia" w:eastAsia="方正仿宋简体"/>
          <w:sz w:val="32"/>
          <w:szCs w:val="32"/>
          <w:highlight w:val="none"/>
        </w:rPr>
        <w:t>31.18</w:t>
      </w:r>
      <w:r>
        <w:rPr>
          <w:rFonts w:eastAsia="方正仿宋简体"/>
          <w:sz w:val="32"/>
          <w:szCs w:val="32"/>
          <w:highlight w:val="none"/>
        </w:rPr>
        <w:t>万元，比202</w:t>
      </w:r>
      <w:r>
        <w:rPr>
          <w:rFonts w:hint="eastAsia" w:eastAsia="方正仿宋简体"/>
          <w:sz w:val="32"/>
          <w:szCs w:val="32"/>
          <w:highlight w:val="none"/>
          <w:lang w:val="en-US" w:eastAsia="zh-CN"/>
        </w:rPr>
        <w:t>2</w:t>
      </w:r>
      <w:r>
        <w:rPr>
          <w:rFonts w:eastAsia="方正仿宋简体"/>
          <w:sz w:val="32"/>
          <w:szCs w:val="32"/>
          <w:highlight w:val="none"/>
        </w:rPr>
        <w:t>年收支预算总数减少</w:t>
      </w:r>
      <w:r>
        <w:rPr>
          <w:rFonts w:hint="eastAsia" w:eastAsia="方正仿宋简体"/>
          <w:sz w:val="32"/>
          <w:szCs w:val="32"/>
          <w:highlight w:val="none"/>
          <w:lang w:val="en-US" w:eastAsia="zh-CN"/>
        </w:rPr>
        <w:t>52.86</w:t>
      </w:r>
      <w:r>
        <w:rPr>
          <w:rFonts w:eastAsia="方正仿宋简体"/>
          <w:sz w:val="32"/>
          <w:szCs w:val="32"/>
          <w:highlight w:val="none"/>
        </w:rPr>
        <w:t>万元，主要原因是项目支出</w:t>
      </w:r>
      <w:r>
        <w:rPr>
          <w:rFonts w:hint="eastAsia" w:eastAsia="方正仿宋简体"/>
          <w:sz w:val="32"/>
          <w:szCs w:val="32"/>
          <w:highlight w:val="none"/>
          <w:lang w:eastAsia="zh-CN"/>
        </w:rPr>
        <w:t>中</w:t>
      </w:r>
      <w:r>
        <w:rPr>
          <w:rFonts w:hint="eastAsia" w:eastAsia="方正仿宋简体"/>
          <w:sz w:val="32"/>
          <w:szCs w:val="32"/>
          <w:highlight w:val="none"/>
        </w:rPr>
        <w:t>科技成果转化与扩散</w:t>
      </w:r>
      <w:r>
        <w:rPr>
          <w:rFonts w:hint="eastAsia" w:eastAsia="方正仿宋简体"/>
          <w:sz w:val="32"/>
          <w:szCs w:val="32"/>
          <w:highlight w:val="none"/>
          <w:lang w:eastAsia="zh-CN"/>
        </w:rPr>
        <w:t>支出</w:t>
      </w:r>
      <w:r>
        <w:rPr>
          <w:rFonts w:eastAsia="方正仿宋简体"/>
          <w:sz w:val="32"/>
          <w:szCs w:val="32"/>
          <w:highlight w:val="none"/>
        </w:rPr>
        <w:t>减少</w:t>
      </w:r>
      <w:r>
        <w:rPr>
          <w:rFonts w:hint="eastAsia" w:eastAsia="方正仿宋简体"/>
          <w:sz w:val="32"/>
          <w:szCs w:val="32"/>
          <w:highlight w:val="none"/>
          <w:lang w:eastAsia="zh-CN"/>
        </w:rPr>
        <w:t>。</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收入包括：本年一般公共预算拨款收入</w:t>
      </w:r>
      <w:r>
        <w:rPr>
          <w:rFonts w:hint="eastAsia" w:eastAsia="方正仿宋简体"/>
          <w:sz w:val="32"/>
          <w:szCs w:val="32"/>
          <w:highlight w:val="none"/>
          <w:lang w:val="en-US" w:eastAsia="zh-CN"/>
        </w:rPr>
        <w:t>636.44</w:t>
      </w:r>
      <w:r>
        <w:rPr>
          <w:rFonts w:hint="eastAsia" w:eastAsia="方正仿宋简体"/>
          <w:sz w:val="32"/>
          <w:szCs w:val="32"/>
          <w:highlight w:val="none"/>
        </w:rPr>
        <w:t>万元；支出包括：科技成果转化与扩散</w:t>
      </w:r>
      <w:r>
        <w:rPr>
          <w:rFonts w:hint="eastAsia" w:eastAsia="方正仿宋简体"/>
          <w:sz w:val="32"/>
          <w:szCs w:val="32"/>
          <w:highlight w:val="none"/>
          <w:lang w:eastAsia="zh-CN"/>
        </w:rPr>
        <w:t>支出</w:t>
      </w:r>
      <w:r>
        <w:rPr>
          <w:rFonts w:hint="eastAsia" w:eastAsia="方正仿宋简体"/>
          <w:sz w:val="32"/>
          <w:szCs w:val="32"/>
          <w:highlight w:val="none"/>
          <w:lang w:val="en-US" w:eastAsia="zh-CN"/>
        </w:rPr>
        <w:t>10</w:t>
      </w:r>
      <w:r>
        <w:rPr>
          <w:rFonts w:eastAsia="方正仿宋简体"/>
          <w:sz w:val="32"/>
          <w:szCs w:val="32"/>
          <w:highlight w:val="none"/>
        </w:rPr>
        <w:t>万元、</w:t>
      </w:r>
      <w:r>
        <w:rPr>
          <w:rFonts w:hint="eastAsia" w:eastAsia="方正仿宋简体"/>
          <w:sz w:val="32"/>
          <w:szCs w:val="32"/>
          <w:highlight w:val="none"/>
          <w:lang w:eastAsia="zh-CN"/>
        </w:rPr>
        <w:t>社会保障和就业支出</w:t>
      </w:r>
      <w:r>
        <w:rPr>
          <w:rFonts w:hint="eastAsia" w:eastAsia="方正仿宋简体"/>
          <w:sz w:val="32"/>
          <w:szCs w:val="32"/>
          <w:highlight w:val="none"/>
          <w:lang w:val="en-US" w:eastAsia="zh-CN"/>
        </w:rPr>
        <w:t>58.36万元、</w:t>
      </w:r>
      <w:r>
        <w:rPr>
          <w:rFonts w:eastAsia="方正仿宋简体"/>
          <w:sz w:val="32"/>
          <w:szCs w:val="32"/>
          <w:highlight w:val="none"/>
        </w:rPr>
        <w:t>卫生健康支出</w:t>
      </w:r>
      <w:r>
        <w:rPr>
          <w:rFonts w:hint="eastAsia" w:eastAsia="方正仿宋简体"/>
          <w:sz w:val="32"/>
          <w:szCs w:val="32"/>
          <w:highlight w:val="none"/>
          <w:lang w:val="en-US" w:eastAsia="zh-CN"/>
        </w:rPr>
        <w:t>26.1</w:t>
      </w:r>
      <w:r>
        <w:rPr>
          <w:rFonts w:eastAsia="方正仿宋简体"/>
          <w:sz w:val="32"/>
          <w:szCs w:val="32"/>
          <w:highlight w:val="none"/>
        </w:rPr>
        <w:t>万元、资源勘探信息等支出</w:t>
      </w:r>
      <w:r>
        <w:rPr>
          <w:rFonts w:hint="eastAsia" w:eastAsia="方正仿宋简体"/>
          <w:sz w:val="32"/>
          <w:szCs w:val="32"/>
          <w:highlight w:val="none"/>
          <w:lang w:val="en-US" w:eastAsia="zh-CN"/>
        </w:rPr>
        <w:t>495.6</w:t>
      </w:r>
      <w:r>
        <w:rPr>
          <w:rFonts w:eastAsia="方正仿宋简体"/>
          <w:sz w:val="32"/>
          <w:szCs w:val="32"/>
          <w:highlight w:val="none"/>
        </w:rPr>
        <w:t>万元、住房保障支出</w:t>
      </w:r>
      <w:r>
        <w:rPr>
          <w:rFonts w:hint="eastAsia" w:eastAsia="方正仿宋简体"/>
          <w:sz w:val="32"/>
          <w:szCs w:val="32"/>
          <w:highlight w:val="none"/>
          <w:lang w:val="en-US" w:eastAsia="zh-CN"/>
        </w:rPr>
        <w:t>46.38</w:t>
      </w:r>
      <w:r>
        <w:rPr>
          <w:rFonts w:eastAsia="方正仿宋简体"/>
          <w:sz w:val="32"/>
          <w:szCs w:val="32"/>
          <w:highlight w:val="none"/>
        </w:rPr>
        <w:t>万元</w:t>
      </w:r>
      <w:r>
        <w:rPr>
          <w:rFonts w:hint="eastAsia" w:eastAsia="方正仿宋简体"/>
          <w:sz w:val="32"/>
          <w:szCs w:val="32"/>
          <w:highlight w:val="none"/>
        </w:rPr>
        <w:t>。</w:t>
      </w:r>
    </w:p>
    <w:p>
      <w:pPr>
        <w:spacing w:line="600" w:lineRule="exact"/>
        <w:ind w:firstLine="640" w:firstLineChars="200"/>
        <w:rPr>
          <w:rFonts w:eastAsia="黑体"/>
          <w:sz w:val="32"/>
          <w:szCs w:val="32"/>
          <w:highlight w:val="none"/>
        </w:rPr>
      </w:pPr>
      <w:r>
        <w:rPr>
          <w:rFonts w:hint="eastAsia" w:eastAsia="黑体"/>
          <w:sz w:val="32"/>
          <w:szCs w:val="32"/>
          <w:highlight w:val="none"/>
        </w:rPr>
        <w:t>五</w:t>
      </w:r>
      <w:r>
        <w:rPr>
          <w:rFonts w:eastAsia="黑体"/>
          <w:sz w:val="32"/>
          <w:szCs w:val="32"/>
          <w:highlight w:val="none"/>
        </w:rPr>
        <w:t>、</w:t>
      </w:r>
      <w:r>
        <w:rPr>
          <w:rFonts w:hint="eastAsia" w:eastAsia="黑体"/>
          <w:sz w:val="32"/>
          <w:szCs w:val="32"/>
          <w:highlight w:val="none"/>
        </w:rPr>
        <w:t>一般公共预算当年拨款情况说明</w:t>
      </w:r>
    </w:p>
    <w:p>
      <w:pPr>
        <w:spacing w:line="600" w:lineRule="exact"/>
        <w:ind w:firstLine="617" w:firstLineChars="192"/>
        <w:rPr>
          <w:rFonts w:eastAsia="方正楷体简体"/>
          <w:b/>
          <w:sz w:val="32"/>
          <w:szCs w:val="32"/>
          <w:highlight w:val="none"/>
        </w:rPr>
      </w:pPr>
      <w:r>
        <w:rPr>
          <w:rFonts w:hint="eastAsia" w:eastAsia="方正楷体简体"/>
          <w:b/>
          <w:sz w:val="32"/>
          <w:szCs w:val="32"/>
          <w:highlight w:val="none"/>
        </w:rPr>
        <w:t>（一）一般公共预算当年拨款规模变化情况</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资阳市雁江区雁江区经济科技信息化局</w:t>
      </w:r>
      <w:r>
        <w:rPr>
          <w:rFonts w:hint="eastAsia" w:eastAsia="方正仿宋简体"/>
          <w:sz w:val="32"/>
          <w:szCs w:val="32"/>
          <w:highlight w:val="none"/>
        </w:rPr>
        <w:t>202</w:t>
      </w:r>
      <w:r>
        <w:rPr>
          <w:rFonts w:hint="eastAsia" w:eastAsia="方正仿宋简体"/>
          <w:sz w:val="32"/>
          <w:szCs w:val="32"/>
          <w:highlight w:val="none"/>
          <w:lang w:val="en-US" w:eastAsia="zh-CN"/>
        </w:rPr>
        <w:t>3</w:t>
      </w:r>
      <w:r>
        <w:rPr>
          <w:rFonts w:hint="eastAsia" w:eastAsia="方正仿宋简体"/>
          <w:sz w:val="32"/>
          <w:szCs w:val="32"/>
          <w:highlight w:val="none"/>
        </w:rPr>
        <w:t>年一般公共预算当年拨款</w:t>
      </w:r>
      <w:r>
        <w:rPr>
          <w:rFonts w:hint="eastAsia" w:eastAsia="方正仿宋简体"/>
          <w:sz w:val="32"/>
          <w:szCs w:val="32"/>
          <w:highlight w:val="none"/>
          <w:lang w:val="en-US" w:eastAsia="zh-CN"/>
        </w:rPr>
        <w:t>636.44</w:t>
      </w:r>
      <w:r>
        <w:rPr>
          <w:rFonts w:eastAsia="方正仿宋简体"/>
          <w:sz w:val="32"/>
          <w:szCs w:val="32"/>
          <w:highlight w:val="none"/>
        </w:rPr>
        <w:t>万元，比202</w:t>
      </w:r>
      <w:r>
        <w:rPr>
          <w:rFonts w:hint="eastAsia" w:eastAsia="方正仿宋简体"/>
          <w:sz w:val="32"/>
          <w:szCs w:val="32"/>
          <w:highlight w:val="none"/>
          <w:lang w:val="en-US" w:eastAsia="zh-CN"/>
        </w:rPr>
        <w:t>2</w:t>
      </w:r>
      <w:r>
        <w:rPr>
          <w:rFonts w:eastAsia="方正仿宋简体"/>
          <w:sz w:val="32"/>
          <w:szCs w:val="32"/>
          <w:highlight w:val="none"/>
        </w:rPr>
        <w:t>年收支预算总数减少</w:t>
      </w:r>
      <w:r>
        <w:rPr>
          <w:rFonts w:hint="eastAsia" w:eastAsia="方正仿宋简体"/>
          <w:sz w:val="32"/>
          <w:szCs w:val="32"/>
          <w:highlight w:val="none"/>
          <w:lang w:val="en-US" w:eastAsia="zh-CN"/>
        </w:rPr>
        <w:t>52.86</w:t>
      </w:r>
      <w:r>
        <w:rPr>
          <w:rFonts w:eastAsia="方正仿宋简体"/>
          <w:sz w:val="32"/>
          <w:szCs w:val="32"/>
          <w:highlight w:val="none"/>
        </w:rPr>
        <w:t>万元，主要原因是项目支出</w:t>
      </w:r>
      <w:r>
        <w:rPr>
          <w:rFonts w:hint="eastAsia" w:eastAsia="方正仿宋简体"/>
          <w:sz w:val="32"/>
          <w:szCs w:val="32"/>
          <w:highlight w:val="none"/>
          <w:lang w:eastAsia="zh-CN"/>
        </w:rPr>
        <w:t>中</w:t>
      </w:r>
      <w:r>
        <w:rPr>
          <w:rFonts w:hint="eastAsia" w:eastAsia="方正仿宋简体"/>
          <w:sz w:val="32"/>
          <w:szCs w:val="32"/>
          <w:highlight w:val="none"/>
        </w:rPr>
        <w:t>科技成果转化与扩散</w:t>
      </w:r>
      <w:r>
        <w:rPr>
          <w:rFonts w:hint="eastAsia" w:eastAsia="方正仿宋简体"/>
          <w:sz w:val="32"/>
          <w:szCs w:val="32"/>
          <w:highlight w:val="none"/>
          <w:lang w:eastAsia="zh-CN"/>
        </w:rPr>
        <w:t>支出</w:t>
      </w:r>
      <w:r>
        <w:rPr>
          <w:rFonts w:eastAsia="方正仿宋简体"/>
          <w:sz w:val="32"/>
          <w:szCs w:val="32"/>
          <w:highlight w:val="none"/>
        </w:rPr>
        <w:t>减少。</w:t>
      </w:r>
    </w:p>
    <w:p>
      <w:pPr>
        <w:spacing w:line="600" w:lineRule="exact"/>
        <w:ind w:firstLine="617" w:firstLineChars="192"/>
        <w:rPr>
          <w:rFonts w:ascii="仿宋_GB2312" w:eastAsia="仿宋_GB2312"/>
          <w:color w:val="333333"/>
          <w:sz w:val="28"/>
          <w:szCs w:val="28"/>
          <w:highlight w:val="none"/>
        </w:rPr>
      </w:pPr>
      <w:r>
        <w:rPr>
          <w:rFonts w:hint="eastAsia" w:eastAsia="方正楷体简体"/>
          <w:b/>
          <w:sz w:val="32"/>
          <w:szCs w:val="32"/>
          <w:highlight w:val="none"/>
        </w:rPr>
        <w:t>（二）一般公共预算当年拨款结构情况</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科技成果转化与扩散</w:t>
      </w:r>
      <w:r>
        <w:rPr>
          <w:rFonts w:hint="eastAsia" w:eastAsia="方正仿宋简体"/>
          <w:sz w:val="32"/>
          <w:szCs w:val="32"/>
          <w:highlight w:val="none"/>
          <w:lang w:eastAsia="zh-CN"/>
        </w:rPr>
        <w:t>支出</w:t>
      </w:r>
      <w:r>
        <w:rPr>
          <w:rFonts w:hint="eastAsia" w:eastAsia="方正仿宋简体"/>
          <w:sz w:val="32"/>
          <w:szCs w:val="32"/>
          <w:highlight w:val="none"/>
          <w:lang w:val="en-US" w:eastAsia="zh-CN"/>
        </w:rPr>
        <w:t>10</w:t>
      </w:r>
      <w:r>
        <w:rPr>
          <w:rFonts w:eastAsia="方正仿宋简体"/>
          <w:sz w:val="32"/>
          <w:szCs w:val="32"/>
          <w:highlight w:val="none"/>
        </w:rPr>
        <w:t>万元</w:t>
      </w:r>
      <w:r>
        <w:rPr>
          <w:rFonts w:hint="eastAsia" w:eastAsia="方正仿宋简体"/>
          <w:sz w:val="32"/>
          <w:szCs w:val="32"/>
          <w:highlight w:val="none"/>
        </w:rPr>
        <w:t>，占</w:t>
      </w:r>
      <w:r>
        <w:rPr>
          <w:rFonts w:hint="eastAsia" w:eastAsia="方正仿宋简体"/>
          <w:sz w:val="32"/>
          <w:szCs w:val="32"/>
          <w:highlight w:val="none"/>
          <w:lang w:val="en-US" w:eastAsia="zh-CN"/>
        </w:rPr>
        <w:t>1.57</w:t>
      </w:r>
      <w:r>
        <w:rPr>
          <w:rFonts w:hint="eastAsia" w:eastAsia="方正仿宋简体"/>
          <w:sz w:val="32"/>
          <w:szCs w:val="32"/>
          <w:highlight w:val="none"/>
        </w:rPr>
        <w:t>%；社会保障和就业支出</w:t>
      </w:r>
      <w:r>
        <w:rPr>
          <w:rFonts w:hint="eastAsia" w:eastAsia="方正仿宋简体"/>
          <w:sz w:val="32"/>
          <w:szCs w:val="32"/>
          <w:highlight w:val="none"/>
          <w:lang w:val="en-US" w:eastAsia="zh-CN"/>
        </w:rPr>
        <w:t>58.36</w:t>
      </w:r>
      <w:r>
        <w:rPr>
          <w:rFonts w:hint="eastAsia" w:eastAsia="方正仿宋简体"/>
          <w:sz w:val="32"/>
          <w:szCs w:val="32"/>
          <w:highlight w:val="none"/>
        </w:rPr>
        <w:t>万元，占</w:t>
      </w:r>
      <w:r>
        <w:rPr>
          <w:rFonts w:hint="eastAsia" w:eastAsia="方正仿宋简体"/>
          <w:sz w:val="32"/>
          <w:szCs w:val="32"/>
          <w:highlight w:val="none"/>
          <w:lang w:val="en-US" w:eastAsia="zh-CN"/>
        </w:rPr>
        <w:t>9.17</w:t>
      </w:r>
      <w:r>
        <w:rPr>
          <w:rFonts w:hint="eastAsia" w:eastAsia="方正仿宋简体"/>
          <w:sz w:val="32"/>
          <w:szCs w:val="32"/>
          <w:highlight w:val="none"/>
        </w:rPr>
        <w:t>%；卫生健康支出</w:t>
      </w:r>
      <w:r>
        <w:rPr>
          <w:rFonts w:hint="eastAsia" w:eastAsia="方正仿宋简体"/>
          <w:sz w:val="32"/>
          <w:szCs w:val="32"/>
          <w:highlight w:val="none"/>
          <w:lang w:val="en-US" w:eastAsia="zh-CN"/>
        </w:rPr>
        <w:t>26.1</w:t>
      </w:r>
      <w:r>
        <w:rPr>
          <w:rFonts w:hint="eastAsia" w:eastAsia="方正仿宋简体"/>
          <w:sz w:val="32"/>
          <w:szCs w:val="32"/>
          <w:highlight w:val="none"/>
        </w:rPr>
        <w:t>万元，占4.1%；资源勘探工业信息等支出</w:t>
      </w:r>
      <w:r>
        <w:rPr>
          <w:rFonts w:hint="eastAsia" w:eastAsia="方正仿宋简体"/>
          <w:sz w:val="32"/>
          <w:szCs w:val="32"/>
          <w:highlight w:val="none"/>
          <w:lang w:val="en-US" w:eastAsia="zh-CN"/>
        </w:rPr>
        <w:t>495.6</w:t>
      </w:r>
      <w:r>
        <w:rPr>
          <w:rFonts w:hint="eastAsia" w:eastAsia="方正仿宋简体"/>
          <w:sz w:val="32"/>
          <w:szCs w:val="32"/>
          <w:highlight w:val="none"/>
        </w:rPr>
        <w:t>万元，占</w:t>
      </w:r>
      <w:r>
        <w:rPr>
          <w:rFonts w:hint="eastAsia" w:eastAsia="方正仿宋简体"/>
          <w:sz w:val="32"/>
          <w:szCs w:val="32"/>
          <w:highlight w:val="none"/>
          <w:lang w:val="en-US" w:eastAsia="zh-CN"/>
        </w:rPr>
        <w:t>77.87</w:t>
      </w:r>
      <w:r>
        <w:rPr>
          <w:rFonts w:hint="eastAsia" w:eastAsia="方正仿宋简体"/>
          <w:sz w:val="32"/>
          <w:szCs w:val="32"/>
          <w:highlight w:val="none"/>
        </w:rPr>
        <w:t>%；住房保障支出</w:t>
      </w:r>
      <w:r>
        <w:rPr>
          <w:rFonts w:hint="eastAsia" w:eastAsia="方正仿宋简体"/>
          <w:sz w:val="32"/>
          <w:szCs w:val="32"/>
          <w:highlight w:val="none"/>
          <w:lang w:val="en-US" w:eastAsia="zh-CN"/>
        </w:rPr>
        <w:t>46.38</w:t>
      </w:r>
      <w:r>
        <w:rPr>
          <w:rFonts w:hint="eastAsia" w:eastAsia="方正仿宋简体"/>
          <w:sz w:val="32"/>
          <w:szCs w:val="32"/>
          <w:highlight w:val="none"/>
        </w:rPr>
        <w:t>万元，占</w:t>
      </w:r>
      <w:r>
        <w:rPr>
          <w:rFonts w:hint="eastAsia" w:eastAsia="方正仿宋简体"/>
          <w:sz w:val="32"/>
          <w:szCs w:val="32"/>
          <w:highlight w:val="none"/>
          <w:lang w:val="en-US" w:eastAsia="zh-CN"/>
        </w:rPr>
        <w:t>7.29</w:t>
      </w:r>
      <w:r>
        <w:rPr>
          <w:rFonts w:hint="eastAsia" w:eastAsia="方正仿宋简体"/>
          <w:sz w:val="32"/>
          <w:szCs w:val="32"/>
          <w:highlight w:val="none"/>
        </w:rPr>
        <w:t>%。</w:t>
      </w:r>
    </w:p>
    <w:p>
      <w:pPr>
        <w:spacing w:line="600" w:lineRule="exact"/>
        <w:ind w:firstLine="617" w:firstLineChars="192"/>
        <w:rPr>
          <w:rFonts w:eastAsia="方正楷体简体"/>
          <w:b/>
          <w:bCs/>
          <w:sz w:val="32"/>
          <w:szCs w:val="32"/>
          <w:highlight w:val="none"/>
        </w:rPr>
      </w:pPr>
      <w:r>
        <w:rPr>
          <w:rFonts w:hint="eastAsia" w:eastAsia="方正楷体简体"/>
          <w:b/>
          <w:bCs/>
          <w:sz w:val="32"/>
          <w:szCs w:val="32"/>
          <w:highlight w:val="none"/>
        </w:rPr>
        <w:t>（三）一般公共预算当年拨款具体使用情况</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202</w:t>
      </w:r>
      <w:r>
        <w:rPr>
          <w:rFonts w:hint="eastAsia" w:eastAsia="方正仿宋简体"/>
          <w:sz w:val="32"/>
          <w:szCs w:val="32"/>
          <w:highlight w:val="none"/>
          <w:lang w:val="en-US" w:eastAsia="zh-CN"/>
        </w:rPr>
        <w:t>3</w:t>
      </w:r>
      <w:r>
        <w:rPr>
          <w:rFonts w:eastAsia="方正仿宋简体"/>
          <w:sz w:val="32"/>
          <w:szCs w:val="32"/>
          <w:highlight w:val="none"/>
        </w:rPr>
        <w:t>年部门预算支出按支出功能分类主要用于以下方面：</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1.</w:t>
      </w:r>
      <w:r>
        <w:rPr>
          <w:rFonts w:eastAsia="方正仿宋简体"/>
          <w:sz w:val="32"/>
          <w:szCs w:val="32"/>
          <w:highlight w:val="none"/>
        </w:rPr>
        <w:t>社会保障和就业（类）行政事业单位养老支出（款）机关事业单位基本养老保险缴费支出（项）：202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55.51</w:t>
      </w:r>
      <w:r>
        <w:rPr>
          <w:rFonts w:eastAsia="方正仿宋简体"/>
          <w:sz w:val="32"/>
          <w:szCs w:val="32"/>
          <w:highlight w:val="none"/>
        </w:rPr>
        <w:t>万元，主要用于：保障局机关及下属事业单位人员基本养老保险缴费支出。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2.</w:t>
      </w:r>
      <w:r>
        <w:rPr>
          <w:rFonts w:eastAsia="方正仿宋简体"/>
          <w:sz w:val="32"/>
          <w:szCs w:val="32"/>
          <w:highlight w:val="none"/>
        </w:rPr>
        <w:t>社会保障和就业（类）其他社会保障和就业支出（款）其他社会保障和就业支出（项）:202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rPr>
        <w:t>2</w:t>
      </w:r>
      <w:r>
        <w:rPr>
          <w:rFonts w:hint="eastAsia" w:eastAsia="方正仿宋简体"/>
          <w:sz w:val="32"/>
          <w:szCs w:val="32"/>
          <w:highlight w:val="none"/>
          <w:lang w:val="en-US" w:eastAsia="zh-CN"/>
        </w:rPr>
        <w:t>.85</w:t>
      </w:r>
      <w:r>
        <w:rPr>
          <w:rFonts w:eastAsia="方正仿宋简体"/>
          <w:sz w:val="32"/>
          <w:szCs w:val="32"/>
          <w:highlight w:val="none"/>
        </w:rPr>
        <w:t>万元，主要用于：局机关在职人员其他社会保障和就业方面的支出。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3.</w:t>
      </w:r>
      <w:r>
        <w:rPr>
          <w:rFonts w:eastAsia="方正仿宋简体"/>
          <w:sz w:val="32"/>
          <w:szCs w:val="32"/>
          <w:highlight w:val="none"/>
        </w:rPr>
        <w:t>卫生健康（类）行政事业单位医疗（款）行政单位医疗（项）：20</w:t>
      </w:r>
      <w:r>
        <w:rPr>
          <w:rFonts w:hint="eastAsia" w:eastAsia="方正仿宋简体"/>
          <w:sz w:val="32"/>
          <w:szCs w:val="32"/>
          <w:highlight w:val="none"/>
          <w:lang w:val="en-US" w:eastAsia="zh-CN"/>
        </w:rPr>
        <w:t>23</w:t>
      </w:r>
      <w:r>
        <w:rPr>
          <w:rFonts w:eastAsia="方正仿宋简体"/>
          <w:sz w:val="32"/>
          <w:szCs w:val="32"/>
          <w:highlight w:val="none"/>
        </w:rPr>
        <w:t>年预算数为</w:t>
      </w:r>
      <w:r>
        <w:rPr>
          <w:rFonts w:hint="eastAsia" w:eastAsia="方正仿宋简体"/>
          <w:sz w:val="32"/>
          <w:szCs w:val="32"/>
          <w:highlight w:val="none"/>
          <w:lang w:val="en-US" w:eastAsia="zh-CN"/>
        </w:rPr>
        <w:t>14.92</w:t>
      </w:r>
      <w:r>
        <w:rPr>
          <w:rFonts w:eastAsia="方正仿宋简体"/>
          <w:sz w:val="32"/>
          <w:szCs w:val="32"/>
          <w:highlight w:val="none"/>
        </w:rPr>
        <w:t>万元，主要用于：局机关在职人员基本医疗保险缴费支出。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4.</w:t>
      </w:r>
      <w:r>
        <w:rPr>
          <w:rFonts w:eastAsia="方正仿宋简体"/>
          <w:sz w:val="32"/>
          <w:szCs w:val="32"/>
          <w:highlight w:val="none"/>
        </w:rPr>
        <w:t>卫生健康（类）行政事业单位医疗（款）事业单位医疗（项）：202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3.68</w:t>
      </w:r>
      <w:r>
        <w:rPr>
          <w:rFonts w:eastAsia="方正仿宋简体"/>
          <w:sz w:val="32"/>
          <w:szCs w:val="32"/>
          <w:highlight w:val="none"/>
        </w:rPr>
        <w:t>万元，主要用于：下属事业单位在职人员基本医疗保险缴费支出。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5.</w:t>
      </w:r>
      <w:r>
        <w:rPr>
          <w:rFonts w:eastAsia="方正仿宋简体"/>
          <w:sz w:val="32"/>
          <w:szCs w:val="32"/>
          <w:highlight w:val="none"/>
        </w:rPr>
        <w:t>卫生健康支出（类）行政事业单位医疗（款）公务员医疗补助（项）：202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7.5</w:t>
      </w:r>
      <w:r>
        <w:rPr>
          <w:rFonts w:eastAsia="方正仿宋简体"/>
          <w:sz w:val="32"/>
          <w:szCs w:val="32"/>
          <w:highlight w:val="none"/>
        </w:rPr>
        <w:t>万元，主要用于：局机关在职公务员</w:t>
      </w:r>
      <w:r>
        <w:rPr>
          <w:rFonts w:hint="eastAsia" w:eastAsia="方正仿宋简体"/>
          <w:sz w:val="32"/>
          <w:szCs w:val="32"/>
          <w:highlight w:val="none"/>
          <w:lang w:eastAsia="zh-CN"/>
        </w:rPr>
        <w:t>及事业人员</w:t>
      </w:r>
      <w:r>
        <w:rPr>
          <w:rFonts w:eastAsia="方正仿宋简体"/>
          <w:sz w:val="32"/>
          <w:szCs w:val="32"/>
          <w:highlight w:val="none"/>
        </w:rPr>
        <w:t>医疗补助支出。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6.</w:t>
      </w:r>
      <w:r>
        <w:rPr>
          <w:rFonts w:eastAsia="方正仿宋简体"/>
          <w:sz w:val="32"/>
          <w:szCs w:val="32"/>
          <w:highlight w:val="none"/>
        </w:rPr>
        <w:t>资源勘探工业信息（类）支持中小企业发展和管理支出（款）行政运行（项）：202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375.16</w:t>
      </w:r>
      <w:r>
        <w:rPr>
          <w:rFonts w:eastAsia="方正仿宋简体"/>
          <w:sz w:val="32"/>
          <w:szCs w:val="32"/>
          <w:highlight w:val="none"/>
        </w:rPr>
        <w:t>万元，主要用于：局机关正常运转的基本支出，包括基本工资、津贴补贴等人员经费以及办公费、印刷费、水电费等日常公用经费。</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rPr>
        <w:t>7.</w:t>
      </w:r>
      <w:r>
        <w:rPr>
          <w:rFonts w:eastAsia="方正仿宋简体"/>
          <w:sz w:val="32"/>
          <w:szCs w:val="32"/>
          <w:highlight w:val="none"/>
        </w:rPr>
        <w:t>资源勘探工业信息（类）支持中小企业发展和管理支出（款）一般行政管理事务（项）：202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104.01</w:t>
      </w:r>
      <w:r>
        <w:rPr>
          <w:rFonts w:eastAsia="方正仿宋简体"/>
          <w:sz w:val="32"/>
          <w:szCs w:val="32"/>
          <w:highlight w:val="none"/>
        </w:rPr>
        <w:t>万元，主要用于：部门下属事业单位人员工资、津补贴以及开展日常工作的基本支出；局机关开展工业工作、节能减排工作、民营经济监测工作、企业破产改制工作、企业统计工作、信息化工作、中小企业调查工作等专项工作的工作经费。</w:t>
      </w:r>
    </w:p>
    <w:p>
      <w:pPr>
        <w:adjustRightInd w:val="0"/>
        <w:snapToGrid w:val="0"/>
        <w:spacing w:line="600" w:lineRule="exact"/>
        <w:ind w:firstLine="640" w:firstLineChars="200"/>
        <w:rPr>
          <w:highlight w:val="none"/>
        </w:rPr>
      </w:pPr>
      <w:r>
        <w:rPr>
          <w:rFonts w:hint="eastAsia" w:eastAsia="方正仿宋简体"/>
          <w:sz w:val="32"/>
          <w:szCs w:val="32"/>
          <w:highlight w:val="none"/>
          <w:lang w:val="en-US" w:eastAsia="zh-CN"/>
        </w:rPr>
        <w:t>8</w:t>
      </w:r>
      <w:r>
        <w:rPr>
          <w:rFonts w:hint="eastAsia" w:eastAsia="方正仿宋简体"/>
          <w:sz w:val="32"/>
          <w:szCs w:val="32"/>
          <w:highlight w:val="none"/>
        </w:rPr>
        <w:t>.</w:t>
      </w:r>
      <w:r>
        <w:rPr>
          <w:rFonts w:eastAsia="方正仿宋简体"/>
          <w:sz w:val="32"/>
          <w:szCs w:val="32"/>
          <w:highlight w:val="none"/>
        </w:rPr>
        <w:t>资源勘探工业信息（类）支持中小企业发展和管理支出（款）</w:t>
      </w:r>
      <w:r>
        <w:rPr>
          <w:rFonts w:hint="eastAsia" w:eastAsia="方正仿宋简体"/>
          <w:sz w:val="32"/>
          <w:szCs w:val="32"/>
          <w:highlight w:val="none"/>
        </w:rPr>
        <w:t>其他支持中小企业发展和管理支出</w:t>
      </w:r>
      <w:r>
        <w:rPr>
          <w:rFonts w:eastAsia="方正仿宋简体"/>
          <w:sz w:val="32"/>
          <w:szCs w:val="32"/>
          <w:highlight w:val="none"/>
        </w:rPr>
        <w:t>（项）：202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16.43</w:t>
      </w:r>
      <w:r>
        <w:rPr>
          <w:rFonts w:eastAsia="方正仿宋简体"/>
          <w:sz w:val="32"/>
          <w:szCs w:val="32"/>
          <w:highlight w:val="none"/>
        </w:rPr>
        <w:t>万元，主要用于：部门下属事业单位人员工资、津补贴以及开展日常工作的基本支出；局机关开展工业工作、节能减排工作、民营经济监测工作、企业破产改制工作、企业统计工作、信息化工作、中小企业调查工作等专项工作的工作经费。</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lang w:val="en-US" w:eastAsia="zh-CN"/>
        </w:rPr>
        <w:t>9.</w:t>
      </w:r>
      <w:r>
        <w:rPr>
          <w:rFonts w:eastAsia="方正仿宋简体"/>
          <w:sz w:val="32"/>
          <w:szCs w:val="32"/>
          <w:highlight w:val="none"/>
        </w:rPr>
        <w:t>住房保障（类）住房改革支出（款）住房公积金（项）：202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46.38</w:t>
      </w:r>
      <w:r>
        <w:rPr>
          <w:rFonts w:eastAsia="方正仿宋简体"/>
          <w:sz w:val="32"/>
          <w:szCs w:val="32"/>
          <w:highlight w:val="none"/>
        </w:rPr>
        <w:t>万元，主要用于：部门按人力资源和社会保障部、财政部规定的基本工资和津贴补贴以及规定比例为职工缴纳的住房公积金支出。</w:t>
      </w:r>
    </w:p>
    <w:p>
      <w:pPr>
        <w:adjustRightInd w:val="0"/>
        <w:snapToGrid w:val="0"/>
        <w:spacing w:line="600" w:lineRule="exact"/>
        <w:ind w:firstLine="640" w:firstLineChars="200"/>
        <w:rPr>
          <w:rFonts w:eastAsia="方正仿宋简体"/>
          <w:sz w:val="32"/>
          <w:szCs w:val="32"/>
          <w:highlight w:val="none"/>
        </w:rPr>
      </w:pPr>
      <w:r>
        <w:rPr>
          <w:rFonts w:hint="eastAsia" w:eastAsia="方正仿宋简体"/>
          <w:sz w:val="32"/>
          <w:szCs w:val="32"/>
          <w:highlight w:val="none"/>
          <w:lang w:val="en-US" w:eastAsia="zh-CN"/>
        </w:rPr>
        <w:t>10</w:t>
      </w:r>
      <w:r>
        <w:rPr>
          <w:rFonts w:hint="eastAsia" w:eastAsia="方正仿宋简体"/>
          <w:sz w:val="32"/>
          <w:szCs w:val="32"/>
          <w:highlight w:val="none"/>
        </w:rPr>
        <w:t>.</w:t>
      </w:r>
      <w:r>
        <w:rPr>
          <w:rFonts w:eastAsia="方正仿宋简体"/>
          <w:sz w:val="32"/>
          <w:szCs w:val="32"/>
          <w:highlight w:val="none"/>
        </w:rPr>
        <w:t>科学技术支出（类）技术研究与开发（款）科技成果转化与扩散（项）：202</w:t>
      </w:r>
      <w:r>
        <w:rPr>
          <w:rFonts w:hint="eastAsia" w:eastAsia="方正仿宋简体"/>
          <w:sz w:val="32"/>
          <w:szCs w:val="32"/>
          <w:highlight w:val="none"/>
          <w:lang w:val="en-US" w:eastAsia="zh-CN"/>
        </w:rPr>
        <w:t>3</w:t>
      </w:r>
      <w:r>
        <w:rPr>
          <w:rFonts w:eastAsia="方正仿宋简体"/>
          <w:sz w:val="32"/>
          <w:szCs w:val="32"/>
          <w:highlight w:val="none"/>
        </w:rPr>
        <w:t>年预算数为</w:t>
      </w:r>
      <w:r>
        <w:rPr>
          <w:rFonts w:hint="eastAsia" w:eastAsia="方正仿宋简体"/>
          <w:sz w:val="32"/>
          <w:szCs w:val="32"/>
          <w:highlight w:val="none"/>
          <w:lang w:val="en-US" w:eastAsia="zh-CN"/>
        </w:rPr>
        <w:t>10</w:t>
      </w:r>
      <w:r>
        <w:rPr>
          <w:rFonts w:eastAsia="方正仿宋简体"/>
          <w:sz w:val="32"/>
          <w:szCs w:val="32"/>
          <w:highlight w:val="none"/>
        </w:rPr>
        <w:t>万元，主要用于优质种养基地建设、科技企业培育、鼓励技术创新、项目申报管理等支出。</w:t>
      </w:r>
    </w:p>
    <w:p>
      <w:pPr>
        <w:spacing w:line="600" w:lineRule="exact"/>
        <w:ind w:left="147" w:leftChars="70" w:firstLine="480" w:firstLineChars="150"/>
        <w:rPr>
          <w:rFonts w:eastAsia="黑体"/>
          <w:sz w:val="32"/>
          <w:szCs w:val="32"/>
          <w:highlight w:val="none"/>
        </w:rPr>
      </w:pPr>
      <w:r>
        <w:rPr>
          <w:rFonts w:hint="eastAsia" w:eastAsia="黑体"/>
          <w:sz w:val="32"/>
          <w:szCs w:val="32"/>
          <w:highlight w:val="none"/>
        </w:rPr>
        <w:t>六、一般公共预算基本支出情况说明</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202</w:t>
      </w:r>
      <w:r>
        <w:rPr>
          <w:rFonts w:hint="eastAsia" w:eastAsia="方正仿宋简体"/>
          <w:sz w:val="32"/>
          <w:szCs w:val="32"/>
          <w:highlight w:val="none"/>
          <w:lang w:val="en-US" w:eastAsia="zh-CN"/>
        </w:rPr>
        <w:t>3</w:t>
      </w:r>
      <w:r>
        <w:rPr>
          <w:rFonts w:eastAsia="方正仿宋简体"/>
          <w:sz w:val="32"/>
          <w:szCs w:val="32"/>
          <w:highlight w:val="none"/>
        </w:rPr>
        <w:t>年一般公共预算基本支出</w:t>
      </w:r>
      <w:r>
        <w:rPr>
          <w:rFonts w:hint="eastAsia" w:eastAsia="方正仿宋简体"/>
          <w:sz w:val="32"/>
          <w:szCs w:val="32"/>
          <w:highlight w:val="none"/>
          <w:lang w:val="en-US" w:eastAsia="zh-CN"/>
        </w:rPr>
        <w:t>571.44</w:t>
      </w:r>
      <w:r>
        <w:rPr>
          <w:rFonts w:eastAsia="方正仿宋简体"/>
          <w:sz w:val="32"/>
          <w:szCs w:val="32"/>
          <w:highlight w:val="none"/>
        </w:rPr>
        <w:t>万元，其中：</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人员经费</w:t>
      </w:r>
      <w:r>
        <w:rPr>
          <w:rFonts w:hint="eastAsia" w:eastAsia="方正仿宋简体"/>
          <w:sz w:val="32"/>
          <w:szCs w:val="32"/>
          <w:highlight w:val="none"/>
          <w:lang w:val="en-US" w:eastAsia="zh-CN"/>
        </w:rPr>
        <w:t>477.82</w:t>
      </w:r>
      <w:r>
        <w:rPr>
          <w:rFonts w:eastAsia="方正仿宋简体"/>
          <w:sz w:val="32"/>
          <w:szCs w:val="32"/>
          <w:highlight w:val="none"/>
        </w:rPr>
        <w:t>万元，主要包括：基本工资、津贴补贴、奖金、社会保险缴费、绩效工资、机关事业单位基本养老保险缴费、职业年金缴费、其他工资福利支出、离休费、住房公积金、其他对个人和家庭的补助支出等。</w:t>
      </w:r>
    </w:p>
    <w:p>
      <w:pPr>
        <w:adjustRightInd w:val="0"/>
        <w:snapToGrid w:val="0"/>
        <w:spacing w:line="600" w:lineRule="exact"/>
        <w:ind w:firstLine="640" w:firstLineChars="200"/>
        <w:rPr>
          <w:rFonts w:eastAsia="方正仿宋简体"/>
          <w:sz w:val="32"/>
          <w:szCs w:val="32"/>
          <w:highlight w:val="none"/>
        </w:rPr>
      </w:pPr>
      <w:r>
        <w:rPr>
          <w:rFonts w:eastAsia="方正仿宋简体"/>
          <w:sz w:val="32"/>
          <w:szCs w:val="32"/>
          <w:highlight w:val="none"/>
        </w:rPr>
        <w:t>公用经费</w:t>
      </w:r>
      <w:r>
        <w:rPr>
          <w:rFonts w:hint="eastAsia" w:eastAsia="方正仿宋简体"/>
          <w:sz w:val="32"/>
          <w:szCs w:val="32"/>
          <w:highlight w:val="none"/>
          <w:lang w:val="en-US" w:eastAsia="zh-CN"/>
        </w:rPr>
        <w:t>93.62</w:t>
      </w:r>
      <w:r>
        <w:rPr>
          <w:rFonts w:eastAsia="方正仿宋简体"/>
          <w:sz w:val="32"/>
          <w:szCs w:val="32"/>
          <w:highlight w:val="none"/>
        </w:rPr>
        <w:t>万元，主要包括：办公费、印刷费、手续费、水费、电费、邮电费、差旅费、维修（护）费、会议费、培训费、劳务费、工会经费、福利费。</w:t>
      </w:r>
    </w:p>
    <w:p>
      <w:pPr>
        <w:spacing w:line="600" w:lineRule="exact"/>
        <w:ind w:left="147" w:leftChars="70" w:firstLine="640" w:firstLineChars="200"/>
        <w:rPr>
          <w:rFonts w:eastAsia="方正仿宋简体"/>
          <w:color w:val="FF0000"/>
          <w:sz w:val="32"/>
          <w:szCs w:val="32"/>
          <w:highlight w:val="none"/>
        </w:rPr>
      </w:pPr>
      <w:r>
        <w:rPr>
          <w:rFonts w:hint="eastAsia" w:eastAsia="黑体"/>
          <w:sz w:val="32"/>
          <w:szCs w:val="32"/>
          <w:highlight w:val="none"/>
        </w:rPr>
        <w:t>七</w:t>
      </w:r>
      <w:r>
        <w:rPr>
          <w:rFonts w:eastAsia="黑体"/>
          <w:sz w:val="32"/>
          <w:szCs w:val="32"/>
          <w:highlight w:val="none"/>
        </w:rPr>
        <w:t>、</w:t>
      </w:r>
      <w:r>
        <w:rPr>
          <w:rFonts w:hint="eastAsia" w:eastAsia="黑体"/>
          <w:sz w:val="32"/>
          <w:szCs w:val="32"/>
          <w:highlight w:val="none"/>
        </w:rPr>
        <w:t>“</w:t>
      </w:r>
      <w:r>
        <w:rPr>
          <w:rFonts w:eastAsia="黑体"/>
          <w:sz w:val="32"/>
          <w:szCs w:val="32"/>
          <w:highlight w:val="none"/>
        </w:rPr>
        <w:t>三公</w:t>
      </w:r>
      <w:r>
        <w:rPr>
          <w:rFonts w:hint="eastAsia" w:eastAsia="黑体"/>
          <w:sz w:val="32"/>
          <w:szCs w:val="32"/>
          <w:highlight w:val="none"/>
        </w:rPr>
        <w:t>”</w:t>
      </w:r>
      <w:r>
        <w:rPr>
          <w:rFonts w:eastAsia="黑体"/>
          <w:sz w:val="32"/>
          <w:szCs w:val="32"/>
          <w:highlight w:val="none"/>
        </w:rPr>
        <w:t>经费财政拨款预算安排情况</w:t>
      </w:r>
      <w:r>
        <w:rPr>
          <w:rFonts w:hint="eastAsia" w:eastAsia="黑体"/>
          <w:sz w:val="32"/>
          <w:szCs w:val="32"/>
          <w:highlight w:val="none"/>
        </w:rPr>
        <w:t>说明</w:t>
      </w:r>
    </w:p>
    <w:p>
      <w:pPr>
        <w:spacing w:line="600" w:lineRule="exact"/>
        <w:ind w:left="147" w:leftChars="70" w:firstLine="640" w:firstLineChars="200"/>
        <w:rPr>
          <w:rFonts w:eastAsia="方正仿宋简体"/>
          <w:sz w:val="32"/>
          <w:szCs w:val="32"/>
          <w:highlight w:val="none"/>
        </w:rPr>
      </w:pPr>
      <w:r>
        <w:rPr>
          <w:rFonts w:eastAsia="方正仿宋简体"/>
          <w:sz w:val="32"/>
          <w:szCs w:val="32"/>
          <w:highlight w:val="none"/>
        </w:rPr>
        <w:t>资阳市雁江区经济科技信息化局 202</w:t>
      </w:r>
      <w:r>
        <w:rPr>
          <w:rFonts w:hint="eastAsia" w:eastAsia="方正仿宋简体"/>
          <w:sz w:val="32"/>
          <w:szCs w:val="32"/>
          <w:highlight w:val="none"/>
          <w:lang w:val="en-US" w:eastAsia="zh-CN"/>
        </w:rPr>
        <w:t>3</w:t>
      </w:r>
      <w:r>
        <w:rPr>
          <w:rFonts w:eastAsia="方正仿宋简体"/>
          <w:sz w:val="32"/>
          <w:szCs w:val="32"/>
          <w:highlight w:val="none"/>
        </w:rPr>
        <w:t>年</w:t>
      </w:r>
      <w:r>
        <w:rPr>
          <w:rFonts w:hint="eastAsia" w:eastAsia="方正仿宋简体"/>
          <w:sz w:val="32"/>
          <w:szCs w:val="32"/>
          <w:highlight w:val="none"/>
        </w:rPr>
        <w:t>“</w:t>
      </w:r>
      <w:r>
        <w:rPr>
          <w:rFonts w:eastAsia="方正仿宋简体"/>
          <w:sz w:val="32"/>
          <w:szCs w:val="32"/>
          <w:highlight w:val="none"/>
        </w:rPr>
        <w:t>三公</w:t>
      </w:r>
      <w:r>
        <w:rPr>
          <w:rFonts w:hint="eastAsia" w:eastAsia="方正仿宋简体"/>
          <w:sz w:val="32"/>
          <w:szCs w:val="32"/>
          <w:highlight w:val="none"/>
        </w:rPr>
        <w:t>”</w:t>
      </w:r>
      <w:r>
        <w:rPr>
          <w:rFonts w:eastAsia="方正仿宋简体"/>
          <w:sz w:val="32"/>
          <w:szCs w:val="32"/>
          <w:highlight w:val="none"/>
        </w:rPr>
        <w:t>经费财政拨款预算数</w:t>
      </w:r>
      <w:r>
        <w:rPr>
          <w:rFonts w:hint="eastAsia" w:eastAsia="方正仿宋简体"/>
          <w:sz w:val="32"/>
          <w:szCs w:val="32"/>
          <w:highlight w:val="none"/>
        </w:rPr>
        <w:t>4.5</w:t>
      </w:r>
      <w:r>
        <w:rPr>
          <w:rFonts w:eastAsia="方正仿宋简体"/>
          <w:sz w:val="32"/>
          <w:szCs w:val="32"/>
          <w:highlight w:val="none"/>
        </w:rPr>
        <w:t>万元，其中：因公出国（境）经费</w:t>
      </w:r>
      <w:r>
        <w:rPr>
          <w:rFonts w:hint="eastAsia" w:eastAsia="方正仿宋简体"/>
          <w:sz w:val="32"/>
          <w:szCs w:val="32"/>
          <w:highlight w:val="none"/>
        </w:rPr>
        <w:t>0</w:t>
      </w:r>
      <w:r>
        <w:rPr>
          <w:rFonts w:eastAsia="方正仿宋简体"/>
          <w:sz w:val="32"/>
          <w:szCs w:val="32"/>
          <w:highlight w:val="none"/>
        </w:rPr>
        <w:t>万元，公务接待费</w:t>
      </w:r>
      <w:r>
        <w:rPr>
          <w:rFonts w:hint="eastAsia" w:eastAsia="方正仿宋简体"/>
          <w:sz w:val="32"/>
          <w:szCs w:val="32"/>
          <w:highlight w:val="none"/>
        </w:rPr>
        <w:t>1.5</w:t>
      </w:r>
      <w:r>
        <w:rPr>
          <w:rFonts w:eastAsia="方正仿宋简体"/>
          <w:sz w:val="32"/>
          <w:szCs w:val="32"/>
          <w:highlight w:val="none"/>
        </w:rPr>
        <w:t>万元，公务用车购置及运行维护费</w:t>
      </w:r>
      <w:r>
        <w:rPr>
          <w:rFonts w:hint="eastAsia" w:eastAsia="方正仿宋简体"/>
          <w:sz w:val="32"/>
          <w:szCs w:val="32"/>
          <w:highlight w:val="none"/>
        </w:rPr>
        <w:t>3</w:t>
      </w:r>
      <w:r>
        <w:rPr>
          <w:rFonts w:eastAsia="方正仿宋简体"/>
          <w:sz w:val="32"/>
          <w:szCs w:val="32"/>
          <w:highlight w:val="none"/>
        </w:rPr>
        <w:t>万元。</w:t>
      </w:r>
    </w:p>
    <w:p>
      <w:pPr>
        <w:pStyle w:val="9"/>
        <w:numPr>
          <w:ilvl w:val="0"/>
          <w:numId w:val="1"/>
        </w:numPr>
        <w:spacing w:line="600" w:lineRule="exact"/>
        <w:ind w:firstLineChars="0"/>
        <w:rPr>
          <w:rFonts w:eastAsia="方正楷体简体"/>
          <w:b/>
          <w:sz w:val="32"/>
          <w:szCs w:val="32"/>
          <w:highlight w:val="none"/>
        </w:rPr>
      </w:pPr>
      <w:r>
        <w:rPr>
          <w:rFonts w:eastAsia="方正楷体简体"/>
          <w:b/>
          <w:sz w:val="32"/>
          <w:szCs w:val="32"/>
          <w:highlight w:val="none"/>
        </w:rPr>
        <w:t>公务接待费较20</w:t>
      </w:r>
      <w:r>
        <w:rPr>
          <w:rFonts w:hint="eastAsia" w:eastAsia="方正楷体简体"/>
          <w:b/>
          <w:sz w:val="32"/>
          <w:szCs w:val="32"/>
          <w:highlight w:val="none"/>
        </w:rPr>
        <w:t>2</w:t>
      </w:r>
      <w:r>
        <w:rPr>
          <w:rFonts w:hint="eastAsia" w:eastAsia="方正楷体简体"/>
          <w:b/>
          <w:sz w:val="32"/>
          <w:szCs w:val="32"/>
          <w:highlight w:val="none"/>
          <w:lang w:val="en-US" w:eastAsia="zh-CN"/>
        </w:rPr>
        <w:t>2</w:t>
      </w:r>
      <w:r>
        <w:rPr>
          <w:rFonts w:eastAsia="方正楷体简体"/>
          <w:b/>
          <w:sz w:val="32"/>
          <w:szCs w:val="32"/>
          <w:highlight w:val="none"/>
        </w:rPr>
        <w:t>年预算持平。</w:t>
      </w:r>
    </w:p>
    <w:p>
      <w:pPr>
        <w:adjustRightInd w:val="0"/>
        <w:snapToGrid w:val="0"/>
        <w:spacing w:line="600" w:lineRule="exact"/>
        <w:ind w:firstLine="640" w:firstLineChars="200"/>
        <w:jc w:val="left"/>
        <w:rPr>
          <w:rFonts w:eastAsia="方正仿宋简体"/>
          <w:sz w:val="32"/>
          <w:szCs w:val="32"/>
          <w:highlight w:val="none"/>
        </w:rPr>
      </w:pPr>
      <w:r>
        <w:rPr>
          <w:rFonts w:eastAsia="方正仿宋简体"/>
          <w:sz w:val="32"/>
          <w:szCs w:val="32"/>
          <w:highlight w:val="none"/>
        </w:rPr>
        <w:t>主要原因是严格按照中央“八项”规定，倡导厉行节约</w:t>
      </w:r>
      <w:r>
        <w:rPr>
          <w:rFonts w:hint="eastAsia" w:eastAsia="方正仿宋简体"/>
          <w:sz w:val="32"/>
          <w:szCs w:val="32"/>
          <w:highlight w:val="none"/>
        </w:rPr>
        <w:t>。</w:t>
      </w:r>
      <w:r>
        <w:rPr>
          <w:rFonts w:eastAsia="方正仿宋简体"/>
          <w:sz w:val="32"/>
          <w:szCs w:val="32"/>
          <w:highlight w:val="none"/>
        </w:rPr>
        <w:t>202</w:t>
      </w:r>
      <w:r>
        <w:rPr>
          <w:rFonts w:hint="eastAsia" w:eastAsia="方正仿宋简体"/>
          <w:sz w:val="32"/>
          <w:szCs w:val="32"/>
          <w:highlight w:val="none"/>
          <w:lang w:val="en-US" w:eastAsia="zh-CN"/>
        </w:rPr>
        <w:t>3</w:t>
      </w:r>
      <w:r>
        <w:rPr>
          <w:rFonts w:eastAsia="方正仿宋简体"/>
          <w:sz w:val="32"/>
          <w:szCs w:val="32"/>
          <w:highlight w:val="none"/>
        </w:rPr>
        <w:t xml:space="preserve">年公务接待费计划用于执行公务、考察调研、检查指导等公务活动开支的交通费、住宿费、用餐费等。 </w:t>
      </w:r>
    </w:p>
    <w:p>
      <w:pPr>
        <w:adjustRightInd w:val="0"/>
        <w:snapToGrid w:val="0"/>
        <w:spacing w:beforeLines="30" w:line="600" w:lineRule="exact"/>
        <w:ind w:firstLine="643" w:firstLineChars="200"/>
        <w:rPr>
          <w:rFonts w:eastAsia="方正楷体简体"/>
          <w:b/>
          <w:sz w:val="32"/>
          <w:szCs w:val="32"/>
          <w:highlight w:val="none"/>
        </w:rPr>
      </w:pPr>
      <w:r>
        <w:rPr>
          <w:rFonts w:eastAsia="方正楷体简体"/>
          <w:b/>
          <w:sz w:val="32"/>
          <w:szCs w:val="32"/>
          <w:highlight w:val="none"/>
        </w:rPr>
        <w:t>（三）</w:t>
      </w:r>
      <w:r>
        <w:rPr>
          <w:rFonts w:hint="eastAsia" w:eastAsia="方正楷体简体"/>
          <w:b/>
          <w:sz w:val="32"/>
          <w:szCs w:val="32"/>
          <w:highlight w:val="none"/>
        </w:rPr>
        <w:t>公务用车购置及运行维护费较202</w:t>
      </w:r>
      <w:r>
        <w:rPr>
          <w:rFonts w:hint="eastAsia" w:eastAsia="方正楷体简体"/>
          <w:b/>
          <w:sz w:val="32"/>
          <w:szCs w:val="32"/>
          <w:highlight w:val="none"/>
          <w:lang w:val="en-US" w:eastAsia="zh-CN"/>
        </w:rPr>
        <w:t>2</w:t>
      </w:r>
      <w:r>
        <w:rPr>
          <w:rFonts w:hint="eastAsia" w:eastAsia="方正楷体简体"/>
          <w:b/>
          <w:sz w:val="32"/>
          <w:szCs w:val="32"/>
          <w:highlight w:val="none"/>
        </w:rPr>
        <w:t>年预算持平。</w:t>
      </w:r>
    </w:p>
    <w:p>
      <w:pPr>
        <w:adjustRightInd w:val="0"/>
        <w:snapToGrid w:val="0"/>
        <w:spacing w:beforeLines="30" w:line="600" w:lineRule="exact"/>
        <w:ind w:firstLine="640" w:firstLineChars="200"/>
        <w:rPr>
          <w:rFonts w:eastAsia="方正仿宋简体"/>
          <w:sz w:val="32"/>
          <w:szCs w:val="32"/>
          <w:highlight w:val="none"/>
        </w:rPr>
      </w:pPr>
      <w:r>
        <w:rPr>
          <w:rFonts w:eastAsia="方正仿宋简体"/>
          <w:sz w:val="32"/>
          <w:szCs w:val="32"/>
          <w:highlight w:val="none"/>
        </w:rPr>
        <w:t>公务用车运行维护费</w:t>
      </w:r>
      <w:r>
        <w:rPr>
          <w:rFonts w:hint="eastAsia" w:eastAsia="方正仿宋简体"/>
          <w:sz w:val="32"/>
          <w:szCs w:val="32"/>
          <w:highlight w:val="none"/>
        </w:rPr>
        <w:t>3</w:t>
      </w:r>
      <w:r>
        <w:rPr>
          <w:rFonts w:eastAsia="方正仿宋简体"/>
          <w:sz w:val="32"/>
          <w:szCs w:val="32"/>
          <w:highlight w:val="none"/>
        </w:rPr>
        <w:t>万元，较20</w:t>
      </w:r>
      <w:r>
        <w:rPr>
          <w:rFonts w:hint="eastAsia" w:eastAsia="方正仿宋简体"/>
          <w:sz w:val="32"/>
          <w:szCs w:val="32"/>
          <w:highlight w:val="none"/>
        </w:rPr>
        <w:t>2</w:t>
      </w:r>
      <w:r>
        <w:rPr>
          <w:rFonts w:hint="eastAsia" w:eastAsia="方正仿宋简体"/>
          <w:sz w:val="32"/>
          <w:szCs w:val="32"/>
          <w:highlight w:val="none"/>
          <w:lang w:val="en-US" w:eastAsia="zh-CN"/>
        </w:rPr>
        <w:t>2</w:t>
      </w:r>
      <w:r>
        <w:rPr>
          <w:rFonts w:eastAsia="方正仿宋简体"/>
          <w:sz w:val="32"/>
          <w:szCs w:val="32"/>
          <w:highlight w:val="none"/>
        </w:rPr>
        <w:t>年预算持平。用于</w:t>
      </w:r>
      <w:r>
        <w:rPr>
          <w:rFonts w:hint="eastAsia" w:eastAsia="方正仿宋简体"/>
          <w:sz w:val="32"/>
          <w:szCs w:val="32"/>
          <w:highlight w:val="none"/>
        </w:rPr>
        <w:t>1</w:t>
      </w:r>
      <w:r>
        <w:rPr>
          <w:rFonts w:eastAsia="方正仿宋简体"/>
          <w:sz w:val="32"/>
          <w:szCs w:val="32"/>
          <w:highlight w:val="none"/>
        </w:rPr>
        <w:t>辆公务用车燃油、维修、保险等方面支出。</w:t>
      </w:r>
    </w:p>
    <w:p>
      <w:pPr>
        <w:spacing w:line="600" w:lineRule="exact"/>
        <w:ind w:firstLine="640" w:firstLineChars="200"/>
        <w:rPr>
          <w:rFonts w:eastAsia="方正仿宋简体"/>
          <w:sz w:val="32"/>
          <w:szCs w:val="32"/>
          <w:highlight w:val="none"/>
        </w:rPr>
      </w:pPr>
      <w:r>
        <w:rPr>
          <w:rFonts w:hint="eastAsia" w:eastAsia="黑体"/>
          <w:sz w:val="32"/>
          <w:szCs w:val="32"/>
          <w:highlight w:val="none"/>
        </w:rPr>
        <w:t>八、政府性基金预算支出情况说明</w:t>
      </w:r>
    </w:p>
    <w:p>
      <w:pPr>
        <w:spacing w:line="600" w:lineRule="exact"/>
        <w:ind w:firstLine="640" w:firstLineChars="200"/>
        <w:rPr>
          <w:rFonts w:eastAsia="方正仿宋简体"/>
          <w:sz w:val="32"/>
          <w:szCs w:val="32"/>
          <w:highlight w:val="none"/>
        </w:rPr>
      </w:pPr>
      <w:r>
        <w:rPr>
          <w:rFonts w:eastAsia="方正仿宋简体"/>
          <w:sz w:val="32"/>
          <w:szCs w:val="32"/>
          <w:highlight w:val="none"/>
        </w:rPr>
        <w:t>资阳市雁江区经济科技信息化局</w:t>
      </w:r>
      <w:r>
        <w:rPr>
          <w:rFonts w:hint="eastAsia" w:eastAsia="方正仿宋简体"/>
          <w:sz w:val="32"/>
          <w:szCs w:val="32"/>
          <w:highlight w:val="none"/>
        </w:rPr>
        <w:t>20</w:t>
      </w:r>
      <w:r>
        <w:rPr>
          <w:rFonts w:eastAsia="方正仿宋简体"/>
          <w:sz w:val="32"/>
          <w:szCs w:val="32"/>
          <w:highlight w:val="none"/>
        </w:rPr>
        <w:t>2</w:t>
      </w:r>
      <w:r>
        <w:rPr>
          <w:rFonts w:hint="eastAsia" w:eastAsia="方正仿宋简体"/>
          <w:sz w:val="32"/>
          <w:szCs w:val="32"/>
          <w:highlight w:val="none"/>
          <w:lang w:val="en-US" w:eastAsia="zh-CN"/>
        </w:rPr>
        <w:t>3</w:t>
      </w:r>
      <w:r>
        <w:rPr>
          <w:rFonts w:hint="eastAsia" w:eastAsia="方正仿宋简体"/>
          <w:sz w:val="32"/>
          <w:szCs w:val="32"/>
          <w:highlight w:val="none"/>
        </w:rPr>
        <w:t>年没有使用政府性基金预算拨款安排的支出。</w:t>
      </w:r>
    </w:p>
    <w:p>
      <w:pPr>
        <w:spacing w:line="600" w:lineRule="exact"/>
        <w:ind w:firstLine="640" w:firstLineChars="200"/>
        <w:rPr>
          <w:rFonts w:eastAsia="黑体"/>
          <w:sz w:val="32"/>
          <w:szCs w:val="32"/>
          <w:highlight w:val="none"/>
        </w:rPr>
      </w:pPr>
      <w:r>
        <w:rPr>
          <w:rFonts w:hint="eastAsia" w:eastAsia="黑体"/>
          <w:sz w:val="32"/>
          <w:szCs w:val="32"/>
          <w:highlight w:val="none"/>
        </w:rPr>
        <w:t>九、国有资本经营预算支出情况说明</w:t>
      </w:r>
    </w:p>
    <w:p>
      <w:pPr>
        <w:spacing w:line="600" w:lineRule="exact"/>
        <w:ind w:firstLine="640" w:firstLineChars="200"/>
        <w:rPr>
          <w:rFonts w:eastAsia="方正仿宋简体"/>
          <w:color w:val="FF0000"/>
          <w:sz w:val="32"/>
          <w:szCs w:val="32"/>
          <w:highlight w:val="yellow"/>
        </w:rPr>
      </w:pPr>
      <w:r>
        <w:rPr>
          <w:rFonts w:eastAsia="方正仿宋简体"/>
          <w:sz w:val="32"/>
          <w:szCs w:val="32"/>
          <w:highlight w:val="none"/>
        </w:rPr>
        <w:t>资阳市雁江区经济科技信息化局</w:t>
      </w:r>
      <w:r>
        <w:rPr>
          <w:rFonts w:hint="eastAsia" w:eastAsia="方正仿宋简体"/>
          <w:sz w:val="32"/>
          <w:szCs w:val="32"/>
          <w:highlight w:val="none"/>
        </w:rPr>
        <w:t>20</w:t>
      </w:r>
      <w:r>
        <w:rPr>
          <w:rFonts w:eastAsia="方正仿宋简体"/>
          <w:sz w:val="32"/>
          <w:szCs w:val="32"/>
          <w:highlight w:val="none"/>
        </w:rPr>
        <w:t>2</w:t>
      </w:r>
      <w:r>
        <w:rPr>
          <w:rFonts w:hint="eastAsia" w:eastAsia="方正仿宋简体"/>
          <w:sz w:val="32"/>
          <w:szCs w:val="32"/>
          <w:highlight w:val="none"/>
          <w:lang w:val="en-US" w:eastAsia="zh-CN"/>
        </w:rPr>
        <w:t>3</w:t>
      </w:r>
      <w:r>
        <w:rPr>
          <w:rFonts w:hint="eastAsia" w:eastAsia="方正仿宋简体"/>
          <w:sz w:val="32"/>
          <w:szCs w:val="32"/>
          <w:highlight w:val="none"/>
        </w:rPr>
        <w:t>年没有使用国有资本经营预算拨款安排的支出。</w:t>
      </w:r>
    </w:p>
    <w:p>
      <w:pPr>
        <w:spacing w:line="600" w:lineRule="exact"/>
        <w:ind w:firstLine="640" w:firstLineChars="200"/>
        <w:rPr>
          <w:rFonts w:eastAsia="黑体"/>
          <w:sz w:val="32"/>
          <w:szCs w:val="32"/>
          <w:highlight w:val="none"/>
        </w:rPr>
      </w:pPr>
      <w:r>
        <w:rPr>
          <w:rFonts w:hint="eastAsia" w:eastAsia="黑体"/>
          <w:sz w:val="32"/>
          <w:szCs w:val="32"/>
          <w:highlight w:val="none"/>
        </w:rPr>
        <w:t>十、其他重要事项的情况说明</w:t>
      </w:r>
    </w:p>
    <w:p>
      <w:pPr>
        <w:spacing w:line="600" w:lineRule="exact"/>
        <w:ind w:firstLine="617" w:firstLineChars="192"/>
        <w:rPr>
          <w:rFonts w:eastAsia="方正楷体简体"/>
          <w:b/>
          <w:sz w:val="32"/>
          <w:szCs w:val="32"/>
          <w:highlight w:val="none"/>
        </w:rPr>
      </w:pPr>
      <w:r>
        <w:rPr>
          <w:rFonts w:hint="eastAsia" w:eastAsia="方正楷体简体"/>
          <w:b/>
          <w:sz w:val="32"/>
          <w:szCs w:val="32"/>
          <w:highlight w:val="none"/>
        </w:rPr>
        <w:t>（一）机关运行经费</w:t>
      </w:r>
    </w:p>
    <w:p>
      <w:pPr>
        <w:spacing w:line="600" w:lineRule="exact"/>
        <w:ind w:firstLine="630"/>
        <w:rPr>
          <w:rFonts w:hint="eastAsia" w:eastAsia="方正仿宋简体"/>
          <w:color w:val="FF0000"/>
          <w:sz w:val="32"/>
          <w:szCs w:val="32"/>
          <w:highlight w:val="none"/>
          <w:lang w:eastAsia="zh-CN"/>
        </w:rPr>
      </w:pPr>
      <w:r>
        <w:rPr>
          <w:rFonts w:eastAsia="方正仿宋简体"/>
          <w:sz w:val="32"/>
          <w:szCs w:val="32"/>
          <w:highlight w:val="none"/>
        </w:rPr>
        <w:t>资阳市雁江区经济科技信息化局202</w:t>
      </w:r>
      <w:r>
        <w:rPr>
          <w:rFonts w:hint="eastAsia" w:eastAsia="方正仿宋简体"/>
          <w:sz w:val="32"/>
          <w:szCs w:val="32"/>
          <w:highlight w:val="none"/>
          <w:lang w:val="en-US" w:eastAsia="zh-CN"/>
        </w:rPr>
        <w:t>3</w:t>
      </w:r>
      <w:r>
        <w:rPr>
          <w:rFonts w:eastAsia="方正仿宋简体"/>
          <w:sz w:val="32"/>
          <w:szCs w:val="32"/>
          <w:highlight w:val="none"/>
        </w:rPr>
        <w:t>年机关运行经费财政拨款预算为</w:t>
      </w:r>
      <w:r>
        <w:rPr>
          <w:rFonts w:hint="eastAsia" w:eastAsia="方正仿宋简体"/>
          <w:sz w:val="32"/>
          <w:szCs w:val="32"/>
          <w:highlight w:val="none"/>
          <w:lang w:val="en-US" w:eastAsia="zh-CN"/>
        </w:rPr>
        <w:t>93.62</w:t>
      </w:r>
      <w:r>
        <w:rPr>
          <w:rFonts w:eastAsia="方正仿宋简体"/>
          <w:sz w:val="32"/>
          <w:szCs w:val="32"/>
          <w:highlight w:val="none"/>
        </w:rPr>
        <w:t>万元，比20</w:t>
      </w:r>
      <w:r>
        <w:rPr>
          <w:rFonts w:hint="eastAsia" w:eastAsia="方正仿宋简体"/>
          <w:sz w:val="32"/>
          <w:szCs w:val="32"/>
          <w:highlight w:val="none"/>
        </w:rPr>
        <w:t>2</w:t>
      </w:r>
      <w:r>
        <w:rPr>
          <w:rFonts w:hint="eastAsia" w:eastAsia="方正仿宋简体"/>
          <w:sz w:val="32"/>
          <w:szCs w:val="32"/>
          <w:highlight w:val="none"/>
          <w:lang w:val="en-US" w:eastAsia="zh-CN"/>
        </w:rPr>
        <w:t>2</w:t>
      </w:r>
      <w:r>
        <w:rPr>
          <w:rFonts w:eastAsia="方正仿宋简体"/>
          <w:sz w:val="32"/>
          <w:szCs w:val="32"/>
          <w:highlight w:val="none"/>
        </w:rPr>
        <w:t>年预算</w:t>
      </w:r>
      <w:r>
        <w:rPr>
          <w:rFonts w:hint="eastAsia" w:eastAsia="方正仿宋简体"/>
          <w:sz w:val="32"/>
          <w:szCs w:val="32"/>
          <w:highlight w:val="none"/>
          <w:lang w:eastAsia="zh-CN"/>
        </w:rPr>
        <w:t>减少</w:t>
      </w:r>
      <w:r>
        <w:rPr>
          <w:rFonts w:hint="eastAsia" w:eastAsia="方正仿宋简体"/>
          <w:sz w:val="32"/>
          <w:szCs w:val="32"/>
          <w:highlight w:val="none"/>
          <w:lang w:val="en-US" w:eastAsia="zh-CN"/>
        </w:rPr>
        <w:t>13.22</w:t>
      </w:r>
      <w:r>
        <w:rPr>
          <w:rFonts w:eastAsia="方正仿宋简体"/>
          <w:sz w:val="32"/>
          <w:szCs w:val="32"/>
          <w:highlight w:val="none"/>
        </w:rPr>
        <w:t>万元，</w:t>
      </w:r>
      <w:r>
        <w:rPr>
          <w:rFonts w:hint="eastAsia" w:eastAsia="方正仿宋简体"/>
          <w:sz w:val="32"/>
          <w:szCs w:val="32"/>
          <w:highlight w:val="none"/>
          <w:lang w:eastAsia="zh-CN"/>
        </w:rPr>
        <w:t>减少</w:t>
      </w:r>
      <w:r>
        <w:rPr>
          <w:rFonts w:hint="eastAsia" w:eastAsia="方正仿宋简体"/>
          <w:sz w:val="32"/>
          <w:szCs w:val="32"/>
          <w:highlight w:val="none"/>
          <w:lang w:val="en-US" w:eastAsia="zh-CN"/>
        </w:rPr>
        <w:t>12.37</w:t>
      </w:r>
      <w:r>
        <w:rPr>
          <w:rFonts w:eastAsia="方正仿宋简体"/>
          <w:sz w:val="32"/>
          <w:szCs w:val="32"/>
          <w:highlight w:val="none"/>
        </w:rPr>
        <w:t>%。</w:t>
      </w:r>
      <w:r>
        <w:rPr>
          <w:rFonts w:hint="eastAsia" w:eastAsia="方正仿宋简体"/>
          <w:sz w:val="32"/>
          <w:szCs w:val="32"/>
          <w:highlight w:val="none"/>
          <w:lang w:eastAsia="zh-CN"/>
        </w:rPr>
        <w:t>主要原因为财政紧张，压减单位开支。</w:t>
      </w:r>
    </w:p>
    <w:p>
      <w:pPr>
        <w:spacing w:line="600" w:lineRule="exact"/>
        <w:ind w:firstLine="617" w:firstLineChars="192"/>
        <w:rPr>
          <w:rFonts w:eastAsia="方正楷体简体"/>
          <w:b/>
          <w:sz w:val="32"/>
          <w:szCs w:val="32"/>
          <w:highlight w:val="none"/>
        </w:rPr>
      </w:pPr>
      <w:r>
        <w:rPr>
          <w:rFonts w:hint="eastAsia" w:eastAsia="方正楷体简体"/>
          <w:b/>
          <w:sz w:val="32"/>
          <w:szCs w:val="32"/>
          <w:highlight w:val="none"/>
        </w:rPr>
        <w:t>（二）政府采购情况</w:t>
      </w:r>
    </w:p>
    <w:p>
      <w:pPr>
        <w:spacing w:line="600" w:lineRule="exact"/>
        <w:ind w:firstLine="640" w:firstLineChars="200"/>
        <w:rPr>
          <w:rFonts w:eastAsia="方正仿宋简体"/>
          <w:sz w:val="32"/>
          <w:szCs w:val="32"/>
          <w:highlight w:val="none"/>
        </w:rPr>
      </w:pPr>
      <w:r>
        <w:rPr>
          <w:rFonts w:eastAsia="方正仿宋简体"/>
          <w:sz w:val="32"/>
          <w:szCs w:val="32"/>
          <w:highlight w:val="none"/>
        </w:rPr>
        <w:t>202</w:t>
      </w:r>
      <w:r>
        <w:rPr>
          <w:rFonts w:hint="eastAsia" w:eastAsia="方正仿宋简体"/>
          <w:sz w:val="32"/>
          <w:szCs w:val="32"/>
          <w:highlight w:val="none"/>
          <w:lang w:val="en-US" w:eastAsia="zh-CN"/>
        </w:rPr>
        <w:t>3</w:t>
      </w:r>
      <w:r>
        <w:rPr>
          <w:rFonts w:eastAsia="方正仿宋简体"/>
          <w:sz w:val="32"/>
          <w:szCs w:val="32"/>
          <w:highlight w:val="none"/>
        </w:rPr>
        <w:t>年，资阳市雁江区经济科技信息化局</w:t>
      </w:r>
      <w:r>
        <w:rPr>
          <w:rFonts w:hint="eastAsia" w:eastAsia="方正仿宋简体"/>
          <w:sz w:val="32"/>
          <w:szCs w:val="32"/>
          <w:highlight w:val="none"/>
        </w:rPr>
        <w:t>无政府采购项目，未安排政府采购预算。</w:t>
      </w:r>
    </w:p>
    <w:p>
      <w:pPr>
        <w:spacing w:line="600" w:lineRule="exact"/>
        <w:ind w:firstLine="643" w:firstLineChars="200"/>
        <w:rPr>
          <w:rFonts w:eastAsia="方正楷体简体"/>
          <w:b/>
          <w:sz w:val="32"/>
          <w:szCs w:val="32"/>
          <w:highlight w:val="none"/>
        </w:rPr>
      </w:pPr>
      <w:r>
        <w:rPr>
          <w:rFonts w:hint="eastAsia" w:eastAsia="方正楷体简体"/>
          <w:b/>
          <w:sz w:val="32"/>
          <w:szCs w:val="32"/>
          <w:highlight w:val="none"/>
        </w:rPr>
        <w:t>（三）国有资产占有使用情况</w:t>
      </w:r>
    </w:p>
    <w:p>
      <w:pPr>
        <w:spacing w:line="600" w:lineRule="exact"/>
        <w:ind w:firstLine="640" w:firstLineChars="200"/>
        <w:rPr>
          <w:rFonts w:eastAsia="方正仿宋简体"/>
          <w:sz w:val="32"/>
          <w:szCs w:val="32"/>
          <w:highlight w:val="none"/>
        </w:rPr>
      </w:pPr>
      <w:r>
        <w:rPr>
          <w:rFonts w:hint="eastAsia" w:eastAsia="方正仿宋简体"/>
          <w:sz w:val="32"/>
          <w:szCs w:val="32"/>
          <w:highlight w:val="none"/>
        </w:rPr>
        <w:t>截至202</w:t>
      </w:r>
      <w:r>
        <w:rPr>
          <w:rFonts w:hint="eastAsia" w:eastAsia="方正仿宋简体"/>
          <w:sz w:val="32"/>
          <w:szCs w:val="32"/>
          <w:highlight w:val="none"/>
          <w:lang w:val="en-US" w:eastAsia="zh-CN"/>
        </w:rPr>
        <w:t>2</w:t>
      </w:r>
      <w:r>
        <w:rPr>
          <w:rFonts w:hint="eastAsia" w:eastAsia="方正仿宋简体"/>
          <w:sz w:val="32"/>
          <w:szCs w:val="32"/>
          <w:highlight w:val="none"/>
        </w:rPr>
        <w:t>年底，</w:t>
      </w:r>
      <w:r>
        <w:rPr>
          <w:rFonts w:eastAsia="方正仿宋简体"/>
          <w:sz w:val="32"/>
          <w:szCs w:val="32"/>
          <w:highlight w:val="none"/>
        </w:rPr>
        <w:t>资阳市雁江区经济科技信息化局</w:t>
      </w:r>
      <w:r>
        <w:rPr>
          <w:rFonts w:hint="eastAsia" w:eastAsia="方正仿宋简体"/>
          <w:sz w:val="32"/>
          <w:szCs w:val="32"/>
          <w:highlight w:val="none"/>
        </w:rPr>
        <w:t>所属各预算单位共有车辆1辆，单位价值100万元以上大型设备0台（套）。</w:t>
      </w:r>
    </w:p>
    <w:p>
      <w:pPr>
        <w:spacing w:line="600" w:lineRule="exact"/>
        <w:ind w:firstLine="640" w:firstLineChars="200"/>
        <w:rPr>
          <w:rFonts w:eastAsia="方正仿宋简体"/>
          <w:sz w:val="32"/>
          <w:szCs w:val="32"/>
          <w:highlight w:val="none"/>
        </w:rPr>
      </w:pPr>
      <w:r>
        <w:rPr>
          <w:rFonts w:hint="eastAsia" w:eastAsia="方正仿宋简体"/>
          <w:sz w:val="32"/>
          <w:szCs w:val="32"/>
          <w:highlight w:val="none"/>
        </w:rPr>
        <w:t>20</w:t>
      </w:r>
      <w:r>
        <w:rPr>
          <w:rFonts w:eastAsia="方正仿宋简体"/>
          <w:sz w:val="32"/>
          <w:szCs w:val="32"/>
          <w:highlight w:val="none"/>
        </w:rPr>
        <w:t>2</w:t>
      </w:r>
      <w:r>
        <w:rPr>
          <w:rFonts w:hint="eastAsia" w:eastAsia="方正仿宋简体"/>
          <w:sz w:val="32"/>
          <w:szCs w:val="32"/>
          <w:highlight w:val="none"/>
          <w:lang w:val="en-US" w:eastAsia="zh-CN"/>
        </w:rPr>
        <w:t>3</w:t>
      </w:r>
      <w:r>
        <w:rPr>
          <w:rFonts w:hint="eastAsia" w:eastAsia="方正仿宋简体"/>
          <w:sz w:val="32"/>
          <w:szCs w:val="32"/>
          <w:highlight w:val="none"/>
        </w:rPr>
        <w:t>年部门预算未安排购置车辆及单位价值100万元以上大型设备。</w:t>
      </w:r>
    </w:p>
    <w:p>
      <w:pPr>
        <w:spacing w:line="600" w:lineRule="exact"/>
        <w:ind w:firstLine="643" w:firstLineChars="200"/>
        <w:rPr>
          <w:rFonts w:eastAsia="方正楷体简体"/>
          <w:b/>
          <w:sz w:val="32"/>
          <w:szCs w:val="32"/>
          <w:highlight w:val="none"/>
        </w:rPr>
      </w:pPr>
      <w:r>
        <w:rPr>
          <w:rFonts w:hint="eastAsia" w:eastAsia="方正楷体简体"/>
          <w:b/>
          <w:sz w:val="32"/>
          <w:szCs w:val="32"/>
          <w:highlight w:val="none"/>
        </w:rPr>
        <w:t>（四）绩效目标设置情况</w:t>
      </w:r>
    </w:p>
    <w:p>
      <w:pPr>
        <w:spacing w:line="600" w:lineRule="exact"/>
        <w:ind w:firstLine="640" w:firstLineChars="200"/>
        <w:rPr>
          <w:rFonts w:eastAsia="方正仿宋简体"/>
          <w:sz w:val="32"/>
          <w:szCs w:val="32"/>
          <w:highlight w:val="none"/>
        </w:rPr>
      </w:pPr>
      <w:r>
        <w:rPr>
          <w:rFonts w:hint="eastAsia" w:eastAsia="方正仿宋简体"/>
          <w:sz w:val="32"/>
          <w:szCs w:val="32"/>
          <w:highlight w:val="none"/>
        </w:rPr>
        <w:t>绩效目标是预算编制的前提和基础，按照“费随事定”的原则，20</w:t>
      </w:r>
      <w:r>
        <w:rPr>
          <w:rFonts w:eastAsia="方正仿宋简体"/>
          <w:sz w:val="32"/>
          <w:szCs w:val="32"/>
          <w:highlight w:val="none"/>
        </w:rPr>
        <w:t>2</w:t>
      </w:r>
      <w:r>
        <w:rPr>
          <w:rFonts w:hint="eastAsia" w:eastAsia="方正仿宋简体"/>
          <w:sz w:val="32"/>
          <w:szCs w:val="32"/>
          <w:highlight w:val="none"/>
          <w:lang w:val="en-US" w:eastAsia="zh-CN"/>
        </w:rPr>
        <w:t>3</w:t>
      </w:r>
      <w:r>
        <w:rPr>
          <w:rFonts w:hint="eastAsia" w:eastAsia="方正仿宋简体"/>
          <w:sz w:val="32"/>
          <w:szCs w:val="32"/>
          <w:highlight w:val="none"/>
        </w:rPr>
        <w:t>年</w:t>
      </w:r>
      <w:r>
        <w:rPr>
          <w:rFonts w:eastAsia="方正仿宋简体"/>
          <w:sz w:val="32"/>
          <w:szCs w:val="32"/>
          <w:highlight w:val="none"/>
        </w:rPr>
        <w:t>资阳市雁江区经济科技信息化局</w:t>
      </w:r>
      <w:r>
        <w:rPr>
          <w:rFonts w:hint="eastAsia" w:eastAsia="方正仿宋简体"/>
          <w:sz w:val="32"/>
          <w:szCs w:val="32"/>
          <w:highlight w:val="none"/>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十一、名词解释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bookmarkStart w:id="0" w:name="_GoBack"/>
      <w:bookmarkEnd w:id="0"/>
      <w:r>
        <w:rPr>
          <w:rFonts w:hint="eastAsia" w:eastAsia="方正仿宋简体"/>
          <w:sz w:val="32"/>
          <w:szCs w:val="32"/>
        </w:rPr>
        <w:t>年部门预算公开表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B3D97"/>
    <w:multiLevelType w:val="multilevel"/>
    <w:tmpl w:val="247B3D97"/>
    <w:lvl w:ilvl="0" w:tentative="0">
      <w:start w:val="1"/>
      <w:numFmt w:val="japaneseCounting"/>
      <w:lvlText w:val="（%1）"/>
      <w:lvlJc w:val="left"/>
      <w:pPr>
        <w:ind w:left="1709" w:hanging="1080"/>
      </w:pPr>
      <w:rPr>
        <w:rFonts w:hint="default"/>
      </w:rPr>
    </w:lvl>
    <w:lvl w:ilvl="1" w:tentative="0">
      <w:start w:val="1"/>
      <w:numFmt w:val="lowerLetter"/>
      <w:lvlText w:val="%2)"/>
      <w:lvlJc w:val="left"/>
      <w:pPr>
        <w:ind w:left="1469" w:hanging="420"/>
      </w:pPr>
    </w:lvl>
    <w:lvl w:ilvl="2" w:tentative="0">
      <w:start w:val="1"/>
      <w:numFmt w:val="lowerRoman"/>
      <w:lvlText w:val="%3."/>
      <w:lvlJc w:val="right"/>
      <w:pPr>
        <w:ind w:left="1889" w:hanging="420"/>
      </w:pPr>
    </w:lvl>
    <w:lvl w:ilvl="3" w:tentative="0">
      <w:start w:val="1"/>
      <w:numFmt w:val="decimal"/>
      <w:lvlText w:val="%4."/>
      <w:lvlJc w:val="left"/>
      <w:pPr>
        <w:ind w:left="2309" w:hanging="420"/>
      </w:pPr>
    </w:lvl>
    <w:lvl w:ilvl="4" w:tentative="0">
      <w:start w:val="1"/>
      <w:numFmt w:val="lowerLetter"/>
      <w:lvlText w:val="%5)"/>
      <w:lvlJc w:val="left"/>
      <w:pPr>
        <w:ind w:left="2729" w:hanging="420"/>
      </w:pPr>
    </w:lvl>
    <w:lvl w:ilvl="5" w:tentative="0">
      <w:start w:val="1"/>
      <w:numFmt w:val="lowerRoman"/>
      <w:lvlText w:val="%6."/>
      <w:lvlJc w:val="right"/>
      <w:pPr>
        <w:ind w:left="3149" w:hanging="420"/>
      </w:pPr>
    </w:lvl>
    <w:lvl w:ilvl="6" w:tentative="0">
      <w:start w:val="1"/>
      <w:numFmt w:val="decimal"/>
      <w:lvlText w:val="%7."/>
      <w:lvlJc w:val="left"/>
      <w:pPr>
        <w:ind w:left="3569" w:hanging="420"/>
      </w:pPr>
    </w:lvl>
    <w:lvl w:ilvl="7" w:tentative="0">
      <w:start w:val="1"/>
      <w:numFmt w:val="lowerLetter"/>
      <w:lvlText w:val="%8)"/>
      <w:lvlJc w:val="left"/>
      <w:pPr>
        <w:ind w:left="3989" w:hanging="420"/>
      </w:pPr>
    </w:lvl>
    <w:lvl w:ilvl="8" w:tentative="0">
      <w:start w:val="1"/>
      <w:numFmt w:val="lowerRoman"/>
      <w:lvlText w:val="%9."/>
      <w:lvlJc w:val="right"/>
      <w:pPr>
        <w:ind w:left="44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E2B482E"/>
    <w:rsid w:val="000D03B6"/>
    <w:rsid w:val="002E1CB5"/>
    <w:rsid w:val="00350619"/>
    <w:rsid w:val="004C0168"/>
    <w:rsid w:val="00512C0C"/>
    <w:rsid w:val="00592267"/>
    <w:rsid w:val="0078405C"/>
    <w:rsid w:val="007A4130"/>
    <w:rsid w:val="00816F36"/>
    <w:rsid w:val="008B31A3"/>
    <w:rsid w:val="00952572"/>
    <w:rsid w:val="009B4E1C"/>
    <w:rsid w:val="00B269BD"/>
    <w:rsid w:val="00BF54C2"/>
    <w:rsid w:val="00E2357D"/>
    <w:rsid w:val="00E7340A"/>
    <w:rsid w:val="00ED69C5"/>
    <w:rsid w:val="00FA4DDB"/>
    <w:rsid w:val="0ED33F75"/>
    <w:rsid w:val="0EEF3A12"/>
    <w:rsid w:val="0F872B08"/>
    <w:rsid w:val="0FC53B7C"/>
    <w:rsid w:val="10222B70"/>
    <w:rsid w:val="134C5886"/>
    <w:rsid w:val="1D7E204E"/>
    <w:rsid w:val="1DE47E7E"/>
    <w:rsid w:val="1EFB7A78"/>
    <w:rsid w:val="20E67B7A"/>
    <w:rsid w:val="25710360"/>
    <w:rsid w:val="28407FA1"/>
    <w:rsid w:val="356E215A"/>
    <w:rsid w:val="3E2B482E"/>
    <w:rsid w:val="3F7B2A73"/>
    <w:rsid w:val="408F086F"/>
    <w:rsid w:val="463F3468"/>
    <w:rsid w:val="49FC0290"/>
    <w:rsid w:val="4BFA49C6"/>
    <w:rsid w:val="4C1D3F44"/>
    <w:rsid w:val="4C871BF7"/>
    <w:rsid w:val="4F5356C6"/>
    <w:rsid w:val="541024D5"/>
    <w:rsid w:val="56D34302"/>
    <w:rsid w:val="5DAF765E"/>
    <w:rsid w:val="5DF92A5A"/>
    <w:rsid w:val="62A76916"/>
    <w:rsid w:val="63C52046"/>
    <w:rsid w:val="6591205D"/>
    <w:rsid w:val="66224FF4"/>
    <w:rsid w:val="67032DC0"/>
    <w:rsid w:val="68D86A33"/>
    <w:rsid w:val="6AB8030E"/>
    <w:rsid w:val="6F201A80"/>
    <w:rsid w:val="6FA03C3B"/>
    <w:rsid w:val="74F9684A"/>
    <w:rsid w:val="757B7681"/>
    <w:rsid w:val="75EA3513"/>
    <w:rsid w:val="77A73008"/>
    <w:rsid w:val="7D7D22CB"/>
    <w:rsid w:val="7DD5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仿宋" w:hAnsi="仿宋" w:eastAsia="仿宋"/>
      <w:sz w:val="24"/>
    </w:rPr>
  </w:style>
  <w:style w:type="paragraph" w:styleId="3">
    <w:name w:val="Body Text"/>
    <w:basedOn w:val="1"/>
    <w:next w:val="1"/>
    <w:qFormat/>
    <w:uiPriority w:val="0"/>
    <w:pPr>
      <w:spacing w:line="576" w:lineRule="exact"/>
      <w:ind w:right="662" w:rightChars="202"/>
    </w:pPr>
    <w:rPr>
      <w:color w:val="000000"/>
      <w:sz w:val="33"/>
      <w:szCs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imes New Roman" w:hAnsi="Times New Roman" w:eastAsia="宋体" w:cs="Times New Roman"/>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DF15-65D6-4EEA-AAA5-E9052AD8E352}">
  <ds:schemaRefs/>
</ds:datastoreItem>
</file>

<file path=docProps/app.xml><?xml version="1.0" encoding="utf-8"?>
<Properties xmlns="http://schemas.openxmlformats.org/officeDocument/2006/extended-properties" xmlns:vt="http://schemas.openxmlformats.org/officeDocument/2006/docPropsVTypes">
  <Template>Normal</Template>
  <Pages>16</Pages>
  <Words>1207</Words>
  <Characters>6883</Characters>
  <Lines>57</Lines>
  <Paragraphs>16</Paragraphs>
  <TotalTime>2</TotalTime>
  <ScaleCrop>false</ScaleCrop>
  <LinksUpToDate>false</LinksUpToDate>
  <CharactersWithSpaces>8074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Administrator</cp:lastModifiedBy>
  <dcterms:modified xsi:type="dcterms:W3CDTF">2023-01-17T04:42:32Z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CAD7FA66C79B4E65995AE5FF3C9FCD97</vt:lpwstr>
  </property>
</Properties>
</file>