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方正黑体简体" w:cs="方正黑体简体"/>
          <w:color w:val="000000"/>
          <w:kern w:val="2"/>
          <w:sz w:val="32"/>
          <w:szCs w:val="22"/>
          <w:lang w:val="en-US" w:eastAsia="zh-CN" w:bidi="ar"/>
        </w:rPr>
      </w:pPr>
      <w:r>
        <w:rPr>
          <w:rFonts w:hint="eastAsia" w:ascii="宋体" w:hAnsi="宋体" w:eastAsia="方正黑体简体" w:cs="方正黑体简体"/>
          <w:color w:val="000000"/>
          <w:kern w:val="2"/>
          <w:sz w:val="32"/>
          <w:szCs w:val="22"/>
          <w:lang w:val="en-US" w:eastAsia="zh-CN" w:bidi="ar"/>
        </w:rPr>
        <w:t>附件1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256" w:lineRule="auto"/>
        <w:ind w:left="-1440" w:right="15398" w:firstLine="0"/>
        <w:jc w:val="left"/>
        <w:rPr>
          <w:rFonts w:ascii="宋体" w:hAnsi="宋体"/>
          <w:lang w:val="en-US"/>
        </w:rPr>
      </w:pPr>
    </w:p>
    <w:tbl>
      <w:tblPr>
        <w:tblStyle w:val="7"/>
        <w:tblW w:w="15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153"/>
        <w:gridCol w:w="1319"/>
        <w:gridCol w:w="2523"/>
        <w:gridCol w:w="1470"/>
        <w:gridCol w:w="1155"/>
        <w:gridCol w:w="1245"/>
        <w:gridCol w:w="1080"/>
        <w:gridCol w:w="986"/>
        <w:gridCol w:w="1337"/>
        <w:gridCol w:w="1160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874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微软雅黑" w:cs="微软雅黑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资阳市雁江区市场监管系统2023年度“双随机、一公开”监管抽查计划统计表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方正黑体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方正黑体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任务名称</w:t>
            </w:r>
          </w:p>
        </w:tc>
        <w:tc>
          <w:tcPr>
            <w:tcW w:w="13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方正黑体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检查对象</w:t>
            </w:r>
          </w:p>
        </w:tc>
        <w:tc>
          <w:tcPr>
            <w:tcW w:w="25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方正黑体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检查事项(内容)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方正黑体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组织实施层级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方正黑体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事项类别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拟抽查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方正黑体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比例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拟抽查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方正黑体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户数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方正黑体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关联企业信用风险分类抽查比例分配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方正黑体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完成时间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方正黑体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</w:t>
            </w: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特殊食品销售监督检查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特殊食品销售企业</w:t>
            </w:r>
          </w:p>
        </w:tc>
        <w:tc>
          <w:tcPr>
            <w:tcW w:w="25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特殊食品销售监督检查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特殊食品股、监管所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4%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按照D类50%比例抽查</w:t>
            </w:r>
          </w:p>
        </w:tc>
        <w:tc>
          <w:tcPr>
            <w:tcW w:w="1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2023年11月20日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由于D类企业数量已远超过今年需抽查数量，所以今年只抽取D类企业进行检查。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专利真实性监督检查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25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专利证书、专利文件或专利申请文件真实性的检查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知产广告股 、监管所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15%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按照A类15%比例抽查</w:t>
            </w:r>
          </w:p>
        </w:tc>
        <w:tc>
          <w:tcPr>
            <w:tcW w:w="1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2023年11月20日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无信用受损企业，故在A级中抽查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广告行为检查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广告经营、发布企业</w:t>
            </w:r>
          </w:p>
        </w:tc>
        <w:tc>
          <w:tcPr>
            <w:tcW w:w="25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广告发布登记情况的检查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知产广告股、监管所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2%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按照A类1%比例抽查</w:t>
            </w:r>
          </w:p>
        </w:tc>
        <w:tc>
          <w:tcPr>
            <w:tcW w:w="1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2023年11月20日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无信用受损企业，故在A级中抽查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商标使用行为检查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商标使用企业</w:t>
            </w:r>
          </w:p>
        </w:tc>
        <w:tc>
          <w:tcPr>
            <w:tcW w:w="25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商标使用行为检查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知产广告股、监管所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2%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按照A类2%比例抽查</w:t>
            </w:r>
          </w:p>
        </w:tc>
        <w:tc>
          <w:tcPr>
            <w:tcW w:w="1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2023年11月20日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无信用受损企业，故在A级中抽查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电子商务平台经营者履行主体责任的的检查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电子商务平台经营企业</w:t>
            </w:r>
          </w:p>
        </w:tc>
        <w:tc>
          <w:tcPr>
            <w:tcW w:w="25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电子商务平台经营者履行主体责任的检查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网监股、监管所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按照A类100%比例抽查</w:t>
            </w:r>
          </w:p>
        </w:tc>
        <w:tc>
          <w:tcPr>
            <w:tcW w:w="1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2023年11月20日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由于全区只有1户电子商务平台企业，无法结合企业信用风险分类抽取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价格行为检查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企业、个体</w:t>
            </w:r>
          </w:p>
        </w:tc>
        <w:tc>
          <w:tcPr>
            <w:tcW w:w="25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执行政府定价、政府指导价、行政性、事业性收费情况，明码标价情况及其他价格行为的检查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价格股、监管所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14%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2023年11月20日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因企业、个体混合抽取，无法结合企业信用风险分类抽取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计量监督检查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企业、个体</w:t>
            </w:r>
          </w:p>
        </w:tc>
        <w:tc>
          <w:tcPr>
            <w:tcW w:w="25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计量单位使用情况专项监督检查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计量认证标准化股、监管所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2%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2023年11月20日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因企业、个体混合抽取，无法结合企业信用风险分类抽取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检验检测机构检查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检验检测机构</w:t>
            </w:r>
          </w:p>
        </w:tc>
        <w:tc>
          <w:tcPr>
            <w:tcW w:w="25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检验检测机构检查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计量和认证股、监管所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33%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2023年11月20日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由于检查对象不是企业，不结合企业信用风险分类抽取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市场类标准监督检查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25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企业标准自我声明监督检查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计量和认证股、监管所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按照A类100%比例抽查</w:t>
            </w:r>
          </w:p>
        </w:tc>
        <w:tc>
          <w:tcPr>
            <w:tcW w:w="1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2023年11月20日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为非法交易野生动物等违法行为提供交易服务的检查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25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为非法交易野生动物等违法行为提供交易服务的检查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市场股、监管所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35%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按照A类100%比例抽查</w:t>
            </w:r>
          </w:p>
        </w:tc>
        <w:tc>
          <w:tcPr>
            <w:tcW w:w="1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2023年11月20日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工业产品生产许可证产品生产企业检查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工业产品生产许可证获证企业</w:t>
            </w:r>
          </w:p>
        </w:tc>
        <w:tc>
          <w:tcPr>
            <w:tcW w:w="25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工业产品生产许可证获证企业证后监管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质量股、监管所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按照A类100%比例抽查</w:t>
            </w:r>
          </w:p>
        </w:tc>
        <w:tc>
          <w:tcPr>
            <w:tcW w:w="1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2023年11月20日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区级产品质量监督抽查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流通领域工业产品销售者</w:t>
            </w:r>
          </w:p>
        </w:tc>
        <w:tc>
          <w:tcPr>
            <w:tcW w:w="25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工业产品质量监督抽查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质量股、监管所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30%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按照B级以上等级类100%比例抽查</w:t>
            </w:r>
          </w:p>
        </w:tc>
        <w:tc>
          <w:tcPr>
            <w:tcW w:w="1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2023年11月20日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特种设备使用单位监督检查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特种设备使用企业</w:t>
            </w:r>
          </w:p>
        </w:tc>
        <w:tc>
          <w:tcPr>
            <w:tcW w:w="25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对特种设备使用单位的监督检查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特种设备股、监管所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15%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按照B级以上等级类100%比例抽查</w:t>
            </w:r>
          </w:p>
        </w:tc>
        <w:tc>
          <w:tcPr>
            <w:tcW w:w="1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2023年11月20日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食品销售监督检查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食品经营企业</w:t>
            </w:r>
          </w:p>
        </w:tc>
        <w:tc>
          <w:tcPr>
            <w:tcW w:w="25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高风险食品销售监督检查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食品流通股、监管所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按照B级以上等级类50%比例抽查</w:t>
            </w:r>
          </w:p>
        </w:tc>
        <w:tc>
          <w:tcPr>
            <w:tcW w:w="1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2023年11月20日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由于B、C、D类企业数量已远超过今年需抽查数量，所以今年只随机抽取B级以上等级类企业进行检查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餐饮服务监督检查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餐饮服务经营企业</w:t>
            </w:r>
          </w:p>
        </w:tc>
        <w:tc>
          <w:tcPr>
            <w:tcW w:w="25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食品经营许可情况的检查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餐饮股、监管所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C级企业50%、D级企业50%。</w:t>
            </w:r>
          </w:p>
        </w:tc>
        <w:tc>
          <w:tcPr>
            <w:tcW w:w="1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2023年11月20日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因评级为C、D类企业过多，所以今年只抽取C、D类企业进行检查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食品生产监督检查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食品生产企业</w:t>
            </w:r>
          </w:p>
        </w:tc>
        <w:tc>
          <w:tcPr>
            <w:tcW w:w="25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食品生产监督检查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食品生产股、监管所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48%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BCD类企业按照40%、100%、100%比例抽查</w:t>
            </w:r>
          </w:p>
        </w:tc>
        <w:tc>
          <w:tcPr>
            <w:tcW w:w="1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2023年11月20日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00" w:lineRule="exact"/>
        <w:rPr>
          <w:rFonts w:hint="eastAsia" w:ascii="宋体" w:hAnsi="宋体" w:eastAsia="方正仿宋简体" w:cs="方正仿宋简体"/>
          <w:sz w:val="20"/>
          <w:szCs w:val="20"/>
          <w:lang w:val="en-US"/>
        </w:rPr>
        <w:sectPr>
          <w:headerReference r:id="rId3" w:type="default"/>
          <w:footerReference r:id="rId4" w:type="default"/>
          <w:pgSz w:w="16838" w:h="11906" w:orient="landscape"/>
          <w:pgMar w:top="1587" w:right="567" w:bottom="1474" w:left="567" w:header="851" w:footer="992" w:gutter="0"/>
          <w:pgNumType w:fmt="decimal"/>
          <w:cols w:space="0" w:num="1"/>
          <w:rtlGutter w:val="0"/>
          <w:docGrid w:type="lines" w:linePitch="327" w:charSpace="0"/>
        </w:sectPr>
      </w:pPr>
    </w:p>
    <w:p/>
    <w:sectPr>
      <w:headerReference r:id="rId5" w:type="default"/>
      <w:footerReference r:id="rId6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5ZDUzYjY3M2JkNjQ2OWE4Y2VmY2RlZmEyZGFkNzkifQ=="/>
  </w:docVars>
  <w:rsids>
    <w:rsidRoot w:val="448340E5"/>
    <w:rsid w:val="4483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autoSpaceDE w:val="0"/>
      <w:autoSpaceDN w:val="0"/>
      <w:adjustRightInd w:val="0"/>
      <w:spacing w:line="240" w:lineRule="atLeast"/>
      <w:ind w:right="-153" w:rightChars="-73" w:firstLine="602"/>
    </w:pPr>
    <w:rPr>
      <w:rFonts w:ascii="仿宋_GB2312"/>
      <w:color w:val="000000"/>
      <w:kern w:val="0"/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next w:val="1"/>
    <w:qFormat/>
    <w:uiPriority w:val="0"/>
    <w:pPr>
      <w:spacing w:after="120"/>
      <w:ind w:left="200" w:leftChars="200" w:firstLine="420"/>
    </w:pPr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2023-11-01T10:17:00Z</dcterms:created>
  <dc:creator>don't worry.</dc:creator>
  <cp:lastModifiedBy>don't worry.</cp:lastModifiedBy>
  <dcterms:modified xsi:type="dcterms:W3CDTF">2023-11-01T10:19:05Z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C66BA9CA50064E3BBAF94A6206709716_11</vt:lpwstr>
  </property>
</Properties>
</file>