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资阳市商业秘密保护创新试点基地名单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" w:eastAsia="zh-CN"/>
        </w:rPr>
        <w:t>雁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" w:eastAsia="zh-CN"/>
        </w:rPr>
        <w:t>江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" w:eastAsia="zh-CN"/>
        </w:rPr>
        <w:t>区：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  <w:t>四川金辉药业有限公司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  <w:t>　　　　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  <w:t>四川加多宝饮料有限公司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" w:eastAsia="zh-CN"/>
        </w:rPr>
        <w:t>安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" w:eastAsia="zh-CN"/>
        </w:rPr>
        <w:t>岳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" w:eastAsia="zh-CN"/>
        </w:rPr>
        <w:t>县：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  <w:t>四川科伦药业股份有限公司安岳分公司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" w:eastAsia="zh-CN"/>
        </w:rPr>
        <w:t>乐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" w:eastAsia="zh-CN"/>
        </w:rPr>
        <w:t>至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" w:eastAsia="zh-CN"/>
        </w:rPr>
        <w:t>县：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  <w:t>四川超迪电器实业有限公司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  <w:t>　　　　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  <w:t>四川德仁源农业科技有限公司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  <w:t>　　　　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  <w:t>四川省天翔食品有限公司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" w:eastAsia="zh-CN"/>
        </w:rPr>
        <w:t>高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" w:eastAsia="zh-CN"/>
        </w:rPr>
        <w:t>新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" w:eastAsia="zh-CN"/>
        </w:rPr>
        <w:t>区：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  <w:t>四川共享铸造有限公司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  <w:t>　　　　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  <w:t>四川护家卫士生物医药科技有限公司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" w:eastAsia="zh-CN"/>
        </w:rPr>
        <w:t>临空经济区：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  <w:t>四川自立机械有限公司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" w:eastAsia="zh-CN"/>
        </w:rPr>
        <w:t>　　　　　　资阳晨风西铁机械有限公司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CESI宋体-GB2312" w:hAnsi="CESI宋体-GB2312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简体">
    <w:altName w:val="方正黑体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altName w:val="方正楷体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8DBBA5"/>
    <w:rsid w:val="7FFDC583"/>
    <w:rsid w:val="FB8DB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3276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 w:afterAutospacing="0"/>
      <w:ind w:left="200" w:leftChars="200" w:firstLine="42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widowControl w:val="0"/>
      <w:spacing w:after="120" w:afterAutospacing="0"/>
      <w:ind w:left="200" w:leftChars="2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next w:val="5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styleId="5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2023-06-27T17:17:00Z</dcterms:created>
  <dc:creator>MÁS</dc:creator>
  <cp:lastModifiedBy>MÁS</cp:lastModifiedBy>
  <dcterms:modified xsi:type="dcterms:W3CDTF">2023-06-27T09:19:43Z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