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p>
    <w:p>
      <w:pPr>
        <w:pStyle w:val="null3"/>
      </w:pPr>
      <w:r>
        <w:br/>
      </w:r>
      <w:r>
        <w:br/>
      </w:r>
      <w:r>
        <w:br/>
      </w:r>
      <w:r>
        <w:br/>
      </w:r>
      <w:r>
        <w:br/>
      </w:r>
    </w:p>
    <w:p>
      <w:pPr>
        <w:pStyle w:val="null3"/>
        <w:jc w:val="center"/>
        <w:outlineLvl w:val="0"/>
      </w:pPr>
      <w:r>
        <w:rPr>
          <w:b/>
          <w:sz w:val="48"/>
        </w:rPr>
        <w:t>招 标 文 件</w:t>
      </w:r>
      <w:r>
        <w:br/>
      </w:r>
      <w:r>
        <w:br/>
      </w:r>
      <w:r>
        <w:br/>
      </w:r>
    </w:p>
    <w:p>
      <w:pPr>
        <w:pStyle w:val="null3"/>
        <w:jc w:val="center"/>
        <w:outlineLvl w:val="1"/>
      </w:pPr>
      <w:r>
        <w:rPr>
          <w:b/>
          <w:sz w:val="36"/>
        </w:rPr>
        <w:t>（服务类）</w:t>
      </w:r>
      <w:r>
        <w:br/>
      </w:r>
      <w:r>
        <w:br/>
      </w:r>
      <w:r>
        <w:br/>
      </w:r>
      <w:r>
        <w:br/>
      </w:r>
      <w:r>
        <w:br/>
      </w:r>
      <w:r>
        <w:br/>
      </w:r>
      <w:r>
        <w:br/>
      </w:r>
      <w:r>
        <w:br/>
      </w:r>
      <w:r>
        <w:br/>
      </w:r>
      <w:r>
        <w:br/>
      </w:r>
      <w:r>
        <w:br/>
      </w:r>
    </w:p>
    <w:p>
      <w:pPr>
        <w:pStyle w:val="null3"/>
        <w:jc w:val="center"/>
        <w:outlineLvl w:val="2"/>
      </w:pPr>
      <w:r>
        <w:rPr>
          <w:b/>
          <w:sz w:val="28"/>
        </w:rPr>
        <w:t>采购项目名称：</w:t>
      </w:r>
      <w:r>
        <w:rPr>
          <w:b/>
          <w:sz w:val="28"/>
        </w:rPr>
        <w:t>2024年为资阳籍60周岁以上老年人购买意外伤害保险</w:t>
      </w:r>
    </w:p>
    <w:p>
      <w:pPr>
        <w:pStyle w:val="null3"/>
        <w:jc w:val="center"/>
        <w:outlineLvl w:val="2"/>
      </w:pPr>
      <w:r>
        <w:rPr>
          <w:b/>
          <w:sz w:val="28"/>
        </w:rPr>
        <w:t>采购项目编号：</w:t>
      </w:r>
      <w:r>
        <w:rPr>
          <w:b/>
          <w:sz w:val="28"/>
        </w:rPr>
        <w:t>N5120012024000048</w:t>
      </w:r>
      <w:r>
        <w:br/>
      </w:r>
      <w:r>
        <w:br/>
      </w:r>
      <w:r>
        <w:br/>
      </w:r>
    </w:p>
    <w:p>
      <w:pPr>
        <w:pStyle w:val="null3"/>
        <w:jc w:val="center"/>
        <w:outlineLvl w:val="2"/>
      </w:pPr>
      <w:r>
        <w:rPr>
          <w:b/>
          <w:sz w:val="28"/>
        </w:rPr>
        <w:t>资阳市民政局</w:t>
      </w:r>
    </w:p>
    <w:p>
      <w:pPr>
        <w:pStyle w:val="null3"/>
        <w:jc w:val="center"/>
        <w:outlineLvl w:val="2"/>
      </w:pPr>
      <w:r>
        <w:rPr>
          <w:b/>
          <w:sz w:val="28"/>
        </w:rPr>
        <w:t>四川铂睿招标代理有限公司</w:t>
      </w:r>
      <w:r>
        <w:rPr>
          <w:b/>
          <w:sz w:val="28"/>
        </w:rPr>
        <w:t>共同编制</w:t>
      </w:r>
    </w:p>
    <w:p>
      <w:pPr>
        <w:pStyle w:val="null3"/>
        <w:jc w:val="center"/>
        <w:outlineLvl w:val="2"/>
      </w:pPr>
      <w:r>
        <w:rPr>
          <w:b/>
          <w:sz w:val="28"/>
        </w:rPr>
        <w:t>2024年03月20日</w:t>
      </w:r>
    </w:p>
    <w:p>
      <w:pPr>
        <w:pStyle w:val="null3"/>
      </w:pPr>
    </w:p>
    <w:p>
      <w:pPr>
        <w:pStyle w:val="null3"/>
      </w:pPr>
      <w:r>
        <w:rPr/>
        <w:t xml:space="preserve"> </w:t>
      </w:r>
    </w:p>
    <w:p>
      <w:pPr>
        <w:pStyle w:val="null3"/>
        <w:jc w:val="center"/>
        <w:outlineLvl w:val="1"/>
      </w:pPr>
      <w:r>
        <w:rPr>
          <w:b/>
          <w:sz w:val="36"/>
        </w:rPr>
        <w:t>第一章 投标邀请</w:t>
      </w:r>
    </w:p>
    <w:p>
      <w:pPr>
        <w:pStyle w:val="null3"/>
        <w:ind w:firstLine="480"/>
      </w:pPr>
      <w:r>
        <w:rPr/>
        <w:t>四川铂睿招标代理有限公司</w:t>
      </w:r>
      <w:r>
        <w:rPr/>
        <w:t>（以下简称“代理机构”）受</w:t>
      </w:r>
      <w:r>
        <w:rPr/>
        <w:t>资阳市民政局</w:t>
      </w:r>
      <w:r>
        <w:rPr/>
        <w:t>委托，拟对</w:t>
      </w:r>
      <w:r>
        <w:rPr/>
        <w:t>2024年为资阳籍60周岁以上老年人购买意外伤害保险</w:t>
      </w:r>
      <w:r>
        <w:rPr/>
        <w:t>进行国内公开招标，兹邀请符合本次招标要求的供应商参加投标。</w:t>
      </w:r>
    </w:p>
    <w:p>
      <w:pPr>
        <w:pStyle w:val="null3"/>
        <w:outlineLvl w:val="2"/>
      </w:pPr>
      <w:r>
        <w:rPr>
          <w:b/>
          <w:sz w:val="28"/>
        </w:rPr>
        <w:t>一、采购项目编号：</w:t>
      </w:r>
      <w:r>
        <w:rPr>
          <w:b/>
          <w:sz w:val="28"/>
        </w:rPr>
        <w:t>N5120012024000048</w:t>
      </w:r>
    </w:p>
    <w:p>
      <w:pPr>
        <w:pStyle w:val="null3"/>
        <w:outlineLvl w:val="2"/>
      </w:pPr>
      <w:r>
        <w:rPr>
          <w:b/>
          <w:sz w:val="28"/>
        </w:rPr>
        <w:t>二、采购项目名称：</w:t>
      </w:r>
      <w:r>
        <w:rPr>
          <w:b/>
          <w:sz w:val="28"/>
        </w:rPr>
        <w:t>2024年为资阳籍60周岁以上老年人购买意外伤害保险</w:t>
      </w:r>
    </w:p>
    <w:p>
      <w:pPr>
        <w:pStyle w:val="null3"/>
        <w:outlineLvl w:val="2"/>
      </w:pPr>
      <w:r>
        <w:rPr>
          <w:b/>
          <w:sz w:val="28"/>
        </w:rPr>
        <w:t>三、招标项目简介</w:t>
      </w:r>
    </w:p>
    <w:p>
      <w:pPr>
        <w:pStyle w:val="null3"/>
        <w:ind w:firstLine="480"/>
      </w:pPr>
      <w:r>
        <w:rPr/>
        <w:t>1、本项目为3个包，雁江区、高新区、临空经济区为1个包，安岳县、乐至县分别为1个包。为资阳籍60岁以上老年人每人购买一份意外伤害保险。保险期限为一年，以保险单载明的起讫时间为准。2、采购预算：1516.8万元，计划购买对象约75.84万人。其中，包1（安岳县）约34.17万人，采购预算683.4万元；包2（雁江区、高新区、临空经济区）约22.71万人，采购预算454.2万元；包3（乐至县）约18.96万人，采购预算379.2万元。项目采用固定总价，所需资金由市财政统筹解决。3、项目采取兼投不兼中原则确定承保机构3家。符合条件的投标人可投一个包也可同时投多个包，每投一个包需提供相应的应标文件。评标时，按照包1、包2、包3依次评审，一个投标人不能同时成为两个或以上项目包的第一中标候选人，即投标人一旦被推荐为上一个项目包的第一中标候选人，则不再参与后续包的评审。例：在包1确定为第一中标候选人，则不再参与包2、包3的评审，在包2确定为第一中标候选人，则不再参与包3的评审。</w:t>
      </w:r>
    </w:p>
    <w:p>
      <w:pPr>
        <w:pStyle w:val="null3"/>
        <w:outlineLvl w:val="2"/>
      </w:pPr>
      <w:r>
        <w:rPr>
          <w:b/>
          <w:sz w:val="28"/>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p>
    <w:p>
      <w:pPr>
        <w:pStyle w:val="null3"/>
      </w:pPr>
    </w:p>
    <w:p>
      <w:pPr>
        <w:pStyle w:val="null3"/>
      </w:pPr>
      <w:r>
        <w:rPr/>
        <w:t>本项目所有采购包不专门面向中小企业。</w:t>
      </w:r>
    </w:p>
    <w:p>
      <w:pPr>
        <w:pStyle w:val="null3"/>
        <w:ind w:firstLine="480"/>
      </w:pPr>
      <w:r>
        <w:rPr/>
        <w:t>注：监狱企业和残疾人福利性单位视同小微企业，符合中小企业划分标准的个体工商户视同中小企业。</w:t>
      </w:r>
    </w:p>
    <w:p>
      <w:pPr>
        <w:pStyle w:val="null3"/>
        <w:ind w:firstLine="480"/>
      </w:pPr>
      <w:r>
        <w:rPr/>
        <w:t>（三）本项目的特定资格要求：</w:t>
      </w:r>
    </w:p>
    <w:p>
      <w:pPr>
        <w:pStyle w:val="null3"/>
      </w:pPr>
    </w:p>
    <w:p>
      <w:pPr>
        <w:pStyle w:val="null3"/>
      </w:pPr>
    </w:p>
    <w:p>
      <w:pPr>
        <w:pStyle w:val="null3"/>
      </w:pPr>
    </w:p>
    <w:p>
      <w:pPr>
        <w:pStyle w:val="null3"/>
      </w:pPr>
      <w:r>
        <w:rPr/>
        <w:t>采购包1：</w:t>
      </w:r>
    </w:p>
    <w:p>
      <w:pPr>
        <w:pStyle w:val="null3"/>
      </w:pPr>
      <w:r>
        <w:rPr/>
        <w:t>1、投标人必须具有《经营保险业务许可证》（描述：提供有效的《经营保险业务许可证》复印件）</w:t>
      </w:r>
    </w:p>
    <w:p>
      <w:pPr>
        <w:pStyle w:val="null3"/>
      </w:pPr>
      <w:r>
        <w:rPr/>
        <w:t>2、参加本次政府采购活动前三年内，投标人未受到行业监管部门或其它行政部门的重大处罚（描述：提供参加本次政府采购活动前三年内，投标人未受到行业监管部门或其它行政部门的重大处罚承诺函）</w:t>
      </w:r>
    </w:p>
    <w:p>
      <w:pPr>
        <w:pStyle w:val="null3"/>
      </w:pPr>
    </w:p>
    <w:p>
      <w:pPr>
        <w:pStyle w:val="null3"/>
      </w:pPr>
      <w:r>
        <w:rPr/>
        <w:t>采购包2：</w:t>
      </w:r>
    </w:p>
    <w:p>
      <w:pPr>
        <w:pStyle w:val="null3"/>
      </w:pPr>
      <w:r>
        <w:rPr/>
        <w:t>1、投标人必须具有《经营保险业务许可证》（描述：提供有效的《经营保险业务许可证》复印件）</w:t>
      </w:r>
    </w:p>
    <w:p>
      <w:pPr>
        <w:pStyle w:val="null3"/>
      </w:pPr>
      <w:r>
        <w:rPr/>
        <w:t>2、参加本次政府采购活动前三年内，投标人未受到行业监管部门或其它行政部门的重大处罚（描述：提供参加本次政府采购活动前三年内，投标人未受到行业监管部门或其它行政部门的重大处罚承诺函）</w:t>
      </w:r>
    </w:p>
    <w:p>
      <w:pPr>
        <w:pStyle w:val="null3"/>
      </w:pPr>
    </w:p>
    <w:p>
      <w:pPr>
        <w:pStyle w:val="null3"/>
      </w:pPr>
      <w:r>
        <w:rPr/>
        <w:t>采购包3：</w:t>
      </w:r>
    </w:p>
    <w:p>
      <w:pPr>
        <w:pStyle w:val="null3"/>
      </w:pPr>
      <w:r>
        <w:rPr/>
        <w:t>1、投标人必须具有《经营保险业务许可证》（描述：提供有效的《经营保险业务许可证》复印件）</w:t>
      </w:r>
    </w:p>
    <w:p>
      <w:pPr>
        <w:pStyle w:val="null3"/>
      </w:pPr>
      <w:r>
        <w:rPr/>
        <w:t>2、参加本次政府采购活动前三年内，投标人未受到行业监管部门或其它行政部门的重大处罚（描述：提供参加本次政府采购活动前三年内，投标人未受到行业监管部门或其它行政部门的重大处罚承诺函）</w:t>
      </w:r>
    </w:p>
    <w:p>
      <w:pPr>
        <w:pStyle w:val="null3"/>
        <w:outlineLvl w:val="2"/>
      </w:pPr>
      <w:r>
        <w:rPr>
          <w:b/>
          <w:sz w:val="28"/>
        </w:rPr>
        <w:t>五、电子化采购相关事项</w:t>
      </w:r>
    </w:p>
    <w:p>
      <w:pPr>
        <w:pStyle w:val="null3"/>
        <w:ind w:firstLine="480"/>
      </w:pPr>
      <w:r>
        <w:rPr/>
        <w:t xml:space="preserve"> 本项目实行电子化采购，使用的电子化交易系统为：四川省政府采购一体化平台的项目电子化交易系统（以下简称“项目电子化交易系统”），登录方式及地址：通过四川政府采购网（www.ccgp-sichuan.gov.cn）首页供应商用户登录四川省政府采购一体化平台（以下简称“采购一体化平台”），进入项目电子化交易系统。供应商应当按照以下要求，参与本次电子化采购活动。</w:t>
      </w:r>
    </w:p>
    <w:p>
      <w:pPr>
        <w:pStyle w:val="null3"/>
        <w:ind w:firstLine="480"/>
      </w:pPr>
      <w:r>
        <w:rPr/>
        <w:t xml:space="preserve"> （一）供应商应当自行在四川政府采购网-办事指南查看相应的系统操作指南，并严格按照操作指南要求进行系统操作。在登录、使用采购一体化平台前，应当按照要求完成供应商注册和信息完善，加入采购一体化平台供应商库。</w:t>
      </w:r>
    </w:p>
    <w:p>
      <w:pPr>
        <w:pStyle w:val="null3"/>
        <w:ind w:firstLine="480"/>
      </w:pPr>
      <w:r>
        <w:rPr/>
        <w:t xml:space="preserve"> (二)供应商应当使用纳入全国公共资源交易平台（四川省）数字证书互认范围的数字证书及签章（以下简称“互认的证书及签章”）进行系统操作。供应商使用互认的证书及签章登录采购一体化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四川政府采购网-办事指南。</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（三）供应商应当自行准备电子化采购所需的计算机终端、软硬件及网络环境，承担因准备不足产生的不利后果。</w:t>
      </w:r>
    </w:p>
    <w:p>
      <w:pPr>
        <w:pStyle w:val="null3"/>
        <w:ind w:firstLine="480"/>
      </w:pPr>
      <w:r>
        <w:rPr/>
        <w:t>（四）采购一体化平台技术支持：</w:t>
      </w:r>
    </w:p>
    <w:p>
      <w:pPr>
        <w:pStyle w:val="null3"/>
        <w:ind w:firstLine="480"/>
      </w:pPr>
      <w:r>
        <w:rPr/>
        <w:t>在线客服：通过四川政府采购网-在线客服进行咨询</w:t>
      </w:r>
    </w:p>
    <w:p>
      <w:pPr>
        <w:pStyle w:val="null3"/>
        <w:ind w:firstLine="480"/>
      </w:pPr>
      <w:r>
        <w:rPr/>
        <w:t>400服务电话：4001600900</w:t>
      </w:r>
    </w:p>
    <w:p>
      <w:pPr>
        <w:pStyle w:val="null3"/>
        <w:ind w:firstLine="480"/>
      </w:pPr>
      <w:r>
        <w:rPr/>
        <w:t>CA及签章服务：通过四川政府采购网-办事指南进行查询</w:t>
      </w:r>
    </w:p>
    <w:p>
      <w:pPr>
        <w:pStyle w:val="null3"/>
        <w:outlineLvl w:val="2"/>
      </w:pPr>
      <w:r>
        <w:rPr>
          <w:b/>
          <w:sz w:val="28"/>
        </w:rPr>
        <w:t>六、招标文件获取时间、方式及地址</w:t>
      </w:r>
    </w:p>
    <w:p>
      <w:pPr>
        <w:pStyle w:val="null3"/>
        <w:ind w:firstLine="480"/>
      </w:pPr>
      <w:r>
        <w:rPr/>
        <w:t>（一）招标文件获取时间：详见采购公告或邀请书</w:t>
      </w:r>
    </w:p>
    <w:p>
      <w:pPr>
        <w:pStyle w:val="null3"/>
        <w:ind w:firstLine="480"/>
      </w:pPr>
      <w:r>
        <w:rPr/>
        <w:t xml:space="preserve"> （二）在招标文件获取开始时间前，采购人或代理机构将本项目招标文件上传至项目电子化交易系统，免费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供应商未重新获取招标文件或者未按照澄清或者修改后的招标文件编制投标文件进行投标的，自行承担不利后果。</w:t>
      </w:r>
    </w:p>
    <w:p>
      <w:pPr>
        <w:pStyle w:val="null3"/>
        <w:ind w:firstLine="480"/>
      </w:pPr>
      <w:r>
        <w:rPr/>
        <w:t>注：获取的招标文件主体格式包括pdf、word两种格式版本，其中以pdf格式为准。</w:t>
      </w:r>
    </w:p>
    <w:p>
      <w:pPr>
        <w:pStyle w:val="null3"/>
        <w:outlineLvl w:val="2"/>
      </w:pPr>
      <w:r>
        <w:rPr>
          <w:b/>
          <w:sz w:val="28"/>
        </w:rPr>
        <w:t>七、投标文件提交截止时间及开标时间、地点、方式</w:t>
      </w:r>
    </w:p>
    <w:p>
      <w:pPr>
        <w:pStyle w:val="null3"/>
        <w:ind w:firstLine="480"/>
      </w:pPr>
      <w:r>
        <w:rPr/>
        <w:t>（一）投标文件提交截止时间及开标时间：详见采购公告或邀请书</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b/>
          <w:sz w:val="28"/>
        </w:rPr>
        <w:t>八、本投标邀请在四川政府采购网以公告形式发布</w:t>
      </w:r>
    </w:p>
    <w:p>
      <w:pPr>
        <w:pStyle w:val="null3"/>
        <w:outlineLvl w:val="2"/>
      </w:pPr>
      <w:r>
        <w:rPr>
          <w:b/>
          <w:sz w:val="28"/>
        </w:rPr>
        <w:t>九、供应商信用融资</w:t>
      </w:r>
    </w:p>
    <w:p>
      <w:pPr>
        <w:pStyle w:val="null3"/>
        <w:ind w:firstLine="480"/>
      </w:pPr>
      <w:r>
        <w:rPr/>
        <w:t xml:space="preserve"> 根据《四川省财政厅关于推进四川省政府釆购供应商信用融资工作的通知》（川财采﹝2018﹞123号）文件，为助力解决政府采购成交供应商资金不足、融资难、融资贵的困难，促进供应商依法诚信参加政府采购活动，有融资需求的供应商可登录四川政府釆购网—金融服务平台，选择符合自身情况的“政采贷”银行及其产品，凭项目成交结果、成交通知书等信息在线向银行提出贷款意向申请、查看贷款审批情况等。</w:t>
      </w:r>
    </w:p>
    <w:p>
      <w:pPr>
        <w:pStyle w:val="null3"/>
        <w:outlineLvl w:val="2"/>
      </w:pPr>
      <w:r>
        <w:rPr>
          <w:b/>
          <w:sz w:val="28"/>
        </w:rPr>
        <w:t>十、联系方式</w:t>
      </w:r>
    </w:p>
    <w:p>
      <w:pPr>
        <w:pStyle w:val="null3"/>
        <w:outlineLvl w:val="2"/>
      </w:pPr>
      <w:r>
        <w:rPr>
          <w:b/>
          <w:sz w:val="28"/>
        </w:rPr>
        <w:t xml:space="preserve">采购人： </w:t>
      </w:r>
      <w:r>
        <w:rPr>
          <w:b/>
          <w:sz w:val="28"/>
        </w:rPr>
        <w:t>资阳市民政局</w:t>
      </w:r>
    </w:p>
    <w:p>
      <w:pPr>
        <w:pStyle w:val="null3"/>
      </w:pPr>
    </w:p>
    <w:p>
      <w:pPr>
        <w:pStyle w:val="null3"/>
      </w:pPr>
    </w:p>
    <w:p>
      <w:pPr>
        <w:pStyle w:val="null3"/>
      </w:pPr>
      <w:r>
        <w:rPr/>
        <w:t xml:space="preserve"> 地址： </w:t>
      </w:r>
      <w:r>
        <w:rPr/>
        <w:t>资阳市雁江区康乐中路民政福利园区</w:t>
      </w:r>
    </w:p>
    <w:p>
      <w:pPr>
        <w:pStyle w:val="null3"/>
      </w:pPr>
      <w:r>
        <w:rPr/>
        <w:t xml:space="preserve"> 邮编： </w:t>
      </w:r>
      <w:r>
        <w:rPr/>
        <w:t>641300</w:t>
      </w:r>
    </w:p>
    <w:p>
      <w:pPr>
        <w:pStyle w:val="null3"/>
      </w:pPr>
      <w:r>
        <w:rPr/>
        <w:t xml:space="preserve"> 联系人： </w:t>
      </w:r>
      <w:r>
        <w:rPr/>
        <w:t>廖老师</w:t>
      </w:r>
    </w:p>
    <w:p>
      <w:pPr>
        <w:pStyle w:val="null3"/>
      </w:pPr>
      <w:r>
        <w:rPr/>
        <w:t xml:space="preserve"> 联系电话： </w:t>
      </w:r>
      <w:r>
        <w:rPr/>
        <w:t>028-26110763</w:t>
      </w:r>
    </w:p>
    <w:p>
      <w:pPr>
        <w:pStyle w:val="null3"/>
        <w:outlineLvl w:val="2"/>
      </w:pPr>
      <w:r>
        <w:rPr>
          <w:b/>
          <w:sz w:val="28"/>
        </w:rPr>
        <w:t>代理机构：</w:t>
      </w:r>
      <w:r>
        <w:rPr>
          <w:b/>
          <w:sz w:val="28"/>
        </w:rPr>
        <w:t>四川铂睿招标代理有限公司</w:t>
      </w:r>
    </w:p>
    <w:p>
      <w:pPr>
        <w:pStyle w:val="null3"/>
      </w:pPr>
    </w:p>
    <w:p>
      <w:pPr>
        <w:pStyle w:val="null3"/>
      </w:pPr>
    </w:p>
    <w:p>
      <w:pPr>
        <w:pStyle w:val="null3"/>
      </w:pPr>
      <w:r>
        <w:rPr/>
        <w:t xml:space="preserve"> 地址： </w:t>
      </w:r>
      <w:r>
        <w:rPr/>
        <w:t>四川省资阳市雁江区娇子大道655附8号广电大楼第十四楼左1.2.3.4号</w:t>
      </w:r>
    </w:p>
    <w:p>
      <w:pPr>
        <w:pStyle w:val="null3"/>
      </w:pPr>
      <w:r>
        <w:rPr/>
        <w:t xml:space="preserve"> 邮编： </w:t>
      </w:r>
      <w:r>
        <w:rPr/>
        <w:t>641300</w:t>
      </w:r>
    </w:p>
    <w:p>
      <w:pPr>
        <w:pStyle w:val="null3"/>
      </w:pPr>
      <w:r>
        <w:rPr/>
        <w:t xml:space="preserve"> 联系人： </w:t>
      </w:r>
      <w:r>
        <w:rPr/>
        <w:t>赖静</w:t>
      </w:r>
    </w:p>
    <w:p>
      <w:pPr>
        <w:pStyle w:val="null3"/>
      </w:pPr>
      <w:r>
        <w:rPr/>
        <w:t xml:space="preserve"> 联系电话： </w:t>
      </w:r>
      <w:r>
        <w:rPr/>
        <w:t>18280236183 028-26129696</w:t>
      </w:r>
    </w:p>
    <w:p>
      <w:pPr>
        <w:pStyle w:val="null3"/>
      </w:pPr>
    </w:p>
    <w:p>
      <w:pPr>
        <w:pStyle w:val="null3"/>
      </w:pPr>
      <w:r>
        <w:rPr/>
        <w:t xml:space="preserve"> </w:t>
      </w:r>
    </w:p>
    <w:p>
      <w:pPr>
        <w:pStyle w:val="null3"/>
        <w:jc w:val="center"/>
        <w:outlineLvl w:val="1"/>
      </w:pPr>
      <w:r>
        <w:rPr>
          <w:b/>
          <w:sz w:val="36"/>
        </w:rPr>
        <w:t>第二章 投标人须知</w:t>
      </w:r>
    </w:p>
    <w:p>
      <w:pPr>
        <w:pStyle w:val="null3"/>
        <w:outlineLvl w:val="2"/>
      </w:pPr>
      <w:r>
        <w:rPr>
          <w:b/>
          <w:sz w:val="28"/>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p>
          <w:p>
            <w:pPr>
              <w:pStyle w:val="null3"/>
            </w:pPr>
          </w:p>
          <w:p>
            <w:pPr>
              <w:pStyle w:val="null3"/>
            </w:pPr>
            <w:r>
              <w:rPr/>
              <w:t>采购包1：6,834,000.00元</w:t>
            </w:r>
          </w:p>
          <w:p>
            <w:pPr>
              <w:pStyle w:val="null3"/>
            </w:pPr>
            <w:r>
              <w:rPr/>
              <w:t>采购包2：4,542,000.00元</w:t>
            </w:r>
          </w:p>
          <w:p>
            <w:pPr>
              <w:pStyle w:val="null3"/>
            </w:pPr>
            <w:r>
              <w:rPr/>
              <w:t>采购包3：3,792,000.00元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p>
          <w:p>
            <w:pPr>
              <w:pStyle w:val="null3"/>
            </w:pPr>
            <w:r>
              <w:rPr/>
              <w:t>采购包1：综合评分法</w:t>
            </w:r>
          </w:p>
          <w:p>
            <w:pPr>
              <w:pStyle w:val="null3"/>
            </w:pPr>
            <w:r>
              <w:rPr/>
              <w:t>采购包2：综合评分法</w:t>
            </w:r>
          </w:p>
          <w:p>
            <w:pPr>
              <w:pStyle w:val="null3"/>
            </w:pPr>
            <w:r>
              <w:rPr/>
              <w:t>采购包3：综合评分法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p>
          <w:p>
            <w:pPr>
              <w:pStyle w:val="null3"/>
            </w:pPr>
            <w:r>
              <w:rPr/>
              <w:t>采购包1：不接受联合体</w:t>
            </w:r>
          </w:p>
          <w:p>
            <w:pPr>
              <w:pStyle w:val="null3"/>
            </w:pPr>
            <w:r>
              <w:rPr/>
              <w:t>采购包2：不接受联合体</w:t>
            </w:r>
          </w:p>
          <w:p>
            <w:pPr>
              <w:pStyle w:val="null3"/>
            </w:pPr>
            <w:r>
              <w:rPr/>
              <w:t>采购包3：不接受联合体</w:t>
            </w:r>
          </w:p>
        </w:tc>
      </w:tr>
      <w:tr>
        <w:tc>
          <w:tcPr>
            <w:tcW w:type="dxa" w:w="1051"/>
          </w:tcPr>
          <w:p>
            <w:pPr>
              <w:pStyle w:val="null3"/>
            </w:pPr>
            <w:r>
              <w:rPr/>
              <w:t>5</w:t>
            </w:r>
          </w:p>
        </w:tc>
        <w:tc>
          <w:tcPr>
            <w:tcW w:type="dxa" w:w="2252"/>
          </w:tcPr>
          <w:p>
            <w:pPr>
              <w:pStyle w:val="null3"/>
            </w:pPr>
            <w:r>
              <w:rPr/>
              <w:t>落实节能、环保、无线局域网</w:t>
            </w:r>
          </w:p>
        </w:tc>
        <w:tc>
          <w:tcPr>
            <w:tcW w:type="dxa" w:w="5004"/>
          </w:tcPr>
          <w:p>
            <w:pPr>
              <w:pStyle w:val="null3"/>
            </w:pPr>
            <w:r>
              <w:rPr/>
              <w:t>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w:t>
            </w:r>
            <w:r>
              <w:rPr/>
              <w:t>无</w:t>
            </w:r>
            <w:r>
              <w:rPr/>
              <w:t xml:space="preserve"> 产品属于节能产品政府采购品目清单中应强制采购的产品范围，供应商应当提供国家确定的认证机构出具的、处于有效期之内的节能产品认证证书，否则作无效投标处理。</w:t>
            </w:r>
          </w:p>
          <w:p>
            <w:pPr>
              <w:pStyle w:val="null3"/>
            </w:pPr>
            <w:r>
              <w:rPr/>
              <w:t>3.本项目采购</w:t>
            </w:r>
            <w:r>
              <w:rPr/>
              <w:t>无</w:t>
            </w:r>
            <w:r>
              <w:rPr/>
              <w:t>产品属于节能产品政府采购品目清单中应优先采购的产品范围，本项目采购</w:t>
            </w:r>
            <w:r>
              <w:rPr/>
              <w:t>无</w:t>
            </w:r>
            <w:r>
              <w:rPr/>
              <w:t>产品属于环境标志产品政府采购品目清单中应优先采购的产品范围，评审得分/响应报价相同的，按供应商提供的优先采购产品认证证书数量由多到少顺序排列。</w:t>
            </w:r>
          </w:p>
          <w:p>
            <w:pPr>
              <w:pStyle w:val="null3"/>
            </w:pPr>
            <w:r>
              <w:rPr/>
              <w:t>4.响应产品属于中国政府采购网公布的《无线局域网认证产品政府采购清单》且在有效期内的，按《财政部国家发展改革委信息产业部关于印发无线局域网产品政府采购实施意见的通知》（财库〔2005〕366号）要求优先采购。</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本项目不收取投标保证金。</w:t>
            </w:r>
          </w:p>
        </w:tc>
      </w:tr>
      <w:tr>
        <w:tc>
          <w:tcPr>
            <w:tcW w:type="dxa" w:w="1051"/>
          </w:tcPr>
          <w:p>
            <w:pPr>
              <w:pStyle w:val="null3"/>
            </w:pPr>
            <w:r>
              <w:rPr/>
              <w:t>10</w:t>
            </w:r>
          </w:p>
        </w:tc>
        <w:tc>
          <w:tcPr>
            <w:tcW w:type="dxa" w:w="2252"/>
          </w:tcPr>
          <w:p>
            <w:pPr>
              <w:pStyle w:val="null3"/>
            </w:pPr>
            <w:r>
              <w:rPr/>
              <w:t>履约保证金（实质性要求）</w:t>
            </w:r>
          </w:p>
        </w:tc>
        <w:tc>
          <w:tcPr>
            <w:tcW w:type="dxa" w:w="5004"/>
          </w:tcPr>
          <w:p>
            <w:pPr>
              <w:pStyle w:val="null3"/>
            </w:pPr>
          </w:p>
          <w:p>
            <w:pPr>
              <w:pStyle w:val="null3"/>
            </w:pPr>
          </w:p>
          <w:p>
            <w:pPr>
              <w:pStyle w:val="null3"/>
            </w:pPr>
            <w:r>
              <w:rPr/>
              <w:t>采购包1：不收取</w:t>
            </w:r>
          </w:p>
          <w:p>
            <w:pPr>
              <w:pStyle w:val="null3"/>
            </w:pPr>
          </w:p>
          <w:p>
            <w:pPr>
              <w:pStyle w:val="null3"/>
            </w:pPr>
            <w:r>
              <w:rPr/>
              <w:t>采购包2：不收取</w:t>
            </w:r>
          </w:p>
          <w:p>
            <w:pPr>
              <w:pStyle w:val="null3"/>
            </w:pPr>
          </w:p>
          <w:p>
            <w:pPr>
              <w:pStyle w:val="null3"/>
            </w:pPr>
            <w:r>
              <w:rPr/>
              <w:t>采购包3：不收取</w:t>
            </w:r>
          </w:p>
        </w:tc>
      </w:tr>
      <w:tr>
        <w:tc>
          <w:tcPr>
            <w:tcW w:type="dxa" w:w="1051"/>
          </w:tcPr>
          <w:p>
            <w:pPr>
              <w:pStyle w:val="null3"/>
            </w:pPr>
            <w:r>
              <w:rPr/>
              <w:t>11</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12</w:t>
            </w:r>
          </w:p>
        </w:tc>
        <w:tc>
          <w:tcPr>
            <w:tcW w:type="dxa" w:w="2252"/>
          </w:tcPr>
          <w:p>
            <w:pPr>
              <w:pStyle w:val="null3"/>
            </w:pPr>
            <w:r>
              <w:rPr/>
              <w:t>招标代理服务费（实质性要求）</w:t>
            </w:r>
          </w:p>
        </w:tc>
        <w:tc>
          <w:tcPr>
            <w:tcW w:type="dxa" w:w="5004"/>
          </w:tcPr>
          <w:p>
            <w:pPr>
              <w:pStyle w:val="null3"/>
            </w:pPr>
          </w:p>
          <w:p>
            <w:pPr>
              <w:pStyle w:val="null3"/>
            </w:pPr>
            <w:r>
              <w:rPr/>
              <w:t>本项目收取代理服务费</w:t>
            </w:r>
          </w:p>
          <w:p>
            <w:pPr>
              <w:pStyle w:val="null3"/>
            </w:pPr>
            <w:r>
              <w:rPr/>
              <w:t>代理服务费用收取对象：中标/成交供应商</w:t>
            </w:r>
          </w:p>
          <w:p>
            <w:pPr>
              <w:pStyle w:val="null3"/>
            </w:pPr>
            <w:r>
              <w:rPr/>
              <w:t>代理服务费收费标准：以中华人民共和国国家计划委员会发布的《招标代理服务收费管理暂行办法》[计价格［2002］1980号］中“招标代理服务收费标准”收取。</w:t>
            </w:r>
          </w:p>
        </w:tc>
      </w:tr>
      <w:tr>
        <w:tc>
          <w:tcPr>
            <w:tcW w:type="dxa" w:w="1051"/>
          </w:tcPr>
          <w:p>
            <w:pPr>
              <w:pStyle w:val="null3"/>
            </w:pPr>
            <w:r>
              <w:rPr/>
              <w:t>13</w:t>
            </w:r>
          </w:p>
        </w:tc>
        <w:tc>
          <w:tcPr>
            <w:tcW w:type="dxa" w:w="2252"/>
          </w:tcPr>
          <w:p>
            <w:pPr>
              <w:pStyle w:val="null3"/>
            </w:pPr>
            <w:r>
              <w:rPr/>
              <w:t>采购结果公告</w:t>
            </w:r>
          </w:p>
        </w:tc>
        <w:tc>
          <w:tcPr>
            <w:tcW w:type="dxa" w:w="5004"/>
          </w:tcPr>
          <w:p>
            <w:pPr>
              <w:pStyle w:val="null3"/>
            </w:pPr>
            <w:r>
              <w:rPr/>
              <w:t>采购结果将在四川政府采购网予以公告。</w:t>
            </w:r>
          </w:p>
        </w:tc>
      </w:tr>
      <w:tr>
        <w:tc>
          <w:tcPr>
            <w:tcW w:type="dxa" w:w="1051"/>
          </w:tcPr>
          <w:p>
            <w:pPr>
              <w:pStyle w:val="null3"/>
            </w:pPr>
            <w:r>
              <w:rPr/>
              <w:t>14</w:t>
            </w:r>
          </w:p>
        </w:tc>
        <w:tc>
          <w:tcPr>
            <w:tcW w:type="dxa" w:w="2252"/>
          </w:tcPr>
          <w:p>
            <w:pPr>
              <w:pStyle w:val="null3"/>
            </w:pPr>
            <w:r>
              <w:rPr/>
              <w:t>中标通知书</w:t>
            </w:r>
          </w:p>
        </w:tc>
        <w:tc>
          <w:tcPr>
            <w:tcW w:type="dxa" w:w="5004"/>
          </w:tcPr>
          <w:p>
            <w:pPr>
              <w:pStyle w:val="null3"/>
            </w:pPr>
            <w:r>
              <w:rPr/>
              <w:t>采购结果公告后，采购人或代理机构通过项目电子化交易系统向中标供应商发出中标通知书；中标供应商通过项目电子化交易系统获取中标通知书。</w:t>
            </w:r>
          </w:p>
        </w:tc>
      </w:tr>
      <w:tr>
        <w:tc>
          <w:tcPr>
            <w:tcW w:type="dxa" w:w="1051"/>
          </w:tcPr>
          <w:p>
            <w:pPr>
              <w:pStyle w:val="null3"/>
            </w:pPr>
            <w:r>
              <w:rPr/>
              <w:t>15</w:t>
            </w:r>
          </w:p>
        </w:tc>
        <w:tc>
          <w:tcPr>
            <w:tcW w:type="dxa" w:w="2252"/>
          </w:tcPr>
          <w:p>
            <w:pPr>
              <w:pStyle w:val="null3"/>
            </w:pPr>
            <w:r>
              <w:rPr/>
              <w:t>政府采购合同公告、备案</w:t>
            </w:r>
          </w:p>
        </w:tc>
        <w:tc>
          <w:tcPr>
            <w:tcW w:type="dxa" w:w="5004"/>
          </w:tcPr>
          <w:p>
            <w:pPr>
              <w:pStyle w:val="null3"/>
            </w:pPr>
            <w:r>
              <w:rPr/>
              <w:t>政府采购合同签订之日起2个工作日内，采购人将政府采购合同在四川政府采购网予以公告；政府采购合同签订之日起7个工作日内，采购人将政府采购合同报本级财政部门备案。</w:t>
            </w:r>
          </w:p>
        </w:tc>
      </w:tr>
      <w:tr>
        <w:tc>
          <w:tcPr>
            <w:tcW w:type="dxa" w:w="1051"/>
          </w:tcPr>
          <w:p>
            <w:pPr>
              <w:pStyle w:val="null3"/>
            </w:pPr>
            <w:r>
              <w:rPr/>
              <w:t>16</w:t>
            </w:r>
          </w:p>
        </w:tc>
        <w:tc>
          <w:tcPr>
            <w:tcW w:type="dxa" w:w="2252"/>
          </w:tcPr>
          <w:p>
            <w:pPr>
              <w:pStyle w:val="null3"/>
            </w:pPr>
            <w:r>
              <w:rPr/>
              <w:t>进口产品</w:t>
            </w:r>
          </w:p>
        </w:tc>
        <w:tc>
          <w:tcPr>
            <w:tcW w:type="dxa" w:w="5004"/>
          </w:tcPr>
          <w:p>
            <w:pPr>
              <w:pStyle w:val="null3"/>
            </w:pPr>
          </w:p>
          <w:p>
            <w:pPr>
              <w:pStyle w:val="null3"/>
            </w:pPr>
            <w:r>
              <w:rPr/>
              <w:t>不允许（实质性要求）</w:t>
            </w:r>
          </w:p>
        </w:tc>
      </w:tr>
      <w:tr>
        <w:tc>
          <w:tcPr>
            <w:tcW w:type="dxa" w:w="1051"/>
          </w:tcPr>
          <w:p>
            <w:pPr>
              <w:pStyle w:val="null3"/>
            </w:pPr>
            <w:r>
              <w:rPr/>
              <w:t>17</w:t>
            </w:r>
          </w:p>
        </w:tc>
        <w:tc>
          <w:tcPr>
            <w:tcW w:type="dxa" w:w="2252"/>
          </w:tcPr>
          <w:p>
            <w:pPr>
              <w:pStyle w:val="null3"/>
            </w:pPr>
            <w:r>
              <w:rPr/>
              <w:t>是否组织潜在投标人现场考察</w:t>
            </w:r>
          </w:p>
        </w:tc>
        <w:tc>
          <w:tcPr>
            <w:tcW w:type="dxa" w:w="5004"/>
          </w:tcPr>
          <w:p>
            <w:pPr>
              <w:pStyle w:val="null3"/>
            </w:pPr>
          </w:p>
          <w:p>
            <w:pPr>
              <w:pStyle w:val="null3"/>
            </w:pPr>
          </w:p>
          <w:p>
            <w:pPr>
              <w:pStyle w:val="null3"/>
            </w:pPr>
            <w:r>
              <w:rPr/>
              <w:t>采购包1：否</w:t>
            </w:r>
          </w:p>
          <w:p>
            <w:pPr>
              <w:pStyle w:val="null3"/>
            </w:pPr>
          </w:p>
          <w:p>
            <w:pPr>
              <w:pStyle w:val="null3"/>
            </w:pPr>
            <w:r>
              <w:rPr/>
              <w:t>采购包2：否</w:t>
            </w:r>
          </w:p>
          <w:p>
            <w:pPr>
              <w:pStyle w:val="null3"/>
            </w:pPr>
          </w:p>
          <w:p>
            <w:pPr>
              <w:pStyle w:val="null3"/>
            </w:pPr>
            <w:r>
              <w:rPr/>
              <w:t>采购包3：否</w:t>
            </w:r>
          </w:p>
        </w:tc>
      </w:tr>
      <w:tr>
        <w:tc>
          <w:tcPr>
            <w:tcW w:type="dxa" w:w="1051"/>
          </w:tcPr>
          <w:p>
            <w:pPr>
              <w:pStyle w:val="null3"/>
            </w:pPr>
            <w:r>
              <w:rPr/>
              <w:t>18</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t>19</w:t>
            </w:r>
          </w:p>
        </w:tc>
        <w:tc>
          <w:tcPr>
            <w:tcW w:type="dxa" w:w="2252"/>
          </w:tcPr>
          <w:p>
            <w:pPr>
              <w:pStyle w:val="null3"/>
            </w:pPr>
            <w:r>
              <w:rPr/>
              <w:t>报价/分值精确度</w:t>
            </w:r>
          </w:p>
        </w:tc>
        <w:tc>
          <w:tcPr>
            <w:tcW w:type="dxa" w:w="5004"/>
          </w:tcPr>
          <w:p>
            <w:pPr>
              <w:pStyle w:val="null3"/>
            </w:pPr>
            <w:r>
              <w:rPr/>
              <w:t>所有数据项默认最多可输入/展示至小数点后2位，超出小数点位的数值采用四舍五入的方式进行精确。</w:t>
            </w:r>
          </w:p>
        </w:tc>
      </w:tr>
    </w:tbl>
    <w:p>
      <w:pPr>
        <w:pStyle w:val="null3"/>
        <w:outlineLvl w:val="2"/>
      </w:pPr>
      <w:r>
        <w:rPr>
          <w:b/>
          <w:sz w:val="28"/>
        </w:rPr>
        <w:t>2.2总则</w:t>
      </w:r>
    </w:p>
    <w:p>
      <w:pPr>
        <w:pStyle w:val="null3"/>
        <w:outlineLvl w:val="3"/>
      </w:pPr>
      <w:r>
        <w:rPr>
          <w:b/>
          <w:sz w:val="24"/>
        </w:rPr>
        <w:t>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资阳市民政局</w:t>
      </w:r>
      <w:r>
        <w:rPr/>
        <w:t>和</w:t>
      </w:r>
      <w:r>
        <w:rPr/>
        <w:t>四川铂睿招标代理有限公司</w:t>
      </w:r>
      <w:r>
        <w:rPr/>
        <w:t>享有。对招标文件中供应商参加本次政府采购活动应当具备的条件，招标项目技术、服务、商务及其他要求，评标细则及标准由</w:t>
      </w:r>
      <w:r>
        <w:rPr/>
        <w:t>资阳市民政局</w:t>
      </w:r>
      <w:r>
        <w:rPr/>
        <w:t>负责解释。除上述招标文件内容，其他内容由</w:t>
      </w:r>
      <w:r>
        <w:rPr/>
        <w:t>四川铂睿招标代理有限公司</w:t>
      </w:r>
      <w:r>
        <w:rPr/>
        <w:t>负责解释。</w:t>
      </w:r>
    </w:p>
    <w:p>
      <w:pPr>
        <w:pStyle w:val="null3"/>
        <w:outlineLvl w:val="3"/>
      </w:pPr>
      <w:r>
        <w:rPr>
          <w:b/>
          <w:sz w:val="24"/>
        </w:rPr>
        <w:t>2.2.2有关定义</w:t>
      </w:r>
    </w:p>
    <w:p>
      <w:pPr>
        <w:pStyle w:val="null3"/>
        <w:ind w:firstLine="480"/>
      </w:pPr>
      <w:r>
        <w:rPr/>
        <w:t xml:space="preserve"> 一、“采购人”是指依法进行政府采购的各级国家机关、事业单位、团体组织。本次招标的采购人是</w:t>
      </w:r>
      <w:r>
        <w:rPr/>
        <w:t>资阳市民政局</w:t>
      </w:r>
      <w:r>
        <w:rPr/>
        <w:t>。</w:t>
      </w:r>
    </w:p>
    <w:p>
      <w:pPr>
        <w:pStyle w:val="null3"/>
        <w:ind w:firstLine="480"/>
      </w:pPr>
      <w:r>
        <w:rPr/>
        <w:t xml:space="preserve"> 二、“投标人”是指按照采购公告规定获取了招标文件，拟参加投标和向采购人提供货物及相应服务的法人、其他组织或者自然人。</w:t>
      </w:r>
    </w:p>
    <w:p>
      <w:pPr>
        <w:pStyle w:val="null3"/>
        <w:ind w:firstLine="480"/>
      </w:pPr>
      <w:r>
        <w:rPr/>
        <w:t xml:space="preserve"> 三、“代理机构”是指政府采购集中采购机构和从事政府采购代理业务的社会中介机构。本项目的代理机构是</w:t>
      </w:r>
      <w:r>
        <w:rPr/>
        <w:t>四川铂睿招标代理有限公司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五、“电子评标”是指通过项目电子化交易系统在线完成评标委员会组建，开展资格和符合性审查、比较与评价、出具评标报告、推荐中标候选供应商等活动。</w:t>
      </w:r>
    </w:p>
    <w:p>
      <w:pPr>
        <w:pStyle w:val="null3"/>
        <w:outlineLvl w:val="2"/>
      </w:pPr>
      <w:r>
        <w:rPr>
          <w:b/>
          <w:sz w:val="28"/>
        </w:rPr>
        <w:t>2.3招标文件</w:t>
      </w:r>
    </w:p>
    <w:p>
      <w:pPr>
        <w:pStyle w:val="null3"/>
        <w:outlineLvl w:val="3"/>
      </w:pPr>
      <w:r>
        <w:rPr>
          <w:b/>
          <w:sz w:val="24"/>
        </w:rPr>
        <w:t>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b/>
          <w:sz w:val="24"/>
        </w:rPr>
        <w:t>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四川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b/>
          <w:sz w:val="28"/>
        </w:rPr>
        <w:t>2.4投标文件</w:t>
      </w:r>
    </w:p>
    <w:p>
      <w:pPr>
        <w:pStyle w:val="null3"/>
        <w:outlineLvl w:val="3"/>
      </w:pPr>
      <w:r>
        <w:rPr>
          <w:b/>
          <w:sz w:val="24"/>
        </w:rPr>
        <w:t>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b/>
          <w:sz w:val="24"/>
        </w:rPr>
        <w:t>2.4.2计量单位（实质性要求）</w:t>
      </w:r>
    </w:p>
    <w:p>
      <w:pPr>
        <w:pStyle w:val="null3"/>
        <w:ind w:firstLine="480"/>
      </w:pPr>
      <w:r>
        <w:rPr/>
        <w:t>除招标文件中另有规定外，本项目均采用国家法定的计量单位。</w:t>
      </w:r>
    </w:p>
    <w:p>
      <w:pPr>
        <w:pStyle w:val="null3"/>
        <w:outlineLvl w:val="3"/>
      </w:pPr>
      <w:r>
        <w:rPr>
          <w:b/>
          <w:sz w:val="24"/>
        </w:rPr>
        <w:t>2.4.3投标货币（实质性要求）</w:t>
      </w:r>
    </w:p>
    <w:p>
      <w:pPr>
        <w:pStyle w:val="null3"/>
        <w:ind w:firstLine="480"/>
      </w:pPr>
      <w:r>
        <w:rPr/>
        <w:t>本次项目均以人民币报价。</w:t>
      </w:r>
    </w:p>
    <w:p>
      <w:pPr>
        <w:pStyle w:val="null3"/>
        <w:outlineLvl w:val="3"/>
      </w:pPr>
      <w:r>
        <w:rPr>
          <w:b/>
          <w:sz w:val="24"/>
        </w:rPr>
        <w:t>2.4.4知识产权（实质性要求）</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b/>
          <w:sz w:val="24"/>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b/>
          <w:sz w:val="24"/>
        </w:rPr>
        <w:t>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b/>
          <w:sz w:val="24"/>
        </w:rPr>
        <w:t>2.4.7投标报价（实质性要求）</w:t>
      </w:r>
    </w:p>
    <w:p>
      <w:pPr>
        <w:pStyle w:val="null3"/>
        <w:ind w:firstLine="480"/>
      </w:pPr>
      <w:r>
        <w:rPr/>
        <w:t>一、投标人的报价是投标人响应招标项目要求的全部工作内容的价格体现，包括投标人完成本项目所需的一切费用。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b/>
          <w:sz w:val="24"/>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b/>
          <w:sz w:val="24"/>
        </w:rPr>
        <w:t>2.4.9投标文件的制作、签章和加密（实质性要求）</w:t>
      </w:r>
    </w:p>
    <w:p>
      <w:pPr>
        <w:pStyle w:val="null3"/>
        <w:ind w:firstLine="480"/>
      </w:pPr>
      <w:r>
        <w:rPr/>
        <w:t xml:space="preserve"> 一、投标文件应当根据招标文件进行编制，投标人应通过四川政府采购网-办事指南下载投标（响应）客户端，使用客户端编制投标文件。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b/>
          <w:sz w:val="24"/>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b/>
          <w:sz w:val="24"/>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b/>
          <w:sz w:val="28"/>
        </w:rPr>
        <w:t>2.5开标、资格审查、评标和中标</w:t>
      </w:r>
    </w:p>
    <w:p>
      <w:pPr>
        <w:pStyle w:val="null3"/>
        <w:outlineLvl w:val="3"/>
      </w:pPr>
      <w:r>
        <w:rPr>
          <w:b/>
          <w:sz w:val="24"/>
        </w:rPr>
        <w:t>2.5.1开标及开标程序</w:t>
      </w:r>
    </w:p>
    <w:p>
      <w:pPr>
        <w:pStyle w:val="null3"/>
        <w:ind w:firstLine="480"/>
      </w:pPr>
      <w:r>
        <w:rPr/>
        <w:t xml:space="preserve"> 一、本项目为网上开标项目。网上开标的开始时间为投标文件提交截止时间。成功提交或成功提交和解密电子投标文件的投标人不足3家的，不予开标，采购人或代理机构将作废标处理。</w:t>
      </w:r>
    </w:p>
    <w:p>
      <w:pPr>
        <w:pStyle w:val="null3"/>
        <w:ind w:firstLine="480"/>
      </w:pPr>
      <w:r>
        <w:rPr/>
        <w:t>二、开标准备工作</w:t>
      </w:r>
    </w:p>
    <w:p>
      <w:pPr>
        <w:pStyle w:val="null3"/>
      </w:pPr>
    </w:p>
    <w:p>
      <w:pPr>
        <w:pStyle w:val="null3"/>
      </w:pPr>
      <w:r>
        <w:rPr/>
        <w:t xml:space="preserve"> 投标文件开启时间前，供应商登录项目电子化交易系统-“开标/开启大厅”，等待代理机构开标。</w:t>
      </w:r>
    </w:p>
    <w:p>
      <w:pPr>
        <w:pStyle w:val="null3"/>
        <w:ind w:firstLine="480"/>
        <w:jc w:val="left"/>
      </w:pPr>
      <w:r>
        <w:rPr/>
        <w:t xml:space="preserve"> 投标文件提交截止时间前30分钟，投标人登录项目电子化交易系统-“开标/开启大厅”参与开标。</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b/>
          <w:sz w:val="24"/>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详见招标文件第四章。</w:t>
      </w:r>
    </w:p>
    <w:p>
      <w:pPr>
        <w:pStyle w:val="null3"/>
        <w:outlineLvl w:val="3"/>
      </w:pPr>
      <w:r>
        <w:rPr>
          <w:b/>
          <w:sz w:val="24"/>
        </w:rPr>
        <w:t>2.5.4评标</w:t>
      </w:r>
    </w:p>
    <w:p>
      <w:pPr>
        <w:pStyle w:val="null3"/>
        <w:ind w:firstLine="480"/>
      </w:pPr>
      <w:r>
        <w:rPr/>
        <w:t>详见招标文件第五章。</w:t>
      </w:r>
    </w:p>
    <w:p>
      <w:pPr>
        <w:pStyle w:val="null3"/>
        <w:outlineLvl w:val="3"/>
      </w:pPr>
      <w:r>
        <w:rPr>
          <w:b/>
          <w:sz w:val="24"/>
        </w:rPr>
        <w:t>2.5.5中标通知书</w:t>
      </w:r>
    </w:p>
    <w:p>
      <w:pPr>
        <w:pStyle w:val="null3"/>
        <w:ind w:firstLine="480"/>
      </w:pPr>
      <w:r>
        <w:rPr/>
        <w:t xml:space="preserve"> 一、采购人或者评标委员会确认中标供应商后，代理机构在四川政府采购网发布中标结果公告、通过项目电子化交易系统发出中标通知书，中标供应商通过项目电子化交易系统获取中标通知书。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b/>
          <w:sz w:val="28"/>
        </w:rPr>
        <w:t>2.6签订及履行合同和验收</w:t>
      </w:r>
    </w:p>
    <w:p>
      <w:pPr>
        <w:pStyle w:val="null3"/>
        <w:outlineLvl w:val="3"/>
      </w:pPr>
      <w:r>
        <w:rPr>
          <w:b/>
          <w:sz w:val="24"/>
        </w:rPr>
        <w:t>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b/>
          <w:sz w:val="24"/>
        </w:rPr>
        <w:t>2.6.2合同分包和转包（实质性要求）</w:t>
      </w:r>
    </w:p>
    <w:p>
      <w:pPr>
        <w:pStyle w:val="null3"/>
        <w:outlineLvl w:val="3"/>
      </w:pPr>
      <w:r>
        <w:rPr>
          <w:b/>
          <w:sz w:val="24"/>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p>
    <w:p>
      <w:pPr>
        <w:pStyle w:val="null3"/>
      </w:pPr>
    </w:p>
    <w:p>
      <w:pPr>
        <w:pStyle w:val="null3"/>
      </w:pPr>
    </w:p>
    <w:p>
      <w:pPr>
        <w:pStyle w:val="null3"/>
      </w:pPr>
      <w:r>
        <w:rPr/>
        <w:t>采购包1：不允许合同分包；</w:t>
      </w:r>
    </w:p>
    <w:p>
      <w:pPr>
        <w:pStyle w:val="null3"/>
      </w:pPr>
    </w:p>
    <w:p>
      <w:pPr>
        <w:pStyle w:val="null3"/>
      </w:pPr>
      <w:r>
        <w:rPr/>
        <w:t>采购包2：不允许合同分包；</w:t>
      </w:r>
    </w:p>
    <w:p>
      <w:pPr>
        <w:pStyle w:val="null3"/>
      </w:pPr>
    </w:p>
    <w:p>
      <w:pPr>
        <w:pStyle w:val="null3"/>
      </w:pPr>
      <w:r>
        <w:rPr/>
        <w:t>采购包3：不允许合同分包；</w:t>
      </w:r>
    </w:p>
    <w:p>
      <w:pPr>
        <w:pStyle w:val="null3"/>
        <w:outlineLvl w:val="3"/>
      </w:pPr>
      <w:r>
        <w:rPr>
          <w:b/>
          <w:sz w:val="24"/>
        </w:rPr>
        <w:t>2.6.2.2合同转包</w:t>
      </w:r>
    </w:p>
    <w:p>
      <w:pPr>
        <w:pStyle w:val="null3"/>
        <w:ind w:firstLine="480"/>
      </w:pPr>
      <w:r>
        <w:rPr/>
        <w:t xml:space="preserve"> 一、严禁中标供应商将本项目转包。本项目所称转包，是指将本项目转给他人或者将本项目全部肢解以后以分包的名义分别转给他人的行为。</w:t>
      </w:r>
    </w:p>
    <w:p>
      <w:pPr>
        <w:pStyle w:val="null3"/>
        <w:ind w:firstLine="480"/>
      </w:pPr>
      <w:r>
        <w:rPr/>
        <w:t>二、中标供应商转包的，视同拒绝履行政府采购合同，将依法追究法律责任。</w:t>
      </w:r>
    </w:p>
    <w:p>
      <w:pPr>
        <w:pStyle w:val="null3"/>
        <w:outlineLvl w:val="3"/>
      </w:pPr>
      <w:r>
        <w:rPr>
          <w:b/>
          <w:sz w:val="24"/>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b/>
          <w:sz w:val="24"/>
        </w:rPr>
        <w:t>2.6.4履行合同</w:t>
      </w:r>
    </w:p>
    <w:p>
      <w:pPr>
        <w:pStyle w:val="null3"/>
        <w:ind w:firstLine="480"/>
      </w:pPr>
      <w:r>
        <w:rPr/>
        <w:t>一、合同一经签订，双方应严格履行合同规定的义务。</w:t>
      </w:r>
    </w:p>
    <w:p>
      <w:pPr>
        <w:pStyle w:val="null3"/>
        <w:ind w:firstLine="480"/>
      </w:pPr>
      <w:r>
        <w:rPr/>
        <w:t>二、在合同履行过程中，如发生合同纠纷，合同双方应按照《中华人民共和国民法典》规定及合同条款约定进行处理。</w:t>
      </w:r>
    </w:p>
    <w:p>
      <w:pPr>
        <w:pStyle w:val="null3"/>
        <w:outlineLvl w:val="3"/>
      </w:pPr>
      <w:r>
        <w:rPr>
          <w:b/>
          <w:sz w:val="24"/>
        </w:rPr>
        <w:t>2.6.5履约验收方案</w:t>
      </w:r>
    </w:p>
    <w:p>
      <w:pPr>
        <w:pStyle w:val="null3"/>
      </w:pPr>
    </w:p>
    <w:p>
      <w:pPr>
        <w:pStyle w:val="null3"/>
      </w:pPr>
    </w:p>
    <w:p>
      <w:pPr>
        <w:pStyle w:val="null3"/>
      </w:pPr>
    </w:p>
    <w:p>
      <w:pPr>
        <w:pStyle w:val="null3"/>
      </w:pPr>
      <w:r>
        <w:rPr/>
        <w:t>采购包1：</w:t>
      </w:r>
    </w:p>
    <w:p>
      <w:pPr>
        <w:pStyle w:val="null3"/>
        <w:ind w:firstLine="840"/>
      </w:pPr>
      <w:r>
        <w:rPr/>
        <w:t>1）验收组织方式：</w:t>
      </w:r>
      <w:r>
        <w:rPr/>
        <w:t>自行验收</w:t>
      </w:r>
    </w:p>
    <w:p>
      <w:pPr>
        <w:pStyle w:val="null3"/>
        <w:ind w:firstLine="840"/>
      </w:pPr>
      <w:r>
        <w:rPr/>
        <w:t>2）是否邀请本项目的其他供应商：</w:t>
      </w:r>
      <w:r>
        <w:rPr/>
        <w:t>否</w:t>
      </w:r>
    </w:p>
    <w:p>
      <w:pPr>
        <w:pStyle w:val="null3"/>
        <w:ind w:firstLine="840"/>
      </w:pPr>
      <w:r>
        <w:rPr/>
        <w:t>3）是否邀请专家：</w:t>
      </w:r>
      <w:r>
        <w:rPr/>
        <w:t>否</w:t>
      </w:r>
    </w:p>
    <w:p>
      <w:pPr>
        <w:pStyle w:val="null3"/>
        <w:ind w:firstLine="840"/>
      </w:pPr>
      <w:r>
        <w:rPr/>
        <w:t>4）是否邀请服务对象：</w:t>
      </w:r>
      <w:r>
        <w:rPr/>
        <w:t>否</w:t>
      </w:r>
    </w:p>
    <w:p>
      <w:pPr>
        <w:pStyle w:val="null3"/>
        <w:ind w:firstLine="840"/>
      </w:pPr>
      <w:r>
        <w:rPr/>
        <w:t>5）是否邀请第三方检测机构：</w:t>
      </w:r>
      <w:r>
        <w:rPr/>
        <w:t>否</w:t>
      </w:r>
    </w:p>
    <w:p>
      <w:pPr>
        <w:pStyle w:val="null3"/>
        <w:ind w:firstLine="840"/>
      </w:pPr>
      <w:r>
        <w:rPr/>
        <w:t>6）履约验收程序：</w:t>
      </w:r>
      <w:r>
        <w:rPr/>
        <w:t>一次性验收</w:t>
      </w:r>
    </w:p>
    <w:p>
      <w:pPr>
        <w:pStyle w:val="null3"/>
        <w:ind w:firstLine="840"/>
      </w:pPr>
      <w:r>
        <w:rPr/>
        <w:t>7）履约验收时间：</w:t>
      </w:r>
    </w:p>
    <w:p>
      <w:pPr>
        <w:pStyle w:val="null3"/>
      </w:pPr>
    </w:p>
    <w:p>
      <w:pPr>
        <w:pStyle w:val="null3"/>
        <w:ind w:firstLine="1200"/>
      </w:pPr>
      <w:r>
        <w:rPr/>
        <w:t>供应商提出验收申请之日起</w:t>
      </w:r>
      <w:r>
        <w:rPr/>
        <w:t>30</w:t>
      </w:r>
      <w:r>
        <w:rPr/>
        <w:t>日内组织验收</w:t>
      </w:r>
    </w:p>
    <w:p>
      <w:pPr>
        <w:pStyle w:val="null3"/>
        <w:ind w:firstLine="840"/>
      </w:pPr>
      <w:r>
        <w:rPr/>
        <w:t>8）验收组织的其他事项：</w:t>
      </w:r>
      <w:r>
        <w:rPr/>
        <w:t>按双方签订合同执行</w:t>
      </w:r>
    </w:p>
    <w:p>
      <w:pPr>
        <w:pStyle w:val="null3"/>
        <w:ind w:firstLine="840"/>
      </w:pPr>
      <w:r>
        <w:rPr/>
        <w:t>9）技术履约验收内容：</w:t>
      </w:r>
      <w:r>
        <w:rPr/>
        <w:t>按照相关法律条规的要求、采购文件要求和响应文件、承诺、签订的合同的内容进行验收</w:t>
      </w:r>
    </w:p>
    <w:p>
      <w:pPr>
        <w:pStyle w:val="null3"/>
        <w:ind w:firstLine="840"/>
      </w:pPr>
      <w:r>
        <w:rPr/>
        <w:t>10）商务履约验收内容：</w:t>
      </w:r>
      <w:r>
        <w:rPr/>
        <w:t>承诺、签订的合同</w:t>
      </w:r>
    </w:p>
    <w:p>
      <w:pPr>
        <w:pStyle w:val="null3"/>
        <w:ind w:firstLine="840"/>
      </w:pPr>
      <w:r>
        <w:rPr/>
        <w:t>11）履约验收标准：</w:t>
      </w:r>
    </w:p>
    <w:p>
      <w:pPr>
        <w:pStyle w:val="null3"/>
      </w:pPr>
    </w:p>
    <w:p>
      <w:pPr>
        <w:pStyle w:val="null3"/>
        <w:ind w:firstLine="1200"/>
      </w:pPr>
      <w:r>
        <w:rPr/>
        <w:t>严格按照政府采购相关法律法规、《财政部关于进一步加强政府采购需求和履约验收管理的指导意见》（财库〔2016〕205号）的要求、采购文件要求、投标人的响应文件、承诺、签订的合同、和国家及行业相关规范标准进行要求进行验收</w:t>
      </w:r>
    </w:p>
    <w:p>
      <w:pPr>
        <w:pStyle w:val="null3"/>
        <w:ind w:firstLine="840"/>
      </w:pPr>
      <w:r>
        <w:rPr/>
        <w:t>12）履约验收其他事项：</w:t>
      </w:r>
      <w:r>
        <w:rPr/>
        <w:t>无</w:t>
      </w:r>
    </w:p>
    <w:p>
      <w:pPr>
        <w:pStyle w:val="null3"/>
      </w:pPr>
    </w:p>
    <w:p>
      <w:pPr>
        <w:pStyle w:val="null3"/>
      </w:pPr>
      <w:r>
        <w:rPr/>
        <w:t>采购包2：</w:t>
      </w:r>
    </w:p>
    <w:p>
      <w:pPr>
        <w:pStyle w:val="null3"/>
        <w:ind w:firstLine="840"/>
      </w:pPr>
      <w:r>
        <w:rPr/>
        <w:t>1）验收组织方式：</w:t>
      </w:r>
      <w:r>
        <w:rPr/>
        <w:t>自行验收</w:t>
      </w:r>
    </w:p>
    <w:p>
      <w:pPr>
        <w:pStyle w:val="null3"/>
        <w:ind w:firstLine="840"/>
      </w:pPr>
      <w:r>
        <w:rPr/>
        <w:t>2）是否邀请本项目的其他供应商：</w:t>
      </w:r>
      <w:r>
        <w:rPr/>
        <w:t>否</w:t>
      </w:r>
    </w:p>
    <w:p>
      <w:pPr>
        <w:pStyle w:val="null3"/>
        <w:ind w:firstLine="840"/>
      </w:pPr>
      <w:r>
        <w:rPr/>
        <w:t>3）是否邀请专家：</w:t>
      </w:r>
      <w:r>
        <w:rPr/>
        <w:t>否</w:t>
      </w:r>
    </w:p>
    <w:p>
      <w:pPr>
        <w:pStyle w:val="null3"/>
        <w:ind w:firstLine="840"/>
      </w:pPr>
      <w:r>
        <w:rPr/>
        <w:t>4）是否邀请服务对象：</w:t>
      </w:r>
      <w:r>
        <w:rPr/>
        <w:t>否</w:t>
      </w:r>
    </w:p>
    <w:p>
      <w:pPr>
        <w:pStyle w:val="null3"/>
        <w:ind w:firstLine="840"/>
      </w:pPr>
      <w:r>
        <w:rPr/>
        <w:t>5）是否邀请第三方检测机构：</w:t>
      </w:r>
      <w:r>
        <w:rPr/>
        <w:t>否</w:t>
      </w:r>
    </w:p>
    <w:p>
      <w:pPr>
        <w:pStyle w:val="null3"/>
        <w:ind w:firstLine="840"/>
      </w:pPr>
      <w:r>
        <w:rPr/>
        <w:t>6）履约验收程序：</w:t>
      </w:r>
      <w:r>
        <w:rPr/>
        <w:t>一次性验收</w:t>
      </w:r>
    </w:p>
    <w:p>
      <w:pPr>
        <w:pStyle w:val="null3"/>
        <w:ind w:firstLine="840"/>
      </w:pPr>
      <w:r>
        <w:rPr/>
        <w:t>7）履约验收时间：</w:t>
      </w:r>
    </w:p>
    <w:p>
      <w:pPr>
        <w:pStyle w:val="null3"/>
      </w:pPr>
    </w:p>
    <w:p>
      <w:pPr>
        <w:pStyle w:val="null3"/>
        <w:ind w:firstLine="1200"/>
      </w:pPr>
      <w:r>
        <w:rPr/>
        <w:t>供应商提出验收申请之日起</w:t>
      </w:r>
      <w:r>
        <w:rPr/>
        <w:t>30</w:t>
      </w:r>
      <w:r>
        <w:rPr/>
        <w:t>日内组织验收</w:t>
      </w:r>
    </w:p>
    <w:p>
      <w:pPr>
        <w:pStyle w:val="null3"/>
        <w:ind w:firstLine="840"/>
      </w:pPr>
      <w:r>
        <w:rPr/>
        <w:t>8）验收组织的其他事项：</w:t>
      </w:r>
      <w:r>
        <w:rPr/>
        <w:t>按双方签订合同执行</w:t>
      </w:r>
    </w:p>
    <w:p>
      <w:pPr>
        <w:pStyle w:val="null3"/>
        <w:ind w:firstLine="840"/>
      </w:pPr>
      <w:r>
        <w:rPr/>
        <w:t>9）技术履约验收内容：</w:t>
      </w:r>
      <w:r>
        <w:rPr/>
        <w:t>按照相关法律条规的要求、采购文件要求和响应文件、承诺、签订的合同的内容进行验收</w:t>
      </w:r>
    </w:p>
    <w:p>
      <w:pPr>
        <w:pStyle w:val="null3"/>
        <w:ind w:firstLine="840"/>
      </w:pPr>
      <w:r>
        <w:rPr/>
        <w:t>10）商务履约验收内容：</w:t>
      </w:r>
      <w:r>
        <w:rPr/>
        <w:t>：承诺、签订的合同</w:t>
      </w:r>
    </w:p>
    <w:p>
      <w:pPr>
        <w:pStyle w:val="null3"/>
        <w:ind w:firstLine="840"/>
      </w:pPr>
      <w:r>
        <w:rPr/>
        <w:t>11）履约验收标准：</w:t>
      </w:r>
    </w:p>
    <w:p>
      <w:pPr>
        <w:pStyle w:val="null3"/>
      </w:pPr>
    </w:p>
    <w:p>
      <w:pPr>
        <w:pStyle w:val="null3"/>
        <w:ind w:firstLine="1200"/>
      </w:pPr>
      <w:r>
        <w:rPr/>
        <w:t>严格按照政府采购相关法律法规、《财政部关于进一步加强政府采购需求和履约验收管理的指导意见》（财库〔2016〕205号）的要求、采购文件要求、投标人的响应文件、承诺、签订的合同、和国家及行业相关规范标准进行要求进行验收</w:t>
      </w:r>
    </w:p>
    <w:p>
      <w:pPr>
        <w:pStyle w:val="null3"/>
        <w:ind w:firstLine="840"/>
      </w:pPr>
      <w:r>
        <w:rPr/>
        <w:t>12）履约验收其他事项：</w:t>
      </w:r>
      <w:r>
        <w:rPr/>
        <w:t>无</w:t>
      </w:r>
    </w:p>
    <w:p>
      <w:pPr>
        <w:pStyle w:val="null3"/>
      </w:pPr>
    </w:p>
    <w:p>
      <w:pPr>
        <w:pStyle w:val="null3"/>
      </w:pPr>
      <w:r>
        <w:rPr/>
        <w:t>采购包3：</w:t>
      </w:r>
    </w:p>
    <w:p>
      <w:pPr>
        <w:pStyle w:val="null3"/>
        <w:ind w:firstLine="840"/>
      </w:pPr>
      <w:r>
        <w:rPr/>
        <w:t>1）验收组织方式：</w:t>
      </w:r>
      <w:r>
        <w:rPr/>
        <w:t>自行验收</w:t>
      </w:r>
    </w:p>
    <w:p>
      <w:pPr>
        <w:pStyle w:val="null3"/>
        <w:ind w:firstLine="840"/>
      </w:pPr>
      <w:r>
        <w:rPr/>
        <w:t>2）是否邀请本项目的其他供应商：</w:t>
      </w:r>
      <w:r>
        <w:rPr/>
        <w:t>否</w:t>
      </w:r>
    </w:p>
    <w:p>
      <w:pPr>
        <w:pStyle w:val="null3"/>
        <w:ind w:firstLine="840"/>
      </w:pPr>
      <w:r>
        <w:rPr/>
        <w:t>3）是否邀请专家：</w:t>
      </w:r>
      <w:r>
        <w:rPr/>
        <w:t>否</w:t>
      </w:r>
    </w:p>
    <w:p>
      <w:pPr>
        <w:pStyle w:val="null3"/>
        <w:ind w:firstLine="840"/>
      </w:pPr>
      <w:r>
        <w:rPr/>
        <w:t>4）是否邀请服务对象：</w:t>
      </w:r>
      <w:r>
        <w:rPr/>
        <w:t>否</w:t>
      </w:r>
    </w:p>
    <w:p>
      <w:pPr>
        <w:pStyle w:val="null3"/>
        <w:ind w:firstLine="840"/>
      </w:pPr>
      <w:r>
        <w:rPr/>
        <w:t>5）是否邀请第三方检测机构：</w:t>
      </w:r>
      <w:r>
        <w:rPr/>
        <w:t>否</w:t>
      </w:r>
    </w:p>
    <w:p>
      <w:pPr>
        <w:pStyle w:val="null3"/>
        <w:ind w:firstLine="840"/>
      </w:pPr>
      <w:r>
        <w:rPr/>
        <w:t>6）履约验收程序：</w:t>
      </w:r>
      <w:r>
        <w:rPr/>
        <w:t>一次性验收</w:t>
      </w:r>
    </w:p>
    <w:p>
      <w:pPr>
        <w:pStyle w:val="null3"/>
        <w:ind w:firstLine="840"/>
      </w:pPr>
      <w:r>
        <w:rPr/>
        <w:t>7）履约验收时间：</w:t>
      </w:r>
    </w:p>
    <w:p>
      <w:pPr>
        <w:pStyle w:val="null3"/>
      </w:pPr>
    </w:p>
    <w:p>
      <w:pPr>
        <w:pStyle w:val="null3"/>
        <w:ind w:firstLine="1200"/>
      </w:pPr>
      <w:r>
        <w:rPr/>
        <w:t>供应商提出验收申请之日起</w:t>
      </w:r>
      <w:r>
        <w:rPr/>
        <w:t>30</w:t>
      </w:r>
      <w:r>
        <w:rPr/>
        <w:t>日内组织验收</w:t>
      </w:r>
    </w:p>
    <w:p>
      <w:pPr>
        <w:pStyle w:val="null3"/>
        <w:ind w:firstLine="840"/>
      </w:pPr>
      <w:r>
        <w:rPr/>
        <w:t>8）验收组织的其他事项：</w:t>
      </w:r>
      <w:r>
        <w:rPr/>
        <w:t>按双方签订合同执行</w:t>
      </w:r>
    </w:p>
    <w:p>
      <w:pPr>
        <w:pStyle w:val="null3"/>
        <w:ind w:firstLine="840"/>
      </w:pPr>
      <w:r>
        <w:rPr/>
        <w:t>9）技术履约验收内容：</w:t>
      </w:r>
      <w:r>
        <w:rPr/>
        <w:t>按照相关法律条规的要求、采购文件要求和响应文件、承诺、签订的合同的内容进行验收</w:t>
      </w:r>
    </w:p>
    <w:p>
      <w:pPr>
        <w:pStyle w:val="null3"/>
        <w:ind w:firstLine="840"/>
      </w:pPr>
      <w:r>
        <w:rPr/>
        <w:t>10）商务履约验收内容：</w:t>
      </w:r>
      <w:r>
        <w:rPr/>
        <w:t>承诺、签订的合同</w:t>
      </w:r>
    </w:p>
    <w:p>
      <w:pPr>
        <w:pStyle w:val="null3"/>
        <w:ind w:firstLine="840"/>
      </w:pPr>
      <w:r>
        <w:rPr/>
        <w:t>11）履约验收标准：</w:t>
      </w:r>
    </w:p>
    <w:p>
      <w:pPr>
        <w:pStyle w:val="null3"/>
      </w:pPr>
    </w:p>
    <w:p>
      <w:pPr>
        <w:pStyle w:val="null3"/>
        <w:ind w:firstLine="1200"/>
      </w:pPr>
      <w:r>
        <w:rPr/>
        <w:t>严格按照政府采购相关法律法规、《财政部关于进一步加强政府采购需求和履约验收管理的指导意见》（财库〔2016〕205号）的要求、采购文件要求、投标人的响应文件、承诺、签订的合同、和国家及行业相关规范标准进行要求进行验收。</w:t>
      </w:r>
    </w:p>
    <w:p>
      <w:pPr>
        <w:pStyle w:val="null3"/>
        <w:ind w:firstLine="840"/>
      </w:pPr>
      <w:r>
        <w:rPr/>
        <w:t>12）履约验收其他事项：</w:t>
      </w:r>
      <w:r>
        <w:rPr/>
        <w:t>无</w:t>
      </w:r>
    </w:p>
    <w:p>
      <w:pPr>
        <w:pStyle w:val="null3"/>
        <w:outlineLvl w:val="3"/>
      </w:pPr>
      <w:r>
        <w:rPr>
          <w:b/>
          <w:sz w:val="24"/>
        </w:rPr>
        <w:t>2.6.6资金支付</w:t>
      </w:r>
    </w:p>
    <w:p>
      <w:pPr>
        <w:pStyle w:val="null3"/>
        <w:ind w:firstLine="480"/>
      </w:pPr>
      <w:r>
        <w:rPr/>
        <w:t>采购人按财政部门的相关规定及采购合同的约定进行支付。</w:t>
      </w:r>
    </w:p>
    <w:p>
      <w:pPr>
        <w:pStyle w:val="null3"/>
        <w:outlineLvl w:val="2"/>
      </w:pPr>
      <w:r>
        <w:rPr>
          <w:b/>
          <w:sz w:val="28"/>
        </w:rPr>
        <w:t>2.7纪律要求</w:t>
      </w:r>
    </w:p>
    <w:p>
      <w:pPr>
        <w:pStyle w:val="null3"/>
        <w:outlineLvl w:val="3"/>
      </w:pPr>
      <w:r>
        <w:rPr>
          <w:b/>
          <w:sz w:val="24"/>
        </w:rPr>
        <w:t>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t>对各投标人的商业秘密，评标委员会成员应予以保密，不得泄露给其他投标人。</w:t>
      </w:r>
    </w:p>
    <w:p>
      <w:pPr>
        <w:pStyle w:val="null3"/>
        <w:outlineLvl w:val="3"/>
      </w:pPr>
      <w:r>
        <w:rPr>
          <w:b/>
          <w:sz w:val="24"/>
        </w:rPr>
        <w:t>2.7.2投标人不得具有的情形（实质性要求）</w:t>
      </w:r>
    </w:p>
    <w:p>
      <w:pPr>
        <w:pStyle w:val="null3"/>
        <w:ind w:firstLine="480"/>
      </w:pPr>
      <w:r>
        <w:rPr/>
        <w:t>投标人参加投标不得有下列情形：</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八、未按照招标文件确定的事项签订政府采购合同；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投标人有上述情形的，按照规定追究法律责任，具有前述一至十三条情形之一的，其投标文件无效，或取消被确认为中标供应商的资格或认定中标无效。</w:t>
      </w:r>
    </w:p>
    <w:p>
      <w:pPr>
        <w:pStyle w:val="null3"/>
        <w:outlineLvl w:val="3"/>
      </w:pPr>
      <w:r>
        <w:rPr>
          <w:b/>
          <w:sz w:val="24"/>
        </w:rPr>
        <w:t>2.7.3采购人员及相关人员回避要求</w:t>
      </w:r>
    </w:p>
    <w:p>
      <w:pPr>
        <w:pStyle w:val="null3"/>
        <w:ind w:firstLine="480"/>
      </w:pPr>
      <w:r>
        <w:rPr/>
        <w:t>政府采购活动中，采购人员及相关人员与投标人有下列利害关系之一的，应当回避：</w:t>
      </w:r>
    </w:p>
    <w:p>
      <w:pPr>
        <w:pStyle w:val="null3"/>
        <w:ind w:firstLine="480"/>
      </w:pPr>
      <w:r>
        <w:rPr/>
        <w:t>（1）参加采购活动前3年内与投标人存在劳动关系；</w:t>
      </w:r>
    </w:p>
    <w:p>
      <w:pPr>
        <w:pStyle w:val="null3"/>
        <w:ind w:firstLine="480"/>
      </w:pPr>
      <w:r>
        <w:rPr/>
        <w:t>（2）参加采购活动前3年内担任投标人的董事、监事；</w:t>
      </w:r>
    </w:p>
    <w:p>
      <w:pPr>
        <w:pStyle w:val="null3"/>
        <w:ind w:firstLine="480"/>
      </w:pPr>
      <w:r>
        <w:rPr/>
        <w:t>（3）参加采购活动前3年内是投标人的控股股东或者实际控制人；</w:t>
      </w:r>
    </w:p>
    <w:p>
      <w:pPr>
        <w:pStyle w:val="null3"/>
        <w:ind w:firstLine="480"/>
      </w:pPr>
      <w:r>
        <w:rPr/>
        <w:t>（4）与投标人的法定代表人或者负责人有夫妻、直系血亲、三代以内旁系血亲或者近姻亲关系；</w:t>
      </w:r>
    </w:p>
    <w:p>
      <w:pPr>
        <w:pStyle w:val="null3"/>
        <w:ind w:firstLine="480"/>
      </w:pPr>
      <w:r>
        <w:rPr/>
        <w:t>（5）与投标人有其他可能影响政府采购活动公平、公正进行的关系。</w:t>
      </w:r>
    </w:p>
    <w:p>
      <w:pPr>
        <w:pStyle w:val="null3"/>
        <w:ind w:firstLine="480"/>
      </w:pPr>
      <w:r>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b/>
          <w:sz w:val="28"/>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四川铂睿招标代理有限公司</w:t>
      </w:r>
      <w:r>
        <w:rPr/>
        <w:t xml:space="preserve"> 负责答复；供应商对除采购需求外的采购文件的询问、质疑由</w:t>
      </w:r>
      <w:r>
        <w:rPr/>
        <w:t>四川铂睿招标代理有限公司</w:t>
      </w:r>
      <w:r>
        <w:rPr/>
        <w:t xml:space="preserve"> 负责答复；供应商对采购过程、采购结果的询问、质疑由 </w:t>
      </w:r>
      <w:r>
        <w:rPr/>
        <w:t>四川铂睿招标代理有限公司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（五）针对质疑事项必要的证明材料（针对招标文件提出的质疑，需提交从项目电子化交易系统获取的招标文件回执单）。</w:t>
      </w:r>
    </w:p>
    <w:p>
      <w:pPr>
        <w:pStyle w:val="null3"/>
      </w:pPr>
    </w:p>
    <w:p>
      <w:pPr>
        <w:pStyle w:val="null3"/>
      </w:pPr>
    </w:p>
    <w:p>
      <w:pPr>
        <w:pStyle w:val="null3"/>
      </w:pPr>
      <w:r>
        <w:rPr/>
        <w:t>答复主体：代理机构</w:t>
      </w:r>
    </w:p>
    <w:p>
      <w:pPr>
        <w:pStyle w:val="null3"/>
      </w:pPr>
      <w:r>
        <w:rPr/>
        <w:t>联系人：吴老师</w:t>
      </w:r>
    </w:p>
    <w:p>
      <w:pPr>
        <w:pStyle w:val="null3"/>
      </w:pPr>
      <w:r>
        <w:rPr/>
        <w:t>联系电话：028-26129696</w:t>
      </w:r>
    </w:p>
    <w:p>
      <w:pPr>
        <w:pStyle w:val="null3"/>
      </w:pPr>
      <w:r>
        <w:rPr/>
        <w:t>地址：资阳市雁江区娇子大道655附8号广电大楼第十四楼左1.2.3.4号</w:t>
      </w:r>
    </w:p>
    <w:p>
      <w:pPr>
        <w:pStyle w:val="null3"/>
      </w:pPr>
      <w:r>
        <w:rPr/>
        <w:t>邮编：641300</w:t>
      </w:r>
    </w:p>
    <w:p>
      <w:pPr>
        <w:pStyle w:val="null3"/>
        <w:ind w:firstLine="480"/>
      </w:pPr>
      <w:r>
        <w:rPr/>
        <w:t>注：根据《中华人民共和国政府采购法》的规定，供应商质疑不得超出招标文件、采购过程、采购结果的范围。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p>
    <w:p>
      <w:pPr>
        <w:pStyle w:val="null3"/>
      </w:pPr>
      <w:r>
        <w:rPr/>
        <w:t xml:space="preserve"> </w:t>
      </w:r>
    </w:p>
    <w:p>
      <w:pPr>
        <w:pStyle w:val="null3"/>
        <w:jc w:val="center"/>
        <w:outlineLvl w:val="1"/>
      </w:pPr>
      <w:r>
        <w:rPr>
          <w:b/>
          <w:sz w:val="36"/>
        </w:rPr>
        <w:t>第三章 招标项目技术、服务、商务及其他要求</w:t>
      </w:r>
    </w:p>
    <w:p>
      <w:pPr>
        <w:pStyle w:val="null3"/>
        <w:ind w:firstLine="480"/>
      </w:pPr>
      <w:r>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b/>
          <w:sz w:val="28"/>
        </w:rPr>
        <w:t>3.1采购项目概况</w:t>
      </w:r>
    </w:p>
    <w:p>
      <w:pPr>
        <w:pStyle w:val="null3"/>
        <w:ind w:firstLine="480"/>
      </w:pPr>
    </w:p>
    <w:p>
      <w:pPr>
        <w:pStyle w:val="null3"/>
      </w:pPr>
    </w:p>
    <w:p>
      <w:pPr>
        <w:pStyle w:val="null3"/>
      </w:pPr>
      <w:r>
        <w:rPr/>
        <w:t>1、本项目为3个包，雁江区、高新区、临空经济区为1个包，安岳县、乐至县分别为1个包。为资阳籍60岁以上老年人每人购买一份意外伤害保险。保险期限为一年，以保险单载明的起讫时间为准。2、采购预算：1516.8万元，计划购买对象约75.84万人。其中，包1（安岳县）约34.17万人，采购预算683.4万元；包2（雁江区、高新区、临空经济区）约22.71万人，采购预算454.2万元；包3（乐至县）约18.96万人，采购预算379.2万元。项目采用固定总价，所需资金由市财政统筹解决。3、项目采取兼投不兼中原则确定承保机构3家。符合条件的投标人可投一个包也可同时投多个包，每投一个包需提供相应的应标文件。评标时，按照包1、包2、包3依次评审，一个投标人不能同时成为两个或以上项目包的第一中标候选人，即投标人一旦被推荐为上一个项目包的第一中标候选人，则不再参与后续包的评审。例：在包1确定为第一中标候选人，则不再参与包2、包3的评审，在包2确定为第一中标候选人，则不再参与包3的评审。</w:t>
      </w:r>
    </w:p>
    <w:p>
      <w:pPr>
        <w:pStyle w:val="null3"/>
        <w:outlineLvl w:val="2"/>
      </w:pPr>
      <w:r>
        <w:rPr>
          <w:b/>
          <w:sz w:val="28"/>
        </w:rPr>
        <w:t>3.2服务内容及服务要求</w:t>
      </w:r>
    </w:p>
    <w:p>
      <w:pPr>
        <w:pStyle w:val="null3"/>
        <w:outlineLvl w:val="3"/>
      </w:pPr>
      <w:r>
        <w:rPr>
          <w:b/>
          <w:sz w:val="24"/>
        </w:rPr>
        <w:t>3.2.1服务内容</w:t>
      </w:r>
    </w:p>
    <w:p>
      <w:pPr>
        <w:pStyle w:val="null3"/>
      </w:pPr>
    </w:p>
    <w:p>
      <w:pPr>
        <w:pStyle w:val="null3"/>
      </w:pPr>
    </w:p>
    <w:p>
      <w:pPr>
        <w:pStyle w:val="null3"/>
      </w:pPr>
      <w:r>
        <w:rPr/>
        <w:t>采购包1：</w:t>
      </w:r>
    </w:p>
    <w:p>
      <w:pPr>
        <w:pStyle w:val="null3"/>
      </w:pPr>
      <w:r>
        <w:rPr/>
        <w:t>采购包预算金额（元）: 6,834,000.00</w:t>
      </w:r>
    </w:p>
    <w:p>
      <w:pPr>
        <w:pStyle w:val="null3"/>
      </w:pPr>
      <w:r>
        <w:rPr/>
        <w:t>采购包最高限价（元）: 6,834,000.00</w:t>
      </w:r>
    </w:p>
    <w:tbl>
      <w:tblPr>
        <w:tblW w:w="0" w:type="auto"/>
        <w:tblBorders>
          <w:top w:val="single"/>
          <w:left w:val="single"/>
          <w:bottom w:val="single"/>
          <w:right w:val="single"/>
          <w:insideH w:val="single"/>
          <w:insideV w:val="single"/>
        </w:tblBorders>
      </w:tblPr>
      <w:tblGrid>
        <w:gridCol w:w="678"/>
        <w:gridCol w:w="1271"/>
        <w:gridCol w:w="848"/>
        <w:gridCol w:w="1356"/>
        <w:gridCol w:w="678"/>
        <w:gridCol w:w="678"/>
        <w:gridCol w:w="593"/>
        <w:gridCol w:w="678"/>
        <w:gridCol w:w="678"/>
        <w:gridCol w:w="848"/>
      </w:tblGrid>
      <w:tr>
        <w:tc>
          <w:tcPr>
            <w:tcW w:type="dxa" w:w="678"/>
          </w:tcPr>
          <w:p>
            <w:pPr>
              <w:pStyle w:val="null3"/>
            </w:pPr>
            <w:r>
              <w:rPr/>
              <w:t>序号</w:t>
            </w:r>
          </w:p>
        </w:tc>
        <w:tc>
          <w:tcPr>
            <w:tcW w:type="dxa" w:w="1271"/>
          </w:tcPr>
          <w:p>
            <w:pPr>
              <w:pStyle w:val="null3"/>
            </w:pPr>
            <w:r>
              <w:rPr/>
              <w:t>标的名称</w:t>
            </w:r>
          </w:p>
        </w:tc>
        <w:tc>
          <w:tcPr>
            <w:tcW w:type="dxa" w:w="848"/>
          </w:tcPr>
          <w:p>
            <w:pPr>
              <w:pStyle w:val="null3"/>
            </w:pPr>
            <w:r>
              <w:rPr/>
              <w:t>数量</w:t>
            </w:r>
          </w:p>
        </w:tc>
        <w:tc>
          <w:tcPr>
            <w:tcW w:type="dxa" w:w="1356"/>
          </w:tcPr>
          <w:p>
            <w:pPr>
              <w:pStyle w:val="null3"/>
            </w:pPr>
            <w:r>
              <w:rPr/>
              <w:t>标的金额 （元）</w:t>
            </w:r>
          </w:p>
        </w:tc>
        <w:tc>
          <w:tcPr>
            <w:tcW w:type="dxa" w:w="678"/>
          </w:tcPr>
          <w:p>
            <w:pPr>
              <w:pStyle w:val="null3"/>
            </w:pPr>
            <w:r>
              <w:rPr/>
              <w:t>计量单位</w:t>
            </w:r>
          </w:p>
        </w:tc>
        <w:tc>
          <w:tcPr>
            <w:tcW w:type="dxa" w:w="678"/>
          </w:tcPr>
          <w:p>
            <w:pPr>
              <w:pStyle w:val="null3"/>
            </w:pPr>
            <w:r>
              <w:rPr/>
              <w:t>所属行业</w:t>
            </w:r>
          </w:p>
        </w:tc>
        <w:tc>
          <w:tcPr>
            <w:tcW w:type="dxa" w:w="593"/>
          </w:tcPr>
          <w:p>
            <w:pPr>
              <w:pStyle w:val="null3"/>
            </w:pPr>
            <w:r>
              <w:rPr/>
              <w:t>是否涉及核心产品</w:t>
            </w:r>
          </w:p>
        </w:tc>
        <w:tc>
          <w:tcPr>
            <w:tcW w:type="dxa" w:w="678"/>
          </w:tcPr>
          <w:p>
            <w:pPr>
              <w:pStyle w:val="null3"/>
            </w:pPr>
            <w:r>
              <w:rPr/>
              <w:t>是否涉及采购进口产品</w:t>
            </w:r>
          </w:p>
        </w:tc>
        <w:tc>
          <w:tcPr>
            <w:tcW w:type="dxa" w:w="678"/>
          </w:tcPr>
          <w:p>
            <w:pPr>
              <w:pStyle w:val="null3"/>
            </w:pPr>
            <w:r>
              <w:rPr/>
              <w:t>是否涉及采购节能产品</w:t>
            </w:r>
          </w:p>
        </w:tc>
        <w:tc>
          <w:tcPr>
            <w:tcW w:type="dxa" w:w="848"/>
          </w:tcPr>
          <w:p>
            <w:pPr>
              <w:pStyle w:val="null3"/>
            </w:pPr>
            <w:r>
              <w:rPr/>
              <w:t>是否涉及采购环境标志产品</w:t>
            </w:r>
          </w:p>
        </w:tc>
      </w:tr>
      <w:tr>
        <w:tc>
          <w:tcPr>
            <w:tcW w:type="dxa" w:w="678"/>
          </w:tcPr>
          <w:p>
            <w:pPr>
              <w:pStyle w:val="null3"/>
            </w:pPr>
            <w:r>
              <w:rPr/>
              <w:t>1</w:t>
            </w:r>
          </w:p>
        </w:tc>
        <w:tc>
          <w:tcPr>
            <w:tcW w:type="dxa" w:w="1271"/>
          </w:tcPr>
          <w:p>
            <w:pPr>
              <w:pStyle w:val="null3"/>
            </w:pPr>
            <w:r>
              <w:rPr/>
              <w:t>资阳市2024年为资阳籍60岁以上老年人购买意外伤害保险(安岳县）</w:t>
            </w:r>
          </w:p>
        </w:tc>
        <w:tc>
          <w:tcPr>
            <w:tcW w:type="dxa" w:w="848"/>
          </w:tcPr>
          <w:p>
            <w:pPr>
              <w:pStyle w:val="null3"/>
              <w:jc w:val="right"/>
            </w:pPr>
            <w:r>
              <w:rPr/>
              <w:t>341,700.00</w:t>
            </w:r>
          </w:p>
        </w:tc>
        <w:tc>
          <w:tcPr>
            <w:tcW w:type="dxa" w:w="1356"/>
          </w:tcPr>
          <w:p>
            <w:pPr>
              <w:pStyle w:val="null3"/>
              <w:jc w:val="right"/>
            </w:pPr>
            <w:r>
              <w:rPr/>
              <w:t>6,834,000.00</w:t>
            </w:r>
          </w:p>
        </w:tc>
        <w:tc>
          <w:tcPr>
            <w:tcW w:type="dxa" w:w="678"/>
          </w:tcPr>
          <w:p>
            <w:pPr>
              <w:pStyle w:val="null3"/>
            </w:pPr>
            <w:r>
              <w:rPr/>
              <w:t>项</w:t>
            </w:r>
          </w:p>
        </w:tc>
        <w:tc>
          <w:tcPr>
            <w:tcW w:type="dxa" w:w="678"/>
          </w:tcPr>
          <w:p>
            <w:pPr>
              <w:pStyle w:val="null3"/>
            </w:pPr>
            <w:r>
              <w:rPr/>
              <w:t>其他未列明行业</w:t>
            </w:r>
          </w:p>
        </w:tc>
        <w:tc>
          <w:tcPr>
            <w:tcW w:type="dxa" w:w="593"/>
          </w:tcPr>
          <w:p>
            <w:pPr>
              <w:pStyle w:val="null3"/>
            </w:pPr>
            <w:r>
              <w:rPr/>
              <w:t>否</w:t>
            </w:r>
          </w:p>
        </w:tc>
        <w:tc>
          <w:tcPr>
            <w:tcW w:type="dxa" w:w="678"/>
          </w:tcPr>
          <w:p>
            <w:pPr>
              <w:pStyle w:val="null3"/>
            </w:pPr>
            <w:r>
              <w:rPr/>
              <w:t>否</w:t>
            </w:r>
          </w:p>
        </w:tc>
        <w:tc>
          <w:tcPr>
            <w:tcW w:type="dxa" w:w="678"/>
          </w:tcPr>
          <w:p>
            <w:pPr>
              <w:pStyle w:val="null3"/>
            </w:pPr>
            <w:r>
              <w:rPr/>
              <w:t>否</w:t>
            </w:r>
          </w:p>
        </w:tc>
        <w:tc>
          <w:tcPr>
            <w:tcW w:type="dxa" w:w="848"/>
          </w:tcPr>
          <w:p>
            <w:pPr>
              <w:pStyle w:val="null3"/>
            </w:pPr>
            <w:r>
              <w:rPr/>
              <w:t>否</w:t>
            </w:r>
          </w:p>
        </w:tc>
      </w:tr>
    </w:tbl>
    <w:p>
      <w:pPr>
        <w:pStyle w:val="null3"/>
      </w:pPr>
      <w:r>
        <w:rPr/>
        <w:t>采购包2：</w:t>
      </w:r>
    </w:p>
    <w:p>
      <w:pPr>
        <w:pStyle w:val="null3"/>
      </w:pPr>
      <w:r>
        <w:rPr/>
        <w:t>采购包预算金额（元）: 4,542,000.00</w:t>
      </w:r>
    </w:p>
    <w:p>
      <w:pPr>
        <w:pStyle w:val="null3"/>
      </w:pPr>
      <w:r>
        <w:rPr/>
        <w:t>采购包最高限价（元）: 4,542,000.00</w:t>
      </w:r>
    </w:p>
    <w:tbl>
      <w:tblPr>
        <w:tblW w:w="0" w:type="auto"/>
        <w:tblBorders>
          <w:top w:val="single"/>
          <w:left w:val="single"/>
          <w:bottom w:val="single"/>
          <w:right w:val="single"/>
          <w:insideH w:val="single"/>
          <w:insideV w:val="single"/>
        </w:tblBorders>
      </w:tblPr>
      <w:tblGrid>
        <w:gridCol w:w="678"/>
        <w:gridCol w:w="1271"/>
        <w:gridCol w:w="848"/>
        <w:gridCol w:w="1356"/>
        <w:gridCol w:w="678"/>
        <w:gridCol w:w="678"/>
        <w:gridCol w:w="593"/>
        <w:gridCol w:w="678"/>
        <w:gridCol w:w="678"/>
        <w:gridCol w:w="848"/>
      </w:tblGrid>
      <w:tr>
        <w:tc>
          <w:tcPr>
            <w:tcW w:type="dxa" w:w="678"/>
          </w:tcPr>
          <w:p>
            <w:pPr>
              <w:pStyle w:val="null3"/>
            </w:pPr>
            <w:r>
              <w:rPr/>
              <w:t>序号</w:t>
            </w:r>
          </w:p>
        </w:tc>
        <w:tc>
          <w:tcPr>
            <w:tcW w:type="dxa" w:w="1271"/>
          </w:tcPr>
          <w:p>
            <w:pPr>
              <w:pStyle w:val="null3"/>
            </w:pPr>
            <w:r>
              <w:rPr/>
              <w:t>标的名称</w:t>
            </w:r>
          </w:p>
        </w:tc>
        <w:tc>
          <w:tcPr>
            <w:tcW w:type="dxa" w:w="848"/>
          </w:tcPr>
          <w:p>
            <w:pPr>
              <w:pStyle w:val="null3"/>
            </w:pPr>
            <w:r>
              <w:rPr/>
              <w:t>数量</w:t>
            </w:r>
          </w:p>
        </w:tc>
        <w:tc>
          <w:tcPr>
            <w:tcW w:type="dxa" w:w="1356"/>
          </w:tcPr>
          <w:p>
            <w:pPr>
              <w:pStyle w:val="null3"/>
            </w:pPr>
            <w:r>
              <w:rPr/>
              <w:t>标的金额 （元）</w:t>
            </w:r>
          </w:p>
        </w:tc>
        <w:tc>
          <w:tcPr>
            <w:tcW w:type="dxa" w:w="678"/>
          </w:tcPr>
          <w:p>
            <w:pPr>
              <w:pStyle w:val="null3"/>
            </w:pPr>
            <w:r>
              <w:rPr/>
              <w:t>计量单位</w:t>
            </w:r>
          </w:p>
        </w:tc>
        <w:tc>
          <w:tcPr>
            <w:tcW w:type="dxa" w:w="678"/>
          </w:tcPr>
          <w:p>
            <w:pPr>
              <w:pStyle w:val="null3"/>
            </w:pPr>
            <w:r>
              <w:rPr/>
              <w:t>所属行业</w:t>
            </w:r>
          </w:p>
        </w:tc>
        <w:tc>
          <w:tcPr>
            <w:tcW w:type="dxa" w:w="593"/>
          </w:tcPr>
          <w:p>
            <w:pPr>
              <w:pStyle w:val="null3"/>
            </w:pPr>
            <w:r>
              <w:rPr/>
              <w:t>是否涉及核心产品</w:t>
            </w:r>
          </w:p>
        </w:tc>
        <w:tc>
          <w:tcPr>
            <w:tcW w:type="dxa" w:w="678"/>
          </w:tcPr>
          <w:p>
            <w:pPr>
              <w:pStyle w:val="null3"/>
            </w:pPr>
            <w:r>
              <w:rPr/>
              <w:t>是否涉及采购进口产品</w:t>
            </w:r>
          </w:p>
        </w:tc>
        <w:tc>
          <w:tcPr>
            <w:tcW w:type="dxa" w:w="678"/>
          </w:tcPr>
          <w:p>
            <w:pPr>
              <w:pStyle w:val="null3"/>
            </w:pPr>
            <w:r>
              <w:rPr/>
              <w:t>是否涉及采购节能产品</w:t>
            </w:r>
          </w:p>
        </w:tc>
        <w:tc>
          <w:tcPr>
            <w:tcW w:type="dxa" w:w="848"/>
          </w:tcPr>
          <w:p>
            <w:pPr>
              <w:pStyle w:val="null3"/>
            </w:pPr>
            <w:r>
              <w:rPr/>
              <w:t>是否涉及采购环境标志产品</w:t>
            </w:r>
          </w:p>
        </w:tc>
      </w:tr>
      <w:tr>
        <w:tc>
          <w:tcPr>
            <w:tcW w:type="dxa" w:w="678"/>
          </w:tcPr>
          <w:p>
            <w:pPr>
              <w:pStyle w:val="null3"/>
            </w:pPr>
            <w:r>
              <w:rPr/>
              <w:t>1</w:t>
            </w:r>
          </w:p>
        </w:tc>
        <w:tc>
          <w:tcPr>
            <w:tcW w:type="dxa" w:w="1271"/>
          </w:tcPr>
          <w:p>
            <w:pPr>
              <w:pStyle w:val="null3"/>
            </w:pPr>
            <w:r>
              <w:rPr/>
              <w:t>资阳市2024年为资阳籍60岁以上老年人购买意外伤害保险（雁江区、高新区、临空经济区）</w:t>
            </w:r>
          </w:p>
        </w:tc>
        <w:tc>
          <w:tcPr>
            <w:tcW w:type="dxa" w:w="848"/>
          </w:tcPr>
          <w:p>
            <w:pPr>
              <w:pStyle w:val="null3"/>
              <w:jc w:val="right"/>
            </w:pPr>
            <w:r>
              <w:rPr/>
              <w:t>227,100.00</w:t>
            </w:r>
          </w:p>
        </w:tc>
        <w:tc>
          <w:tcPr>
            <w:tcW w:type="dxa" w:w="1356"/>
          </w:tcPr>
          <w:p>
            <w:pPr>
              <w:pStyle w:val="null3"/>
              <w:jc w:val="right"/>
            </w:pPr>
            <w:r>
              <w:rPr/>
              <w:t>4,542,000.00</w:t>
            </w:r>
          </w:p>
        </w:tc>
        <w:tc>
          <w:tcPr>
            <w:tcW w:type="dxa" w:w="678"/>
          </w:tcPr>
          <w:p>
            <w:pPr>
              <w:pStyle w:val="null3"/>
            </w:pPr>
            <w:r>
              <w:rPr/>
              <w:t>项</w:t>
            </w:r>
          </w:p>
        </w:tc>
        <w:tc>
          <w:tcPr>
            <w:tcW w:type="dxa" w:w="678"/>
          </w:tcPr>
          <w:p>
            <w:pPr>
              <w:pStyle w:val="null3"/>
            </w:pPr>
            <w:r>
              <w:rPr/>
              <w:t>其他未列明行业</w:t>
            </w:r>
          </w:p>
        </w:tc>
        <w:tc>
          <w:tcPr>
            <w:tcW w:type="dxa" w:w="593"/>
          </w:tcPr>
          <w:p>
            <w:pPr>
              <w:pStyle w:val="null3"/>
            </w:pPr>
            <w:r>
              <w:rPr/>
              <w:t>否</w:t>
            </w:r>
          </w:p>
        </w:tc>
        <w:tc>
          <w:tcPr>
            <w:tcW w:type="dxa" w:w="678"/>
          </w:tcPr>
          <w:p>
            <w:pPr>
              <w:pStyle w:val="null3"/>
            </w:pPr>
            <w:r>
              <w:rPr/>
              <w:t>否</w:t>
            </w:r>
          </w:p>
        </w:tc>
        <w:tc>
          <w:tcPr>
            <w:tcW w:type="dxa" w:w="678"/>
          </w:tcPr>
          <w:p>
            <w:pPr>
              <w:pStyle w:val="null3"/>
            </w:pPr>
            <w:r>
              <w:rPr/>
              <w:t>否</w:t>
            </w:r>
          </w:p>
        </w:tc>
        <w:tc>
          <w:tcPr>
            <w:tcW w:type="dxa" w:w="848"/>
          </w:tcPr>
          <w:p>
            <w:pPr>
              <w:pStyle w:val="null3"/>
            </w:pPr>
            <w:r>
              <w:rPr/>
              <w:t>否</w:t>
            </w:r>
          </w:p>
        </w:tc>
      </w:tr>
    </w:tbl>
    <w:p>
      <w:pPr>
        <w:pStyle w:val="null3"/>
      </w:pPr>
      <w:r>
        <w:rPr/>
        <w:t>采购包3：</w:t>
      </w:r>
    </w:p>
    <w:p>
      <w:pPr>
        <w:pStyle w:val="null3"/>
      </w:pPr>
      <w:r>
        <w:rPr/>
        <w:t>采购包预算金额（元）: 3,792,000.00</w:t>
      </w:r>
    </w:p>
    <w:p>
      <w:pPr>
        <w:pStyle w:val="null3"/>
      </w:pPr>
      <w:r>
        <w:rPr/>
        <w:t>采购包最高限价（元）: 3,792,000.00</w:t>
      </w:r>
    </w:p>
    <w:tbl>
      <w:tblPr>
        <w:tblW w:w="0" w:type="auto"/>
        <w:tblBorders>
          <w:top w:val="single"/>
          <w:left w:val="single"/>
          <w:bottom w:val="single"/>
          <w:right w:val="single"/>
          <w:insideH w:val="single"/>
          <w:insideV w:val="single"/>
        </w:tblBorders>
      </w:tblPr>
      <w:tblGrid>
        <w:gridCol w:w="678"/>
        <w:gridCol w:w="1271"/>
        <w:gridCol w:w="848"/>
        <w:gridCol w:w="1356"/>
        <w:gridCol w:w="678"/>
        <w:gridCol w:w="678"/>
        <w:gridCol w:w="593"/>
        <w:gridCol w:w="678"/>
        <w:gridCol w:w="678"/>
        <w:gridCol w:w="848"/>
      </w:tblGrid>
      <w:tr>
        <w:tc>
          <w:tcPr>
            <w:tcW w:type="dxa" w:w="678"/>
          </w:tcPr>
          <w:p>
            <w:pPr>
              <w:pStyle w:val="null3"/>
            </w:pPr>
            <w:r>
              <w:rPr/>
              <w:t>序号</w:t>
            </w:r>
          </w:p>
        </w:tc>
        <w:tc>
          <w:tcPr>
            <w:tcW w:type="dxa" w:w="1271"/>
          </w:tcPr>
          <w:p>
            <w:pPr>
              <w:pStyle w:val="null3"/>
            </w:pPr>
            <w:r>
              <w:rPr/>
              <w:t>标的名称</w:t>
            </w:r>
          </w:p>
        </w:tc>
        <w:tc>
          <w:tcPr>
            <w:tcW w:type="dxa" w:w="848"/>
          </w:tcPr>
          <w:p>
            <w:pPr>
              <w:pStyle w:val="null3"/>
            </w:pPr>
            <w:r>
              <w:rPr/>
              <w:t>数量</w:t>
            </w:r>
          </w:p>
        </w:tc>
        <w:tc>
          <w:tcPr>
            <w:tcW w:type="dxa" w:w="1356"/>
          </w:tcPr>
          <w:p>
            <w:pPr>
              <w:pStyle w:val="null3"/>
            </w:pPr>
            <w:r>
              <w:rPr/>
              <w:t>标的金额 （元）</w:t>
            </w:r>
          </w:p>
        </w:tc>
        <w:tc>
          <w:tcPr>
            <w:tcW w:type="dxa" w:w="678"/>
          </w:tcPr>
          <w:p>
            <w:pPr>
              <w:pStyle w:val="null3"/>
            </w:pPr>
            <w:r>
              <w:rPr/>
              <w:t>计量单位</w:t>
            </w:r>
          </w:p>
        </w:tc>
        <w:tc>
          <w:tcPr>
            <w:tcW w:type="dxa" w:w="678"/>
          </w:tcPr>
          <w:p>
            <w:pPr>
              <w:pStyle w:val="null3"/>
            </w:pPr>
            <w:r>
              <w:rPr/>
              <w:t>所属行业</w:t>
            </w:r>
          </w:p>
        </w:tc>
        <w:tc>
          <w:tcPr>
            <w:tcW w:type="dxa" w:w="593"/>
          </w:tcPr>
          <w:p>
            <w:pPr>
              <w:pStyle w:val="null3"/>
            </w:pPr>
            <w:r>
              <w:rPr/>
              <w:t>是否涉及核心产品</w:t>
            </w:r>
          </w:p>
        </w:tc>
        <w:tc>
          <w:tcPr>
            <w:tcW w:type="dxa" w:w="678"/>
          </w:tcPr>
          <w:p>
            <w:pPr>
              <w:pStyle w:val="null3"/>
            </w:pPr>
            <w:r>
              <w:rPr/>
              <w:t>是否涉及采购进口产品</w:t>
            </w:r>
          </w:p>
        </w:tc>
        <w:tc>
          <w:tcPr>
            <w:tcW w:type="dxa" w:w="678"/>
          </w:tcPr>
          <w:p>
            <w:pPr>
              <w:pStyle w:val="null3"/>
            </w:pPr>
            <w:r>
              <w:rPr/>
              <w:t>是否涉及采购节能产品</w:t>
            </w:r>
          </w:p>
        </w:tc>
        <w:tc>
          <w:tcPr>
            <w:tcW w:type="dxa" w:w="848"/>
          </w:tcPr>
          <w:p>
            <w:pPr>
              <w:pStyle w:val="null3"/>
            </w:pPr>
            <w:r>
              <w:rPr/>
              <w:t>是否涉及采购环境标志产品</w:t>
            </w:r>
          </w:p>
        </w:tc>
      </w:tr>
      <w:tr>
        <w:tc>
          <w:tcPr>
            <w:tcW w:type="dxa" w:w="678"/>
          </w:tcPr>
          <w:p>
            <w:pPr>
              <w:pStyle w:val="null3"/>
            </w:pPr>
            <w:r>
              <w:rPr/>
              <w:t>1</w:t>
            </w:r>
          </w:p>
        </w:tc>
        <w:tc>
          <w:tcPr>
            <w:tcW w:type="dxa" w:w="1271"/>
          </w:tcPr>
          <w:p>
            <w:pPr>
              <w:pStyle w:val="null3"/>
            </w:pPr>
            <w:r>
              <w:rPr/>
              <w:t>资阳市2024年为资阳籍60岁以上老年人购买意外伤害保险（乐至县）</w:t>
            </w:r>
          </w:p>
        </w:tc>
        <w:tc>
          <w:tcPr>
            <w:tcW w:type="dxa" w:w="848"/>
          </w:tcPr>
          <w:p>
            <w:pPr>
              <w:pStyle w:val="null3"/>
              <w:jc w:val="right"/>
            </w:pPr>
            <w:r>
              <w:rPr/>
              <w:t>189,600.00</w:t>
            </w:r>
          </w:p>
        </w:tc>
        <w:tc>
          <w:tcPr>
            <w:tcW w:type="dxa" w:w="1356"/>
          </w:tcPr>
          <w:p>
            <w:pPr>
              <w:pStyle w:val="null3"/>
              <w:jc w:val="right"/>
            </w:pPr>
            <w:r>
              <w:rPr/>
              <w:t>3,792,000.00</w:t>
            </w:r>
          </w:p>
        </w:tc>
        <w:tc>
          <w:tcPr>
            <w:tcW w:type="dxa" w:w="678"/>
          </w:tcPr>
          <w:p>
            <w:pPr>
              <w:pStyle w:val="null3"/>
            </w:pPr>
            <w:r>
              <w:rPr/>
              <w:t>项</w:t>
            </w:r>
          </w:p>
        </w:tc>
        <w:tc>
          <w:tcPr>
            <w:tcW w:type="dxa" w:w="678"/>
          </w:tcPr>
          <w:p>
            <w:pPr>
              <w:pStyle w:val="null3"/>
            </w:pPr>
            <w:r>
              <w:rPr/>
              <w:t>其他未列明行业</w:t>
            </w:r>
          </w:p>
        </w:tc>
        <w:tc>
          <w:tcPr>
            <w:tcW w:type="dxa" w:w="593"/>
          </w:tcPr>
          <w:p>
            <w:pPr>
              <w:pStyle w:val="null3"/>
            </w:pPr>
            <w:r>
              <w:rPr/>
              <w:t>否</w:t>
            </w:r>
          </w:p>
        </w:tc>
        <w:tc>
          <w:tcPr>
            <w:tcW w:type="dxa" w:w="678"/>
          </w:tcPr>
          <w:p>
            <w:pPr>
              <w:pStyle w:val="null3"/>
            </w:pPr>
            <w:r>
              <w:rPr/>
              <w:t>否</w:t>
            </w:r>
          </w:p>
        </w:tc>
        <w:tc>
          <w:tcPr>
            <w:tcW w:type="dxa" w:w="678"/>
          </w:tcPr>
          <w:p>
            <w:pPr>
              <w:pStyle w:val="null3"/>
            </w:pPr>
            <w:r>
              <w:rPr/>
              <w:t>否</w:t>
            </w:r>
          </w:p>
        </w:tc>
        <w:tc>
          <w:tcPr>
            <w:tcW w:type="dxa" w:w="848"/>
          </w:tcPr>
          <w:p>
            <w:pPr>
              <w:pStyle w:val="null3"/>
            </w:pPr>
            <w:r>
              <w:rPr/>
              <w:t>否</w:t>
            </w:r>
          </w:p>
        </w:tc>
      </w:tr>
    </w:tbl>
    <w:p>
      <w:pPr>
        <w:pStyle w:val="null3"/>
        <w:outlineLvl w:val="3"/>
      </w:pPr>
      <w:r>
        <w:rPr>
          <w:b/>
          <w:sz w:val="24"/>
        </w:rPr>
        <w:t>3.2.2服务要求</w:t>
      </w:r>
    </w:p>
    <w:p>
      <w:pPr>
        <w:pStyle w:val="null3"/>
      </w:pPr>
    </w:p>
    <w:p>
      <w:pPr>
        <w:pStyle w:val="null3"/>
      </w:pPr>
    </w:p>
    <w:p>
      <w:pPr>
        <w:pStyle w:val="null3"/>
      </w:pPr>
    </w:p>
    <w:p>
      <w:pPr>
        <w:pStyle w:val="null3"/>
      </w:pPr>
      <w:r>
        <w:rPr/>
        <w:t>采购包1：</w:t>
      </w:r>
    </w:p>
    <w:p>
      <w:pPr>
        <w:pStyle w:val="null3"/>
      </w:pPr>
    </w:p>
    <w:p>
      <w:pPr>
        <w:pStyle w:val="null3"/>
      </w:pPr>
      <w:r>
        <w:rPr/>
        <w:t>标的名称：资阳市2024年为资阳籍60岁以上老年人购买意外伤害保险(安岳县）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ind w:firstLine="482"/>
              <w:jc w:val="both"/>
            </w:pPr>
            <w:r>
              <w:rPr>
                <w:rFonts w:ascii="宋体" w:hAnsi="宋体" w:cs="宋体" w:eastAsia="宋体"/>
                <w:b/>
                <w:sz w:val="24"/>
              </w:rPr>
              <w:t>1.</w:t>
            </w:r>
            <w:r>
              <w:rPr>
                <w:rFonts w:ascii="宋体" w:hAnsi="宋体" w:cs="宋体" w:eastAsia="宋体"/>
                <w:b/>
                <w:sz w:val="24"/>
              </w:rPr>
              <w:t>保险责任。</w:t>
            </w:r>
          </w:p>
          <w:p>
            <w:pPr>
              <w:pStyle w:val="null3"/>
              <w:ind w:firstLine="482"/>
              <w:jc w:val="both"/>
            </w:pPr>
            <w:r>
              <w:rPr>
                <w:rFonts w:ascii="宋体" w:hAnsi="宋体" w:cs="宋体" w:eastAsia="宋体"/>
                <w:b/>
                <w:sz w:val="24"/>
              </w:rPr>
              <w:t>（</w:t>
            </w:r>
            <w:r>
              <w:rPr>
                <w:rFonts w:ascii="宋体" w:hAnsi="宋体" w:cs="宋体" w:eastAsia="宋体"/>
                <w:b/>
                <w:sz w:val="24"/>
              </w:rPr>
              <w:t>1）</w:t>
            </w:r>
            <w:r>
              <w:rPr>
                <w:rFonts w:ascii="宋体" w:hAnsi="宋体" w:cs="宋体" w:eastAsia="宋体"/>
                <w:b/>
                <w:sz w:val="24"/>
              </w:rPr>
              <w:t>投保主体及对象</w:t>
            </w:r>
            <w:r>
              <w:rPr>
                <w:rFonts w:ascii="宋体" w:hAnsi="宋体" w:cs="宋体" w:eastAsia="宋体"/>
                <w:b/>
                <w:sz w:val="24"/>
              </w:rPr>
              <w:t>：</w:t>
            </w:r>
            <w:r>
              <w:rPr>
                <w:rFonts w:ascii="宋体" w:hAnsi="宋体" w:cs="宋体" w:eastAsia="宋体"/>
                <w:sz w:val="24"/>
              </w:rPr>
              <w:t>投保人为单位，被保险人为</w:t>
            </w:r>
            <w:r>
              <w:rPr>
                <w:rFonts w:ascii="宋体" w:hAnsi="宋体" w:cs="宋体" w:eastAsia="宋体"/>
                <w:sz w:val="24"/>
              </w:rPr>
              <w:t>资阳籍</w:t>
            </w:r>
            <w:r>
              <w:rPr>
                <w:rFonts w:ascii="宋体" w:hAnsi="宋体" w:cs="宋体" w:eastAsia="宋体"/>
                <w:sz w:val="24"/>
              </w:rPr>
              <w:t>60岁以上老年人。合同</w:t>
            </w:r>
            <w:r>
              <w:rPr>
                <w:rFonts w:ascii="宋体" w:hAnsi="宋体" w:cs="宋体" w:eastAsia="宋体"/>
                <w:sz w:val="24"/>
              </w:rPr>
              <w:t>期满前</w:t>
            </w:r>
            <w:r>
              <w:rPr>
                <w:rFonts w:ascii="宋体" w:hAnsi="宋体" w:cs="宋体" w:eastAsia="宋体"/>
                <w:sz w:val="24"/>
              </w:rPr>
              <w:t>，</w:t>
            </w:r>
            <w:r>
              <w:rPr>
                <w:rFonts w:ascii="宋体" w:hAnsi="宋体" w:cs="宋体" w:eastAsia="宋体"/>
                <w:sz w:val="24"/>
              </w:rPr>
              <w:t>年满</w:t>
            </w:r>
            <w:r>
              <w:rPr>
                <w:rFonts w:ascii="宋体" w:hAnsi="宋体" w:cs="宋体" w:eastAsia="宋体"/>
                <w:sz w:val="24"/>
              </w:rPr>
              <w:t>60岁的资阳籍老年人为被保险人</w:t>
            </w:r>
            <w:r>
              <w:rPr>
                <w:rFonts w:ascii="宋体" w:hAnsi="宋体" w:cs="宋体" w:eastAsia="宋体"/>
                <w:sz w:val="24"/>
              </w:rPr>
              <w:t>。</w:t>
            </w:r>
          </w:p>
          <w:p>
            <w:pPr>
              <w:pStyle w:val="null3"/>
              <w:ind w:firstLine="482"/>
              <w:jc w:val="both"/>
            </w:pPr>
            <w:r>
              <w:rPr>
                <w:rFonts w:ascii="宋体" w:hAnsi="宋体" w:cs="宋体" w:eastAsia="宋体"/>
                <w:b/>
                <w:sz w:val="24"/>
              </w:rPr>
              <w:t>（</w:t>
            </w:r>
            <w:r>
              <w:rPr>
                <w:rFonts w:ascii="宋体" w:hAnsi="宋体" w:cs="宋体" w:eastAsia="宋体"/>
                <w:b/>
                <w:sz w:val="24"/>
              </w:rPr>
              <w:t>2</w:t>
            </w:r>
            <w:r>
              <w:rPr>
                <w:rFonts w:ascii="宋体" w:hAnsi="宋体" w:cs="宋体" w:eastAsia="宋体"/>
                <w:b/>
                <w:sz w:val="24"/>
              </w:rPr>
              <w:t>）保险责任及标准：</w:t>
            </w:r>
            <w:r>
              <w:rPr>
                <w:rFonts w:ascii="宋体" w:hAnsi="宋体" w:cs="宋体" w:eastAsia="宋体"/>
                <w:sz w:val="24"/>
              </w:rPr>
              <w:t>包括意外导致的身故和伤残、意外伤害</w:t>
            </w:r>
            <w:r>
              <w:rPr>
                <w:rFonts w:ascii="宋体" w:hAnsi="宋体" w:cs="宋体" w:eastAsia="宋体"/>
                <w:sz w:val="24"/>
              </w:rPr>
              <w:t>住院补贴</w:t>
            </w:r>
            <w:r>
              <w:rPr>
                <w:rFonts w:ascii="宋体" w:hAnsi="宋体" w:cs="宋体" w:eastAsia="宋体"/>
                <w:sz w:val="24"/>
              </w:rPr>
              <w:t>、疾病身故赔付</w:t>
            </w:r>
            <w:r>
              <w:rPr>
                <w:rFonts w:ascii="宋体" w:hAnsi="宋体" w:cs="宋体" w:eastAsia="宋体"/>
                <w:sz w:val="24"/>
              </w:rPr>
              <w:t>、首次罹患恶性肿瘤以及合同约定的赔付内容</w:t>
            </w:r>
            <w:r>
              <w:rPr>
                <w:rFonts w:ascii="宋体" w:hAnsi="宋体" w:cs="宋体" w:eastAsia="宋体"/>
                <w:sz w:val="24"/>
              </w:rPr>
              <w:t>等。</w:t>
            </w:r>
          </w:p>
          <w:tbl>
            <w:tblPr>
              <w:tblBorders>
                <w:top w:val="none" w:color="000000" w:sz="4"/>
                <w:left w:val="none" w:color="000000" w:sz="4"/>
                <w:bottom w:val="none" w:color="000000" w:sz="4"/>
                <w:right w:val="none" w:color="000000" w:sz="4"/>
                <w:insideH w:val="none"/>
                <w:insideV w:val="none"/>
              </w:tblBorders>
            </w:tblPr>
            <w:tblGrid>
              <w:gridCol w:w="1060"/>
              <w:gridCol w:w="748"/>
              <w:gridCol w:w="740"/>
            </w:tblGrid>
            <w:tr>
              <w:tc>
                <w:tcPr>
                  <w:tcW w:type="dxa" w:w="1060"/>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保险责任</w:t>
                  </w:r>
                </w:p>
              </w:tc>
              <w:tc>
                <w:tcPr>
                  <w:tcW w:type="dxa" w:w="1488"/>
                  <w:gridSpan w:val="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保障金额（元）</w:t>
                  </w:r>
                </w:p>
              </w:tc>
            </w:tr>
            <w:tr>
              <w:tc>
                <w:tcPr>
                  <w:tcW w:type="dxa" w:w="10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意外身故保险</w:t>
                  </w:r>
                </w:p>
              </w:tc>
              <w:tc>
                <w:tcPr>
                  <w:tcW w:type="dxa" w:w="148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宋体" w:hAnsi="宋体" w:cs="宋体" w:eastAsia="宋体"/>
                      <w:sz w:val="24"/>
                    </w:rPr>
                    <w:t>15000</w:t>
                  </w:r>
                </w:p>
              </w:tc>
            </w:tr>
            <w:tr>
              <w:tc>
                <w:tcPr>
                  <w:tcW w:type="dxa" w:w="106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意外伤残保险</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一级</w:t>
                  </w:r>
                </w:p>
              </w:tc>
              <w:tc>
                <w:tcPr>
                  <w:tcW w:type="dxa" w:w="7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15000</w:t>
                  </w:r>
                </w:p>
              </w:tc>
            </w:tr>
            <w:tr>
              <w:tc>
                <w:tcPr>
                  <w:tcW w:type="dxa" w:w="1060"/>
                  <w:vMerge/>
                  <w:tcBorders>
                    <w:top w:val="none" w:color="000000" w:sz="4"/>
                    <w:left w:val="single" w:color="000000" w:sz="4"/>
                    <w:bottom w:val="none" w:color="000000" w:sz="4"/>
                    <w:right w:val="single" w:color="000000" w:sz="4"/>
                  </w:tcBorders>
                </w:tcP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二级</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13500</w:t>
                  </w:r>
                </w:p>
              </w:tc>
            </w:tr>
            <w:tr>
              <w:tc>
                <w:tcPr>
                  <w:tcW w:type="dxa" w:w="1060"/>
                  <w:vMerge/>
                  <w:tcBorders>
                    <w:top w:val="none" w:color="000000" w:sz="4"/>
                    <w:left w:val="single" w:color="000000" w:sz="4"/>
                    <w:bottom w:val="none" w:color="000000" w:sz="4"/>
                    <w:right w:val="single" w:color="000000" w:sz="4"/>
                  </w:tcBorders>
                </w:tcP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三级</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12000</w:t>
                  </w:r>
                </w:p>
              </w:tc>
            </w:tr>
            <w:tr>
              <w:tc>
                <w:tcPr>
                  <w:tcW w:type="dxa" w:w="1060"/>
                  <w:vMerge/>
                  <w:tcBorders>
                    <w:top w:val="none" w:color="000000" w:sz="4"/>
                    <w:left w:val="single" w:color="000000" w:sz="4"/>
                    <w:bottom w:val="none" w:color="000000" w:sz="4"/>
                    <w:right w:val="single" w:color="000000" w:sz="4"/>
                  </w:tcBorders>
                </w:tcP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四级</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10500</w:t>
                  </w:r>
                </w:p>
              </w:tc>
            </w:tr>
            <w:tr>
              <w:tc>
                <w:tcPr>
                  <w:tcW w:type="dxa" w:w="1060"/>
                  <w:vMerge/>
                  <w:tcBorders>
                    <w:top w:val="none" w:color="000000" w:sz="4"/>
                    <w:left w:val="single" w:color="000000" w:sz="4"/>
                    <w:bottom w:val="none" w:color="000000" w:sz="4"/>
                    <w:right w:val="single" w:color="000000" w:sz="4"/>
                  </w:tcBorders>
                </w:tcP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五级</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9000</w:t>
                  </w:r>
                </w:p>
              </w:tc>
            </w:tr>
            <w:tr>
              <w:tc>
                <w:tcPr>
                  <w:tcW w:type="dxa" w:w="1060"/>
                  <w:vMerge/>
                  <w:tcBorders>
                    <w:top w:val="none" w:color="000000" w:sz="4"/>
                    <w:left w:val="single" w:color="000000" w:sz="4"/>
                    <w:bottom w:val="none" w:color="000000" w:sz="4"/>
                    <w:right w:val="single" w:color="000000" w:sz="4"/>
                  </w:tcBorders>
                </w:tcP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六级</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7500</w:t>
                  </w:r>
                </w:p>
              </w:tc>
            </w:tr>
            <w:tr>
              <w:tc>
                <w:tcPr>
                  <w:tcW w:type="dxa" w:w="1060"/>
                  <w:vMerge/>
                  <w:tcBorders>
                    <w:top w:val="none" w:color="000000" w:sz="4"/>
                    <w:left w:val="single" w:color="000000" w:sz="4"/>
                    <w:bottom w:val="none" w:color="000000" w:sz="4"/>
                    <w:right w:val="single" w:color="000000" w:sz="4"/>
                  </w:tcBorders>
                </w:tcP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七级</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6000</w:t>
                  </w:r>
                </w:p>
              </w:tc>
            </w:tr>
            <w:tr>
              <w:tc>
                <w:tcPr>
                  <w:tcW w:type="dxa" w:w="1060"/>
                  <w:vMerge/>
                  <w:tcBorders>
                    <w:top w:val="none" w:color="000000" w:sz="4"/>
                    <w:left w:val="single" w:color="000000" w:sz="4"/>
                    <w:bottom w:val="none" w:color="000000" w:sz="4"/>
                    <w:right w:val="single" w:color="000000" w:sz="4"/>
                  </w:tcBorders>
                </w:tcP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八级</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4500</w:t>
                  </w:r>
                </w:p>
              </w:tc>
            </w:tr>
            <w:tr>
              <w:tc>
                <w:tcPr>
                  <w:tcW w:type="dxa" w:w="1060"/>
                  <w:vMerge/>
                  <w:tcBorders>
                    <w:top w:val="none" w:color="000000" w:sz="4"/>
                    <w:left w:val="single" w:color="000000" w:sz="4"/>
                    <w:bottom w:val="none" w:color="000000" w:sz="4"/>
                    <w:right w:val="single" w:color="000000" w:sz="4"/>
                  </w:tcBorders>
                </w:tcP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九级</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3000</w:t>
                  </w:r>
                </w:p>
              </w:tc>
            </w:tr>
            <w:tr>
              <w:tc>
                <w:tcPr>
                  <w:tcW w:type="dxa" w:w="1060"/>
                  <w:vMerge/>
                  <w:tcBorders>
                    <w:top w:val="none" w:color="000000" w:sz="4"/>
                    <w:left w:val="single" w:color="000000" w:sz="4"/>
                    <w:bottom w:val="none" w:color="000000" w:sz="4"/>
                    <w:right w:val="single" w:color="000000" w:sz="4"/>
                  </w:tcBorders>
                </w:tcP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十级</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1500</w:t>
                  </w:r>
                </w:p>
              </w:tc>
            </w:tr>
            <w:tr>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意外伤害住院补贴</w:t>
                  </w:r>
                </w:p>
              </w:tc>
              <w:tc>
                <w:tcPr>
                  <w:tcW w:type="dxa" w:w="148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宋体" w:hAnsi="宋体" w:cs="宋体" w:eastAsia="宋体"/>
                      <w:sz w:val="24"/>
                    </w:rPr>
                    <w:t>4</w:t>
                  </w:r>
                  <w:r>
                    <w:rPr>
                      <w:rFonts w:ascii="宋体" w:hAnsi="宋体" w:cs="宋体" w:eastAsia="宋体"/>
                      <w:sz w:val="24"/>
                    </w:rPr>
                    <w:t>0元/天，每次住院最高给付以90天为限，一年累计最多按180天支付。</w:t>
                  </w:r>
                </w:p>
              </w:tc>
            </w:tr>
            <w:tr>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疾病身故保险</w:t>
                  </w:r>
                </w:p>
              </w:tc>
              <w:tc>
                <w:tcPr>
                  <w:tcW w:type="dxa" w:w="148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300</w:t>
                  </w:r>
                </w:p>
              </w:tc>
            </w:tr>
            <w:tr>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首次罹患恶性肿瘤</w:t>
                  </w:r>
                </w:p>
              </w:tc>
              <w:tc>
                <w:tcPr>
                  <w:tcW w:type="dxa" w:w="148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300</w:t>
                  </w:r>
                </w:p>
              </w:tc>
            </w:tr>
          </w:tbl>
          <w:p>
            <w:pPr>
              <w:pStyle w:val="null3"/>
              <w:ind w:firstLine="482"/>
              <w:jc w:val="both"/>
            </w:pPr>
            <w:r>
              <w:rPr>
                <w:rFonts w:ascii="宋体" w:hAnsi="宋体" w:cs="宋体" w:eastAsia="宋体"/>
                <w:b/>
                <w:sz w:val="24"/>
              </w:rPr>
              <w:t>（</w:t>
            </w:r>
            <w:r>
              <w:rPr>
                <w:rFonts w:ascii="宋体" w:hAnsi="宋体" w:cs="宋体" w:eastAsia="宋体"/>
                <w:b/>
                <w:sz w:val="24"/>
              </w:rPr>
              <w:t>3</w:t>
            </w:r>
            <w:r>
              <w:rPr>
                <w:rFonts w:ascii="宋体" w:hAnsi="宋体" w:cs="宋体" w:eastAsia="宋体"/>
                <w:b/>
                <w:sz w:val="24"/>
              </w:rPr>
              <w:t>）伤残确定：</w:t>
            </w:r>
            <w:r>
              <w:rPr>
                <w:rFonts w:ascii="宋体" w:hAnsi="宋体" w:cs="宋体" w:eastAsia="宋体"/>
                <w:sz w:val="24"/>
              </w:rPr>
              <w:t>本保险计划所指意外伤残</w:t>
            </w:r>
            <w:r>
              <w:rPr>
                <w:rFonts w:ascii="宋体" w:hAnsi="宋体" w:cs="宋体" w:eastAsia="宋体"/>
                <w:sz w:val="24"/>
              </w:rPr>
              <w:t>，</w:t>
            </w:r>
            <w:r>
              <w:rPr>
                <w:rFonts w:ascii="宋体" w:hAnsi="宋体" w:cs="宋体" w:eastAsia="宋体"/>
                <w:sz w:val="24"/>
              </w:rPr>
              <w:t>根据《人身保险伤残评定标准（行业标准）》</w:t>
            </w:r>
            <w:r>
              <w:rPr>
                <w:rFonts w:ascii="宋体" w:hAnsi="宋体" w:cs="宋体" w:eastAsia="宋体"/>
                <w:sz w:val="24"/>
              </w:rPr>
              <w:t>(标准编号为JR/T0083-2013)确定。</w:t>
            </w:r>
          </w:p>
          <w:p>
            <w:pPr>
              <w:pStyle w:val="null3"/>
              <w:ind w:firstLine="482"/>
            </w:pPr>
            <w:r>
              <w:rPr>
                <w:rFonts w:ascii="宋体" w:hAnsi="宋体" w:cs="宋体" w:eastAsia="宋体"/>
                <w:b/>
                <w:sz w:val="24"/>
              </w:rPr>
              <w:t>（</w:t>
            </w:r>
            <w:r>
              <w:rPr>
                <w:rFonts w:ascii="宋体" w:hAnsi="宋体" w:cs="宋体" w:eastAsia="宋体"/>
                <w:b/>
                <w:sz w:val="24"/>
              </w:rPr>
              <w:t>4）罹患恶性肿瘤：</w:t>
            </w:r>
            <w:r>
              <w:rPr>
                <w:rFonts w:ascii="宋体" w:hAnsi="宋体" w:cs="宋体" w:eastAsia="宋体"/>
                <w:sz w:val="24"/>
              </w:rPr>
              <w:t>应由三级及以上的医院提供支持诊断检测检验资料，或活检报告结果及病情证明。</w:t>
            </w:r>
          </w:p>
          <w:p>
            <w:pPr>
              <w:pStyle w:val="null3"/>
              <w:ind w:firstLine="482"/>
              <w:jc w:val="both"/>
            </w:pPr>
            <w:r>
              <w:rPr>
                <w:rFonts w:ascii="宋体" w:hAnsi="宋体" w:cs="宋体" w:eastAsia="宋体"/>
                <w:b/>
                <w:sz w:val="24"/>
              </w:rPr>
              <w:t>2.</w:t>
            </w:r>
            <w:r>
              <w:rPr>
                <w:rFonts w:ascii="宋体" w:hAnsi="宋体" w:cs="宋体" w:eastAsia="宋体"/>
                <w:b/>
                <w:sz w:val="24"/>
              </w:rPr>
              <w:t>保险理赔形式及程序</w:t>
            </w:r>
            <w:r>
              <w:rPr>
                <w:rFonts w:ascii="宋体" w:hAnsi="宋体" w:cs="宋体" w:eastAsia="宋体"/>
                <w:b/>
                <w:sz w:val="24"/>
              </w:rPr>
              <w:t>。</w:t>
            </w:r>
          </w:p>
          <w:p>
            <w:pPr>
              <w:pStyle w:val="null3"/>
              <w:ind w:firstLine="482"/>
              <w:jc w:val="left"/>
            </w:pPr>
            <w:r>
              <w:rPr>
                <w:rFonts w:ascii="宋体" w:hAnsi="宋体" w:cs="宋体" w:eastAsia="宋体"/>
                <w:b/>
                <w:sz w:val="24"/>
              </w:rPr>
              <w:t>（</w:t>
            </w:r>
            <w:r>
              <w:rPr>
                <w:rFonts w:ascii="宋体" w:hAnsi="宋体" w:cs="宋体" w:eastAsia="宋体"/>
                <w:b/>
                <w:sz w:val="24"/>
              </w:rPr>
              <w:t>1）</w:t>
            </w:r>
            <w:r>
              <w:rPr>
                <w:rFonts w:ascii="宋体" w:hAnsi="宋体" w:cs="宋体" w:eastAsia="宋体"/>
                <w:b/>
                <w:sz w:val="24"/>
              </w:rPr>
              <w:t>服务人员：</w:t>
            </w:r>
            <w:r>
              <w:rPr>
                <w:rFonts w:ascii="宋体" w:hAnsi="宋体" w:cs="宋体" w:eastAsia="宋体"/>
                <w:sz w:val="24"/>
              </w:rPr>
              <w:t>保险公司应当配备有经验的专业理赔人员负责理赔服务工作，确定理赔方案，确保在出险时，被保险人能够及时通知保险公司。</w:t>
            </w:r>
          </w:p>
          <w:p>
            <w:pPr>
              <w:pStyle w:val="null3"/>
              <w:ind w:firstLine="482"/>
              <w:jc w:val="left"/>
            </w:pPr>
            <w:r>
              <w:rPr>
                <w:rFonts w:ascii="宋体" w:hAnsi="宋体" w:cs="宋体" w:eastAsia="宋体"/>
                <w:b/>
                <w:sz w:val="24"/>
              </w:rPr>
              <w:t>（</w:t>
            </w:r>
            <w:r>
              <w:rPr>
                <w:rFonts w:ascii="宋体" w:hAnsi="宋体" w:cs="宋体" w:eastAsia="宋体"/>
                <w:b/>
                <w:sz w:val="24"/>
              </w:rPr>
              <w:t>2）</w:t>
            </w:r>
            <w:r>
              <w:rPr>
                <w:rFonts w:ascii="宋体" w:hAnsi="宋体" w:cs="宋体" w:eastAsia="宋体"/>
                <w:b/>
                <w:sz w:val="24"/>
              </w:rPr>
              <w:t>服务受理：</w:t>
            </w:r>
            <w:r>
              <w:rPr>
                <w:rFonts w:ascii="宋体" w:hAnsi="宋体" w:cs="宋体" w:eastAsia="宋体"/>
                <w:sz w:val="24"/>
              </w:rPr>
              <w:t>设立热线电话</w:t>
            </w:r>
            <w:r>
              <w:rPr>
                <w:rFonts w:ascii="宋体" w:hAnsi="宋体" w:cs="宋体" w:eastAsia="宋体"/>
                <w:sz w:val="24"/>
              </w:rPr>
              <w:t>、线上、站点理赔</w:t>
            </w:r>
            <w:r>
              <w:rPr>
                <w:rFonts w:ascii="宋体" w:hAnsi="宋体" w:cs="宋体" w:eastAsia="宋体"/>
                <w:sz w:val="24"/>
              </w:rPr>
              <w:t>，负责受理被保险人的事故报案、咨询、疑难解答和投诉处理，对被保险人的投诉，保险公司应及时向采购人作出明确答复。</w:t>
            </w:r>
          </w:p>
          <w:p>
            <w:pPr>
              <w:pStyle w:val="null3"/>
              <w:spacing w:after="120"/>
              <w:ind w:firstLine="482"/>
              <w:jc w:val="both"/>
            </w:pPr>
            <w:r>
              <w:rPr>
                <w:rFonts w:ascii="宋体" w:hAnsi="宋体" w:cs="宋体" w:eastAsia="宋体"/>
                <w:b/>
                <w:sz w:val="24"/>
              </w:rPr>
              <w:t>（</w:t>
            </w:r>
            <w:r>
              <w:rPr>
                <w:rFonts w:ascii="宋体" w:hAnsi="宋体" w:cs="宋体" w:eastAsia="宋体"/>
                <w:b/>
                <w:sz w:val="24"/>
              </w:rPr>
              <w:t>3）</w:t>
            </w:r>
            <w:r>
              <w:rPr>
                <w:rFonts w:ascii="宋体" w:hAnsi="宋体" w:cs="宋体" w:eastAsia="宋体"/>
                <w:b/>
                <w:sz w:val="24"/>
              </w:rPr>
              <w:t>简要程序：</w:t>
            </w:r>
            <w:r>
              <w:rPr>
                <w:rFonts w:ascii="宋体" w:hAnsi="宋体" w:cs="宋体" w:eastAsia="宋体"/>
                <w:sz w:val="24"/>
              </w:rPr>
              <w:t>对收到的</w:t>
            </w:r>
            <w:r>
              <w:rPr>
                <w:rFonts w:ascii="宋体" w:hAnsi="宋体" w:cs="宋体" w:eastAsia="宋体"/>
                <w:sz w:val="24"/>
              </w:rPr>
              <w:t>理</w:t>
            </w:r>
            <w:r>
              <w:rPr>
                <w:rFonts w:ascii="宋体" w:hAnsi="宋体" w:cs="宋体" w:eastAsia="宋体"/>
                <w:sz w:val="24"/>
              </w:rPr>
              <w:t>赔材料进行审核，按承诺时限向投保人反馈是否立案以及是否需要补充提供证明材料，对决定拒赔或者不予立案的，应出具正式的《拒赔通知书》或《不予立案说明书》</w:t>
            </w:r>
            <w:r>
              <w:rPr>
                <w:rFonts w:ascii="宋体" w:hAnsi="宋体" w:cs="宋体" w:eastAsia="宋体"/>
                <w:sz w:val="24"/>
              </w:rPr>
              <w:t>。</w:t>
            </w:r>
            <w:r>
              <w:rPr>
                <w:rFonts w:ascii="宋体" w:hAnsi="宋体" w:cs="宋体" w:eastAsia="宋体"/>
                <w:sz w:val="24"/>
              </w:rPr>
              <w:t>对需要补充提供证明材料的，应一次性书面告知需要补充提供的证明材料。对索赔材料齐全的保险案件，应及时开具赔款通知书。</w:t>
            </w:r>
          </w:p>
          <w:p>
            <w:pPr>
              <w:pStyle w:val="null3"/>
              <w:ind w:firstLine="482"/>
              <w:jc w:val="both"/>
            </w:pPr>
            <w:r>
              <w:rPr>
                <w:rFonts w:ascii="宋体" w:hAnsi="宋体" w:cs="宋体" w:eastAsia="宋体"/>
                <w:b/>
                <w:sz w:val="24"/>
              </w:rPr>
              <w:t>（</w:t>
            </w:r>
            <w:r>
              <w:rPr>
                <w:rFonts w:ascii="宋体" w:hAnsi="宋体" w:cs="宋体" w:eastAsia="宋体"/>
                <w:b/>
                <w:sz w:val="24"/>
              </w:rPr>
              <w:t>4）</w:t>
            </w:r>
            <w:r>
              <w:rPr>
                <w:rFonts w:ascii="宋体" w:hAnsi="宋体" w:cs="宋体" w:eastAsia="宋体"/>
                <w:b/>
                <w:sz w:val="24"/>
              </w:rPr>
              <w:t>保费清算</w:t>
            </w:r>
          </w:p>
          <w:p>
            <w:pPr>
              <w:pStyle w:val="null3"/>
              <w:jc w:val="both"/>
            </w:pPr>
            <w:r>
              <w:rPr>
                <w:rFonts w:ascii="宋体" w:hAnsi="宋体" w:cs="宋体" w:eastAsia="宋体"/>
                <w:sz w:val="24"/>
              </w:rPr>
              <w:t>在招标文件中约定资金清算条款。在项目实施完成后，单个项目包净赔付率不足中标资金额</w:t>
            </w:r>
            <w:r>
              <w:rPr>
                <w:rFonts w:ascii="宋体" w:hAnsi="宋体" w:cs="宋体" w:eastAsia="宋体"/>
                <w:sz w:val="24"/>
              </w:rPr>
              <w:t>70%的，按照“中标资金额×70%－实际赔付额”</w:t>
            </w:r>
            <w:r>
              <w:rPr>
                <w:rFonts w:ascii="宋体" w:hAnsi="宋体" w:cs="宋体" w:eastAsia="宋体"/>
                <w:sz w:val="24"/>
              </w:rPr>
              <w:t>退还地方财政。</w:t>
            </w:r>
          </w:p>
        </w:tc>
      </w:tr>
    </w:tbl>
    <w:p>
      <w:pPr>
        <w:pStyle w:val="null3"/>
      </w:pPr>
    </w:p>
    <w:p>
      <w:pPr>
        <w:pStyle w:val="null3"/>
      </w:pPr>
      <w:r>
        <w:rPr/>
        <w:t>采购包2：</w:t>
      </w:r>
    </w:p>
    <w:p>
      <w:pPr>
        <w:pStyle w:val="null3"/>
      </w:pPr>
    </w:p>
    <w:p>
      <w:pPr>
        <w:pStyle w:val="null3"/>
      </w:pPr>
      <w:r>
        <w:rPr/>
        <w:t>标的名称：资阳市2024年为资阳籍60岁以上老年人购买意外伤害保险（雁江区、高新区、临空经济区）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ind w:firstLine="482"/>
              <w:jc w:val="both"/>
            </w:pPr>
            <w:r>
              <w:rPr>
                <w:rFonts w:ascii="宋体" w:hAnsi="宋体" w:cs="宋体" w:eastAsia="宋体"/>
                <w:b/>
                <w:sz w:val="24"/>
              </w:rPr>
              <w:t>1.</w:t>
            </w:r>
            <w:r>
              <w:rPr>
                <w:rFonts w:ascii="宋体" w:hAnsi="宋体" w:cs="宋体" w:eastAsia="宋体"/>
                <w:b/>
                <w:sz w:val="24"/>
              </w:rPr>
              <w:t>保险责任。</w:t>
            </w:r>
          </w:p>
          <w:p>
            <w:pPr>
              <w:pStyle w:val="null3"/>
              <w:ind w:firstLine="482"/>
              <w:jc w:val="both"/>
            </w:pPr>
            <w:r>
              <w:rPr>
                <w:rFonts w:ascii="宋体" w:hAnsi="宋体" w:cs="宋体" w:eastAsia="宋体"/>
                <w:b/>
                <w:sz w:val="24"/>
              </w:rPr>
              <w:t>（</w:t>
            </w:r>
            <w:r>
              <w:rPr>
                <w:rFonts w:ascii="宋体" w:hAnsi="宋体" w:cs="宋体" w:eastAsia="宋体"/>
                <w:b/>
                <w:sz w:val="24"/>
              </w:rPr>
              <w:t>1）</w:t>
            </w:r>
            <w:r>
              <w:rPr>
                <w:rFonts w:ascii="宋体" w:hAnsi="宋体" w:cs="宋体" w:eastAsia="宋体"/>
                <w:b/>
                <w:sz w:val="24"/>
              </w:rPr>
              <w:t>投保主体及对象</w:t>
            </w:r>
            <w:r>
              <w:rPr>
                <w:rFonts w:ascii="宋体" w:hAnsi="宋体" w:cs="宋体" w:eastAsia="宋体"/>
                <w:b/>
                <w:sz w:val="24"/>
              </w:rPr>
              <w:t>：</w:t>
            </w:r>
            <w:r>
              <w:rPr>
                <w:rFonts w:ascii="宋体" w:hAnsi="宋体" w:cs="宋体" w:eastAsia="宋体"/>
                <w:sz w:val="24"/>
              </w:rPr>
              <w:t>投保人为单位，被保险人为</w:t>
            </w:r>
            <w:r>
              <w:rPr>
                <w:rFonts w:ascii="宋体" w:hAnsi="宋体" w:cs="宋体" w:eastAsia="宋体"/>
                <w:sz w:val="24"/>
              </w:rPr>
              <w:t>资阳籍</w:t>
            </w:r>
            <w:r>
              <w:rPr>
                <w:rFonts w:ascii="宋体" w:hAnsi="宋体" w:cs="宋体" w:eastAsia="宋体"/>
                <w:sz w:val="24"/>
              </w:rPr>
              <w:t>60岁以上老年人。合同</w:t>
            </w:r>
            <w:r>
              <w:rPr>
                <w:rFonts w:ascii="宋体" w:hAnsi="宋体" w:cs="宋体" w:eastAsia="宋体"/>
                <w:sz w:val="24"/>
              </w:rPr>
              <w:t>期满前</w:t>
            </w:r>
            <w:r>
              <w:rPr>
                <w:rFonts w:ascii="宋体" w:hAnsi="宋体" w:cs="宋体" w:eastAsia="宋体"/>
                <w:sz w:val="24"/>
              </w:rPr>
              <w:t>，</w:t>
            </w:r>
            <w:r>
              <w:rPr>
                <w:rFonts w:ascii="宋体" w:hAnsi="宋体" w:cs="宋体" w:eastAsia="宋体"/>
                <w:sz w:val="24"/>
              </w:rPr>
              <w:t>年满</w:t>
            </w:r>
            <w:r>
              <w:rPr>
                <w:rFonts w:ascii="宋体" w:hAnsi="宋体" w:cs="宋体" w:eastAsia="宋体"/>
                <w:sz w:val="24"/>
              </w:rPr>
              <w:t>60岁的资阳籍老年人为被保险人</w:t>
            </w:r>
            <w:r>
              <w:rPr>
                <w:rFonts w:ascii="宋体" w:hAnsi="宋体" w:cs="宋体" w:eastAsia="宋体"/>
                <w:sz w:val="24"/>
              </w:rPr>
              <w:t>。</w:t>
            </w:r>
          </w:p>
          <w:p>
            <w:pPr>
              <w:pStyle w:val="null3"/>
              <w:ind w:firstLine="482"/>
              <w:jc w:val="both"/>
            </w:pPr>
            <w:r>
              <w:rPr>
                <w:rFonts w:ascii="宋体" w:hAnsi="宋体" w:cs="宋体" w:eastAsia="宋体"/>
                <w:b/>
                <w:sz w:val="24"/>
              </w:rPr>
              <w:t>（</w:t>
            </w:r>
            <w:r>
              <w:rPr>
                <w:rFonts w:ascii="宋体" w:hAnsi="宋体" w:cs="宋体" w:eastAsia="宋体"/>
                <w:b/>
                <w:sz w:val="24"/>
              </w:rPr>
              <w:t>2</w:t>
            </w:r>
            <w:r>
              <w:rPr>
                <w:rFonts w:ascii="宋体" w:hAnsi="宋体" w:cs="宋体" w:eastAsia="宋体"/>
                <w:b/>
                <w:sz w:val="24"/>
              </w:rPr>
              <w:t>）保险责任及标准：</w:t>
            </w:r>
            <w:r>
              <w:rPr>
                <w:rFonts w:ascii="宋体" w:hAnsi="宋体" w:cs="宋体" w:eastAsia="宋体"/>
                <w:sz w:val="24"/>
              </w:rPr>
              <w:t>包括意外导致的身故和伤残、意外伤害</w:t>
            </w:r>
            <w:r>
              <w:rPr>
                <w:rFonts w:ascii="宋体" w:hAnsi="宋体" w:cs="宋体" w:eastAsia="宋体"/>
                <w:sz w:val="24"/>
              </w:rPr>
              <w:t>住院补贴</w:t>
            </w:r>
            <w:r>
              <w:rPr>
                <w:rFonts w:ascii="宋体" w:hAnsi="宋体" w:cs="宋体" w:eastAsia="宋体"/>
                <w:sz w:val="24"/>
              </w:rPr>
              <w:t>、疾病身故赔付</w:t>
            </w:r>
            <w:r>
              <w:rPr>
                <w:rFonts w:ascii="宋体" w:hAnsi="宋体" w:cs="宋体" w:eastAsia="宋体"/>
                <w:sz w:val="24"/>
              </w:rPr>
              <w:t>、首次罹患恶性肿瘤以及合同约定的赔付内容</w:t>
            </w:r>
            <w:r>
              <w:rPr>
                <w:rFonts w:ascii="宋体" w:hAnsi="宋体" w:cs="宋体" w:eastAsia="宋体"/>
                <w:sz w:val="24"/>
              </w:rPr>
              <w:t>等。</w:t>
            </w:r>
          </w:p>
          <w:tbl>
            <w:tblPr>
              <w:tblBorders>
                <w:top w:val="none" w:color="000000" w:sz="4"/>
                <w:left w:val="none" w:color="000000" w:sz="4"/>
                <w:bottom w:val="none" w:color="000000" w:sz="4"/>
                <w:right w:val="none" w:color="000000" w:sz="4"/>
                <w:insideH w:val="none"/>
                <w:insideV w:val="none"/>
              </w:tblBorders>
            </w:tblPr>
            <w:tblGrid>
              <w:gridCol w:w="1060"/>
              <w:gridCol w:w="748"/>
              <w:gridCol w:w="740"/>
            </w:tblGrid>
            <w:tr>
              <w:tc>
                <w:tcPr>
                  <w:tcW w:type="dxa" w:w="1060"/>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保险责任</w:t>
                  </w:r>
                </w:p>
              </w:tc>
              <w:tc>
                <w:tcPr>
                  <w:tcW w:type="dxa" w:w="1488"/>
                  <w:gridSpan w:val="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保障金额（元）</w:t>
                  </w:r>
                </w:p>
              </w:tc>
            </w:tr>
            <w:tr>
              <w:tc>
                <w:tcPr>
                  <w:tcW w:type="dxa" w:w="10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意外身故保险</w:t>
                  </w:r>
                </w:p>
              </w:tc>
              <w:tc>
                <w:tcPr>
                  <w:tcW w:type="dxa" w:w="148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宋体" w:hAnsi="宋体" w:cs="宋体" w:eastAsia="宋体"/>
                      <w:sz w:val="24"/>
                    </w:rPr>
                    <w:t>15000</w:t>
                  </w:r>
                </w:p>
              </w:tc>
            </w:tr>
            <w:tr>
              <w:tc>
                <w:tcPr>
                  <w:tcW w:type="dxa" w:w="106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意外伤残保险</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一级</w:t>
                  </w:r>
                </w:p>
              </w:tc>
              <w:tc>
                <w:tcPr>
                  <w:tcW w:type="dxa" w:w="7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15000</w:t>
                  </w:r>
                </w:p>
              </w:tc>
            </w:tr>
            <w:tr>
              <w:tc>
                <w:tcPr>
                  <w:tcW w:type="dxa" w:w="1060"/>
                  <w:vMerge/>
                  <w:tcBorders>
                    <w:top w:val="none" w:color="000000" w:sz="4"/>
                    <w:left w:val="single" w:color="000000" w:sz="4"/>
                    <w:bottom w:val="none" w:color="000000" w:sz="4"/>
                    <w:right w:val="single" w:color="000000" w:sz="4"/>
                  </w:tcBorders>
                </w:tcP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二级</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13500</w:t>
                  </w:r>
                </w:p>
              </w:tc>
            </w:tr>
            <w:tr>
              <w:tc>
                <w:tcPr>
                  <w:tcW w:type="dxa" w:w="1060"/>
                  <w:vMerge/>
                  <w:tcBorders>
                    <w:top w:val="none" w:color="000000" w:sz="4"/>
                    <w:left w:val="single" w:color="000000" w:sz="4"/>
                    <w:bottom w:val="none" w:color="000000" w:sz="4"/>
                    <w:right w:val="single" w:color="000000" w:sz="4"/>
                  </w:tcBorders>
                </w:tcP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三级</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12000</w:t>
                  </w:r>
                </w:p>
              </w:tc>
            </w:tr>
            <w:tr>
              <w:tc>
                <w:tcPr>
                  <w:tcW w:type="dxa" w:w="1060"/>
                  <w:vMerge/>
                  <w:tcBorders>
                    <w:top w:val="none" w:color="000000" w:sz="4"/>
                    <w:left w:val="single" w:color="000000" w:sz="4"/>
                    <w:bottom w:val="none" w:color="000000" w:sz="4"/>
                    <w:right w:val="single" w:color="000000" w:sz="4"/>
                  </w:tcBorders>
                </w:tcP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四级</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10500</w:t>
                  </w:r>
                </w:p>
              </w:tc>
            </w:tr>
            <w:tr>
              <w:tc>
                <w:tcPr>
                  <w:tcW w:type="dxa" w:w="1060"/>
                  <w:vMerge/>
                  <w:tcBorders>
                    <w:top w:val="none" w:color="000000" w:sz="4"/>
                    <w:left w:val="single" w:color="000000" w:sz="4"/>
                    <w:bottom w:val="none" w:color="000000" w:sz="4"/>
                    <w:right w:val="single" w:color="000000" w:sz="4"/>
                  </w:tcBorders>
                </w:tcP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五级</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9000</w:t>
                  </w:r>
                </w:p>
              </w:tc>
            </w:tr>
            <w:tr>
              <w:tc>
                <w:tcPr>
                  <w:tcW w:type="dxa" w:w="1060"/>
                  <w:vMerge/>
                  <w:tcBorders>
                    <w:top w:val="none" w:color="000000" w:sz="4"/>
                    <w:left w:val="single" w:color="000000" w:sz="4"/>
                    <w:bottom w:val="none" w:color="000000" w:sz="4"/>
                    <w:right w:val="single" w:color="000000" w:sz="4"/>
                  </w:tcBorders>
                </w:tcP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六级</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7500</w:t>
                  </w:r>
                </w:p>
              </w:tc>
            </w:tr>
            <w:tr>
              <w:tc>
                <w:tcPr>
                  <w:tcW w:type="dxa" w:w="1060"/>
                  <w:vMerge/>
                  <w:tcBorders>
                    <w:top w:val="none" w:color="000000" w:sz="4"/>
                    <w:left w:val="single" w:color="000000" w:sz="4"/>
                    <w:bottom w:val="none" w:color="000000" w:sz="4"/>
                    <w:right w:val="single" w:color="000000" w:sz="4"/>
                  </w:tcBorders>
                </w:tcP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七级</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6000</w:t>
                  </w:r>
                </w:p>
              </w:tc>
            </w:tr>
            <w:tr>
              <w:tc>
                <w:tcPr>
                  <w:tcW w:type="dxa" w:w="1060"/>
                  <w:vMerge/>
                  <w:tcBorders>
                    <w:top w:val="none" w:color="000000" w:sz="4"/>
                    <w:left w:val="single" w:color="000000" w:sz="4"/>
                    <w:bottom w:val="none" w:color="000000" w:sz="4"/>
                    <w:right w:val="single" w:color="000000" w:sz="4"/>
                  </w:tcBorders>
                </w:tcP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八级</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4500</w:t>
                  </w:r>
                </w:p>
              </w:tc>
            </w:tr>
            <w:tr>
              <w:tc>
                <w:tcPr>
                  <w:tcW w:type="dxa" w:w="1060"/>
                  <w:vMerge/>
                  <w:tcBorders>
                    <w:top w:val="none" w:color="000000" w:sz="4"/>
                    <w:left w:val="single" w:color="000000" w:sz="4"/>
                    <w:bottom w:val="none" w:color="000000" w:sz="4"/>
                    <w:right w:val="single" w:color="000000" w:sz="4"/>
                  </w:tcBorders>
                </w:tcP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九级</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3000</w:t>
                  </w:r>
                </w:p>
              </w:tc>
            </w:tr>
            <w:tr>
              <w:tc>
                <w:tcPr>
                  <w:tcW w:type="dxa" w:w="1060"/>
                  <w:vMerge/>
                  <w:tcBorders>
                    <w:top w:val="none" w:color="000000" w:sz="4"/>
                    <w:left w:val="single" w:color="000000" w:sz="4"/>
                    <w:bottom w:val="none" w:color="000000" w:sz="4"/>
                    <w:right w:val="single" w:color="000000" w:sz="4"/>
                  </w:tcBorders>
                </w:tcP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十级</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1500</w:t>
                  </w:r>
                </w:p>
              </w:tc>
            </w:tr>
            <w:tr>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意外伤害住院补贴</w:t>
                  </w:r>
                </w:p>
              </w:tc>
              <w:tc>
                <w:tcPr>
                  <w:tcW w:type="dxa" w:w="148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宋体" w:hAnsi="宋体" w:cs="宋体" w:eastAsia="宋体"/>
                      <w:sz w:val="24"/>
                    </w:rPr>
                    <w:t>4</w:t>
                  </w:r>
                  <w:r>
                    <w:rPr>
                      <w:rFonts w:ascii="宋体" w:hAnsi="宋体" w:cs="宋体" w:eastAsia="宋体"/>
                      <w:sz w:val="24"/>
                    </w:rPr>
                    <w:t>0元/天，每次住院最高给付以90天为限，一年累计最多按180天支付。</w:t>
                  </w:r>
                </w:p>
              </w:tc>
            </w:tr>
            <w:tr>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疾病身故保险</w:t>
                  </w:r>
                </w:p>
              </w:tc>
              <w:tc>
                <w:tcPr>
                  <w:tcW w:type="dxa" w:w="148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300</w:t>
                  </w:r>
                </w:p>
              </w:tc>
            </w:tr>
            <w:tr>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首次罹患恶性肿瘤</w:t>
                  </w:r>
                </w:p>
              </w:tc>
              <w:tc>
                <w:tcPr>
                  <w:tcW w:type="dxa" w:w="148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300</w:t>
                  </w:r>
                </w:p>
              </w:tc>
            </w:tr>
          </w:tbl>
          <w:p>
            <w:pPr>
              <w:pStyle w:val="null3"/>
              <w:ind w:firstLine="482"/>
              <w:jc w:val="both"/>
            </w:pPr>
            <w:r>
              <w:rPr>
                <w:rFonts w:ascii="宋体" w:hAnsi="宋体" w:cs="宋体" w:eastAsia="宋体"/>
                <w:b/>
                <w:sz w:val="24"/>
              </w:rPr>
              <w:t>（</w:t>
            </w:r>
            <w:r>
              <w:rPr>
                <w:rFonts w:ascii="宋体" w:hAnsi="宋体" w:cs="宋体" w:eastAsia="宋体"/>
                <w:b/>
                <w:sz w:val="24"/>
              </w:rPr>
              <w:t>3</w:t>
            </w:r>
            <w:r>
              <w:rPr>
                <w:rFonts w:ascii="宋体" w:hAnsi="宋体" w:cs="宋体" w:eastAsia="宋体"/>
                <w:b/>
                <w:sz w:val="24"/>
              </w:rPr>
              <w:t>）伤残确定：</w:t>
            </w:r>
            <w:r>
              <w:rPr>
                <w:rFonts w:ascii="宋体" w:hAnsi="宋体" w:cs="宋体" w:eastAsia="宋体"/>
                <w:sz w:val="24"/>
              </w:rPr>
              <w:t>本保险计划所指意外伤残</w:t>
            </w:r>
            <w:r>
              <w:rPr>
                <w:rFonts w:ascii="宋体" w:hAnsi="宋体" w:cs="宋体" w:eastAsia="宋体"/>
                <w:sz w:val="24"/>
              </w:rPr>
              <w:t>，</w:t>
            </w:r>
            <w:r>
              <w:rPr>
                <w:rFonts w:ascii="宋体" w:hAnsi="宋体" w:cs="宋体" w:eastAsia="宋体"/>
                <w:sz w:val="24"/>
              </w:rPr>
              <w:t>根据《人身保险伤残评定标准（行业标准）》</w:t>
            </w:r>
            <w:r>
              <w:rPr>
                <w:rFonts w:ascii="宋体" w:hAnsi="宋体" w:cs="宋体" w:eastAsia="宋体"/>
                <w:sz w:val="24"/>
              </w:rPr>
              <w:t>(标准编号为JR/T0083-2013)确定。</w:t>
            </w:r>
          </w:p>
          <w:p>
            <w:pPr>
              <w:pStyle w:val="null3"/>
              <w:ind w:firstLine="482"/>
            </w:pPr>
            <w:r>
              <w:rPr>
                <w:rFonts w:ascii="宋体" w:hAnsi="宋体" w:cs="宋体" w:eastAsia="宋体"/>
                <w:b/>
                <w:sz w:val="24"/>
              </w:rPr>
              <w:t>（</w:t>
            </w:r>
            <w:r>
              <w:rPr>
                <w:rFonts w:ascii="宋体" w:hAnsi="宋体" w:cs="宋体" w:eastAsia="宋体"/>
                <w:b/>
                <w:sz w:val="24"/>
              </w:rPr>
              <w:t>4）罹患恶性肿瘤：</w:t>
            </w:r>
            <w:r>
              <w:rPr>
                <w:rFonts w:ascii="宋体" w:hAnsi="宋体" w:cs="宋体" w:eastAsia="宋体"/>
                <w:sz w:val="24"/>
              </w:rPr>
              <w:t>应由三级及以上的医院提供支持诊断检测检验资料，或活检报告结果及病情证明。</w:t>
            </w:r>
          </w:p>
          <w:p>
            <w:pPr>
              <w:pStyle w:val="null3"/>
              <w:ind w:firstLine="482"/>
              <w:jc w:val="both"/>
            </w:pPr>
            <w:r>
              <w:rPr>
                <w:rFonts w:ascii="宋体" w:hAnsi="宋体" w:cs="宋体" w:eastAsia="宋体"/>
                <w:b/>
                <w:sz w:val="24"/>
              </w:rPr>
              <w:t>2.</w:t>
            </w:r>
            <w:r>
              <w:rPr>
                <w:rFonts w:ascii="宋体" w:hAnsi="宋体" w:cs="宋体" w:eastAsia="宋体"/>
                <w:b/>
                <w:sz w:val="24"/>
              </w:rPr>
              <w:t>保险理赔形式及程序</w:t>
            </w:r>
            <w:r>
              <w:rPr>
                <w:rFonts w:ascii="宋体" w:hAnsi="宋体" w:cs="宋体" w:eastAsia="宋体"/>
                <w:b/>
                <w:sz w:val="24"/>
              </w:rPr>
              <w:t>。</w:t>
            </w:r>
          </w:p>
          <w:p>
            <w:pPr>
              <w:pStyle w:val="null3"/>
              <w:ind w:firstLine="482"/>
              <w:jc w:val="left"/>
            </w:pPr>
            <w:r>
              <w:rPr>
                <w:rFonts w:ascii="宋体" w:hAnsi="宋体" w:cs="宋体" w:eastAsia="宋体"/>
                <w:b/>
                <w:sz w:val="24"/>
              </w:rPr>
              <w:t>（</w:t>
            </w:r>
            <w:r>
              <w:rPr>
                <w:rFonts w:ascii="宋体" w:hAnsi="宋体" w:cs="宋体" w:eastAsia="宋体"/>
                <w:b/>
                <w:sz w:val="24"/>
              </w:rPr>
              <w:t>1）</w:t>
            </w:r>
            <w:r>
              <w:rPr>
                <w:rFonts w:ascii="宋体" w:hAnsi="宋体" w:cs="宋体" w:eastAsia="宋体"/>
                <w:b/>
                <w:sz w:val="24"/>
              </w:rPr>
              <w:t>服务人员：</w:t>
            </w:r>
            <w:r>
              <w:rPr>
                <w:rFonts w:ascii="宋体" w:hAnsi="宋体" w:cs="宋体" w:eastAsia="宋体"/>
                <w:sz w:val="24"/>
              </w:rPr>
              <w:t>保险公司应当配备有经验的专业理赔人员负责理赔服务工作，确定理赔方案，确保在出险时，被保险人能够及时通知保险公司。</w:t>
            </w:r>
          </w:p>
          <w:p>
            <w:pPr>
              <w:pStyle w:val="null3"/>
              <w:ind w:firstLine="482"/>
              <w:jc w:val="left"/>
            </w:pPr>
            <w:r>
              <w:rPr>
                <w:rFonts w:ascii="宋体" w:hAnsi="宋体" w:cs="宋体" w:eastAsia="宋体"/>
                <w:b/>
                <w:sz w:val="24"/>
              </w:rPr>
              <w:t>（</w:t>
            </w:r>
            <w:r>
              <w:rPr>
                <w:rFonts w:ascii="宋体" w:hAnsi="宋体" w:cs="宋体" w:eastAsia="宋体"/>
                <w:b/>
                <w:sz w:val="24"/>
              </w:rPr>
              <w:t>2）</w:t>
            </w:r>
            <w:r>
              <w:rPr>
                <w:rFonts w:ascii="宋体" w:hAnsi="宋体" w:cs="宋体" w:eastAsia="宋体"/>
                <w:b/>
                <w:sz w:val="24"/>
              </w:rPr>
              <w:t>服务受理：</w:t>
            </w:r>
            <w:r>
              <w:rPr>
                <w:rFonts w:ascii="宋体" w:hAnsi="宋体" w:cs="宋体" w:eastAsia="宋体"/>
                <w:sz w:val="24"/>
              </w:rPr>
              <w:t>设立热线电话</w:t>
            </w:r>
            <w:r>
              <w:rPr>
                <w:rFonts w:ascii="宋体" w:hAnsi="宋体" w:cs="宋体" w:eastAsia="宋体"/>
                <w:sz w:val="24"/>
              </w:rPr>
              <w:t>、线上、站点理赔</w:t>
            </w:r>
            <w:r>
              <w:rPr>
                <w:rFonts w:ascii="宋体" w:hAnsi="宋体" w:cs="宋体" w:eastAsia="宋体"/>
                <w:sz w:val="24"/>
              </w:rPr>
              <w:t>，负责受理被保险人的事故报案、咨询、疑难解答和投诉处理，对被保险人的投诉，保险公司应及时向采购人作出明确答复。</w:t>
            </w:r>
          </w:p>
          <w:p>
            <w:pPr>
              <w:pStyle w:val="null3"/>
              <w:spacing w:after="120"/>
              <w:ind w:firstLine="482"/>
              <w:jc w:val="both"/>
            </w:pPr>
            <w:r>
              <w:rPr>
                <w:rFonts w:ascii="宋体" w:hAnsi="宋体" w:cs="宋体" w:eastAsia="宋体"/>
                <w:b/>
                <w:sz w:val="24"/>
              </w:rPr>
              <w:t>（</w:t>
            </w:r>
            <w:r>
              <w:rPr>
                <w:rFonts w:ascii="宋体" w:hAnsi="宋体" w:cs="宋体" w:eastAsia="宋体"/>
                <w:b/>
                <w:sz w:val="24"/>
              </w:rPr>
              <w:t>3）</w:t>
            </w:r>
            <w:r>
              <w:rPr>
                <w:rFonts w:ascii="宋体" w:hAnsi="宋体" w:cs="宋体" w:eastAsia="宋体"/>
                <w:b/>
                <w:sz w:val="24"/>
              </w:rPr>
              <w:t>简要程序：</w:t>
            </w:r>
            <w:r>
              <w:rPr>
                <w:rFonts w:ascii="宋体" w:hAnsi="宋体" w:cs="宋体" w:eastAsia="宋体"/>
                <w:sz w:val="24"/>
              </w:rPr>
              <w:t>对收到的</w:t>
            </w:r>
            <w:r>
              <w:rPr>
                <w:rFonts w:ascii="宋体" w:hAnsi="宋体" w:cs="宋体" w:eastAsia="宋体"/>
                <w:sz w:val="24"/>
              </w:rPr>
              <w:t>理</w:t>
            </w:r>
            <w:r>
              <w:rPr>
                <w:rFonts w:ascii="宋体" w:hAnsi="宋体" w:cs="宋体" w:eastAsia="宋体"/>
                <w:sz w:val="24"/>
              </w:rPr>
              <w:t>赔材料进行审核，按承诺时限向投保人反馈是否立案以及是否需要补充提供证明材料，对决定拒赔或者不予立案的，应出具正式的《拒赔通知书》或《不予立案说明书》</w:t>
            </w:r>
            <w:r>
              <w:rPr>
                <w:rFonts w:ascii="宋体" w:hAnsi="宋体" w:cs="宋体" w:eastAsia="宋体"/>
                <w:sz w:val="24"/>
              </w:rPr>
              <w:t>。</w:t>
            </w:r>
            <w:r>
              <w:rPr>
                <w:rFonts w:ascii="宋体" w:hAnsi="宋体" w:cs="宋体" w:eastAsia="宋体"/>
                <w:sz w:val="24"/>
              </w:rPr>
              <w:t>对需要补充提供证明材料的，应一次性书面告知需要补充提供的证明材料。对索赔材料齐全的保险案件，应及时开具赔款通知书。</w:t>
            </w:r>
          </w:p>
          <w:p>
            <w:pPr>
              <w:pStyle w:val="null3"/>
              <w:ind w:firstLine="482"/>
              <w:jc w:val="both"/>
            </w:pPr>
            <w:r>
              <w:rPr>
                <w:rFonts w:ascii="宋体" w:hAnsi="宋体" w:cs="宋体" w:eastAsia="宋体"/>
                <w:b/>
                <w:sz w:val="24"/>
              </w:rPr>
              <w:t>（</w:t>
            </w:r>
            <w:r>
              <w:rPr>
                <w:rFonts w:ascii="宋体" w:hAnsi="宋体" w:cs="宋体" w:eastAsia="宋体"/>
                <w:b/>
                <w:sz w:val="24"/>
              </w:rPr>
              <w:t>4）</w:t>
            </w:r>
            <w:r>
              <w:rPr>
                <w:rFonts w:ascii="宋体" w:hAnsi="宋体" w:cs="宋体" w:eastAsia="宋体"/>
                <w:b/>
                <w:sz w:val="24"/>
              </w:rPr>
              <w:t>保费清算</w:t>
            </w:r>
          </w:p>
          <w:p>
            <w:pPr>
              <w:pStyle w:val="null3"/>
              <w:jc w:val="both"/>
            </w:pPr>
            <w:r>
              <w:rPr>
                <w:rFonts w:ascii="宋体" w:hAnsi="宋体" w:cs="宋体" w:eastAsia="宋体"/>
                <w:sz w:val="24"/>
              </w:rPr>
              <w:t>在招标文件中约定资金清算条款。在项目实施完成后，单个项目包净赔付率不足中标资金额</w:t>
            </w:r>
            <w:r>
              <w:rPr>
                <w:rFonts w:ascii="宋体" w:hAnsi="宋体" w:cs="宋体" w:eastAsia="宋体"/>
                <w:sz w:val="24"/>
              </w:rPr>
              <w:t>70%的，按照“中标资金额×70%－实际赔付额”</w:t>
            </w:r>
            <w:r>
              <w:rPr>
                <w:rFonts w:ascii="宋体" w:hAnsi="宋体" w:cs="宋体" w:eastAsia="宋体"/>
                <w:sz w:val="24"/>
              </w:rPr>
              <w:t>退还地方财政。</w:t>
            </w:r>
          </w:p>
        </w:tc>
      </w:tr>
    </w:tbl>
    <w:p>
      <w:pPr>
        <w:pStyle w:val="null3"/>
      </w:pPr>
    </w:p>
    <w:p>
      <w:pPr>
        <w:pStyle w:val="null3"/>
      </w:pPr>
      <w:r>
        <w:rPr/>
        <w:t>采购包3：</w:t>
      </w:r>
    </w:p>
    <w:p>
      <w:pPr>
        <w:pStyle w:val="null3"/>
      </w:pPr>
    </w:p>
    <w:p>
      <w:pPr>
        <w:pStyle w:val="null3"/>
      </w:pPr>
      <w:r>
        <w:rPr/>
        <w:t>标的名称：资阳市2024年为资阳籍60岁以上老年人购买意外伤害保险（乐至县）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ind w:firstLine="482"/>
              <w:jc w:val="both"/>
            </w:pPr>
            <w:r>
              <w:rPr>
                <w:rFonts w:ascii="宋体" w:hAnsi="宋体" w:cs="宋体" w:eastAsia="宋体"/>
                <w:b/>
                <w:sz w:val="24"/>
              </w:rPr>
              <w:t>1.</w:t>
            </w:r>
            <w:r>
              <w:rPr>
                <w:rFonts w:ascii="宋体" w:hAnsi="宋体" w:cs="宋体" w:eastAsia="宋体"/>
                <w:b/>
                <w:sz w:val="24"/>
              </w:rPr>
              <w:t>保险责任。</w:t>
            </w:r>
          </w:p>
          <w:p>
            <w:pPr>
              <w:pStyle w:val="null3"/>
              <w:ind w:firstLine="482"/>
              <w:jc w:val="both"/>
            </w:pPr>
            <w:r>
              <w:rPr>
                <w:rFonts w:ascii="宋体" w:hAnsi="宋体" w:cs="宋体" w:eastAsia="宋体"/>
                <w:b/>
                <w:sz w:val="24"/>
              </w:rPr>
              <w:t>（</w:t>
            </w:r>
            <w:r>
              <w:rPr>
                <w:rFonts w:ascii="宋体" w:hAnsi="宋体" w:cs="宋体" w:eastAsia="宋体"/>
                <w:b/>
                <w:sz w:val="24"/>
              </w:rPr>
              <w:t>1）</w:t>
            </w:r>
            <w:r>
              <w:rPr>
                <w:rFonts w:ascii="宋体" w:hAnsi="宋体" w:cs="宋体" w:eastAsia="宋体"/>
                <w:b/>
                <w:sz w:val="24"/>
              </w:rPr>
              <w:t>投保主体及对象</w:t>
            </w:r>
            <w:r>
              <w:rPr>
                <w:rFonts w:ascii="宋体" w:hAnsi="宋体" w:cs="宋体" w:eastAsia="宋体"/>
                <w:b/>
                <w:sz w:val="24"/>
              </w:rPr>
              <w:t>：</w:t>
            </w:r>
            <w:r>
              <w:rPr>
                <w:rFonts w:ascii="宋体" w:hAnsi="宋体" w:cs="宋体" w:eastAsia="宋体"/>
                <w:sz w:val="24"/>
              </w:rPr>
              <w:t>投保人为单位，被保险人为</w:t>
            </w:r>
            <w:r>
              <w:rPr>
                <w:rFonts w:ascii="宋体" w:hAnsi="宋体" w:cs="宋体" w:eastAsia="宋体"/>
                <w:sz w:val="24"/>
              </w:rPr>
              <w:t>资阳籍</w:t>
            </w:r>
            <w:r>
              <w:rPr>
                <w:rFonts w:ascii="宋体" w:hAnsi="宋体" w:cs="宋体" w:eastAsia="宋体"/>
                <w:sz w:val="24"/>
              </w:rPr>
              <w:t>60岁以上老年人。合同</w:t>
            </w:r>
            <w:r>
              <w:rPr>
                <w:rFonts w:ascii="宋体" w:hAnsi="宋体" w:cs="宋体" w:eastAsia="宋体"/>
                <w:sz w:val="24"/>
              </w:rPr>
              <w:t>期满前</w:t>
            </w:r>
            <w:r>
              <w:rPr>
                <w:rFonts w:ascii="宋体" w:hAnsi="宋体" w:cs="宋体" w:eastAsia="宋体"/>
                <w:sz w:val="24"/>
              </w:rPr>
              <w:t>，</w:t>
            </w:r>
            <w:r>
              <w:rPr>
                <w:rFonts w:ascii="宋体" w:hAnsi="宋体" w:cs="宋体" w:eastAsia="宋体"/>
                <w:sz w:val="24"/>
              </w:rPr>
              <w:t>年满</w:t>
            </w:r>
            <w:r>
              <w:rPr>
                <w:rFonts w:ascii="宋体" w:hAnsi="宋体" w:cs="宋体" w:eastAsia="宋体"/>
                <w:sz w:val="24"/>
              </w:rPr>
              <w:t>60岁的资阳籍老年人为被保险人</w:t>
            </w:r>
            <w:r>
              <w:rPr>
                <w:rFonts w:ascii="宋体" w:hAnsi="宋体" w:cs="宋体" w:eastAsia="宋体"/>
                <w:sz w:val="24"/>
              </w:rPr>
              <w:t>。</w:t>
            </w:r>
          </w:p>
          <w:p>
            <w:pPr>
              <w:pStyle w:val="null3"/>
              <w:ind w:firstLine="482"/>
              <w:jc w:val="both"/>
            </w:pPr>
            <w:r>
              <w:rPr>
                <w:rFonts w:ascii="宋体" w:hAnsi="宋体" w:cs="宋体" w:eastAsia="宋体"/>
                <w:b/>
                <w:sz w:val="24"/>
              </w:rPr>
              <w:t>（</w:t>
            </w:r>
            <w:r>
              <w:rPr>
                <w:rFonts w:ascii="宋体" w:hAnsi="宋体" w:cs="宋体" w:eastAsia="宋体"/>
                <w:b/>
                <w:sz w:val="24"/>
              </w:rPr>
              <w:t>2</w:t>
            </w:r>
            <w:r>
              <w:rPr>
                <w:rFonts w:ascii="宋体" w:hAnsi="宋体" w:cs="宋体" w:eastAsia="宋体"/>
                <w:b/>
                <w:sz w:val="24"/>
              </w:rPr>
              <w:t>）保险责任及标准：</w:t>
            </w:r>
            <w:r>
              <w:rPr>
                <w:rFonts w:ascii="宋体" w:hAnsi="宋体" w:cs="宋体" w:eastAsia="宋体"/>
                <w:sz w:val="24"/>
              </w:rPr>
              <w:t>包括意外导致的身故和伤残、意外伤害</w:t>
            </w:r>
            <w:r>
              <w:rPr>
                <w:rFonts w:ascii="宋体" w:hAnsi="宋体" w:cs="宋体" w:eastAsia="宋体"/>
                <w:sz w:val="24"/>
              </w:rPr>
              <w:t>住院补贴</w:t>
            </w:r>
            <w:r>
              <w:rPr>
                <w:rFonts w:ascii="宋体" w:hAnsi="宋体" w:cs="宋体" w:eastAsia="宋体"/>
                <w:sz w:val="24"/>
              </w:rPr>
              <w:t>、疾病身故赔付</w:t>
            </w:r>
            <w:r>
              <w:rPr>
                <w:rFonts w:ascii="宋体" w:hAnsi="宋体" w:cs="宋体" w:eastAsia="宋体"/>
                <w:sz w:val="24"/>
              </w:rPr>
              <w:t>、首次罹患恶性肿瘤以及合同约定的赔付内容</w:t>
            </w:r>
            <w:r>
              <w:rPr>
                <w:rFonts w:ascii="宋体" w:hAnsi="宋体" w:cs="宋体" w:eastAsia="宋体"/>
                <w:sz w:val="24"/>
              </w:rPr>
              <w:t>等。</w:t>
            </w:r>
          </w:p>
          <w:tbl>
            <w:tblPr>
              <w:tblBorders>
                <w:top w:val="none" w:color="000000" w:sz="4"/>
                <w:left w:val="none" w:color="000000" w:sz="4"/>
                <w:bottom w:val="none" w:color="000000" w:sz="4"/>
                <w:right w:val="none" w:color="000000" w:sz="4"/>
                <w:insideH w:val="none"/>
                <w:insideV w:val="none"/>
              </w:tblBorders>
            </w:tblPr>
            <w:tblGrid>
              <w:gridCol w:w="1060"/>
              <w:gridCol w:w="748"/>
              <w:gridCol w:w="740"/>
            </w:tblGrid>
            <w:tr>
              <w:tc>
                <w:tcPr>
                  <w:tcW w:type="dxa" w:w="1060"/>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保险责任</w:t>
                  </w:r>
                </w:p>
              </w:tc>
              <w:tc>
                <w:tcPr>
                  <w:tcW w:type="dxa" w:w="1488"/>
                  <w:gridSpan w:val="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保障金额（元）</w:t>
                  </w:r>
                </w:p>
              </w:tc>
            </w:tr>
            <w:tr>
              <w:tc>
                <w:tcPr>
                  <w:tcW w:type="dxa" w:w="10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意外身故保险</w:t>
                  </w:r>
                </w:p>
              </w:tc>
              <w:tc>
                <w:tcPr>
                  <w:tcW w:type="dxa" w:w="148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宋体" w:hAnsi="宋体" w:cs="宋体" w:eastAsia="宋体"/>
                      <w:sz w:val="24"/>
                    </w:rPr>
                    <w:t>15000</w:t>
                  </w:r>
                </w:p>
              </w:tc>
            </w:tr>
            <w:tr>
              <w:tc>
                <w:tcPr>
                  <w:tcW w:type="dxa" w:w="106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意外伤残保险</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一级</w:t>
                  </w:r>
                </w:p>
              </w:tc>
              <w:tc>
                <w:tcPr>
                  <w:tcW w:type="dxa" w:w="7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15000</w:t>
                  </w:r>
                </w:p>
              </w:tc>
            </w:tr>
            <w:tr>
              <w:tc>
                <w:tcPr>
                  <w:tcW w:type="dxa" w:w="1060"/>
                  <w:vMerge/>
                  <w:tcBorders>
                    <w:top w:val="none" w:color="000000" w:sz="4"/>
                    <w:left w:val="single" w:color="000000" w:sz="4"/>
                    <w:bottom w:val="none" w:color="000000" w:sz="4"/>
                    <w:right w:val="single" w:color="000000" w:sz="4"/>
                  </w:tcBorders>
                </w:tcP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二级</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13500</w:t>
                  </w:r>
                </w:p>
              </w:tc>
            </w:tr>
            <w:tr>
              <w:tc>
                <w:tcPr>
                  <w:tcW w:type="dxa" w:w="1060"/>
                  <w:vMerge/>
                  <w:tcBorders>
                    <w:top w:val="none" w:color="000000" w:sz="4"/>
                    <w:left w:val="single" w:color="000000" w:sz="4"/>
                    <w:bottom w:val="none" w:color="000000" w:sz="4"/>
                    <w:right w:val="single" w:color="000000" w:sz="4"/>
                  </w:tcBorders>
                </w:tcP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三级</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12000</w:t>
                  </w:r>
                </w:p>
              </w:tc>
            </w:tr>
            <w:tr>
              <w:tc>
                <w:tcPr>
                  <w:tcW w:type="dxa" w:w="1060"/>
                  <w:vMerge/>
                  <w:tcBorders>
                    <w:top w:val="none" w:color="000000" w:sz="4"/>
                    <w:left w:val="single" w:color="000000" w:sz="4"/>
                    <w:bottom w:val="none" w:color="000000" w:sz="4"/>
                    <w:right w:val="single" w:color="000000" w:sz="4"/>
                  </w:tcBorders>
                </w:tcP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四级</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10500</w:t>
                  </w:r>
                </w:p>
              </w:tc>
            </w:tr>
            <w:tr>
              <w:tc>
                <w:tcPr>
                  <w:tcW w:type="dxa" w:w="1060"/>
                  <w:vMerge/>
                  <w:tcBorders>
                    <w:top w:val="none" w:color="000000" w:sz="4"/>
                    <w:left w:val="single" w:color="000000" w:sz="4"/>
                    <w:bottom w:val="none" w:color="000000" w:sz="4"/>
                    <w:right w:val="single" w:color="000000" w:sz="4"/>
                  </w:tcBorders>
                </w:tcP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五级</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9000</w:t>
                  </w:r>
                </w:p>
              </w:tc>
            </w:tr>
            <w:tr>
              <w:tc>
                <w:tcPr>
                  <w:tcW w:type="dxa" w:w="1060"/>
                  <w:vMerge/>
                  <w:tcBorders>
                    <w:top w:val="none" w:color="000000" w:sz="4"/>
                    <w:left w:val="single" w:color="000000" w:sz="4"/>
                    <w:bottom w:val="none" w:color="000000" w:sz="4"/>
                    <w:right w:val="single" w:color="000000" w:sz="4"/>
                  </w:tcBorders>
                </w:tcP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六级</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7500</w:t>
                  </w:r>
                </w:p>
              </w:tc>
            </w:tr>
            <w:tr>
              <w:tc>
                <w:tcPr>
                  <w:tcW w:type="dxa" w:w="1060"/>
                  <w:vMerge/>
                  <w:tcBorders>
                    <w:top w:val="none" w:color="000000" w:sz="4"/>
                    <w:left w:val="single" w:color="000000" w:sz="4"/>
                    <w:bottom w:val="none" w:color="000000" w:sz="4"/>
                    <w:right w:val="single" w:color="000000" w:sz="4"/>
                  </w:tcBorders>
                </w:tcP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七级</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6000</w:t>
                  </w:r>
                </w:p>
              </w:tc>
            </w:tr>
            <w:tr>
              <w:tc>
                <w:tcPr>
                  <w:tcW w:type="dxa" w:w="1060"/>
                  <w:vMerge/>
                  <w:tcBorders>
                    <w:top w:val="none" w:color="000000" w:sz="4"/>
                    <w:left w:val="single" w:color="000000" w:sz="4"/>
                    <w:bottom w:val="none" w:color="000000" w:sz="4"/>
                    <w:right w:val="single" w:color="000000" w:sz="4"/>
                  </w:tcBorders>
                </w:tcP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八级</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4500</w:t>
                  </w:r>
                </w:p>
              </w:tc>
            </w:tr>
            <w:tr>
              <w:tc>
                <w:tcPr>
                  <w:tcW w:type="dxa" w:w="1060"/>
                  <w:vMerge/>
                  <w:tcBorders>
                    <w:top w:val="none" w:color="000000" w:sz="4"/>
                    <w:left w:val="single" w:color="000000" w:sz="4"/>
                    <w:bottom w:val="none" w:color="000000" w:sz="4"/>
                    <w:right w:val="single" w:color="000000" w:sz="4"/>
                  </w:tcBorders>
                </w:tcP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九级</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3000</w:t>
                  </w:r>
                </w:p>
              </w:tc>
            </w:tr>
            <w:tr>
              <w:tc>
                <w:tcPr>
                  <w:tcW w:type="dxa" w:w="1060"/>
                  <w:vMerge/>
                  <w:tcBorders>
                    <w:top w:val="none" w:color="000000" w:sz="4"/>
                    <w:left w:val="single" w:color="000000" w:sz="4"/>
                    <w:bottom w:val="none" w:color="000000" w:sz="4"/>
                    <w:right w:val="single" w:color="000000" w:sz="4"/>
                  </w:tcBorders>
                </w:tcP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十级</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1500</w:t>
                  </w:r>
                </w:p>
              </w:tc>
            </w:tr>
            <w:tr>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意外伤害住院补贴</w:t>
                  </w:r>
                </w:p>
              </w:tc>
              <w:tc>
                <w:tcPr>
                  <w:tcW w:type="dxa" w:w="148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宋体" w:hAnsi="宋体" w:cs="宋体" w:eastAsia="宋体"/>
                      <w:sz w:val="24"/>
                    </w:rPr>
                    <w:t>4</w:t>
                  </w:r>
                  <w:r>
                    <w:rPr>
                      <w:rFonts w:ascii="宋体" w:hAnsi="宋体" w:cs="宋体" w:eastAsia="宋体"/>
                      <w:sz w:val="24"/>
                    </w:rPr>
                    <w:t>0元/天，每次住院最高给付以90天为限，一年累计最多按180天支付。</w:t>
                  </w:r>
                </w:p>
              </w:tc>
            </w:tr>
            <w:tr>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疾病身故保险</w:t>
                  </w:r>
                </w:p>
              </w:tc>
              <w:tc>
                <w:tcPr>
                  <w:tcW w:type="dxa" w:w="148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300</w:t>
                  </w:r>
                </w:p>
              </w:tc>
            </w:tr>
            <w:tr>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首次罹患恶性肿瘤</w:t>
                  </w:r>
                </w:p>
              </w:tc>
              <w:tc>
                <w:tcPr>
                  <w:tcW w:type="dxa" w:w="148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300</w:t>
                  </w:r>
                </w:p>
              </w:tc>
            </w:tr>
          </w:tbl>
          <w:p>
            <w:pPr>
              <w:pStyle w:val="null3"/>
              <w:ind w:firstLine="482"/>
              <w:jc w:val="both"/>
            </w:pPr>
            <w:r>
              <w:rPr>
                <w:rFonts w:ascii="宋体" w:hAnsi="宋体" w:cs="宋体" w:eastAsia="宋体"/>
                <w:b/>
                <w:sz w:val="24"/>
              </w:rPr>
              <w:t>（</w:t>
            </w:r>
            <w:r>
              <w:rPr>
                <w:rFonts w:ascii="宋体" w:hAnsi="宋体" w:cs="宋体" w:eastAsia="宋体"/>
                <w:b/>
                <w:sz w:val="24"/>
              </w:rPr>
              <w:t>3</w:t>
            </w:r>
            <w:r>
              <w:rPr>
                <w:rFonts w:ascii="宋体" w:hAnsi="宋体" w:cs="宋体" w:eastAsia="宋体"/>
                <w:b/>
                <w:sz w:val="24"/>
              </w:rPr>
              <w:t>）伤残确定：</w:t>
            </w:r>
            <w:r>
              <w:rPr>
                <w:rFonts w:ascii="宋体" w:hAnsi="宋体" w:cs="宋体" w:eastAsia="宋体"/>
                <w:sz w:val="24"/>
              </w:rPr>
              <w:t>本保险计划所指意外伤残</w:t>
            </w:r>
            <w:r>
              <w:rPr>
                <w:rFonts w:ascii="宋体" w:hAnsi="宋体" w:cs="宋体" w:eastAsia="宋体"/>
                <w:sz w:val="24"/>
              </w:rPr>
              <w:t>，</w:t>
            </w:r>
            <w:r>
              <w:rPr>
                <w:rFonts w:ascii="宋体" w:hAnsi="宋体" w:cs="宋体" w:eastAsia="宋体"/>
                <w:sz w:val="24"/>
              </w:rPr>
              <w:t>根据《人身保险伤残评定标准（行业标准）》</w:t>
            </w:r>
            <w:r>
              <w:rPr>
                <w:rFonts w:ascii="宋体" w:hAnsi="宋体" w:cs="宋体" w:eastAsia="宋体"/>
                <w:sz w:val="24"/>
              </w:rPr>
              <w:t>(标准编号为JR/T0083-2013)确定。</w:t>
            </w:r>
          </w:p>
          <w:p>
            <w:pPr>
              <w:pStyle w:val="null3"/>
              <w:ind w:firstLine="482"/>
            </w:pPr>
            <w:r>
              <w:rPr>
                <w:rFonts w:ascii="宋体" w:hAnsi="宋体" w:cs="宋体" w:eastAsia="宋体"/>
                <w:b/>
                <w:sz w:val="24"/>
              </w:rPr>
              <w:t>（</w:t>
            </w:r>
            <w:r>
              <w:rPr>
                <w:rFonts w:ascii="宋体" w:hAnsi="宋体" w:cs="宋体" w:eastAsia="宋体"/>
                <w:b/>
                <w:sz w:val="24"/>
              </w:rPr>
              <w:t>4）罹患恶性肿瘤：</w:t>
            </w:r>
            <w:r>
              <w:rPr>
                <w:rFonts w:ascii="宋体" w:hAnsi="宋体" w:cs="宋体" w:eastAsia="宋体"/>
                <w:sz w:val="24"/>
              </w:rPr>
              <w:t>应由三级及以上的医院提供支持诊断检测检验资料，或活检报告结果及病情证明。</w:t>
            </w:r>
          </w:p>
          <w:p>
            <w:pPr>
              <w:pStyle w:val="null3"/>
              <w:ind w:firstLine="482"/>
              <w:jc w:val="both"/>
            </w:pPr>
            <w:r>
              <w:rPr>
                <w:rFonts w:ascii="宋体" w:hAnsi="宋体" w:cs="宋体" w:eastAsia="宋体"/>
                <w:b/>
                <w:sz w:val="24"/>
              </w:rPr>
              <w:t>2.</w:t>
            </w:r>
            <w:r>
              <w:rPr>
                <w:rFonts w:ascii="宋体" w:hAnsi="宋体" w:cs="宋体" w:eastAsia="宋体"/>
                <w:b/>
                <w:sz w:val="24"/>
              </w:rPr>
              <w:t>保险理赔形式及程序</w:t>
            </w:r>
            <w:r>
              <w:rPr>
                <w:rFonts w:ascii="宋体" w:hAnsi="宋体" w:cs="宋体" w:eastAsia="宋体"/>
                <w:b/>
                <w:sz w:val="24"/>
              </w:rPr>
              <w:t>。</w:t>
            </w:r>
          </w:p>
          <w:p>
            <w:pPr>
              <w:pStyle w:val="null3"/>
              <w:ind w:firstLine="482"/>
              <w:jc w:val="left"/>
            </w:pPr>
            <w:r>
              <w:rPr>
                <w:rFonts w:ascii="宋体" w:hAnsi="宋体" w:cs="宋体" w:eastAsia="宋体"/>
                <w:b/>
                <w:sz w:val="24"/>
              </w:rPr>
              <w:t>（</w:t>
            </w:r>
            <w:r>
              <w:rPr>
                <w:rFonts w:ascii="宋体" w:hAnsi="宋体" w:cs="宋体" w:eastAsia="宋体"/>
                <w:b/>
                <w:sz w:val="24"/>
              </w:rPr>
              <w:t>1）</w:t>
            </w:r>
            <w:r>
              <w:rPr>
                <w:rFonts w:ascii="宋体" w:hAnsi="宋体" w:cs="宋体" w:eastAsia="宋体"/>
                <w:b/>
                <w:sz w:val="24"/>
              </w:rPr>
              <w:t>服务人员：</w:t>
            </w:r>
            <w:r>
              <w:rPr>
                <w:rFonts w:ascii="宋体" w:hAnsi="宋体" w:cs="宋体" w:eastAsia="宋体"/>
                <w:sz w:val="24"/>
              </w:rPr>
              <w:t>保险公司应当配备有经验的专业理赔人员负责理赔服务工作，确定理赔方案，确保在出险时，被保险人能够及时通知保险公司。</w:t>
            </w:r>
          </w:p>
          <w:p>
            <w:pPr>
              <w:pStyle w:val="null3"/>
              <w:ind w:firstLine="482"/>
              <w:jc w:val="left"/>
            </w:pPr>
            <w:r>
              <w:rPr>
                <w:rFonts w:ascii="宋体" w:hAnsi="宋体" w:cs="宋体" w:eastAsia="宋体"/>
                <w:b/>
                <w:sz w:val="24"/>
              </w:rPr>
              <w:t>（</w:t>
            </w:r>
            <w:r>
              <w:rPr>
                <w:rFonts w:ascii="宋体" w:hAnsi="宋体" w:cs="宋体" w:eastAsia="宋体"/>
                <w:b/>
                <w:sz w:val="24"/>
              </w:rPr>
              <w:t>2）</w:t>
            </w:r>
            <w:r>
              <w:rPr>
                <w:rFonts w:ascii="宋体" w:hAnsi="宋体" w:cs="宋体" w:eastAsia="宋体"/>
                <w:b/>
                <w:sz w:val="24"/>
              </w:rPr>
              <w:t>服务受理：</w:t>
            </w:r>
            <w:r>
              <w:rPr>
                <w:rFonts w:ascii="宋体" w:hAnsi="宋体" w:cs="宋体" w:eastAsia="宋体"/>
                <w:sz w:val="24"/>
              </w:rPr>
              <w:t>设立热线电话</w:t>
            </w:r>
            <w:r>
              <w:rPr>
                <w:rFonts w:ascii="宋体" w:hAnsi="宋体" w:cs="宋体" w:eastAsia="宋体"/>
                <w:sz w:val="24"/>
              </w:rPr>
              <w:t>、线上、站点理赔</w:t>
            </w:r>
            <w:r>
              <w:rPr>
                <w:rFonts w:ascii="宋体" w:hAnsi="宋体" w:cs="宋体" w:eastAsia="宋体"/>
                <w:sz w:val="24"/>
              </w:rPr>
              <w:t>，负责受理被保险人的事故报案、咨询、疑难解答和投诉处理，对被保险人的投诉，保险公司应及时向采购人作出明确答复。</w:t>
            </w:r>
          </w:p>
          <w:p>
            <w:pPr>
              <w:pStyle w:val="null3"/>
              <w:spacing w:after="120"/>
              <w:ind w:firstLine="482"/>
              <w:jc w:val="both"/>
            </w:pPr>
            <w:r>
              <w:rPr>
                <w:rFonts w:ascii="宋体" w:hAnsi="宋体" w:cs="宋体" w:eastAsia="宋体"/>
                <w:b/>
                <w:sz w:val="24"/>
              </w:rPr>
              <w:t>（</w:t>
            </w:r>
            <w:r>
              <w:rPr>
                <w:rFonts w:ascii="宋体" w:hAnsi="宋体" w:cs="宋体" w:eastAsia="宋体"/>
                <w:b/>
                <w:sz w:val="24"/>
              </w:rPr>
              <w:t>3）</w:t>
            </w:r>
            <w:r>
              <w:rPr>
                <w:rFonts w:ascii="宋体" w:hAnsi="宋体" w:cs="宋体" w:eastAsia="宋体"/>
                <w:b/>
                <w:sz w:val="24"/>
              </w:rPr>
              <w:t>简要程序：</w:t>
            </w:r>
            <w:r>
              <w:rPr>
                <w:rFonts w:ascii="宋体" w:hAnsi="宋体" w:cs="宋体" w:eastAsia="宋体"/>
                <w:sz w:val="24"/>
              </w:rPr>
              <w:t>对收到的</w:t>
            </w:r>
            <w:r>
              <w:rPr>
                <w:rFonts w:ascii="宋体" w:hAnsi="宋体" w:cs="宋体" w:eastAsia="宋体"/>
                <w:sz w:val="24"/>
              </w:rPr>
              <w:t>理</w:t>
            </w:r>
            <w:r>
              <w:rPr>
                <w:rFonts w:ascii="宋体" w:hAnsi="宋体" w:cs="宋体" w:eastAsia="宋体"/>
                <w:sz w:val="24"/>
              </w:rPr>
              <w:t>赔材料进行审核，按承诺时限向投保人反馈是否立案以及是否需要补充提供证明材料，对决定拒赔或者不予立案的，应出具正式的《拒赔通知书》或《不予立案说明书》</w:t>
            </w:r>
            <w:r>
              <w:rPr>
                <w:rFonts w:ascii="宋体" w:hAnsi="宋体" w:cs="宋体" w:eastAsia="宋体"/>
                <w:sz w:val="24"/>
              </w:rPr>
              <w:t>。</w:t>
            </w:r>
            <w:r>
              <w:rPr>
                <w:rFonts w:ascii="宋体" w:hAnsi="宋体" w:cs="宋体" w:eastAsia="宋体"/>
                <w:sz w:val="24"/>
              </w:rPr>
              <w:t>对需要补充提供证明材料的，应一次性书面告知需要补充提供的证明材料。对索赔材料齐全的保险案件，应及时开具赔款通知书。</w:t>
            </w:r>
          </w:p>
          <w:p>
            <w:pPr>
              <w:pStyle w:val="null3"/>
              <w:ind w:firstLine="482"/>
              <w:jc w:val="both"/>
            </w:pPr>
            <w:r>
              <w:rPr>
                <w:rFonts w:ascii="宋体" w:hAnsi="宋体" w:cs="宋体" w:eastAsia="宋体"/>
                <w:b/>
                <w:sz w:val="24"/>
              </w:rPr>
              <w:t>（</w:t>
            </w:r>
            <w:r>
              <w:rPr>
                <w:rFonts w:ascii="宋体" w:hAnsi="宋体" w:cs="宋体" w:eastAsia="宋体"/>
                <w:b/>
                <w:sz w:val="24"/>
              </w:rPr>
              <w:t>4）</w:t>
            </w:r>
            <w:r>
              <w:rPr>
                <w:rFonts w:ascii="宋体" w:hAnsi="宋体" w:cs="宋体" w:eastAsia="宋体"/>
                <w:b/>
                <w:sz w:val="24"/>
              </w:rPr>
              <w:t>保费清算</w:t>
            </w:r>
          </w:p>
          <w:p>
            <w:pPr>
              <w:pStyle w:val="null3"/>
              <w:jc w:val="both"/>
            </w:pPr>
            <w:r>
              <w:rPr>
                <w:rFonts w:ascii="宋体" w:hAnsi="宋体" w:cs="宋体" w:eastAsia="宋体"/>
                <w:sz w:val="24"/>
              </w:rPr>
              <w:t>在招标文件中约定资金清算条款。在项目实施完成后，单个项目包净赔付率不足中标资金额</w:t>
            </w:r>
            <w:r>
              <w:rPr>
                <w:rFonts w:ascii="宋体" w:hAnsi="宋体" w:cs="宋体" w:eastAsia="宋体"/>
                <w:sz w:val="24"/>
              </w:rPr>
              <w:t>70%的，按照“中标资金额×70%－实际赔付额”</w:t>
            </w:r>
            <w:r>
              <w:rPr>
                <w:rFonts w:ascii="宋体" w:hAnsi="宋体" w:cs="宋体" w:eastAsia="宋体"/>
                <w:sz w:val="24"/>
              </w:rPr>
              <w:t>退还地方财政。</w:t>
            </w:r>
          </w:p>
        </w:tc>
      </w:tr>
    </w:tbl>
    <w:p>
      <w:pPr>
        <w:pStyle w:val="null3"/>
        <w:outlineLvl w:val="3"/>
      </w:pPr>
      <w:r>
        <w:rPr>
          <w:b/>
          <w:sz w:val="24"/>
        </w:rPr>
        <w:t>3.2.3人员配置要求</w:t>
      </w:r>
    </w:p>
    <w:p>
      <w:pPr>
        <w:pStyle w:val="null3"/>
      </w:pPr>
    </w:p>
    <w:p>
      <w:pPr>
        <w:pStyle w:val="null3"/>
      </w:pPr>
    </w:p>
    <w:p>
      <w:pPr>
        <w:pStyle w:val="null3"/>
      </w:pPr>
    </w:p>
    <w:p>
      <w:pPr>
        <w:pStyle w:val="null3"/>
      </w:pPr>
      <w:r>
        <w:rPr/>
        <w:t>采购包1：</w:t>
      </w:r>
    </w:p>
    <w:p>
      <w:pPr>
        <w:pStyle w:val="null3"/>
      </w:pPr>
      <w:r>
        <w:rPr/>
        <w:t>/</w:t>
      </w:r>
    </w:p>
    <w:p>
      <w:pPr>
        <w:pStyle w:val="null3"/>
      </w:pPr>
    </w:p>
    <w:p>
      <w:pPr>
        <w:pStyle w:val="null3"/>
      </w:pPr>
      <w:r>
        <w:rPr/>
        <w:t>采购包2：</w:t>
      </w:r>
    </w:p>
    <w:p>
      <w:pPr>
        <w:pStyle w:val="null3"/>
      </w:pPr>
      <w:r>
        <w:rPr/>
        <w:t>/</w:t>
      </w:r>
    </w:p>
    <w:p>
      <w:pPr>
        <w:pStyle w:val="null3"/>
      </w:pPr>
    </w:p>
    <w:p>
      <w:pPr>
        <w:pStyle w:val="null3"/>
      </w:pPr>
      <w:r>
        <w:rPr/>
        <w:t>采购包3：</w:t>
      </w:r>
    </w:p>
    <w:p>
      <w:pPr>
        <w:pStyle w:val="null3"/>
      </w:pPr>
      <w:r>
        <w:rPr/>
        <w:t>/</w:t>
      </w:r>
    </w:p>
    <w:p>
      <w:pPr>
        <w:pStyle w:val="null3"/>
        <w:outlineLvl w:val="3"/>
      </w:pPr>
      <w:r>
        <w:rPr>
          <w:b/>
          <w:sz w:val="24"/>
        </w:rPr>
        <w:t>3.2.4设施设备配置要求</w:t>
      </w:r>
    </w:p>
    <w:p>
      <w:pPr>
        <w:pStyle w:val="null3"/>
      </w:pPr>
    </w:p>
    <w:p>
      <w:pPr>
        <w:pStyle w:val="null3"/>
      </w:pPr>
    </w:p>
    <w:p>
      <w:pPr>
        <w:pStyle w:val="null3"/>
      </w:pPr>
    </w:p>
    <w:p>
      <w:pPr>
        <w:pStyle w:val="null3"/>
      </w:pPr>
      <w:r>
        <w:rPr/>
        <w:t>采购包1：</w:t>
      </w:r>
    </w:p>
    <w:p>
      <w:pPr>
        <w:pStyle w:val="null3"/>
      </w:pPr>
      <w:r>
        <w:rPr/>
        <w:t>/</w:t>
      </w:r>
    </w:p>
    <w:p>
      <w:pPr>
        <w:pStyle w:val="null3"/>
      </w:pPr>
    </w:p>
    <w:p>
      <w:pPr>
        <w:pStyle w:val="null3"/>
      </w:pPr>
      <w:r>
        <w:rPr/>
        <w:t>采购包2：</w:t>
      </w:r>
    </w:p>
    <w:p>
      <w:pPr>
        <w:pStyle w:val="null3"/>
      </w:pPr>
      <w:r>
        <w:rPr/>
        <w:t>/</w:t>
      </w:r>
    </w:p>
    <w:p>
      <w:pPr>
        <w:pStyle w:val="null3"/>
      </w:pPr>
    </w:p>
    <w:p>
      <w:pPr>
        <w:pStyle w:val="null3"/>
      </w:pPr>
      <w:r>
        <w:rPr/>
        <w:t>采购包3：</w:t>
      </w:r>
    </w:p>
    <w:p>
      <w:pPr>
        <w:pStyle w:val="null3"/>
      </w:pPr>
      <w:r>
        <w:rPr/>
        <w:t>/</w:t>
      </w:r>
    </w:p>
    <w:p>
      <w:pPr>
        <w:pStyle w:val="null3"/>
        <w:outlineLvl w:val="3"/>
      </w:pPr>
      <w:r>
        <w:rPr>
          <w:b/>
          <w:sz w:val="24"/>
        </w:rPr>
        <w:t>3.2.5其他要求</w:t>
      </w:r>
    </w:p>
    <w:p>
      <w:pPr>
        <w:pStyle w:val="null3"/>
      </w:pPr>
    </w:p>
    <w:p>
      <w:pPr>
        <w:pStyle w:val="null3"/>
      </w:pPr>
    </w:p>
    <w:p>
      <w:pPr>
        <w:pStyle w:val="null3"/>
      </w:pPr>
    </w:p>
    <w:p>
      <w:pPr>
        <w:pStyle w:val="null3"/>
      </w:pPr>
      <w:r>
        <w:rPr/>
        <w:t>采购包1：</w:t>
      </w:r>
    </w:p>
    <w:p>
      <w:pPr>
        <w:pStyle w:val="null3"/>
      </w:pPr>
      <w:r>
        <w:rPr/>
        <w:t>/</w:t>
      </w:r>
    </w:p>
    <w:p>
      <w:pPr>
        <w:pStyle w:val="null3"/>
      </w:pPr>
    </w:p>
    <w:p>
      <w:pPr>
        <w:pStyle w:val="null3"/>
      </w:pPr>
      <w:r>
        <w:rPr/>
        <w:t>采购包2：</w:t>
      </w:r>
    </w:p>
    <w:p>
      <w:pPr>
        <w:pStyle w:val="null3"/>
      </w:pPr>
      <w:r>
        <w:rPr/>
        <w:t>/</w:t>
      </w:r>
    </w:p>
    <w:p>
      <w:pPr>
        <w:pStyle w:val="null3"/>
      </w:pPr>
    </w:p>
    <w:p>
      <w:pPr>
        <w:pStyle w:val="null3"/>
      </w:pPr>
      <w:r>
        <w:rPr/>
        <w:t>采购包3：</w:t>
      </w:r>
    </w:p>
    <w:p>
      <w:pPr>
        <w:pStyle w:val="null3"/>
      </w:pPr>
      <w:r>
        <w:rPr/>
        <w:t>/</w:t>
      </w:r>
    </w:p>
    <w:p>
      <w:pPr>
        <w:pStyle w:val="null3"/>
        <w:outlineLvl w:val="2"/>
      </w:pPr>
      <w:r>
        <w:rPr>
          <w:b/>
          <w:sz w:val="28"/>
        </w:rPr>
        <w:t>3.3商务要求</w:t>
      </w:r>
    </w:p>
    <w:p>
      <w:pPr>
        <w:pStyle w:val="null3"/>
        <w:outlineLvl w:val="3"/>
      </w:pPr>
      <w:r>
        <w:rPr>
          <w:b/>
          <w:sz w:val="24"/>
        </w:rPr>
        <w:t>3.3.1服务期限</w:t>
      </w:r>
    </w:p>
    <w:p>
      <w:pPr>
        <w:pStyle w:val="null3"/>
      </w:pPr>
    </w:p>
    <w:p>
      <w:pPr>
        <w:pStyle w:val="null3"/>
      </w:pPr>
    </w:p>
    <w:p>
      <w:pPr>
        <w:pStyle w:val="null3"/>
      </w:pPr>
    </w:p>
    <w:p>
      <w:pPr>
        <w:pStyle w:val="null3"/>
      </w:pPr>
      <w:r>
        <w:rPr/>
        <w:t>采购包1：</w:t>
      </w:r>
    </w:p>
    <w:p>
      <w:pPr>
        <w:pStyle w:val="null3"/>
      </w:pPr>
      <w:r>
        <w:rPr/>
        <w:t xml:space="preserve"> 自合同签订之日起365日</w:t>
      </w:r>
    </w:p>
    <w:p>
      <w:pPr>
        <w:pStyle w:val="null3"/>
      </w:pPr>
    </w:p>
    <w:p>
      <w:pPr>
        <w:pStyle w:val="null3"/>
      </w:pPr>
      <w:r>
        <w:rPr/>
        <w:t>采购包2：</w:t>
      </w:r>
    </w:p>
    <w:p>
      <w:pPr>
        <w:pStyle w:val="null3"/>
      </w:pPr>
      <w:r>
        <w:rPr/>
        <w:t xml:space="preserve"> 自合同签订之日起365日</w:t>
      </w:r>
    </w:p>
    <w:p>
      <w:pPr>
        <w:pStyle w:val="null3"/>
      </w:pPr>
    </w:p>
    <w:p>
      <w:pPr>
        <w:pStyle w:val="null3"/>
      </w:pPr>
      <w:r>
        <w:rPr/>
        <w:t>采购包3：</w:t>
      </w:r>
    </w:p>
    <w:p>
      <w:pPr>
        <w:pStyle w:val="null3"/>
      </w:pPr>
      <w:r>
        <w:rPr/>
        <w:t xml:space="preserve"> 自合同签订之日起365日</w:t>
      </w:r>
    </w:p>
    <w:p>
      <w:pPr>
        <w:pStyle w:val="null3"/>
        <w:outlineLvl w:val="3"/>
      </w:pPr>
      <w:r>
        <w:rPr>
          <w:b/>
          <w:sz w:val="24"/>
        </w:rPr>
        <w:t>3.3.2服务地点</w:t>
      </w:r>
    </w:p>
    <w:p>
      <w:pPr>
        <w:pStyle w:val="null3"/>
      </w:pPr>
    </w:p>
    <w:p>
      <w:pPr>
        <w:pStyle w:val="null3"/>
      </w:pPr>
    </w:p>
    <w:p>
      <w:pPr>
        <w:pStyle w:val="null3"/>
      </w:pPr>
    </w:p>
    <w:p>
      <w:pPr>
        <w:pStyle w:val="null3"/>
      </w:pPr>
      <w:r>
        <w:rPr/>
        <w:t>采购包1：</w:t>
      </w:r>
    </w:p>
    <w:p>
      <w:pPr>
        <w:pStyle w:val="null3"/>
      </w:pPr>
      <w:r>
        <w:rPr/>
        <w:t>采购人指定地点</w:t>
      </w:r>
    </w:p>
    <w:p>
      <w:pPr>
        <w:pStyle w:val="null3"/>
      </w:pPr>
    </w:p>
    <w:p>
      <w:pPr>
        <w:pStyle w:val="null3"/>
      </w:pPr>
      <w:r>
        <w:rPr/>
        <w:t>采购包2：</w:t>
      </w:r>
    </w:p>
    <w:p>
      <w:pPr>
        <w:pStyle w:val="null3"/>
      </w:pPr>
      <w:r>
        <w:rPr/>
        <w:t>采购人指定地点</w:t>
      </w:r>
    </w:p>
    <w:p>
      <w:pPr>
        <w:pStyle w:val="null3"/>
      </w:pPr>
    </w:p>
    <w:p>
      <w:pPr>
        <w:pStyle w:val="null3"/>
      </w:pPr>
      <w:r>
        <w:rPr/>
        <w:t>采购包3：</w:t>
      </w:r>
    </w:p>
    <w:p>
      <w:pPr>
        <w:pStyle w:val="null3"/>
      </w:pPr>
      <w:r>
        <w:rPr/>
        <w:t>采购人指定地点</w:t>
      </w:r>
    </w:p>
    <w:p>
      <w:pPr>
        <w:pStyle w:val="null3"/>
        <w:outlineLvl w:val="3"/>
      </w:pPr>
      <w:r>
        <w:rPr>
          <w:b/>
          <w:sz w:val="24"/>
        </w:rPr>
        <w:t>3.3.3考核（验收）标准和方法</w:t>
      </w:r>
    </w:p>
    <w:p>
      <w:pPr>
        <w:pStyle w:val="null3"/>
      </w:pPr>
    </w:p>
    <w:p>
      <w:pPr>
        <w:pStyle w:val="null3"/>
      </w:pPr>
    </w:p>
    <w:p>
      <w:pPr>
        <w:pStyle w:val="null3"/>
      </w:pPr>
    </w:p>
    <w:p>
      <w:pPr>
        <w:pStyle w:val="null3"/>
      </w:pPr>
      <w:r>
        <w:rPr/>
        <w:t>采购包1：</w:t>
      </w:r>
    </w:p>
    <w:p>
      <w:pPr>
        <w:pStyle w:val="null3"/>
      </w:pPr>
      <w:r>
        <w:rPr/>
        <w:t>保险服务期满，投保人按照《四川省政府采购项目需求论证和履约验收管理办法》组织验收</w:t>
      </w:r>
    </w:p>
    <w:p>
      <w:pPr>
        <w:pStyle w:val="null3"/>
      </w:pPr>
    </w:p>
    <w:p>
      <w:pPr>
        <w:pStyle w:val="null3"/>
      </w:pPr>
      <w:r>
        <w:rPr/>
        <w:t>采购包2：</w:t>
      </w:r>
    </w:p>
    <w:p>
      <w:pPr>
        <w:pStyle w:val="null3"/>
      </w:pPr>
      <w:r>
        <w:rPr/>
        <w:t>保险服务期满，投保人按照《四川省政府采购项目需求论证和履约验收管理办法》组织验收</w:t>
      </w:r>
    </w:p>
    <w:p>
      <w:pPr>
        <w:pStyle w:val="null3"/>
      </w:pPr>
    </w:p>
    <w:p>
      <w:pPr>
        <w:pStyle w:val="null3"/>
      </w:pPr>
      <w:r>
        <w:rPr/>
        <w:t>采购包3：</w:t>
      </w:r>
    </w:p>
    <w:p>
      <w:pPr>
        <w:pStyle w:val="null3"/>
      </w:pPr>
      <w:r>
        <w:rPr/>
        <w:t>保险服务期满，投保人按照《四川省政府采购项目需求论证和履约验收管理办法》组织验收。</w:t>
      </w:r>
    </w:p>
    <w:p>
      <w:pPr>
        <w:pStyle w:val="null3"/>
        <w:outlineLvl w:val="3"/>
      </w:pPr>
      <w:r>
        <w:rPr>
          <w:b/>
          <w:sz w:val="24"/>
        </w:rPr>
        <w:t>3.3.4支付方式</w:t>
      </w:r>
    </w:p>
    <w:p>
      <w:pPr>
        <w:pStyle w:val="null3"/>
      </w:pPr>
    </w:p>
    <w:p>
      <w:pPr>
        <w:pStyle w:val="null3"/>
      </w:pPr>
    </w:p>
    <w:p>
      <w:pPr>
        <w:pStyle w:val="null3"/>
      </w:pPr>
    </w:p>
    <w:p>
      <w:pPr>
        <w:pStyle w:val="null3"/>
      </w:pPr>
      <w:r>
        <w:rPr/>
        <w:t>采购包1：</w:t>
      </w:r>
    </w:p>
    <w:p>
      <w:pPr>
        <w:pStyle w:val="null3"/>
      </w:pPr>
      <w:r>
        <w:rPr/>
        <w:t>一次付清</w:t>
      </w:r>
    </w:p>
    <w:p>
      <w:pPr>
        <w:pStyle w:val="null3"/>
      </w:pPr>
    </w:p>
    <w:p>
      <w:pPr>
        <w:pStyle w:val="null3"/>
      </w:pPr>
      <w:r>
        <w:rPr/>
        <w:t>采购包2：</w:t>
      </w:r>
    </w:p>
    <w:p>
      <w:pPr>
        <w:pStyle w:val="null3"/>
      </w:pPr>
      <w:r>
        <w:rPr/>
        <w:t>一次付清</w:t>
      </w:r>
    </w:p>
    <w:p>
      <w:pPr>
        <w:pStyle w:val="null3"/>
      </w:pPr>
    </w:p>
    <w:p>
      <w:pPr>
        <w:pStyle w:val="null3"/>
      </w:pPr>
      <w:r>
        <w:rPr/>
        <w:t>采购包3：</w:t>
      </w:r>
    </w:p>
    <w:p>
      <w:pPr>
        <w:pStyle w:val="null3"/>
      </w:pPr>
      <w:r>
        <w:rPr/>
        <w:t>一次付清</w:t>
      </w:r>
    </w:p>
    <w:p>
      <w:pPr>
        <w:pStyle w:val="null3"/>
        <w:outlineLvl w:val="3"/>
      </w:pPr>
      <w:r>
        <w:rPr>
          <w:b/>
          <w:sz w:val="24"/>
        </w:rPr>
        <w:t>3.3.5.支付约定</w:t>
      </w:r>
    </w:p>
    <w:p>
      <w:pPr>
        <w:pStyle w:val="null3"/>
      </w:pPr>
    </w:p>
    <w:p>
      <w:pPr>
        <w:pStyle w:val="null3"/>
      </w:pPr>
    </w:p>
    <w:p>
      <w:pPr>
        <w:pStyle w:val="null3"/>
      </w:pPr>
    </w:p>
    <w:p>
      <w:pPr>
        <w:pStyle w:val="null3"/>
      </w:pPr>
      <w:r>
        <w:rPr/>
        <w:t>采购包1：</w:t>
      </w:r>
      <w:r>
        <w:rPr/>
        <w:t xml:space="preserve"> 付款条件说明： </w:t>
      </w:r>
      <w:r>
        <w:rPr/>
        <w:t>签订项目实施合同后，各县（区）在</w:t>
      </w:r>
      <w:r>
        <w:rPr/>
        <w:t xml:space="preserve"> ，达到付款条件起 </w:t>
      </w:r>
      <w:r>
        <w:rPr/>
        <w:t>30</w:t>
      </w:r>
      <w:r>
        <w:rPr/>
        <w:t xml:space="preserve"> 日内，支付合同总金额的 </w:t>
      </w:r>
      <w:r>
        <w:rPr/>
        <w:t>100.00</w:t>
      </w:r>
      <w:r>
        <w:rPr/>
        <w:t>%。</w:t>
      </w:r>
    </w:p>
    <w:p>
      <w:pPr>
        <w:pStyle w:val="null3"/>
      </w:pPr>
    </w:p>
    <w:p>
      <w:pPr>
        <w:pStyle w:val="null3"/>
      </w:pPr>
      <w:r>
        <w:rPr/>
        <w:t>采购包2：</w:t>
      </w:r>
      <w:r>
        <w:rPr/>
        <w:t xml:space="preserve"> 付款条件说明： </w:t>
      </w:r>
      <w:r>
        <w:rPr/>
        <w:t>签订项目实施合同后，各县（区）在</w:t>
      </w:r>
      <w:r>
        <w:rPr/>
        <w:t xml:space="preserve"> ，达到付款条件起 </w:t>
      </w:r>
      <w:r>
        <w:rPr/>
        <w:t>30</w:t>
      </w:r>
      <w:r>
        <w:rPr/>
        <w:t xml:space="preserve"> 日内，支付合同总金额的 </w:t>
      </w:r>
      <w:r>
        <w:rPr/>
        <w:t>100.00</w:t>
      </w:r>
      <w:r>
        <w:rPr/>
        <w:t>%。</w:t>
      </w:r>
    </w:p>
    <w:p>
      <w:pPr>
        <w:pStyle w:val="null3"/>
      </w:pPr>
    </w:p>
    <w:p>
      <w:pPr>
        <w:pStyle w:val="null3"/>
      </w:pPr>
      <w:r>
        <w:rPr/>
        <w:t>采购包3：</w:t>
      </w:r>
      <w:r>
        <w:rPr/>
        <w:t xml:space="preserve"> 付款条件说明： </w:t>
      </w:r>
      <w:r>
        <w:rPr/>
        <w:t>签订项目实施合同后，各县（区）在</w:t>
      </w:r>
      <w:r>
        <w:rPr/>
        <w:t xml:space="preserve"> ，达到付款条件起 </w:t>
      </w:r>
      <w:r>
        <w:rPr/>
        <w:t>30</w:t>
      </w:r>
      <w:r>
        <w:rPr/>
        <w:t xml:space="preserve"> 日内，支付合同总金额的 </w:t>
      </w:r>
      <w:r>
        <w:rPr/>
        <w:t>100.00</w:t>
      </w:r>
      <w:r>
        <w:rPr/>
        <w:t>%。</w:t>
      </w:r>
    </w:p>
    <w:p>
      <w:pPr>
        <w:pStyle w:val="null3"/>
        <w:outlineLvl w:val="3"/>
      </w:pPr>
      <w:r>
        <w:rPr>
          <w:b/>
          <w:sz w:val="24"/>
        </w:rPr>
        <w:t>3.3.6违约责任与解决争议的方法</w:t>
      </w:r>
    </w:p>
    <w:p>
      <w:pPr>
        <w:pStyle w:val="null3"/>
      </w:pPr>
    </w:p>
    <w:p>
      <w:pPr>
        <w:pStyle w:val="null3"/>
      </w:pPr>
    </w:p>
    <w:p>
      <w:pPr>
        <w:pStyle w:val="null3"/>
      </w:pPr>
    </w:p>
    <w:p>
      <w:pPr>
        <w:pStyle w:val="null3"/>
      </w:pPr>
      <w:r>
        <w:rPr/>
        <w:t>采购包1：</w:t>
      </w:r>
    </w:p>
    <w:p>
      <w:pPr>
        <w:pStyle w:val="null3"/>
      </w:pPr>
      <w:r>
        <w:rPr/>
        <w:t>1. 违约责任： ①采购人及投标人双方必须遵守采购合同并执行合同中的各项规定，保证采购合同的正常履行。任何一方违约给对方造成的直接损失均负有赔偿责任，对方均有权视情况要求对方继续履行合同或提出解除合同。 ②如因投标人在履行过程中的疏忽、失职、过错等故意或者过失原因给采购人造成损失或侵害，包括但不限于采购人本身的财产损失、由此而导致的采购人对任何第三方的法律责任等，投标人对此均应承担全部的赔偿责任。 ③如投标人提交的成果达不到相关质量要求或未按采购人时间进度安排完成成果，采购人有权扣除合同支付金额和提出解除合同。 2.争议解决办法： ①采购人及投标人双方就采购合同所产生的任何争议都应该进行友好协商，协商解决不成的，任何一方均可向项目所在地仲裁委员会申请仲裁。 ②仲裁费应由败诉方承担。 ③在仲裁期间，除正在进行仲裁的部分外，合同其他部分继续执行。</w:t>
      </w:r>
    </w:p>
    <w:p>
      <w:pPr>
        <w:pStyle w:val="null3"/>
      </w:pPr>
    </w:p>
    <w:p>
      <w:pPr>
        <w:pStyle w:val="null3"/>
      </w:pPr>
      <w:r>
        <w:rPr/>
        <w:t>采购包2：</w:t>
      </w:r>
    </w:p>
    <w:p>
      <w:pPr>
        <w:pStyle w:val="null3"/>
      </w:pPr>
      <w:r>
        <w:rPr/>
        <w:t>1. 违约责任： ①采购人及投标人双方必须遵守采购合同并执行合同中的各项规定，保证采购合同的正常履行。任何一方违约给对方造成的直接损失均负有赔偿责任，对方均有权视情况要求对方继续履行合同或提出解除合同。 ②如因投标人在履行过程中的疏忽、失职、过错等故意或者过失原因给采购人造成损失或侵害，包括但不限于采购人本身的财产损失、由此而导致的采购人对任何第三方的法律责任等，投标人对此均应承担全部的赔偿责任。 ③如投标人提交的成果达不到相关质量要求或未按采购人时间进度安排完成成果，采购人有权扣除合同支付金额和提出解除合同。 2.争议解决办法： ①采购人及投标人双方就采购合同所产生的任何争议都应该进行友好协商，协商解决不成的，任何一方均可向项目所在地仲裁委员会申请仲裁。 ②仲裁费应由败诉方承担。 ③在仲裁期间，除正在进行仲裁的部分外，合同其他部分继续执行。</w:t>
      </w:r>
    </w:p>
    <w:p>
      <w:pPr>
        <w:pStyle w:val="null3"/>
      </w:pPr>
    </w:p>
    <w:p>
      <w:pPr>
        <w:pStyle w:val="null3"/>
      </w:pPr>
      <w:r>
        <w:rPr/>
        <w:t>采购包3：</w:t>
      </w:r>
    </w:p>
    <w:p>
      <w:pPr>
        <w:pStyle w:val="null3"/>
      </w:pPr>
      <w:r>
        <w:rPr/>
        <w:t>1. 违约责任： ①采购人及投标人双方必须遵守采购合同并执行合同中的各项规定，保证采购合同的正常履行。任何一方违约给对方造成的直接损失均负有赔偿责任，对方均有权视情况要求对方继续履行合同或提出解除合同。 ②如因投标人在履行过程中的疏忽、失职、过错等故意或者过失原因给采购人造成损失或侵害，包括但不限于采购人本身的财产损失、由此而导致的采购人对任何第三方的法律责任等，投标人对此均应承担全部的赔偿责任。 ③如投标人提交的成果达不到相关质量要求或未按采购人时间进度安排完成成果，采购人有权扣除合同支付金额和提出解除合同。 2.争议解决办法： ①采购人及投标人双方就采购合同所产生的任何争议都应该进行友好协商，协商解决不成的，任何一方均可向项目所在地仲裁委员会申请仲裁。 ②仲裁费应由败诉方承担。 ③在仲裁期间，除正在进行仲裁的部分外，合同其他部分继续执行。</w:t>
      </w:r>
    </w:p>
    <w:p>
      <w:pPr>
        <w:pStyle w:val="null3"/>
        <w:jc w:val="left"/>
        <w:outlineLvl w:val="2"/>
      </w:pPr>
      <w:r>
        <w:rPr>
          <w:b/>
          <w:sz w:val="28"/>
        </w:rPr>
        <w:t>3.4其他要求</w:t>
      </w:r>
    </w:p>
    <w:p>
      <w:pPr>
        <w:pStyle w:val="null3"/>
      </w:pPr>
    </w:p>
    <w:p>
      <w:pPr>
        <w:pStyle w:val="null3"/>
      </w:pPr>
    </w:p>
    <w:p>
      <w:pPr>
        <w:pStyle w:val="null3"/>
      </w:pPr>
      <w:r>
        <w:rPr/>
        <w:t>1、本项目为采用固定价格采购的项目，其价格不列为评审因素。2、项目采取兼投不兼中原则确定承保机构3家。符合条件的投标人可投一个包也可同时投多个包，每投一个包需提供相应的应标文件。评标时，按照包1、包2、包3依次评审，一个投标人不能同时成为两个或以上项目包的第一中标候选人，即投标人一旦被推荐为上一个项目包的第一中标候选人，则不再参与后续包的评审。例：在包1确定为第一中标候选人，则不再参与包2、包3的评审，在包2确定为第一中标候选人，则不再参与包3的评审。3、保险期限为一年，以保险单载明的起讫时间为准。4、付款方式：签订项目实施合同后，各县（区）、高新区、临空经济区在一个月内向承保公司支付合同约定的承保资金。</w:t>
      </w:r>
    </w:p>
    <w:p>
      <w:pPr>
        <w:pStyle w:val="null3"/>
      </w:pPr>
    </w:p>
    <w:p>
      <w:pPr>
        <w:pStyle w:val="null3"/>
      </w:pPr>
      <w:r>
        <w:rPr/>
        <w:t xml:space="preserve"> </w:t>
      </w:r>
    </w:p>
    <w:p>
      <w:pPr>
        <w:pStyle w:val="null3"/>
        <w:jc w:val="center"/>
        <w:outlineLvl w:val="1"/>
      </w:pPr>
      <w:r>
        <w:rPr>
          <w:b/>
          <w:sz w:val="36"/>
        </w:rPr>
        <w:t>第四章 资格审查</w:t>
      </w:r>
    </w:p>
    <w:p>
      <w:pPr>
        <w:pStyle w:val="null3"/>
      </w:pPr>
    </w:p>
    <w:p>
      <w:pPr>
        <w:pStyle w:val="null3"/>
      </w:pPr>
    </w:p>
    <w:p>
      <w:pPr>
        <w:pStyle w:val="null3"/>
        <w:ind w:firstLine="480"/>
      </w:pPr>
      <w:r>
        <w:rPr/>
        <w:t xml:space="preserve"> 资格审查由 </w:t>
      </w:r>
      <w:r>
        <w:rPr/>
        <w:t>资阳市民政局和四川铂睿招标代理有限公司</w:t>
      </w:r>
      <w:r>
        <w:rPr/>
        <w:t xml:space="preserve"> 组建的资格审查小组依据法律法规和招标文件的规定，对投标文件中的资格证明等进行审查，以确定投标人是否具备投标资格，并出具资格审查报告。</w:t>
      </w:r>
    </w:p>
    <w:p>
      <w:pPr>
        <w:pStyle w:val="null3"/>
        <w:outlineLvl w:val="2"/>
      </w:pPr>
      <w:r>
        <w:rPr>
          <w:b/>
          <w:sz w:val="28"/>
        </w:rPr>
        <w:t>4.1一般资格审查</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具有独立承担民事责任的能力。</w:t>
            </w:r>
          </w:p>
        </w:tc>
        <w:tc>
          <w:tcPr>
            <w:tcW w:type="dxa" w:w="3322"/>
          </w:tcPr>
          <w:p>
            <w:pPr>
              <w:pStyle w:val="null3"/>
            </w:pPr>
            <w:r>
              <w:rPr/>
              <w:t>①供应商若为企业法人（非法人机构投标必须获得其法人授权）：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第①-④项具有同等效力，投标人可根据自身实际情况选择提供其中任意一项。） 供应商需在项目电子化交易系统中按要求填写《投标（响应）函》完成承诺并进行电子签章。</w:t>
            </w:r>
          </w:p>
        </w:tc>
        <w:tc>
          <w:tcPr>
            <w:tcW w:type="dxa" w:w="1661"/>
          </w:tcPr>
          <w:p>
            <w:pPr>
              <w:pStyle w:val="null3"/>
            </w:pPr>
            <w:r>
              <w:rPr/>
              <w:t>投标（响应）函 投标人应提交的相关资格证明材料</w:t>
            </w:r>
          </w:p>
        </w:tc>
      </w:tr>
      <w:tr>
        <w:tc>
          <w:tcPr>
            <w:tcW w:type="dxa" w:w="831"/>
          </w:tcPr>
          <w:p>
            <w:pPr>
              <w:pStyle w:val="null3"/>
            </w:pPr>
            <w:r>
              <w:rPr/>
              <w:t>2</w:t>
            </w:r>
          </w:p>
        </w:tc>
        <w:tc>
          <w:tcPr>
            <w:tcW w:type="dxa" w:w="2492"/>
          </w:tcPr>
          <w:p>
            <w:pPr>
              <w:pStyle w:val="null3"/>
            </w:pPr>
            <w:r>
              <w:rPr/>
              <w:t>具有良好的商业信誉</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3</w:t>
            </w:r>
          </w:p>
        </w:tc>
        <w:tc>
          <w:tcPr>
            <w:tcW w:type="dxa" w:w="2492"/>
          </w:tcPr>
          <w:p>
            <w:pPr>
              <w:pStyle w:val="null3"/>
            </w:pPr>
            <w:r>
              <w:rPr/>
              <w:t>具有健全的财务会计制度。</w:t>
            </w:r>
          </w:p>
        </w:tc>
        <w:tc>
          <w:tcPr>
            <w:tcW w:type="dxa" w:w="3322"/>
          </w:tcPr>
          <w:p>
            <w:pPr>
              <w:pStyle w:val="null3"/>
            </w:pPr>
            <w:r>
              <w:rPr/>
              <w:t>①提供2021年度或2022年度经审计的财务报告复印件（包含审计报告和审计报告中所涉及的财务报表和报表附注）；②提供2021年度或2022年度投标人内部的财务报表复印件（至少包含资产负债表）；③提供距文件递交截止日一年内银行出具的资信证明（复印件）；④投标人注册时间至文件递交截止日不足一年的，提供公司章程复印件；⑤投标人为事业单位或其他组织（不具备法人条件的组织，如合伙组织、个体工商户、农村承包经营户等）或自然人时，可只提供承诺函。（注：具备健全的财务会计制度的证明材料中第①-⑤项具有同等效力，投标人可根据自身实际情况选择提供其中任意一项），投标人需在项目电子化交易系统中按要求上传相应证明文件并进行电子签章。</w:t>
            </w:r>
          </w:p>
        </w:tc>
        <w:tc>
          <w:tcPr>
            <w:tcW w:type="dxa" w:w="1661"/>
          </w:tcPr>
          <w:p>
            <w:pPr>
              <w:pStyle w:val="null3"/>
            </w:pPr>
            <w:r>
              <w:rPr/>
              <w:t>投标（响应）函 投标人应提交的相关资格证明材料</w:t>
            </w:r>
          </w:p>
        </w:tc>
      </w:tr>
      <w:tr>
        <w:tc>
          <w:tcPr>
            <w:tcW w:type="dxa" w:w="831"/>
          </w:tcPr>
          <w:p>
            <w:pPr>
              <w:pStyle w:val="null3"/>
            </w:pPr>
            <w:r>
              <w:rPr/>
              <w:t>4</w:t>
            </w:r>
          </w:p>
        </w:tc>
        <w:tc>
          <w:tcPr>
            <w:tcW w:type="dxa" w:w="2492"/>
          </w:tcPr>
          <w:p>
            <w:pPr>
              <w:pStyle w:val="null3"/>
            </w:pPr>
            <w:r>
              <w:rPr/>
              <w:t>具有履行合同所必需的设备和专业技术能力。</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5</w:t>
            </w:r>
          </w:p>
        </w:tc>
        <w:tc>
          <w:tcPr>
            <w:tcW w:type="dxa" w:w="2492"/>
          </w:tcPr>
          <w:p>
            <w:pPr>
              <w:pStyle w:val="null3"/>
            </w:pPr>
            <w:r>
              <w:rPr/>
              <w:t>有依法缴纳税收和社会保障资金的良好记录。</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6</w:t>
            </w:r>
          </w:p>
        </w:tc>
        <w:tc>
          <w:tcPr>
            <w:tcW w:type="dxa" w:w="2492"/>
          </w:tcPr>
          <w:p>
            <w:pPr>
              <w:pStyle w:val="null3"/>
            </w:pPr>
            <w:r>
              <w:rPr/>
              <w:t>参加政府采购活动前三年内，在经营活动中没有重大违法记录。</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7</w:t>
            </w:r>
          </w:p>
        </w:tc>
        <w:tc>
          <w:tcPr>
            <w:tcW w:type="dxa" w:w="2492"/>
          </w:tcPr>
          <w:p>
            <w:pPr>
              <w:pStyle w:val="null3"/>
            </w:pPr>
            <w:r>
              <w:rPr/>
              <w:t>不存在与单位负责人为同一人或者存在直接控股、管理关系的其他供应商参与同一合同项下的政府采购活动的行为。</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8</w:t>
            </w:r>
          </w:p>
        </w:tc>
        <w:tc>
          <w:tcPr>
            <w:tcW w:type="dxa" w:w="2492"/>
          </w:tcPr>
          <w:p>
            <w:pPr>
              <w:pStyle w:val="null3"/>
            </w:pPr>
            <w:r>
              <w:rPr/>
              <w:t>不属于为本项目提供整体设计、规范编制或者项目管理、监理、检测等服务的供应商。</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bl>
    <w:p>
      <w:pPr>
        <w:pStyle w:val="null3"/>
      </w:pPr>
    </w:p>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具有独立承担民事责任的能力。</w:t>
            </w:r>
          </w:p>
        </w:tc>
        <w:tc>
          <w:tcPr>
            <w:tcW w:type="dxa" w:w="3322"/>
          </w:tcPr>
          <w:p>
            <w:pPr>
              <w:pStyle w:val="null3"/>
            </w:pPr>
            <w:r>
              <w:rPr/>
              <w:t>①供应商若为企业法人（非法人机构投标必须获得其法人授权）：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第①-④项具有同等效力，投标人可根据自身实际情况选择提供其中任意一项。） 供应商需在项目电子化交易系统中按要求填写《投标（响应）函》完成承诺并进行电子签章。</w:t>
            </w:r>
          </w:p>
        </w:tc>
        <w:tc>
          <w:tcPr>
            <w:tcW w:type="dxa" w:w="1661"/>
          </w:tcPr>
          <w:p>
            <w:pPr>
              <w:pStyle w:val="null3"/>
            </w:pPr>
            <w:r>
              <w:rPr/>
              <w:t>投标（响应）函 投标人应提交的相关资格证明材料</w:t>
            </w:r>
          </w:p>
        </w:tc>
      </w:tr>
      <w:tr>
        <w:tc>
          <w:tcPr>
            <w:tcW w:type="dxa" w:w="831"/>
          </w:tcPr>
          <w:p>
            <w:pPr>
              <w:pStyle w:val="null3"/>
            </w:pPr>
            <w:r>
              <w:rPr/>
              <w:t>2</w:t>
            </w:r>
          </w:p>
        </w:tc>
        <w:tc>
          <w:tcPr>
            <w:tcW w:type="dxa" w:w="2492"/>
          </w:tcPr>
          <w:p>
            <w:pPr>
              <w:pStyle w:val="null3"/>
            </w:pPr>
            <w:r>
              <w:rPr/>
              <w:t>具有良好的商业信誉</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3</w:t>
            </w:r>
          </w:p>
        </w:tc>
        <w:tc>
          <w:tcPr>
            <w:tcW w:type="dxa" w:w="2492"/>
          </w:tcPr>
          <w:p>
            <w:pPr>
              <w:pStyle w:val="null3"/>
            </w:pPr>
            <w:r>
              <w:rPr/>
              <w:t>具有健全的财务会计制度。</w:t>
            </w:r>
          </w:p>
        </w:tc>
        <w:tc>
          <w:tcPr>
            <w:tcW w:type="dxa" w:w="3322"/>
          </w:tcPr>
          <w:p>
            <w:pPr>
              <w:pStyle w:val="null3"/>
            </w:pPr>
            <w:r>
              <w:rPr/>
              <w:t>①提供2021年度或2022年度经审计的财务报告复印件（包含审计报告和审计报告中所涉及的财务报表和报表附注）；②提供2021年度或2022年度投标人内部的财务报表复印件（至少包含资产负债表）；③提供距文件递交截止日一年内银行出具的资信证明（复印件）；④投标人注册时间至文件递交截止日不足一年的，提供公司章程复印件；⑤投标人为事业单位或其他组织（不具备法人条件的组织，如合伙组织、个体工商户、农村承包经营户等）或自然人时，可只提供承诺函。（注：具备健全的财务会计制度的证明材料中第①-⑤项具有同等效力，投标人可根据自身实际情况选择提供其中任意一项），投标人需在项目电子化交易系统中按要求上传相应证明文件并进行电子签章。</w:t>
            </w:r>
          </w:p>
        </w:tc>
        <w:tc>
          <w:tcPr>
            <w:tcW w:type="dxa" w:w="1661"/>
          </w:tcPr>
          <w:p>
            <w:pPr>
              <w:pStyle w:val="null3"/>
            </w:pPr>
            <w:r>
              <w:rPr/>
              <w:t>投标（响应）函 投标人应提交的相关资格证明材料</w:t>
            </w:r>
          </w:p>
        </w:tc>
      </w:tr>
      <w:tr>
        <w:tc>
          <w:tcPr>
            <w:tcW w:type="dxa" w:w="831"/>
          </w:tcPr>
          <w:p>
            <w:pPr>
              <w:pStyle w:val="null3"/>
            </w:pPr>
            <w:r>
              <w:rPr/>
              <w:t>4</w:t>
            </w:r>
          </w:p>
        </w:tc>
        <w:tc>
          <w:tcPr>
            <w:tcW w:type="dxa" w:w="2492"/>
          </w:tcPr>
          <w:p>
            <w:pPr>
              <w:pStyle w:val="null3"/>
            </w:pPr>
            <w:r>
              <w:rPr/>
              <w:t>具有履行合同所必需的设备和专业技术能力。</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5</w:t>
            </w:r>
          </w:p>
        </w:tc>
        <w:tc>
          <w:tcPr>
            <w:tcW w:type="dxa" w:w="2492"/>
          </w:tcPr>
          <w:p>
            <w:pPr>
              <w:pStyle w:val="null3"/>
            </w:pPr>
            <w:r>
              <w:rPr/>
              <w:t>有依法缴纳税收和社会保障资金的良好记录。</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6</w:t>
            </w:r>
          </w:p>
        </w:tc>
        <w:tc>
          <w:tcPr>
            <w:tcW w:type="dxa" w:w="2492"/>
          </w:tcPr>
          <w:p>
            <w:pPr>
              <w:pStyle w:val="null3"/>
            </w:pPr>
            <w:r>
              <w:rPr/>
              <w:t>参加政府采购活动前三年内，在经营活动中没有重大违法记录。</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7</w:t>
            </w:r>
          </w:p>
        </w:tc>
        <w:tc>
          <w:tcPr>
            <w:tcW w:type="dxa" w:w="2492"/>
          </w:tcPr>
          <w:p>
            <w:pPr>
              <w:pStyle w:val="null3"/>
            </w:pPr>
            <w:r>
              <w:rPr/>
              <w:t>不存在与单位负责人为同一人或者存在直接控股、管理关系的其他供应商参与同一合同项下的政府采购活动的行为。</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8</w:t>
            </w:r>
          </w:p>
        </w:tc>
        <w:tc>
          <w:tcPr>
            <w:tcW w:type="dxa" w:w="2492"/>
          </w:tcPr>
          <w:p>
            <w:pPr>
              <w:pStyle w:val="null3"/>
            </w:pPr>
            <w:r>
              <w:rPr/>
              <w:t>不属于为本项目提供整体设计、规范编制或者项目管理、监理、检测等服务的供应商。</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bl>
    <w:p>
      <w:pPr>
        <w:pStyle w:val="null3"/>
      </w:pPr>
    </w:p>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具有独立承担民事责任的能力。</w:t>
            </w:r>
          </w:p>
        </w:tc>
        <w:tc>
          <w:tcPr>
            <w:tcW w:type="dxa" w:w="3322"/>
          </w:tcPr>
          <w:p>
            <w:pPr>
              <w:pStyle w:val="null3"/>
            </w:pPr>
            <w:r>
              <w:rPr/>
              <w:t>①供应商若为企业法人（非法人机构投标必须获得其法人授权）：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第①-④项具有同等效力，投标人可根据自身实际情况选择提供其中任意一项。） 供应商需在项目电子化交易系统中按要求填写《投标（响应）函》完成承诺并进行电子签章。</w:t>
            </w:r>
          </w:p>
        </w:tc>
        <w:tc>
          <w:tcPr>
            <w:tcW w:type="dxa" w:w="1661"/>
          </w:tcPr>
          <w:p>
            <w:pPr>
              <w:pStyle w:val="null3"/>
            </w:pPr>
            <w:r>
              <w:rPr/>
              <w:t>投标（响应）函 投标人应提交的相关资格证明材料</w:t>
            </w:r>
          </w:p>
        </w:tc>
      </w:tr>
      <w:tr>
        <w:tc>
          <w:tcPr>
            <w:tcW w:type="dxa" w:w="831"/>
          </w:tcPr>
          <w:p>
            <w:pPr>
              <w:pStyle w:val="null3"/>
            </w:pPr>
            <w:r>
              <w:rPr/>
              <w:t>2</w:t>
            </w:r>
          </w:p>
        </w:tc>
        <w:tc>
          <w:tcPr>
            <w:tcW w:type="dxa" w:w="2492"/>
          </w:tcPr>
          <w:p>
            <w:pPr>
              <w:pStyle w:val="null3"/>
            </w:pPr>
            <w:r>
              <w:rPr/>
              <w:t>具有良好的商业信誉</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3</w:t>
            </w:r>
          </w:p>
        </w:tc>
        <w:tc>
          <w:tcPr>
            <w:tcW w:type="dxa" w:w="2492"/>
          </w:tcPr>
          <w:p>
            <w:pPr>
              <w:pStyle w:val="null3"/>
            </w:pPr>
            <w:r>
              <w:rPr/>
              <w:t>具有健全的财务会计制度。</w:t>
            </w:r>
          </w:p>
        </w:tc>
        <w:tc>
          <w:tcPr>
            <w:tcW w:type="dxa" w:w="3322"/>
          </w:tcPr>
          <w:p>
            <w:pPr>
              <w:pStyle w:val="null3"/>
            </w:pPr>
            <w:r>
              <w:rPr/>
              <w:t>①提供2021年度或2022年度经审计的财务报告复印件（包含审计报告和审计报告中所涉及的财务报表和报表附注）；②提供2021年度或2022年度投标人内部的财务报表复印件（至少包含资产负债表）；③提供距文件递交截止日一年内银行出具的资信证明（复印件）；④投标人注册时间至文件递交截止日不足一年的，提供公司章程复印件；⑤投标人为事业单位或其他组织（不具备法人条件的组织，如合伙组织、个体工商户、农村承包经营户等）或自然人时，可只提供承诺函。（注：具备健全的财务会计制度的证明材料中第①-⑤项具有同等效力，投标人可根据自身实际情况选择提供其中任意一项），投标人需在项目电子化交易系统中按要求上传相应证明文件并进行电子签章。</w:t>
            </w:r>
          </w:p>
        </w:tc>
        <w:tc>
          <w:tcPr>
            <w:tcW w:type="dxa" w:w="1661"/>
          </w:tcPr>
          <w:p>
            <w:pPr>
              <w:pStyle w:val="null3"/>
            </w:pPr>
            <w:r>
              <w:rPr/>
              <w:t>投标（响应）函 投标人应提交的相关资格证明材料</w:t>
            </w:r>
          </w:p>
        </w:tc>
      </w:tr>
      <w:tr>
        <w:tc>
          <w:tcPr>
            <w:tcW w:type="dxa" w:w="831"/>
          </w:tcPr>
          <w:p>
            <w:pPr>
              <w:pStyle w:val="null3"/>
            </w:pPr>
            <w:r>
              <w:rPr/>
              <w:t>4</w:t>
            </w:r>
          </w:p>
        </w:tc>
        <w:tc>
          <w:tcPr>
            <w:tcW w:type="dxa" w:w="2492"/>
          </w:tcPr>
          <w:p>
            <w:pPr>
              <w:pStyle w:val="null3"/>
            </w:pPr>
            <w:r>
              <w:rPr/>
              <w:t>具有履行合同所必需的设备和专业技术能力。</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5</w:t>
            </w:r>
          </w:p>
        </w:tc>
        <w:tc>
          <w:tcPr>
            <w:tcW w:type="dxa" w:w="2492"/>
          </w:tcPr>
          <w:p>
            <w:pPr>
              <w:pStyle w:val="null3"/>
            </w:pPr>
            <w:r>
              <w:rPr/>
              <w:t>有依法缴纳税收和社会保障资金的良好记录。</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6</w:t>
            </w:r>
          </w:p>
        </w:tc>
        <w:tc>
          <w:tcPr>
            <w:tcW w:type="dxa" w:w="2492"/>
          </w:tcPr>
          <w:p>
            <w:pPr>
              <w:pStyle w:val="null3"/>
            </w:pPr>
            <w:r>
              <w:rPr/>
              <w:t>参加政府采购活动前三年内，在经营活动中没有重大违法记录。</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7</w:t>
            </w:r>
          </w:p>
        </w:tc>
        <w:tc>
          <w:tcPr>
            <w:tcW w:type="dxa" w:w="2492"/>
          </w:tcPr>
          <w:p>
            <w:pPr>
              <w:pStyle w:val="null3"/>
            </w:pPr>
            <w:r>
              <w:rPr/>
              <w:t>不存在与单位负责人为同一人或者存在直接控股、管理关系的其他供应商参与同一合同项下的政府采购活动的行为。</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8</w:t>
            </w:r>
          </w:p>
        </w:tc>
        <w:tc>
          <w:tcPr>
            <w:tcW w:type="dxa" w:w="2492"/>
          </w:tcPr>
          <w:p>
            <w:pPr>
              <w:pStyle w:val="null3"/>
            </w:pPr>
            <w:r>
              <w:rPr/>
              <w:t>不属于为本项目提供整体设计、规范编制或者项目管理、监理、检测等服务的供应商。</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bl>
    <w:p>
      <w:pPr>
        <w:pStyle w:val="null3"/>
        <w:outlineLvl w:val="2"/>
      </w:pPr>
      <w:r>
        <w:rPr>
          <w:b/>
          <w:sz w:val="28"/>
        </w:rPr>
        <w:t>4.2特殊资格审查</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投标人必须具有《经营保险业务许可证》</w:t>
            </w:r>
          </w:p>
        </w:tc>
        <w:tc>
          <w:tcPr>
            <w:tcW w:type="dxa" w:w="3322"/>
          </w:tcPr>
          <w:p>
            <w:pPr>
              <w:pStyle w:val="null3"/>
            </w:pPr>
            <w:r>
              <w:rPr/>
              <w:t>提供有效的《经营保险业务许可证》复印件</w:t>
            </w:r>
          </w:p>
        </w:tc>
        <w:tc>
          <w:tcPr>
            <w:tcW w:type="dxa" w:w="1661"/>
          </w:tcPr>
          <w:p>
            <w:pPr>
              <w:pStyle w:val="null3"/>
            </w:pPr>
            <w:r>
              <w:rPr/>
              <w:t>投标人应提交的相关资格证明材料</w:t>
            </w:r>
          </w:p>
        </w:tc>
      </w:tr>
      <w:tr>
        <w:tc>
          <w:tcPr>
            <w:tcW w:type="dxa" w:w="831"/>
          </w:tcPr>
          <w:p>
            <w:pPr>
              <w:pStyle w:val="null3"/>
            </w:pPr>
            <w:r>
              <w:rPr/>
              <w:t>2</w:t>
            </w:r>
          </w:p>
        </w:tc>
        <w:tc>
          <w:tcPr>
            <w:tcW w:type="dxa" w:w="2492"/>
          </w:tcPr>
          <w:p>
            <w:pPr>
              <w:pStyle w:val="null3"/>
            </w:pPr>
            <w:r>
              <w:rPr/>
              <w:t>参加本次政府采购活动前三年内，投标人未受到行业监管部门或其它行政部门的重大处罚</w:t>
            </w:r>
          </w:p>
        </w:tc>
        <w:tc>
          <w:tcPr>
            <w:tcW w:type="dxa" w:w="3322"/>
          </w:tcPr>
          <w:p>
            <w:pPr>
              <w:pStyle w:val="null3"/>
            </w:pPr>
            <w:r>
              <w:rPr/>
              <w:t>提供参加本次政府采购活动前三年内，投标人未受到行业监管部门或其它行政部门的重大处罚承诺函</w:t>
            </w:r>
          </w:p>
        </w:tc>
        <w:tc>
          <w:tcPr>
            <w:tcW w:type="dxa" w:w="1661"/>
          </w:tcPr>
          <w:p>
            <w:pPr>
              <w:pStyle w:val="null3"/>
            </w:pPr>
            <w:r>
              <w:rPr/>
              <w:t>投标人应提交的相关资格证明材料</w:t>
            </w:r>
          </w:p>
        </w:tc>
      </w:tr>
    </w:tbl>
    <w:p>
      <w:pPr>
        <w:pStyle w:val="null3"/>
      </w:pPr>
    </w:p>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投标人必须具有《经营保险业务许可证》</w:t>
            </w:r>
          </w:p>
        </w:tc>
        <w:tc>
          <w:tcPr>
            <w:tcW w:type="dxa" w:w="3322"/>
          </w:tcPr>
          <w:p>
            <w:pPr>
              <w:pStyle w:val="null3"/>
            </w:pPr>
            <w:r>
              <w:rPr/>
              <w:t>提供有效的《经营保险业务许可证》复印件</w:t>
            </w:r>
          </w:p>
        </w:tc>
        <w:tc>
          <w:tcPr>
            <w:tcW w:type="dxa" w:w="1661"/>
          </w:tcPr>
          <w:p>
            <w:pPr>
              <w:pStyle w:val="null3"/>
            </w:pPr>
            <w:r>
              <w:rPr/>
              <w:t>投标人应提交的相关资格证明材料</w:t>
            </w:r>
          </w:p>
        </w:tc>
      </w:tr>
      <w:tr>
        <w:tc>
          <w:tcPr>
            <w:tcW w:type="dxa" w:w="831"/>
          </w:tcPr>
          <w:p>
            <w:pPr>
              <w:pStyle w:val="null3"/>
            </w:pPr>
            <w:r>
              <w:rPr/>
              <w:t>2</w:t>
            </w:r>
          </w:p>
        </w:tc>
        <w:tc>
          <w:tcPr>
            <w:tcW w:type="dxa" w:w="2492"/>
          </w:tcPr>
          <w:p>
            <w:pPr>
              <w:pStyle w:val="null3"/>
            </w:pPr>
            <w:r>
              <w:rPr/>
              <w:t>参加本次政府采购活动前三年内，投标人未受到行业监管部门或其它行政部门的重大处罚</w:t>
            </w:r>
          </w:p>
        </w:tc>
        <w:tc>
          <w:tcPr>
            <w:tcW w:type="dxa" w:w="3322"/>
          </w:tcPr>
          <w:p>
            <w:pPr>
              <w:pStyle w:val="null3"/>
            </w:pPr>
            <w:r>
              <w:rPr/>
              <w:t>提供参加本次政府采购活动前三年内，投标人未受到行业监管部门或其它行政部门的重大处罚承诺函</w:t>
            </w:r>
          </w:p>
        </w:tc>
        <w:tc>
          <w:tcPr>
            <w:tcW w:type="dxa" w:w="1661"/>
          </w:tcPr>
          <w:p>
            <w:pPr>
              <w:pStyle w:val="null3"/>
            </w:pPr>
            <w:r>
              <w:rPr/>
              <w:t>投标人应提交的相关资格证明材料</w:t>
            </w:r>
          </w:p>
        </w:tc>
      </w:tr>
    </w:tbl>
    <w:p>
      <w:pPr>
        <w:pStyle w:val="null3"/>
      </w:pPr>
    </w:p>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投标人必须具有《经营保险业务许可证》</w:t>
            </w:r>
          </w:p>
        </w:tc>
        <w:tc>
          <w:tcPr>
            <w:tcW w:type="dxa" w:w="3322"/>
          </w:tcPr>
          <w:p>
            <w:pPr>
              <w:pStyle w:val="null3"/>
            </w:pPr>
            <w:r>
              <w:rPr/>
              <w:t>提供有效的《经营保险业务许可证》复印件</w:t>
            </w:r>
          </w:p>
        </w:tc>
        <w:tc>
          <w:tcPr>
            <w:tcW w:type="dxa" w:w="1661"/>
          </w:tcPr>
          <w:p>
            <w:pPr>
              <w:pStyle w:val="null3"/>
            </w:pPr>
            <w:r>
              <w:rPr/>
              <w:t>投标人应提交的相关资格证明材料</w:t>
            </w:r>
          </w:p>
        </w:tc>
      </w:tr>
      <w:tr>
        <w:tc>
          <w:tcPr>
            <w:tcW w:type="dxa" w:w="831"/>
          </w:tcPr>
          <w:p>
            <w:pPr>
              <w:pStyle w:val="null3"/>
            </w:pPr>
            <w:r>
              <w:rPr/>
              <w:t>2</w:t>
            </w:r>
          </w:p>
        </w:tc>
        <w:tc>
          <w:tcPr>
            <w:tcW w:type="dxa" w:w="2492"/>
          </w:tcPr>
          <w:p>
            <w:pPr>
              <w:pStyle w:val="null3"/>
            </w:pPr>
            <w:r>
              <w:rPr/>
              <w:t>参加本次政府采购活动前三年内，投标人未受到行业监管部门或其它行政部门的重大处罚</w:t>
            </w:r>
          </w:p>
        </w:tc>
        <w:tc>
          <w:tcPr>
            <w:tcW w:type="dxa" w:w="3322"/>
          </w:tcPr>
          <w:p>
            <w:pPr>
              <w:pStyle w:val="null3"/>
            </w:pPr>
            <w:r>
              <w:rPr/>
              <w:t>提供参加本次政府采购活动前三年内，投标人未受到行业监管部门或其它行政部门的重大处罚承诺函</w:t>
            </w:r>
          </w:p>
        </w:tc>
        <w:tc>
          <w:tcPr>
            <w:tcW w:type="dxa" w:w="1661"/>
          </w:tcPr>
          <w:p>
            <w:pPr>
              <w:pStyle w:val="null3"/>
            </w:pPr>
            <w:r>
              <w:rPr/>
              <w:t>投标人应提交的相关资格证明材料</w:t>
            </w:r>
          </w:p>
        </w:tc>
      </w:tr>
    </w:tbl>
    <w:p>
      <w:pPr>
        <w:pStyle w:val="null3"/>
        <w:outlineLvl w:val="2"/>
      </w:pPr>
      <w:r>
        <w:rPr>
          <w:b/>
          <w:sz w:val="28"/>
        </w:rPr>
        <w:t>4.3落实政府采购政策资格审查</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p>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p>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p>
    <w:p>
      <w:pPr>
        <w:pStyle w:val="null3"/>
      </w:pPr>
      <w:r>
        <w:rPr/>
        <w:t xml:space="preserve"> </w:t>
      </w:r>
    </w:p>
    <w:p>
      <w:pPr>
        <w:pStyle w:val="null3"/>
        <w:jc w:val="center"/>
        <w:outlineLvl w:val="1"/>
      </w:pPr>
      <w:r>
        <w:rPr>
          <w:b/>
          <w:sz w:val="36"/>
        </w:rPr>
        <w:t>第五章 评标办法</w:t>
      </w:r>
    </w:p>
    <w:p>
      <w:pPr>
        <w:pStyle w:val="null3"/>
        <w:outlineLvl w:val="2"/>
      </w:pPr>
      <w:r>
        <w:rPr>
          <w:b/>
          <w:sz w:val="28"/>
        </w:rPr>
        <w:t>5.1 总则</w:t>
      </w:r>
    </w:p>
    <w:p>
      <w:pPr>
        <w:pStyle w:val="null3"/>
        <w:ind w:firstLine="480"/>
      </w:pPr>
      <w:r>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b/>
          <w:sz w:val="28"/>
        </w:rPr>
        <w:t>5.2评标委员会</w:t>
      </w:r>
    </w:p>
    <w:p>
      <w:pPr>
        <w:pStyle w:val="null3"/>
        <w:ind w:firstLine="480"/>
      </w:pPr>
      <w:r>
        <w:rPr/>
        <w:t xml:space="preserve"> 一、本项目评标委员会成员人数应当为五人以上单数，其中评审专家不得少于成员总数的三分之二。评审专家是采取随机方式在采购一体化平台的专家库系统（以下简称专家库系统）抽取。技术复杂、专业性较强的采购项目，评审专家中应当包含1名法律专家。</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(三)根据需要要求采购组织单位对招标文件作出解释；根据需要要求供应商对投标文件有关事项作出 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b/>
          <w:sz w:val="28"/>
        </w:rPr>
        <w:t>5.3评标方法</w:t>
      </w:r>
    </w:p>
    <w:p>
      <w:pPr>
        <w:pStyle w:val="null3"/>
      </w:pPr>
    </w:p>
    <w:p>
      <w:pPr>
        <w:pStyle w:val="null3"/>
      </w:pPr>
    </w:p>
    <w:p>
      <w:pPr>
        <w:pStyle w:val="null3"/>
      </w:pPr>
      <w:r>
        <w:rPr/>
        <w:t>采购包1：综合评分法</w:t>
      </w:r>
    </w:p>
    <w:p>
      <w:pPr>
        <w:pStyle w:val="null3"/>
      </w:pPr>
      <w:r>
        <w:rPr/>
        <w:t>采购包2：综合评分法</w:t>
      </w:r>
    </w:p>
    <w:p>
      <w:pPr>
        <w:pStyle w:val="null3"/>
      </w:pPr>
      <w:r>
        <w:rPr/>
        <w:t>采购包3：综合评分法</w:t>
      </w:r>
    </w:p>
    <w:p>
      <w:pPr>
        <w:pStyle w:val="null3"/>
        <w:outlineLvl w:val="2"/>
      </w:pPr>
      <w:r>
        <w:rPr>
          <w:b/>
          <w:sz w:val="28"/>
        </w:rPr>
        <w:t>5.4评标程序</w:t>
      </w:r>
    </w:p>
    <w:p>
      <w:pPr>
        <w:pStyle w:val="null3"/>
        <w:outlineLvl w:val="3"/>
      </w:pPr>
      <w:r>
        <w:rPr>
          <w:b/>
          <w:sz w:val="24"/>
        </w:rPr>
        <w:t>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t xml:space="preserve"> 出现上述应当停止评标情形的，采购组织单位应当通过项目电子化交易系统书面告知参加采购活动的供应商，并说明具体原因，同时在四川政府采购网公告。采购组织单位认为评标委员会不应当停止评标的，可以书面报告采购项目同级财政部门依法处理，并提供相关证明材料。</w:t>
      </w:r>
    </w:p>
    <w:p>
      <w:pPr>
        <w:pStyle w:val="null3"/>
        <w:outlineLvl w:val="3"/>
      </w:pPr>
      <w:r>
        <w:rPr>
          <w:b/>
          <w:sz w:val="24"/>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c>
          <w:tcPr>
            <w:tcW w:type="dxa" w:w="1661"/>
          </w:tcPr>
          <w:p>
            <w:pPr>
              <w:pStyle w:val="null3"/>
            </w:pPr>
            <w:r>
              <w:rPr/>
              <w:t>开标一览表 分项报价表 投标人应提交的相关资格证明材料</w:t>
            </w:r>
          </w:p>
        </w:tc>
      </w:tr>
      <w:tr>
        <w:tc>
          <w:tcPr>
            <w:tcW w:type="dxa" w:w="831"/>
          </w:tcPr>
          <w:p>
            <w:pPr>
              <w:pStyle w:val="null3"/>
            </w:pPr>
            <w:r>
              <w:rPr/>
              <w:t>2</w:t>
            </w:r>
          </w:p>
        </w:tc>
        <w:tc>
          <w:tcPr>
            <w:tcW w:type="dxa" w:w="2492"/>
          </w:tcPr>
          <w:p>
            <w:pPr>
              <w:pStyle w:val="null3"/>
            </w:pPr>
            <w:r>
              <w:rPr/>
              <w:t>招标文件规定的其他实质性要求</w:t>
            </w:r>
          </w:p>
        </w:tc>
        <w:tc>
          <w:tcPr>
            <w:tcW w:type="dxa" w:w="3322"/>
          </w:tcPr>
          <w:p>
            <w:pPr>
              <w:pStyle w:val="null3"/>
            </w:pPr>
            <w:r>
              <w:rPr/>
              <w:t>招标文件规定的其他实质性要求</w:t>
            </w:r>
          </w:p>
        </w:tc>
        <w:tc>
          <w:tcPr>
            <w:tcW w:type="dxa" w:w="1661"/>
          </w:tcPr>
          <w:p>
            <w:pPr>
              <w:pStyle w:val="null3"/>
            </w:pPr>
            <w:r>
              <w:rPr/>
              <w:t>商务应答表 投标文件封面 投标（响应）函 投标人应提交的相关资格证明材料</w:t>
            </w:r>
          </w:p>
        </w:tc>
      </w:tr>
    </w:tbl>
    <w:p>
      <w:pPr>
        <w:pStyle w:val="null3"/>
      </w:pPr>
    </w:p>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c>
          <w:tcPr>
            <w:tcW w:type="dxa" w:w="1661"/>
          </w:tcPr>
          <w:p>
            <w:pPr>
              <w:pStyle w:val="null3"/>
            </w:pPr>
            <w:r>
              <w:rPr/>
              <w:t>开标一览表 分项报价表 投标人应提交的相关资格证明材料</w:t>
            </w:r>
          </w:p>
        </w:tc>
      </w:tr>
      <w:tr>
        <w:tc>
          <w:tcPr>
            <w:tcW w:type="dxa" w:w="831"/>
          </w:tcPr>
          <w:p>
            <w:pPr>
              <w:pStyle w:val="null3"/>
            </w:pPr>
            <w:r>
              <w:rPr/>
              <w:t>2</w:t>
            </w:r>
          </w:p>
        </w:tc>
        <w:tc>
          <w:tcPr>
            <w:tcW w:type="dxa" w:w="2492"/>
          </w:tcPr>
          <w:p>
            <w:pPr>
              <w:pStyle w:val="null3"/>
            </w:pPr>
            <w:r>
              <w:rPr/>
              <w:t>招标文件规定的其他实质性要求</w:t>
            </w:r>
          </w:p>
        </w:tc>
        <w:tc>
          <w:tcPr>
            <w:tcW w:type="dxa" w:w="3322"/>
          </w:tcPr>
          <w:p>
            <w:pPr>
              <w:pStyle w:val="null3"/>
            </w:pPr>
            <w:r>
              <w:rPr/>
              <w:t>招标文件规定的其他实质性要求</w:t>
            </w:r>
          </w:p>
        </w:tc>
        <w:tc>
          <w:tcPr>
            <w:tcW w:type="dxa" w:w="1661"/>
          </w:tcPr>
          <w:p>
            <w:pPr>
              <w:pStyle w:val="null3"/>
            </w:pPr>
            <w:r>
              <w:rPr/>
              <w:t>商务应答表 投标文件封面 投标（响应）函 投标人应提交的相关资格证明材料</w:t>
            </w:r>
          </w:p>
        </w:tc>
      </w:tr>
    </w:tbl>
    <w:p>
      <w:pPr>
        <w:pStyle w:val="null3"/>
      </w:pPr>
    </w:p>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c>
          <w:tcPr>
            <w:tcW w:type="dxa" w:w="1661"/>
          </w:tcPr>
          <w:p>
            <w:pPr>
              <w:pStyle w:val="null3"/>
            </w:pPr>
            <w:r>
              <w:rPr/>
              <w:t>开标一览表 分项报价表 投标人应提交的相关资格证明材料</w:t>
            </w:r>
          </w:p>
        </w:tc>
      </w:tr>
      <w:tr>
        <w:tc>
          <w:tcPr>
            <w:tcW w:type="dxa" w:w="831"/>
          </w:tcPr>
          <w:p>
            <w:pPr>
              <w:pStyle w:val="null3"/>
            </w:pPr>
            <w:r>
              <w:rPr/>
              <w:t>2</w:t>
            </w:r>
          </w:p>
        </w:tc>
        <w:tc>
          <w:tcPr>
            <w:tcW w:type="dxa" w:w="2492"/>
          </w:tcPr>
          <w:p>
            <w:pPr>
              <w:pStyle w:val="null3"/>
            </w:pPr>
            <w:r>
              <w:rPr/>
              <w:t>招标文件规定的其他实质性要求</w:t>
            </w:r>
          </w:p>
        </w:tc>
        <w:tc>
          <w:tcPr>
            <w:tcW w:type="dxa" w:w="3322"/>
          </w:tcPr>
          <w:p>
            <w:pPr>
              <w:pStyle w:val="null3"/>
            </w:pPr>
            <w:r>
              <w:rPr/>
              <w:t>招标文件规定的其他实质性要求</w:t>
            </w:r>
          </w:p>
        </w:tc>
        <w:tc>
          <w:tcPr>
            <w:tcW w:type="dxa" w:w="1661"/>
          </w:tcPr>
          <w:p>
            <w:pPr>
              <w:pStyle w:val="null3"/>
            </w:pPr>
            <w:r>
              <w:rPr/>
              <w:t>商务应答表 投标文件封面 投标（响应）函 投标人应提交的相关资格证明材料</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b/>
          <w:sz w:val="24"/>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b/>
          <w:sz w:val="24"/>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b/>
          <w:sz w:val="24"/>
        </w:rPr>
        <w:t>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b/>
          <w:sz w:val="24"/>
        </w:rPr>
        <w:t>5.4.6确定中标候选人名单</w:t>
      </w:r>
    </w:p>
    <w:p>
      <w:pPr>
        <w:pStyle w:val="null3"/>
      </w:pPr>
    </w:p>
    <w:p>
      <w:pPr>
        <w:pStyle w:val="null3"/>
      </w:pPr>
    </w:p>
    <w:p>
      <w:pPr>
        <w:pStyle w:val="null3"/>
      </w:pPr>
      <w:r>
        <w:rPr/>
        <w:t>采购包1：</w:t>
      </w:r>
      <w:r>
        <w:rPr/>
        <w:t>确定3家供应商为中标候选人。</w:t>
      </w:r>
    </w:p>
    <w:p>
      <w:pPr>
        <w:pStyle w:val="null3"/>
      </w:pPr>
      <w:r>
        <w:rPr/>
        <w:t>采购包2：</w:t>
      </w:r>
      <w:r>
        <w:rPr/>
        <w:t>确定3家供应商为中标候选人。</w:t>
      </w:r>
    </w:p>
    <w:p>
      <w:pPr>
        <w:pStyle w:val="null3"/>
      </w:pPr>
      <w:r>
        <w:rPr/>
        <w:t>采购包3：</w:t>
      </w:r>
      <w:r>
        <w:rPr/>
        <w:t>确定3家供应商为中标候选人。</w:t>
      </w:r>
    </w:p>
    <w:p>
      <w:pPr>
        <w:pStyle w:val="null3"/>
        <w:ind w:firstLine="480"/>
      </w:pPr>
      <w:r>
        <w:rPr/>
        <w:t>（综合评分法适用）按投标人综合得分从高到低顺序排列，确定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ind w:firstLine="480"/>
      </w:pPr>
      <w:r>
        <w:rPr/>
        <w:t>（最低评标价法适用）按投标人投标报价从低到高顺序排列，确定中标候选人。投标报价相同的，按投标人提供的优先采购产品认证证书数量由多到少顺序排列；投标报价且提供的优先采购产品认证证书数量相同的并列。投标文件满足招标文件全部实质性要求且投标报价最低的投标人为排名第一的中标候选人。</w:t>
      </w:r>
    </w:p>
    <w:p>
      <w:pPr>
        <w:pStyle w:val="null3"/>
        <w:outlineLvl w:val="3"/>
      </w:pPr>
      <w:r>
        <w:rPr>
          <w:b/>
          <w:sz w:val="24"/>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三、评标方法和标准；</w:t>
      </w:r>
    </w:p>
    <w:p>
      <w:pPr>
        <w:pStyle w:val="null3"/>
        <w:ind w:firstLine="480"/>
      </w:pPr>
      <w:r>
        <w:rPr/>
        <w:t>四、开标记录和评标情况及说明，包括投标无效投标人名单及原因；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六、其他需要说明的情况，包括评标过程中投标人根据评标委员会要求进行的澄清、说明或者更正，评标委员会成员的更换等；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b/>
          <w:sz w:val="28"/>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b/>
          <w:sz w:val="28"/>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b/>
          <w:sz w:val="24"/>
        </w:rPr>
        <w:t>5.6.1评分办法</w:t>
      </w:r>
    </w:p>
    <w:p>
      <w:pPr>
        <w:pStyle w:val="null3"/>
        <w:ind w:firstLine="480"/>
      </w:pPr>
      <w:r>
        <w:rPr/>
        <w:t xml:space="preserve"> （综合评分法适用）采用综合评分法的，由评标委员会各成员对通过资格检查和符合性审查的投标人的投标文件进行独立评审。</w:t>
      </w:r>
    </w:p>
    <w:p>
      <w:pPr>
        <w:pStyle w:val="null3"/>
        <w:ind w:firstLine="480"/>
      </w:pPr>
      <w:r>
        <w:rPr/>
        <w:t>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b/>
          <w:sz w:val="24"/>
        </w:rPr>
        <w:t>5.6.2评分标准</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详细评审100.00分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技术要求响应</w:t>
            </w:r>
          </w:p>
        </w:tc>
        <w:tc>
          <w:tcPr>
            <w:tcW w:type="dxa" w:w="2492"/>
          </w:tcPr>
          <w:p>
            <w:pPr>
              <w:pStyle w:val="null3"/>
            </w:pPr>
            <w:r>
              <w:rPr/>
              <w:t>1、投标人所有技术参数要求完全满足招标文件采购项目清单及技术要求的得10分。有负偏离的，按以下方式计算得分： 2、投标人此项得分=（投标人满足参数条款的数量÷参数条款的总数量）×10分； 注：本项所述的条款数量按以下原则计算：（1）参数条款：按（1）、（2）、（3）、（4）等条款数量计算，共8项。</w:t>
            </w:r>
          </w:p>
        </w:tc>
        <w:tc>
          <w:tcPr>
            <w:tcW w:type="dxa" w:w="831"/>
          </w:tcPr>
          <w:p>
            <w:pPr>
              <w:pStyle w:val="null3"/>
              <w:jc w:val="right"/>
            </w:pPr>
            <w:r>
              <w:rPr/>
              <w:t>10.00</w:t>
            </w:r>
          </w:p>
        </w:tc>
        <w:tc>
          <w:tcPr>
            <w:tcW w:type="dxa" w:w="831"/>
          </w:tcPr>
          <w:p>
            <w:pPr>
              <w:pStyle w:val="null3"/>
            </w:pPr>
            <w:r>
              <w:rPr/>
              <w:t>客观</w:t>
            </w:r>
          </w:p>
        </w:tc>
        <w:tc>
          <w:tcPr>
            <w:tcW w:type="dxa" w:w="1661"/>
          </w:tcPr>
          <w:p>
            <w:pPr>
              <w:pStyle w:val="null3"/>
            </w:pPr>
            <w:r>
              <w:rPr/>
              <w:t>商务应答表</w:t>
            </w:r>
          </w:p>
          <w:p>
            <w:pPr>
              <w:pStyle w:val="null3"/>
            </w:pPr>
            <w:r>
              <w:rPr/>
              <w:t>中小企业声明函</w:t>
            </w:r>
          </w:p>
          <w:p>
            <w:pPr>
              <w:pStyle w:val="null3"/>
            </w:pPr>
            <w:r>
              <w:rPr/>
              <w:t>残疾人福利性单位声明函</w:t>
            </w:r>
          </w:p>
          <w:p>
            <w:pPr>
              <w:pStyle w:val="null3"/>
            </w:pPr>
            <w:r>
              <w:rPr/>
              <w:t>监狱企业的证明文件</w:t>
            </w:r>
          </w:p>
        </w:tc>
      </w:tr>
      <w:tr>
        <w:tc>
          <w:tcPr>
            <w:tcW w:type="dxa" w:w="831"/>
            <w:vMerge/>
          </w:tcPr>
          <w:p/>
        </w:tc>
        <w:tc>
          <w:tcPr>
            <w:tcW w:type="dxa" w:w="1661"/>
          </w:tcPr>
          <w:p>
            <w:pPr>
              <w:pStyle w:val="null3"/>
            </w:pPr>
            <w:r>
              <w:rPr/>
              <w:t>承保服务方案</w:t>
            </w:r>
          </w:p>
        </w:tc>
        <w:tc>
          <w:tcPr>
            <w:tcW w:type="dxa" w:w="2492"/>
          </w:tcPr>
          <w:p>
            <w:pPr>
              <w:pStyle w:val="null3"/>
            </w:pPr>
            <w:r>
              <w:rPr/>
              <w:t>投标人根据本项目特点提供服务方案，根据提供的方案进行评分，方案包括：①服务理念；②服务目标；③承保服务流程；④助老服务方案。方案内容完全满足采购需求得20分。每缺少一项扣5分，方案中存在缺陷或不足且不利于项目实施的，每有一处扣2分，扣完为止，不提供不得分。 注：“存在缺陷或不足且不利于项目实施”指：投标人所提供内容存在不适用项目实际情况的情形、套用其他方案、涉及的规范及技术服务标准要求与本项目不一致、凭空编造、逻辑漏洞、科学原理错误以及不可能实现的夸大情形等情况。</w:t>
            </w:r>
          </w:p>
        </w:tc>
        <w:tc>
          <w:tcPr>
            <w:tcW w:type="dxa" w:w="831"/>
          </w:tcPr>
          <w:p>
            <w:pPr>
              <w:pStyle w:val="null3"/>
              <w:jc w:val="right"/>
            </w:pPr>
            <w:r>
              <w:rPr/>
              <w:t>20.00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理赔服务方案</w:t>
            </w:r>
          </w:p>
        </w:tc>
        <w:tc>
          <w:tcPr>
            <w:tcW w:type="dxa" w:w="2492"/>
          </w:tcPr>
          <w:p>
            <w:pPr>
              <w:pStyle w:val="null3"/>
            </w:pPr>
            <w:r>
              <w:rPr/>
              <w:t>1.理赔流程8分。包括：①从报案到赔付完结的整个过程；②理赔时限及日常联络机制。方案内容完全满足采购需求得8分，每缺少一项方案内容扣4分，每有一项方案内容存在缺陷或不足且不利于项目实施的扣1分，不提供不得分。 2.服务网络5分。投标人承诺中标后在项目所属地且在法定时限内设立符合保险监督部门要求的分支机构或网点的，得5分；不承诺设立法定经营机构或网点的，得2分。(提供承诺函加盖公章） 3.服务保障8分。包括：①服务车辆；②不少于10人的服务团队；③联系人及联系方式；④响应时间及售后内容。方案内容完全满足采购需求得8分，方案内容每缺少一项扣2分，每有一项方案内容存在缺陷或不足且不利于项目实施的扣0.5分，不提供不得分。 4.异地理赔服务4分。投标人承诺在保险期间内符合理赔范围内的异地案件审核和赔付时间不超过15日的得4分，不承诺不得分 。（提供承诺函加盖公章） 5.政策宣传5分。投标人承诺在中标后，提供至少5种方式进行项目宣传的得5分。提供一种得1分，宣传内容存在缺陷或不利于项目实施的扣0.5分。不提供不得分。 注：“存在缺陷或不足且不利于项目实施”指：投标人所提供内容存在不适用项目实际情况的情形、套用其他方案、涉及的规范及技术服务标准要求与本项目不一致、凭空编造、逻辑漏洞、科学原理错误以及不可能实现的夸大情形等情况。</w:t>
            </w:r>
          </w:p>
        </w:tc>
        <w:tc>
          <w:tcPr>
            <w:tcW w:type="dxa" w:w="831"/>
          </w:tcPr>
          <w:p>
            <w:pPr>
              <w:pStyle w:val="null3"/>
              <w:jc w:val="right"/>
            </w:pPr>
            <w:r>
              <w:rPr/>
              <w:t>30.00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理赔服务承诺</w:t>
            </w:r>
          </w:p>
        </w:tc>
        <w:tc>
          <w:tcPr>
            <w:tcW w:type="dxa" w:w="2492"/>
          </w:tcPr>
          <w:p>
            <w:pPr>
              <w:pStyle w:val="null3"/>
            </w:pPr>
            <w:r>
              <w:rPr/>
              <w:t>投标人承诺在中标后安排专人进行保险业务的承保、理赔，并负责进行业务数据核对，人员清单核对等服务且理赔手续齐全，理赔时效10个工作日以内得4分，没有或不承诺不得分。 提供承诺函加盖公章。</w:t>
            </w:r>
          </w:p>
        </w:tc>
        <w:tc>
          <w:tcPr>
            <w:tcW w:type="dxa" w:w="831"/>
          </w:tcPr>
          <w:p>
            <w:pPr>
              <w:pStyle w:val="null3"/>
              <w:jc w:val="right"/>
            </w:pPr>
            <w:r>
              <w:rPr/>
              <w:t>4.00</w:t>
            </w:r>
          </w:p>
        </w:tc>
        <w:tc>
          <w:tcPr>
            <w:tcW w:type="dxa" w:w="831"/>
          </w:tcPr>
          <w:p>
            <w:pPr>
              <w:pStyle w:val="null3"/>
            </w:pPr>
            <w:r>
              <w:rPr/>
              <w:t>客观</w:t>
            </w:r>
          </w:p>
        </w:tc>
        <w:tc>
          <w:tcPr>
            <w:tcW w:type="dxa" w:w="1661"/>
          </w:tcPr>
          <w:p>
            <w:pPr>
              <w:pStyle w:val="null3"/>
            </w:pPr>
            <w:r>
              <w:rPr/>
              <w:t>商务应答表</w:t>
            </w:r>
          </w:p>
        </w:tc>
      </w:tr>
      <w:tr>
        <w:tc>
          <w:tcPr>
            <w:tcW w:type="dxa" w:w="831"/>
            <w:vMerge/>
          </w:tcPr>
          <w:p/>
        </w:tc>
        <w:tc>
          <w:tcPr>
            <w:tcW w:type="dxa" w:w="1661"/>
          </w:tcPr>
          <w:p>
            <w:pPr>
              <w:pStyle w:val="null3"/>
            </w:pPr>
            <w:r>
              <w:rPr/>
              <w:t>综合偿付能力</w:t>
            </w:r>
          </w:p>
        </w:tc>
        <w:tc>
          <w:tcPr>
            <w:tcW w:type="dxa" w:w="2492"/>
          </w:tcPr>
          <w:p>
            <w:pPr>
              <w:pStyle w:val="null3"/>
            </w:pPr>
            <w:r>
              <w:rPr/>
              <w:t>根据投标人总公司最近4个季度综合偿付能力充足率指标情况进行评分： 季度综合偿付能力充足率：≥180%的，每一次得3分；≥150%＜180%的，每一次得2.5分；≥100%＜150%的，每一次得2分；＜100%不得分。本项最高12分。 提供经第三方机构审计或官方发布的偿付能力报告复印件和本项评分的自评得分表，并加盖公章。</w:t>
            </w:r>
          </w:p>
        </w:tc>
        <w:tc>
          <w:tcPr>
            <w:tcW w:type="dxa" w:w="831"/>
          </w:tcPr>
          <w:p>
            <w:pPr>
              <w:pStyle w:val="null3"/>
              <w:jc w:val="right"/>
            </w:pPr>
            <w:r>
              <w:rPr/>
              <w:t>12.00</w:t>
            </w:r>
          </w:p>
        </w:tc>
        <w:tc>
          <w:tcPr>
            <w:tcW w:type="dxa" w:w="831"/>
          </w:tcPr>
          <w:p>
            <w:pPr>
              <w:pStyle w:val="null3"/>
            </w:pPr>
            <w:r>
              <w:rPr/>
              <w:t>客观</w:t>
            </w:r>
          </w:p>
        </w:tc>
        <w:tc>
          <w:tcPr>
            <w:tcW w:type="dxa" w:w="1661"/>
          </w:tcPr>
          <w:p>
            <w:pPr>
              <w:pStyle w:val="null3"/>
            </w:pPr>
            <w:r>
              <w:rPr/>
              <w:t>商务应答表</w:t>
            </w:r>
          </w:p>
        </w:tc>
      </w:tr>
      <w:tr>
        <w:tc>
          <w:tcPr>
            <w:tcW w:type="dxa" w:w="831"/>
            <w:vMerge/>
          </w:tcPr>
          <w:p/>
        </w:tc>
        <w:tc>
          <w:tcPr>
            <w:tcW w:type="dxa" w:w="1661"/>
          </w:tcPr>
          <w:p>
            <w:pPr>
              <w:pStyle w:val="null3"/>
            </w:pPr>
            <w:r>
              <w:rPr/>
              <w:t>投标人消保监管评价</w:t>
            </w:r>
          </w:p>
        </w:tc>
        <w:tc>
          <w:tcPr>
            <w:tcW w:type="dxa" w:w="2492"/>
          </w:tcPr>
          <w:p>
            <w:pPr>
              <w:pStyle w:val="null3"/>
            </w:pPr>
            <w:r>
              <w:rPr/>
              <w:t>根据省银保监局发布的最近一期保险机构消费者权益保护监管评价工作通报得分情况进行评分：一级得12分，二级A得11分，二级B得10分，二级C得9分，三级A得8分，三级B得7分，三级C得6分，无监管评价不得分。 提供省银保监局消费者权益保护监管评价工作考评。</w:t>
            </w:r>
          </w:p>
        </w:tc>
        <w:tc>
          <w:tcPr>
            <w:tcW w:type="dxa" w:w="831"/>
          </w:tcPr>
          <w:p>
            <w:pPr>
              <w:pStyle w:val="null3"/>
              <w:jc w:val="right"/>
            </w:pPr>
            <w:r>
              <w:rPr/>
              <w:t>12.00</w:t>
            </w:r>
          </w:p>
        </w:tc>
        <w:tc>
          <w:tcPr>
            <w:tcW w:type="dxa" w:w="831"/>
          </w:tcPr>
          <w:p>
            <w:pPr>
              <w:pStyle w:val="null3"/>
            </w:pPr>
            <w:r>
              <w:rPr/>
              <w:t>客观</w:t>
            </w:r>
          </w:p>
        </w:tc>
        <w:tc>
          <w:tcPr>
            <w:tcW w:type="dxa" w:w="1661"/>
          </w:tcPr>
          <w:p>
            <w:pPr>
              <w:pStyle w:val="null3"/>
            </w:pPr>
            <w:r>
              <w:rPr/>
              <w:t>商务应答表</w:t>
            </w:r>
          </w:p>
        </w:tc>
      </w:tr>
      <w:tr>
        <w:tc>
          <w:tcPr>
            <w:tcW w:type="dxa" w:w="831"/>
            <w:vMerge/>
          </w:tcPr>
          <w:p/>
        </w:tc>
        <w:tc>
          <w:tcPr>
            <w:tcW w:type="dxa" w:w="1661"/>
          </w:tcPr>
          <w:p>
            <w:pPr>
              <w:pStyle w:val="null3"/>
            </w:pPr>
            <w:r>
              <w:rPr/>
              <w:t>风险综合评级</w:t>
            </w:r>
          </w:p>
        </w:tc>
        <w:tc>
          <w:tcPr>
            <w:tcW w:type="dxa" w:w="2492"/>
          </w:tcPr>
          <w:p>
            <w:pPr>
              <w:pStyle w:val="null3"/>
            </w:pPr>
            <w:r>
              <w:rPr/>
              <w:t>根据投标人总公司中国银保监会公布的最近四个季度保险公司风险综合评级结果进行评分：每获得1次A级(含AA、AAA)得3分，每获得1次B级（含BB、BBB）得2.5分，每获得1次C级（含CC、CCC)得2分，每获得1次D级及以下得1.5分。 提供“C-ROSS中国银行保险监督管理委员会偿二代监管信息系统”查询页面截图,并加盖公章。本项最高12分。</w:t>
            </w:r>
          </w:p>
        </w:tc>
        <w:tc>
          <w:tcPr>
            <w:tcW w:type="dxa" w:w="831"/>
          </w:tcPr>
          <w:p>
            <w:pPr>
              <w:pStyle w:val="null3"/>
              <w:jc w:val="right"/>
            </w:pPr>
            <w:r>
              <w:rPr/>
              <w:t>12.00</w:t>
            </w:r>
          </w:p>
        </w:tc>
        <w:tc>
          <w:tcPr>
            <w:tcW w:type="dxa" w:w="831"/>
          </w:tcPr>
          <w:p>
            <w:pPr>
              <w:pStyle w:val="null3"/>
            </w:pPr>
            <w:r>
              <w:rPr/>
              <w:t>客观</w:t>
            </w:r>
          </w:p>
        </w:tc>
        <w:tc>
          <w:tcPr>
            <w:tcW w:type="dxa" w:w="1661"/>
          </w:tcPr>
          <w:p>
            <w:pPr>
              <w:pStyle w:val="null3"/>
            </w:pPr>
            <w:r>
              <w:rPr/>
              <w:t>商务应答表</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246"/>
        <w:gridCol w:w="1661"/>
        <w:gridCol w:w="1246"/>
        <w:gridCol w:w="1661"/>
        <w:gridCol w:w="1661"/>
      </w:tblGrid>
      <w:tr>
        <w:tc>
          <w:tcPr>
            <w:tcW w:type="dxa" w:w="831"/>
          </w:tcPr>
          <w:p>
            <w:pPr>
              <w:pStyle w:val="null3"/>
            </w:pPr>
            <w:r>
              <w:rPr/>
              <w:t xml:space="preserve"> 序号</w:t>
            </w:r>
          </w:p>
        </w:tc>
        <w:tc>
          <w:tcPr>
            <w:tcW w:type="dxa" w:w="1246"/>
          </w:tcPr>
          <w:p>
            <w:pPr>
              <w:pStyle w:val="null3"/>
            </w:pPr>
            <w:r>
              <w:rPr/>
              <w:t xml:space="preserve"> 情形</w:t>
            </w:r>
          </w:p>
        </w:tc>
        <w:tc>
          <w:tcPr>
            <w:tcW w:type="dxa" w:w="1661"/>
          </w:tcPr>
          <w:p>
            <w:pPr>
              <w:pStyle w:val="null3"/>
            </w:pPr>
            <w:r>
              <w:rPr/>
              <w:t xml:space="preserve"> 适用对象</w:t>
            </w:r>
          </w:p>
        </w:tc>
        <w:tc>
          <w:tcPr>
            <w:tcW w:type="dxa" w:w="1246"/>
          </w:tcPr>
          <w:p>
            <w:pPr>
              <w:pStyle w:val="null3"/>
            </w:pPr>
            <w:r>
              <w:rPr/>
              <w:t xml:space="preserve"> 扣除比例(C1)</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pPr>
    </w:p>
    <w:p>
      <w:pPr>
        <w:pStyle w:val="null3"/>
      </w:pPr>
      <w:r>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详细评审100.00分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技术要求响应</w:t>
            </w:r>
          </w:p>
        </w:tc>
        <w:tc>
          <w:tcPr>
            <w:tcW w:type="dxa" w:w="2492"/>
          </w:tcPr>
          <w:p>
            <w:pPr>
              <w:pStyle w:val="null3"/>
            </w:pPr>
            <w:r>
              <w:rPr/>
              <w:t>1、投标人所有技术参数要求完全满足招标文件采购项目清单及技术要求的得10分。有负偏离的，按以下方式计算得分： 2、投标人此项得分=（投标人满足参数条款的数量÷参数条款的总数量）×10分； 注：本项所述的条款数量按以下原则计算：（1）参数条款：按（1）、（2）、（3）、（4）等条款数量计算，共8项。</w:t>
            </w:r>
          </w:p>
        </w:tc>
        <w:tc>
          <w:tcPr>
            <w:tcW w:type="dxa" w:w="831"/>
          </w:tcPr>
          <w:p>
            <w:pPr>
              <w:pStyle w:val="null3"/>
              <w:jc w:val="right"/>
            </w:pPr>
            <w:r>
              <w:rPr/>
              <w:t>10.00</w:t>
            </w:r>
          </w:p>
        </w:tc>
        <w:tc>
          <w:tcPr>
            <w:tcW w:type="dxa" w:w="831"/>
          </w:tcPr>
          <w:p>
            <w:pPr>
              <w:pStyle w:val="null3"/>
            </w:pPr>
            <w:r>
              <w:rPr/>
              <w:t>客观</w:t>
            </w:r>
          </w:p>
        </w:tc>
        <w:tc>
          <w:tcPr>
            <w:tcW w:type="dxa" w:w="1661"/>
          </w:tcPr>
          <w:p>
            <w:pPr>
              <w:pStyle w:val="null3"/>
            </w:pPr>
            <w:r>
              <w:rPr/>
              <w:t>商务应答表</w:t>
            </w:r>
          </w:p>
          <w:p>
            <w:pPr>
              <w:pStyle w:val="null3"/>
            </w:pPr>
            <w:r>
              <w:rPr/>
              <w:t>中小企业声明函</w:t>
            </w:r>
          </w:p>
          <w:p>
            <w:pPr>
              <w:pStyle w:val="null3"/>
            </w:pPr>
            <w:r>
              <w:rPr/>
              <w:t>残疾人福利性单位声明函</w:t>
            </w:r>
          </w:p>
          <w:p>
            <w:pPr>
              <w:pStyle w:val="null3"/>
            </w:pPr>
            <w:r>
              <w:rPr/>
              <w:t>监狱企业的证明文件</w:t>
            </w:r>
          </w:p>
        </w:tc>
      </w:tr>
      <w:tr>
        <w:tc>
          <w:tcPr>
            <w:tcW w:type="dxa" w:w="831"/>
            <w:vMerge/>
          </w:tcPr>
          <w:p/>
        </w:tc>
        <w:tc>
          <w:tcPr>
            <w:tcW w:type="dxa" w:w="1661"/>
          </w:tcPr>
          <w:p>
            <w:pPr>
              <w:pStyle w:val="null3"/>
            </w:pPr>
            <w:r>
              <w:rPr/>
              <w:t>承保服务方案</w:t>
            </w:r>
          </w:p>
        </w:tc>
        <w:tc>
          <w:tcPr>
            <w:tcW w:type="dxa" w:w="2492"/>
          </w:tcPr>
          <w:p>
            <w:pPr>
              <w:pStyle w:val="null3"/>
            </w:pPr>
            <w:r>
              <w:rPr/>
              <w:t>投标人根据本项目特点提供服务方案，根据提供的方案进行评分，方案包括：①服务理念；②服务目标；③承保服务流程；④助老服务方案。方案内容完全满足采购需求得20分。每缺少一项扣5分，方案中存在缺陷或不足且不利于项目实施的，每有一处扣2分，扣完为止，不提供不得分。 注：“存在缺陷或不足且不利于项目实施”指：投标人所提供内容存在不适用项目实际情况的情形、套用其他方案、涉及的规范及技术服务标准要求与本项目不一致、凭空编造、逻辑漏洞、科学原理错误以及不可能实现的夸大情形等情况。</w:t>
            </w:r>
          </w:p>
        </w:tc>
        <w:tc>
          <w:tcPr>
            <w:tcW w:type="dxa" w:w="831"/>
          </w:tcPr>
          <w:p>
            <w:pPr>
              <w:pStyle w:val="null3"/>
              <w:jc w:val="right"/>
            </w:pPr>
            <w:r>
              <w:rPr/>
              <w:t>20.00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理赔服务方案</w:t>
            </w:r>
          </w:p>
        </w:tc>
        <w:tc>
          <w:tcPr>
            <w:tcW w:type="dxa" w:w="2492"/>
          </w:tcPr>
          <w:p>
            <w:pPr>
              <w:pStyle w:val="null3"/>
            </w:pPr>
            <w:r>
              <w:rPr/>
              <w:t>1.理赔流程8分。包括：①从报案到赔付完结的整个过程；②理赔时限及日常联络机制。方案内容完全满足采购需求得8分，每缺少一项方案内容扣4分，每有一项方案内容存在缺陷或不足且不利于项目实施的扣1分，不提供不得分。 2.服务网络5分。投标人承诺中标后在项目所属地且在法定时限内设立符合保险监督部门要求的分支机构或网点的，得5分；不承诺设立法定经营机构或网点的，得2分。(提供承诺函加盖公章） 3.服务保障8分。包括：①服务车辆；②不少于10人的服务团队；③联系人及联系方式；④响应时间及售后内容。方案内容完全满足采购需求得8分，方案内容每缺少一项扣2分，每有一项方案内容存在缺陷或不足且不利于项目实施的扣0.5分，不提供不得分。 4.异地理赔服务4分。投标人承诺在保险期间内符合理赔范围内的异地案件审核和赔付时间不超过15日的得4分，不承诺不得分 。（提供承诺函加盖公章） 5.政策宣传5分。投标人承诺在中标后，提供至少5种方式进行项目宣传的得5分。提供一种得1分，宣传内容存在缺陷或不利于项目实施的扣0.5分。不提供不得分。 注：“存在缺陷或不足且不利于项目实施”指：投标人所提供内容存在不适用项目实际情况的情形、套用其他方案、涉及的规范及技术服务标准要求与本项目不一致、凭空编造、逻辑漏洞、科学原理错误以及不可能实现的夸大情形等情况。</w:t>
            </w:r>
          </w:p>
        </w:tc>
        <w:tc>
          <w:tcPr>
            <w:tcW w:type="dxa" w:w="831"/>
          </w:tcPr>
          <w:p>
            <w:pPr>
              <w:pStyle w:val="null3"/>
              <w:jc w:val="right"/>
            </w:pPr>
            <w:r>
              <w:rPr/>
              <w:t>30.00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理赔服务承诺</w:t>
            </w:r>
          </w:p>
        </w:tc>
        <w:tc>
          <w:tcPr>
            <w:tcW w:type="dxa" w:w="2492"/>
          </w:tcPr>
          <w:p>
            <w:pPr>
              <w:pStyle w:val="null3"/>
            </w:pPr>
            <w:r>
              <w:rPr/>
              <w:t>投标人承诺在中标后安排专人进行保险业务的承保、理赔，并负责进行业务数据核对，人员清单核对等服务且理赔手续齐全，理赔时效10个工作日以内得4分，没有或不承诺不得分。 提供承诺函加盖公章。</w:t>
            </w:r>
          </w:p>
        </w:tc>
        <w:tc>
          <w:tcPr>
            <w:tcW w:type="dxa" w:w="831"/>
          </w:tcPr>
          <w:p>
            <w:pPr>
              <w:pStyle w:val="null3"/>
              <w:jc w:val="right"/>
            </w:pPr>
            <w:r>
              <w:rPr/>
              <w:t>4.00</w:t>
            </w:r>
          </w:p>
        </w:tc>
        <w:tc>
          <w:tcPr>
            <w:tcW w:type="dxa" w:w="831"/>
          </w:tcPr>
          <w:p>
            <w:pPr>
              <w:pStyle w:val="null3"/>
            </w:pPr>
            <w:r>
              <w:rPr/>
              <w:t>客观</w:t>
            </w:r>
          </w:p>
        </w:tc>
        <w:tc>
          <w:tcPr>
            <w:tcW w:type="dxa" w:w="1661"/>
          </w:tcPr>
          <w:p>
            <w:pPr>
              <w:pStyle w:val="null3"/>
            </w:pPr>
            <w:r>
              <w:rPr/>
              <w:t>商务应答表</w:t>
            </w:r>
          </w:p>
        </w:tc>
      </w:tr>
      <w:tr>
        <w:tc>
          <w:tcPr>
            <w:tcW w:type="dxa" w:w="831"/>
            <w:vMerge/>
          </w:tcPr>
          <w:p/>
        </w:tc>
        <w:tc>
          <w:tcPr>
            <w:tcW w:type="dxa" w:w="1661"/>
          </w:tcPr>
          <w:p>
            <w:pPr>
              <w:pStyle w:val="null3"/>
            </w:pPr>
            <w:r>
              <w:rPr/>
              <w:t>综合偿付能力</w:t>
            </w:r>
          </w:p>
        </w:tc>
        <w:tc>
          <w:tcPr>
            <w:tcW w:type="dxa" w:w="2492"/>
          </w:tcPr>
          <w:p>
            <w:pPr>
              <w:pStyle w:val="null3"/>
            </w:pPr>
            <w:r>
              <w:rPr/>
              <w:t>根据投标人总公司最近4个季度综合偿付能力充足率指标情况进行评分： 季度综合偿付能力充足率：≥180%的，每一次得3分；≥150%＜180%的，每一次得2.5分；≥100%＜150%的，每一次得2分；＜100%不得分。本项最高12分。 提供经第三方机构审计或官方发布的偿付能力报告复印件和本项评分的自评得分表，并加盖公章。</w:t>
            </w:r>
          </w:p>
        </w:tc>
        <w:tc>
          <w:tcPr>
            <w:tcW w:type="dxa" w:w="831"/>
          </w:tcPr>
          <w:p>
            <w:pPr>
              <w:pStyle w:val="null3"/>
              <w:jc w:val="right"/>
            </w:pPr>
            <w:r>
              <w:rPr/>
              <w:t>12.00</w:t>
            </w:r>
          </w:p>
        </w:tc>
        <w:tc>
          <w:tcPr>
            <w:tcW w:type="dxa" w:w="831"/>
          </w:tcPr>
          <w:p>
            <w:pPr>
              <w:pStyle w:val="null3"/>
            </w:pPr>
            <w:r>
              <w:rPr/>
              <w:t>客观</w:t>
            </w:r>
          </w:p>
        </w:tc>
        <w:tc>
          <w:tcPr>
            <w:tcW w:type="dxa" w:w="1661"/>
          </w:tcPr>
          <w:p>
            <w:pPr>
              <w:pStyle w:val="null3"/>
            </w:pPr>
            <w:r>
              <w:rPr/>
              <w:t>商务应答表</w:t>
            </w:r>
          </w:p>
        </w:tc>
      </w:tr>
      <w:tr>
        <w:tc>
          <w:tcPr>
            <w:tcW w:type="dxa" w:w="831"/>
            <w:vMerge/>
          </w:tcPr>
          <w:p/>
        </w:tc>
        <w:tc>
          <w:tcPr>
            <w:tcW w:type="dxa" w:w="1661"/>
          </w:tcPr>
          <w:p>
            <w:pPr>
              <w:pStyle w:val="null3"/>
            </w:pPr>
            <w:r>
              <w:rPr/>
              <w:t>投标人消保监管评价</w:t>
            </w:r>
          </w:p>
        </w:tc>
        <w:tc>
          <w:tcPr>
            <w:tcW w:type="dxa" w:w="2492"/>
          </w:tcPr>
          <w:p>
            <w:pPr>
              <w:pStyle w:val="null3"/>
            </w:pPr>
            <w:r>
              <w:rPr/>
              <w:t>根据省银保监局发布的最近一期保险机构消费者权益保护监管评价工作通报得分情况进行评分：一级得12分，二级A得11分，二级B得10分，二级C得9分，三级A得8分，三级B得7分，三级C得6分，无监管评价不得分。 提供省银保监局消费者权益保护监管评价工作考评。</w:t>
            </w:r>
          </w:p>
        </w:tc>
        <w:tc>
          <w:tcPr>
            <w:tcW w:type="dxa" w:w="831"/>
          </w:tcPr>
          <w:p>
            <w:pPr>
              <w:pStyle w:val="null3"/>
              <w:jc w:val="right"/>
            </w:pPr>
            <w:r>
              <w:rPr/>
              <w:t>12.00</w:t>
            </w:r>
          </w:p>
        </w:tc>
        <w:tc>
          <w:tcPr>
            <w:tcW w:type="dxa" w:w="831"/>
          </w:tcPr>
          <w:p>
            <w:pPr>
              <w:pStyle w:val="null3"/>
            </w:pPr>
            <w:r>
              <w:rPr/>
              <w:t>客观</w:t>
            </w:r>
          </w:p>
        </w:tc>
        <w:tc>
          <w:tcPr>
            <w:tcW w:type="dxa" w:w="1661"/>
          </w:tcPr>
          <w:p>
            <w:pPr>
              <w:pStyle w:val="null3"/>
            </w:pPr>
            <w:r>
              <w:rPr/>
              <w:t>商务应答表</w:t>
            </w:r>
          </w:p>
        </w:tc>
      </w:tr>
      <w:tr>
        <w:tc>
          <w:tcPr>
            <w:tcW w:type="dxa" w:w="831"/>
            <w:vMerge/>
          </w:tcPr>
          <w:p/>
        </w:tc>
        <w:tc>
          <w:tcPr>
            <w:tcW w:type="dxa" w:w="1661"/>
          </w:tcPr>
          <w:p>
            <w:pPr>
              <w:pStyle w:val="null3"/>
            </w:pPr>
            <w:r>
              <w:rPr/>
              <w:t>风险综合评级</w:t>
            </w:r>
          </w:p>
        </w:tc>
        <w:tc>
          <w:tcPr>
            <w:tcW w:type="dxa" w:w="2492"/>
          </w:tcPr>
          <w:p>
            <w:pPr>
              <w:pStyle w:val="null3"/>
            </w:pPr>
            <w:r>
              <w:rPr/>
              <w:t>根据投标人总公司中国银保监会公布的最近四个季度保险公司风险综合评级结果进行评分：每获得1次A级(含AA、AAA)得3分，每获得1次B级（含BB、BBB）得2.5分，每获得1次C级（含CC、CCC)得2分，每获得1次D级及以下得1.5分。本项最高12分。 提供“C-ROSS中国银行保险监督管理委员会偿二代监管信息系统”查询页面截图,并加盖公章。</w:t>
            </w:r>
          </w:p>
        </w:tc>
        <w:tc>
          <w:tcPr>
            <w:tcW w:type="dxa" w:w="831"/>
          </w:tcPr>
          <w:p>
            <w:pPr>
              <w:pStyle w:val="null3"/>
              <w:jc w:val="right"/>
            </w:pPr>
            <w:r>
              <w:rPr/>
              <w:t>12.00</w:t>
            </w:r>
          </w:p>
        </w:tc>
        <w:tc>
          <w:tcPr>
            <w:tcW w:type="dxa" w:w="831"/>
          </w:tcPr>
          <w:p>
            <w:pPr>
              <w:pStyle w:val="null3"/>
            </w:pPr>
            <w:r>
              <w:rPr/>
              <w:t>客观</w:t>
            </w:r>
          </w:p>
        </w:tc>
        <w:tc>
          <w:tcPr>
            <w:tcW w:type="dxa" w:w="1661"/>
          </w:tcPr>
          <w:p>
            <w:pPr>
              <w:pStyle w:val="null3"/>
            </w:pPr>
            <w:r>
              <w:rPr/>
              <w:t>商务应答表</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246"/>
        <w:gridCol w:w="1661"/>
        <w:gridCol w:w="1246"/>
        <w:gridCol w:w="1661"/>
        <w:gridCol w:w="1661"/>
      </w:tblGrid>
      <w:tr>
        <w:tc>
          <w:tcPr>
            <w:tcW w:type="dxa" w:w="831"/>
          </w:tcPr>
          <w:p>
            <w:pPr>
              <w:pStyle w:val="null3"/>
            </w:pPr>
            <w:r>
              <w:rPr/>
              <w:t xml:space="preserve"> 序号</w:t>
            </w:r>
          </w:p>
        </w:tc>
        <w:tc>
          <w:tcPr>
            <w:tcW w:type="dxa" w:w="1246"/>
          </w:tcPr>
          <w:p>
            <w:pPr>
              <w:pStyle w:val="null3"/>
            </w:pPr>
            <w:r>
              <w:rPr/>
              <w:t xml:space="preserve"> 情形</w:t>
            </w:r>
          </w:p>
        </w:tc>
        <w:tc>
          <w:tcPr>
            <w:tcW w:type="dxa" w:w="1661"/>
          </w:tcPr>
          <w:p>
            <w:pPr>
              <w:pStyle w:val="null3"/>
            </w:pPr>
            <w:r>
              <w:rPr/>
              <w:t xml:space="preserve"> 适用对象</w:t>
            </w:r>
          </w:p>
        </w:tc>
        <w:tc>
          <w:tcPr>
            <w:tcW w:type="dxa" w:w="1246"/>
          </w:tcPr>
          <w:p>
            <w:pPr>
              <w:pStyle w:val="null3"/>
            </w:pPr>
            <w:r>
              <w:rPr/>
              <w:t xml:space="preserve"> 扣除比例(C1)</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pPr>
    </w:p>
    <w:p>
      <w:pPr>
        <w:pStyle w:val="null3"/>
      </w:pPr>
      <w:r>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详细评审100.00分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技术要求响应</w:t>
            </w:r>
          </w:p>
        </w:tc>
        <w:tc>
          <w:tcPr>
            <w:tcW w:type="dxa" w:w="2492"/>
          </w:tcPr>
          <w:p>
            <w:pPr>
              <w:pStyle w:val="null3"/>
            </w:pPr>
            <w:r>
              <w:rPr/>
              <w:t>1、投标人所有技术参数要求完全满足招标文件采购项目清单及技术要求的得10分。有负偏离的，按以下方式计算得分： 2、投标人此项得分=（投标人满足参数条款的数量÷参数条款的总数量）×10分； 注：本项所述的条款数量按以下原则计算：（1）参数条款：按（1）、（2）、（3）、（4）等条款数量计算，共8项。</w:t>
            </w:r>
          </w:p>
        </w:tc>
        <w:tc>
          <w:tcPr>
            <w:tcW w:type="dxa" w:w="831"/>
          </w:tcPr>
          <w:p>
            <w:pPr>
              <w:pStyle w:val="null3"/>
              <w:jc w:val="right"/>
            </w:pPr>
            <w:r>
              <w:rPr/>
              <w:t>10.00</w:t>
            </w:r>
          </w:p>
        </w:tc>
        <w:tc>
          <w:tcPr>
            <w:tcW w:type="dxa" w:w="831"/>
          </w:tcPr>
          <w:p>
            <w:pPr>
              <w:pStyle w:val="null3"/>
            </w:pPr>
            <w:r>
              <w:rPr/>
              <w:t>客观</w:t>
            </w:r>
          </w:p>
        </w:tc>
        <w:tc>
          <w:tcPr>
            <w:tcW w:type="dxa" w:w="1661"/>
          </w:tcPr>
          <w:p>
            <w:pPr>
              <w:pStyle w:val="null3"/>
            </w:pPr>
            <w:r>
              <w:rPr/>
              <w:t>商务应答表</w:t>
            </w:r>
          </w:p>
          <w:p>
            <w:pPr>
              <w:pStyle w:val="null3"/>
            </w:pPr>
            <w:r>
              <w:rPr/>
              <w:t>中小企业声明函</w:t>
            </w:r>
          </w:p>
          <w:p>
            <w:pPr>
              <w:pStyle w:val="null3"/>
            </w:pPr>
            <w:r>
              <w:rPr/>
              <w:t>残疾人福利性单位声明函</w:t>
            </w:r>
          </w:p>
          <w:p>
            <w:pPr>
              <w:pStyle w:val="null3"/>
            </w:pPr>
            <w:r>
              <w:rPr/>
              <w:t>监狱企业的证明文件</w:t>
            </w:r>
          </w:p>
        </w:tc>
      </w:tr>
      <w:tr>
        <w:tc>
          <w:tcPr>
            <w:tcW w:type="dxa" w:w="831"/>
            <w:vMerge/>
          </w:tcPr>
          <w:p/>
        </w:tc>
        <w:tc>
          <w:tcPr>
            <w:tcW w:type="dxa" w:w="1661"/>
          </w:tcPr>
          <w:p>
            <w:pPr>
              <w:pStyle w:val="null3"/>
            </w:pPr>
            <w:r>
              <w:rPr/>
              <w:t>承保服务方案</w:t>
            </w:r>
          </w:p>
        </w:tc>
        <w:tc>
          <w:tcPr>
            <w:tcW w:type="dxa" w:w="2492"/>
          </w:tcPr>
          <w:p>
            <w:pPr>
              <w:pStyle w:val="null3"/>
            </w:pPr>
            <w:r>
              <w:rPr/>
              <w:t>投标人根据本项目特点提供服务方案，根据提供的方案进行评分，方案包括：①服务理念；②服务目标；③承保服务流程；④助老服务方案。方案内容完全满足采购需求得20分。每缺少一项扣5分，方案中存在缺陷或不足且不利于项目实施的，每有一处扣2分，扣完为止，不提供不得分。 注：“存在缺陷或不足且不利于项目实施”指：投标人所提供内容存在不适用项目实际情况的情形、套用其他方案、涉及的规范及技术服务标准要求与本项目不一致、凭空编造、逻辑漏洞、科学原理错误以及不可能实现的夸大情形等情况。</w:t>
            </w:r>
          </w:p>
        </w:tc>
        <w:tc>
          <w:tcPr>
            <w:tcW w:type="dxa" w:w="831"/>
          </w:tcPr>
          <w:p>
            <w:pPr>
              <w:pStyle w:val="null3"/>
              <w:jc w:val="right"/>
            </w:pPr>
            <w:r>
              <w:rPr/>
              <w:t>20.00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理赔服务方案</w:t>
            </w:r>
          </w:p>
        </w:tc>
        <w:tc>
          <w:tcPr>
            <w:tcW w:type="dxa" w:w="2492"/>
          </w:tcPr>
          <w:p>
            <w:pPr>
              <w:pStyle w:val="null3"/>
            </w:pPr>
            <w:r>
              <w:rPr/>
              <w:t>1.理赔流程8分。包括：①从报案到赔付完结的整个过程；②理赔时限及日常联络机制。方案内容完全满足采购需求得8分，每缺少一项方案内容扣4分，每有一项方案内容存在缺陷或不足且不利于项目实施的扣1分，不提供不得分。 2.服务网络5分。投标人承诺中标后在项目所属地且在法定时限内设立符合保险监督部门要求的分支机构或网点的，得5分；不承诺设立法定经营机构或网点的，得2分。(提供承诺函加盖公章） 3.服务保障8分。包括：①服务车辆；②不少于10人的服务团队；③联系人及联系方式；④响应时间及售后内容。方案内容完全满足采购需求得8分，方案内容每缺少一项扣2分，每有一项方案内容存在缺陷或不足且不利于项目实施的扣0.5分，不提供不得分。 4.异地理赔服务4分。投标人承诺在保险期间内符合理赔范围内的异地案件审核和赔付时间不超过15日的得4分，不承诺不得分 。（提供承诺函加盖公章） 5.政策宣传5分。投标人承诺在中标后，提供至少5种方式进行项目宣传的得5分。提供一种得1分，宣传内容存在缺陷或不利于项目实施的扣0.5分。不提供不得分。 注：“存在缺陷或不足且不利于项目实施”指：投标人所提供内容存在不适用项目实际情况的情形、套用其他方案、涉及的规范及技术服务标准要求与本项目不一致、凭空编造、逻辑漏洞、科学原理错误以及不可能实现的夸大情形等情况。</w:t>
            </w:r>
          </w:p>
        </w:tc>
        <w:tc>
          <w:tcPr>
            <w:tcW w:type="dxa" w:w="831"/>
          </w:tcPr>
          <w:p>
            <w:pPr>
              <w:pStyle w:val="null3"/>
              <w:jc w:val="right"/>
            </w:pPr>
            <w:r>
              <w:rPr/>
              <w:t>30.00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理赔服务承诺</w:t>
            </w:r>
          </w:p>
        </w:tc>
        <w:tc>
          <w:tcPr>
            <w:tcW w:type="dxa" w:w="2492"/>
          </w:tcPr>
          <w:p>
            <w:pPr>
              <w:pStyle w:val="null3"/>
            </w:pPr>
            <w:r>
              <w:rPr/>
              <w:t>投标人承诺在中标后安排专人进行保险业务的承保、理赔，并负责进行业务数据核对，人员清单核对等服务且理赔手续齐全，理赔时效10个工作日以内得4分，没有或不承诺不得分。 提供承诺函加盖公章。</w:t>
            </w:r>
          </w:p>
        </w:tc>
        <w:tc>
          <w:tcPr>
            <w:tcW w:type="dxa" w:w="831"/>
          </w:tcPr>
          <w:p>
            <w:pPr>
              <w:pStyle w:val="null3"/>
              <w:jc w:val="right"/>
            </w:pPr>
            <w:r>
              <w:rPr/>
              <w:t>4.00</w:t>
            </w:r>
          </w:p>
        </w:tc>
        <w:tc>
          <w:tcPr>
            <w:tcW w:type="dxa" w:w="831"/>
          </w:tcPr>
          <w:p>
            <w:pPr>
              <w:pStyle w:val="null3"/>
            </w:pPr>
            <w:r>
              <w:rPr/>
              <w:t>客观</w:t>
            </w:r>
          </w:p>
        </w:tc>
        <w:tc>
          <w:tcPr>
            <w:tcW w:type="dxa" w:w="1661"/>
          </w:tcPr>
          <w:p>
            <w:pPr>
              <w:pStyle w:val="null3"/>
            </w:pPr>
            <w:r>
              <w:rPr/>
              <w:t>商务应答表</w:t>
            </w:r>
          </w:p>
        </w:tc>
      </w:tr>
      <w:tr>
        <w:tc>
          <w:tcPr>
            <w:tcW w:type="dxa" w:w="831"/>
            <w:vMerge/>
          </w:tcPr>
          <w:p/>
        </w:tc>
        <w:tc>
          <w:tcPr>
            <w:tcW w:type="dxa" w:w="1661"/>
          </w:tcPr>
          <w:p>
            <w:pPr>
              <w:pStyle w:val="null3"/>
            </w:pPr>
            <w:r>
              <w:rPr/>
              <w:t>综合偿付能力</w:t>
            </w:r>
          </w:p>
        </w:tc>
        <w:tc>
          <w:tcPr>
            <w:tcW w:type="dxa" w:w="2492"/>
          </w:tcPr>
          <w:p>
            <w:pPr>
              <w:pStyle w:val="null3"/>
            </w:pPr>
            <w:r>
              <w:rPr/>
              <w:t>根据投标人总公司最近4个季度综合偿付能力充足率指标情况进行评分： 季度综合偿付能力充足率：≥180%的，每一次得3分；≥150%＜180%的，每一次得2.5分；≥100%＜150%的，每一次得2分；＜100%不得分。本项最高12分。 提供经第三方机构审计或官方发布的偿付能力报告复印件和本项评分的自评得分表，并加盖公章。</w:t>
            </w:r>
          </w:p>
        </w:tc>
        <w:tc>
          <w:tcPr>
            <w:tcW w:type="dxa" w:w="831"/>
          </w:tcPr>
          <w:p>
            <w:pPr>
              <w:pStyle w:val="null3"/>
              <w:jc w:val="right"/>
            </w:pPr>
            <w:r>
              <w:rPr/>
              <w:t>12.00</w:t>
            </w:r>
          </w:p>
        </w:tc>
        <w:tc>
          <w:tcPr>
            <w:tcW w:type="dxa" w:w="831"/>
          </w:tcPr>
          <w:p>
            <w:pPr>
              <w:pStyle w:val="null3"/>
            </w:pPr>
            <w:r>
              <w:rPr/>
              <w:t>客观</w:t>
            </w:r>
          </w:p>
        </w:tc>
        <w:tc>
          <w:tcPr>
            <w:tcW w:type="dxa" w:w="1661"/>
          </w:tcPr>
          <w:p>
            <w:pPr>
              <w:pStyle w:val="null3"/>
            </w:pPr>
            <w:r>
              <w:rPr/>
              <w:t>商务应答表</w:t>
            </w:r>
          </w:p>
        </w:tc>
      </w:tr>
      <w:tr>
        <w:tc>
          <w:tcPr>
            <w:tcW w:type="dxa" w:w="831"/>
            <w:vMerge/>
          </w:tcPr>
          <w:p/>
        </w:tc>
        <w:tc>
          <w:tcPr>
            <w:tcW w:type="dxa" w:w="1661"/>
          </w:tcPr>
          <w:p>
            <w:pPr>
              <w:pStyle w:val="null3"/>
            </w:pPr>
            <w:r>
              <w:rPr/>
              <w:t>投标人消保监管评价</w:t>
            </w:r>
          </w:p>
        </w:tc>
        <w:tc>
          <w:tcPr>
            <w:tcW w:type="dxa" w:w="2492"/>
          </w:tcPr>
          <w:p>
            <w:pPr>
              <w:pStyle w:val="null3"/>
            </w:pPr>
            <w:r>
              <w:rPr/>
              <w:t>根据省银保监局发布的最近一期保险机构消费者权益保护监管评价工作通报得分情况进行评分：一级得12分，二级A得11分，二级B得10分，二级C得9分，三级A得8分，三级B得7分，三级C得6分，无监管评价不得分。 提供省银保监局消费者权益保护监管评价工作考评。</w:t>
            </w:r>
          </w:p>
        </w:tc>
        <w:tc>
          <w:tcPr>
            <w:tcW w:type="dxa" w:w="831"/>
          </w:tcPr>
          <w:p>
            <w:pPr>
              <w:pStyle w:val="null3"/>
              <w:jc w:val="right"/>
            </w:pPr>
            <w:r>
              <w:rPr/>
              <w:t>12.00</w:t>
            </w:r>
          </w:p>
        </w:tc>
        <w:tc>
          <w:tcPr>
            <w:tcW w:type="dxa" w:w="831"/>
          </w:tcPr>
          <w:p>
            <w:pPr>
              <w:pStyle w:val="null3"/>
            </w:pPr>
            <w:r>
              <w:rPr/>
              <w:t>客观</w:t>
            </w:r>
          </w:p>
        </w:tc>
        <w:tc>
          <w:tcPr>
            <w:tcW w:type="dxa" w:w="1661"/>
          </w:tcPr>
          <w:p>
            <w:pPr>
              <w:pStyle w:val="null3"/>
            </w:pPr>
            <w:r>
              <w:rPr/>
              <w:t>商务应答表</w:t>
            </w:r>
          </w:p>
        </w:tc>
      </w:tr>
      <w:tr>
        <w:tc>
          <w:tcPr>
            <w:tcW w:type="dxa" w:w="831"/>
            <w:vMerge/>
          </w:tcPr>
          <w:p/>
        </w:tc>
        <w:tc>
          <w:tcPr>
            <w:tcW w:type="dxa" w:w="1661"/>
          </w:tcPr>
          <w:p>
            <w:pPr>
              <w:pStyle w:val="null3"/>
            </w:pPr>
            <w:r>
              <w:rPr/>
              <w:t>风险综合评级</w:t>
            </w:r>
          </w:p>
        </w:tc>
        <w:tc>
          <w:tcPr>
            <w:tcW w:type="dxa" w:w="2492"/>
          </w:tcPr>
          <w:p>
            <w:pPr>
              <w:pStyle w:val="null3"/>
            </w:pPr>
            <w:r>
              <w:rPr/>
              <w:t>根据投标人总公司中国银保监会公布的最近四个季度保险公司风险综合评级结果进行评分：每获得1次A级(含AA、AAA)得3分，每获得1次B级（含BB、BBB）得2.5分，每获得1次C级（含CC、CCC)得2分，每获得1次D级及以下得1.5分。本项最高12分。 提供“C-ROSS中国银行保险监督管理委员会偿二代监管信息系统”查询页面截图,并加盖公章。</w:t>
            </w:r>
          </w:p>
        </w:tc>
        <w:tc>
          <w:tcPr>
            <w:tcW w:type="dxa" w:w="831"/>
          </w:tcPr>
          <w:p>
            <w:pPr>
              <w:pStyle w:val="null3"/>
              <w:jc w:val="right"/>
            </w:pPr>
            <w:r>
              <w:rPr/>
              <w:t>12.00</w:t>
            </w:r>
          </w:p>
        </w:tc>
        <w:tc>
          <w:tcPr>
            <w:tcW w:type="dxa" w:w="831"/>
          </w:tcPr>
          <w:p>
            <w:pPr>
              <w:pStyle w:val="null3"/>
            </w:pPr>
            <w:r>
              <w:rPr/>
              <w:t>客观</w:t>
            </w:r>
          </w:p>
        </w:tc>
        <w:tc>
          <w:tcPr>
            <w:tcW w:type="dxa" w:w="1661"/>
          </w:tcPr>
          <w:p>
            <w:pPr>
              <w:pStyle w:val="null3"/>
            </w:pPr>
            <w:r>
              <w:rPr/>
              <w:t>商务应答表</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246"/>
        <w:gridCol w:w="1661"/>
        <w:gridCol w:w="1246"/>
        <w:gridCol w:w="1661"/>
        <w:gridCol w:w="1661"/>
      </w:tblGrid>
      <w:tr>
        <w:tc>
          <w:tcPr>
            <w:tcW w:type="dxa" w:w="831"/>
          </w:tcPr>
          <w:p>
            <w:pPr>
              <w:pStyle w:val="null3"/>
            </w:pPr>
            <w:r>
              <w:rPr/>
              <w:t xml:space="preserve"> 序号</w:t>
            </w:r>
          </w:p>
        </w:tc>
        <w:tc>
          <w:tcPr>
            <w:tcW w:type="dxa" w:w="1246"/>
          </w:tcPr>
          <w:p>
            <w:pPr>
              <w:pStyle w:val="null3"/>
            </w:pPr>
            <w:r>
              <w:rPr/>
              <w:t xml:space="preserve"> 情形</w:t>
            </w:r>
          </w:p>
        </w:tc>
        <w:tc>
          <w:tcPr>
            <w:tcW w:type="dxa" w:w="1661"/>
          </w:tcPr>
          <w:p>
            <w:pPr>
              <w:pStyle w:val="null3"/>
            </w:pPr>
            <w:r>
              <w:rPr/>
              <w:t xml:space="preserve"> 适用对象</w:t>
            </w:r>
          </w:p>
        </w:tc>
        <w:tc>
          <w:tcPr>
            <w:tcW w:type="dxa" w:w="1246"/>
          </w:tcPr>
          <w:p>
            <w:pPr>
              <w:pStyle w:val="null3"/>
            </w:pPr>
            <w:r>
              <w:rPr/>
              <w:t xml:space="preserve"> 扣除比例(C1)</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2、评分标准中要求提供的证明材料须清晰可辨。</w:t>
      </w:r>
    </w:p>
    <w:p>
      <w:pPr>
        <w:pStyle w:val="null3"/>
        <w:ind w:firstLine="480"/>
      </w:pPr>
      <w:r>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b/>
          <w:sz w:val="28"/>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废标后，代理机构将在四川政府采购网上公告。对于评标过程中废标的采购项目，评标委员会应当对招标文件是否存在倾向性和歧视性、是否存在不合理条款进行论证，并出具书面论证意见。</w:t>
      </w:r>
    </w:p>
    <w:p>
      <w:pPr>
        <w:pStyle w:val="null3"/>
        <w:outlineLvl w:val="2"/>
      </w:pPr>
      <w:r>
        <w:rPr>
          <w:b/>
          <w:sz w:val="28"/>
        </w:rPr>
        <w:t>5.8定标</w:t>
      </w:r>
    </w:p>
    <w:p>
      <w:pPr>
        <w:pStyle w:val="null3"/>
        <w:outlineLvl w:val="3"/>
      </w:pPr>
      <w:r>
        <w:rPr>
          <w:b/>
          <w:sz w:val="24"/>
        </w:rPr>
        <w:t>5.8.1 定标原则</w:t>
      </w:r>
    </w:p>
    <w:p>
      <w:pPr>
        <w:pStyle w:val="null3"/>
      </w:pPr>
    </w:p>
    <w:p>
      <w:pPr>
        <w:pStyle w:val="null3"/>
      </w:pPr>
    </w:p>
    <w:p>
      <w:pPr>
        <w:pStyle w:val="null3"/>
      </w:pPr>
      <w:r>
        <w:rPr/>
        <w:t>采购人在评标报告确定的中标候选人名单中按顺序确定1名中标人。中标候选人并列的，由采购人采取随机抽取的方式确定中标人。</w:t>
      </w:r>
    </w:p>
    <w:p>
      <w:pPr>
        <w:pStyle w:val="null3"/>
        <w:outlineLvl w:val="3"/>
      </w:pPr>
      <w:r>
        <w:rPr>
          <w:b/>
          <w:sz w:val="24"/>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四、根据确定的中标供应商，代理机构在四川政府采购网上发布中标结果公告，通过项目电子化交易系统向中标供应商发出中标通知书。</w:t>
      </w:r>
    </w:p>
    <w:p>
      <w:pPr>
        <w:pStyle w:val="null3"/>
        <w:outlineLvl w:val="2"/>
      </w:pPr>
      <w:r>
        <w:rPr>
          <w:b/>
          <w:sz w:val="28"/>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b/>
          <w:sz w:val="28"/>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（二）评标前，应当将通讯工具或者相关电子设备交由采购组织单位统一保管。</w:t>
      </w:r>
    </w:p>
    <w:p>
      <w:pPr>
        <w:pStyle w:val="null3"/>
        <w:ind w:firstLine="480"/>
      </w:pPr>
      <w:r>
        <w:rPr/>
        <w:t>（三）评标过程中，不得与外界联系，因发生不可预见情况，确实需要与外界联系的， 应当在监督人员监督之下办理。</w:t>
      </w:r>
    </w:p>
    <w:p>
      <w:pPr>
        <w:pStyle w:val="null3"/>
        <w:ind w:firstLine="480"/>
      </w:pPr>
      <w:r>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t xml:space="preserve"> （五）在评审过程中和评审结束后，不得记录、复制或带走任何评审资料，除因履行本规程第十三条第（六）项规定的义务外，不得向外界透露评审内容。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p>
    <w:p>
      <w:pPr>
        <w:pStyle w:val="null3"/>
      </w:pPr>
      <w:r>
        <w:rPr/>
        <w:t xml:space="preserve"> </w:t>
      </w:r>
    </w:p>
    <w:p>
      <w:pPr>
        <w:pStyle w:val="null3"/>
        <w:jc w:val="center"/>
        <w:outlineLvl w:val="1"/>
      </w:pPr>
      <w:r>
        <w:rPr>
          <w:b/>
          <w:sz w:val="36"/>
        </w:rPr>
        <w:t>第6章投标文件格式</w:t>
      </w:r>
    </w:p>
    <w:p>
      <w:pPr>
        <w:pStyle w:val="null3"/>
        <w:outlineLvl w:val="2"/>
      </w:pPr>
      <w:r>
        <w:rPr>
          <w:b/>
          <w:sz w:val="28"/>
        </w:rPr>
        <w:t>6.1投标文件封面格式</w:t>
      </w:r>
    </w:p>
    <w:p>
      <w:pPr>
        <w:pStyle w:val="null3"/>
      </w:pPr>
    </w:p>
    <w:p>
      <w:pPr>
        <w:pStyle w:val="null3"/>
      </w:pPr>
    </w:p>
    <w:p>
      <w:pPr>
        <w:pStyle w:val="null3"/>
      </w:pP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详见附件：投标人应提交的相关资格证明材料</w:t>
      </w:r>
    </w:p>
    <w:p>
      <w:pPr>
        <w:pStyle w:val="null3"/>
        <w:ind w:firstLine="960"/>
      </w:pPr>
      <w:r>
        <w:rPr/>
        <w:t>详见附件：商务应答表</w:t>
      </w:r>
    </w:p>
    <w:p>
      <w:pPr>
        <w:pStyle w:val="null3"/>
        <w:ind w:firstLine="960"/>
      </w:pPr>
      <w:r>
        <w:rPr/>
        <w:t>详见附件：开标一览表</w:t>
      </w:r>
    </w:p>
    <w:p>
      <w:pPr>
        <w:pStyle w:val="null3"/>
        <w:ind w:firstLine="960"/>
      </w:pPr>
      <w:r>
        <w:rPr/>
        <w:t>详见附件：分项报价表</w:t>
      </w:r>
    </w:p>
    <w:p>
      <w:pPr>
        <w:pStyle w:val="null3"/>
        <w:ind w:firstLine="960"/>
      </w:pPr>
      <w:r>
        <w:rPr/>
        <w:t>详见附件：服务方案</w:t>
      </w:r>
    </w:p>
    <w:p>
      <w:pPr>
        <w:pStyle w:val="null3"/>
      </w:pPr>
    </w:p>
    <w:p>
      <w:pPr>
        <w:pStyle w:val="null3"/>
      </w:pPr>
      <w:r>
        <w:rPr/>
        <w:t>采购包2：</w:t>
      </w:r>
    </w:p>
    <w:p>
      <w:pPr>
        <w:pStyle w:val="null3"/>
      </w:pPr>
      <w:r>
        <w:rPr/>
        <w:t>分册名称：投标响应文件分册</w:t>
      </w:r>
    </w:p>
    <w:p>
      <w:pPr>
        <w:pStyle w:val="null3"/>
        <w:ind w:firstLine="960"/>
      </w:pPr>
      <w:r>
        <w:rPr/>
        <w:t>详见附件：投标文件封面</w:t>
      </w:r>
    </w:p>
    <w:p>
      <w:pPr>
        <w:pStyle w:val="null3"/>
        <w:ind w:firstLine="960"/>
      </w:pPr>
      <w:r>
        <w:rPr/>
        <w:t>详见附件：投标（响应）函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详见附件：投标人应提交的相关资格证明材料</w:t>
      </w:r>
    </w:p>
    <w:p>
      <w:pPr>
        <w:pStyle w:val="null3"/>
        <w:ind w:firstLine="960"/>
      </w:pPr>
      <w:r>
        <w:rPr/>
        <w:t>详见附件：商务应答表</w:t>
      </w:r>
    </w:p>
    <w:p>
      <w:pPr>
        <w:pStyle w:val="null3"/>
        <w:ind w:firstLine="960"/>
      </w:pPr>
      <w:r>
        <w:rPr/>
        <w:t>详见附件：开标一览表</w:t>
      </w:r>
    </w:p>
    <w:p>
      <w:pPr>
        <w:pStyle w:val="null3"/>
        <w:ind w:firstLine="960"/>
      </w:pPr>
      <w:r>
        <w:rPr/>
        <w:t>详见附件：分项报价表</w:t>
      </w:r>
    </w:p>
    <w:p>
      <w:pPr>
        <w:pStyle w:val="null3"/>
        <w:ind w:firstLine="960"/>
      </w:pPr>
      <w:r>
        <w:rPr/>
        <w:t>详见附件：服务方案</w:t>
      </w:r>
    </w:p>
    <w:p>
      <w:pPr>
        <w:pStyle w:val="null3"/>
      </w:pPr>
    </w:p>
    <w:p>
      <w:pPr>
        <w:pStyle w:val="null3"/>
      </w:pPr>
      <w:r>
        <w:rPr/>
        <w:t>采购包3：</w:t>
      </w:r>
    </w:p>
    <w:p>
      <w:pPr>
        <w:pStyle w:val="null3"/>
      </w:pPr>
      <w:r>
        <w:rPr/>
        <w:t>分册名称：投标响应文件分册</w:t>
      </w:r>
    </w:p>
    <w:p>
      <w:pPr>
        <w:pStyle w:val="null3"/>
        <w:ind w:firstLine="960"/>
      </w:pPr>
      <w:r>
        <w:rPr/>
        <w:t>详见附件：投标文件封面</w:t>
      </w:r>
    </w:p>
    <w:p>
      <w:pPr>
        <w:pStyle w:val="null3"/>
        <w:ind w:firstLine="960"/>
      </w:pPr>
      <w:r>
        <w:rPr/>
        <w:t>详见附件：投标（响应）函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详见附件：投标人应提交的相关资格证明材料</w:t>
      </w:r>
    </w:p>
    <w:p>
      <w:pPr>
        <w:pStyle w:val="null3"/>
        <w:ind w:firstLine="960"/>
      </w:pPr>
      <w:r>
        <w:rPr/>
        <w:t>详见附件：商务应答表</w:t>
      </w:r>
    </w:p>
    <w:p>
      <w:pPr>
        <w:pStyle w:val="null3"/>
        <w:ind w:firstLine="960"/>
      </w:pPr>
      <w:r>
        <w:rPr/>
        <w:t>详见附件：开标一览表</w:t>
      </w:r>
    </w:p>
    <w:p>
      <w:pPr>
        <w:pStyle w:val="null3"/>
        <w:ind w:firstLine="960"/>
      </w:pPr>
      <w:r>
        <w:rPr/>
        <w:t>详见附件：分项报价表</w:t>
      </w:r>
    </w:p>
    <w:p>
      <w:pPr>
        <w:pStyle w:val="null3"/>
        <w:ind w:firstLine="960"/>
      </w:pPr>
      <w:r>
        <w:rPr/>
        <w:t>详见附件：服务方案</w:t>
      </w:r>
    </w:p>
    <w:p>
      <w:pPr>
        <w:pStyle w:val="null3"/>
      </w:pPr>
    </w:p>
    <w:p>
      <w:pPr>
        <w:pStyle w:val="null3"/>
      </w:pPr>
      <w:r>
        <w:rPr/>
        <w:t xml:space="preserve"> </w:t>
      </w:r>
    </w:p>
    <w:p>
      <w:pPr>
        <w:pStyle w:val="null3"/>
        <w:jc w:val="center"/>
        <w:outlineLvl w:val="1"/>
      </w:pPr>
      <w:r>
        <w:rPr>
          <w:b/>
          <w:sz w:val="36"/>
        </w:rPr>
        <w:t>第7章 拟签订采购合同文本</w:t>
      </w:r>
    </w:p>
    <w:p>
      <w:pPr>
        <w:pStyle w:val="null3"/>
      </w:pPr>
    </w:p>
    <w:p>
      <w:pPr>
        <w:pStyle w:val="null3"/>
      </w:pPr>
    </w:p>
    <w:p>
      <w:pPr>
        <w:pStyle w:val="null3"/>
      </w:pPr>
    </w:p>
    <w:p>
      <w:pPr>
        <w:pStyle w:val="null3"/>
      </w:pPr>
    </w:p>
    <w:p>
      <w:pPr>
        <w:pStyle w:val="null3"/>
      </w:pPr>
    </w:p>
    <w:p>
      <w:pPr>
        <w:pStyle w:val="null3"/>
        <w:jc w:val="center"/>
        <w:outlineLvl w:val="0"/>
      </w:pPr>
      <w:r>
        <w:rPr>
          <w:b/>
          <w:sz w:val="48"/>
        </w:rPr>
        <w:t xml:space="preserve"> 政府采购合同（服务类）</w:t>
      </w:r>
      <w:r>
        <w:br/>
      </w:r>
    </w:p>
    <w:p>
      <w:pPr>
        <w:pStyle w:val="null3"/>
      </w:pPr>
      <w:r>
        <w:rPr/>
        <w:t xml:space="preserve"> 政府采购合同编号： __________________</w:t>
      </w:r>
    </w:p>
    <w:p>
      <w:pPr>
        <w:pStyle w:val="null3"/>
      </w:pPr>
      <w:r>
        <w:rPr/>
        <w:t xml:space="preserve"> 履约地点：__________________</w:t>
      </w:r>
    </w:p>
    <w:p>
      <w:pPr>
        <w:pStyle w:val="null3"/>
      </w:pPr>
      <w:r>
        <w:rPr/>
        <w:t xml:space="preserve"> 签订日期：20___年___月___日</w:t>
      </w:r>
    </w:p>
    <w:p>
      <w:pPr>
        <w:pStyle w:val="null3"/>
      </w:pPr>
      <w:r>
        <w:rPr/>
        <w:t xml:space="preserve"> 签订地点：__________________</w:t>
      </w:r>
    </w:p>
    <w:p>
      <w:pPr>
        <w:pStyle w:val="null3"/>
      </w:pPr>
      <w:r>
        <w:rPr/>
        <w:t xml:space="preserve"> 采购人（甲方）：__________________</w:t>
      </w:r>
    </w:p>
    <w:p>
      <w:pPr>
        <w:pStyle w:val="null3"/>
      </w:pPr>
      <w:r>
        <w:rPr/>
        <w:t xml:space="preserve"> 地址：__________________</w:t>
      </w:r>
    </w:p>
    <w:p>
      <w:pPr>
        <w:pStyle w:val="null3"/>
      </w:pPr>
      <w:r>
        <w:rPr/>
        <w:t xml:space="preserve"> 供应商(乙方)：__________________</w:t>
      </w:r>
    </w:p>
    <w:p>
      <w:pPr>
        <w:pStyle w:val="null3"/>
      </w:pPr>
      <w:r>
        <w:rPr/>
        <w:t xml:space="preserve"> 地址：__________________</w:t>
      </w:r>
    </w:p>
    <w:p>
      <w:pPr>
        <w:pStyle w:val="null3"/>
      </w:pPr>
      <w:r>
        <w:rPr/>
        <w:t xml:space="preserve"> 依据《中华人民共和国民法典》《中华人民共和国政府采购法》与项目行业有关的法律法规，以及XXX采购项目的</w:t>
      </w:r>
      <w:r>
        <w:rPr/>
        <w:t>《采购文件》</w:t>
      </w:r>
      <w:r>
        <w:rPr/>
        <w:t xml:space="preserve"> ，乙方的《投标（响应）文件》及《中标（成交）通知书》，甲乙双方同意签订本合同。具体情况及要求如下</w:t>
      </w:r>
    </w:p>
    <w:p>
      <w:pPr>
        <w:pStyle w:val="null3"/>
        <w:outlineLvl w:val="3"/>
      </w:pPr>
      <w:r>
        <w:rPr>
          <w:b/>
          <w:sz w:val="24"/>
        </w:rPr>
        <w:t xml:space="preserve"> 一、标的信息</w:t>
      </w:r>
      <w:r>
        <w:br/>
      </w:r>
    </w:p>
    <w:p>
      <w:pPr>
        <w:pStyle w:val="null3"/>
        <w:outlineLvl w:val="3"/>
      </w:pPr>
      <w:r>
        <w:rPr>
          <w:b/>
          <w:sz w:val="24"/>
        </w:rPr>
        <w:t xml:space="preserve"> 二、服务要求</w:t>
      </w:r>
      <w:r>
        <w:br/>
      </w:r>
    </w:p>
    <w:p>
      <w:pPr>
        <w:pStyle w:val="null3"/>
        <w:outlineLvl w:val="3"/>
      </w:pPr>
      <w:r>
        <w:rPr>
          <w:b/>
          <w:sz w:val="24"/>
        </w:rPr>
        <w:t xml:space="preserve"> 三、合同定价方式、付款进度和支付方式</w:t>
      </w:r>
      <w:r>
        <w:br/>
      </w:r>
    </w:p>
    <w:p>
      <w:pPr>
        <w:pStyle w:val="null3"/>
        <w:outlineLvl w:val="3"/>
      </w:pPr>
      <w:r>
        <w:rPr>
          <w:b/>
          <w:sz w:val="24"/>
        </w:rPr>
        <w:t xml:space="preserve"> 四、履约保证金</w:t>
      </w:r>
      <w:r>
        <w:br/>
      </w:r>
    </w:p>
    <w:p>
      <w:pPr>
        <w:pStyle w:val="null3"/>
        <w:outlineLvl w:val="3"/>
      </w:pPr>
      <w:r>
        <w:rPr>
          <w:b/>
          <w:sz w:val="24"/>
        </w:rPr>
        <w:t xml:space="preserve"> 五、验收标准和方法</w:t>
      </w:r>
      <w:r>
        <w:br/>
      </w:r>
    </w:p>
    <w:p>
      <w:pPr>
        <w:pStyle w:val="null3"/>
        <w:outlineLvl w:val="3"/>
      </w:pPr>
      <w:r>
        <w:rPr>
          <w:b/>
          <w:sz w:val="24"/>
        </w:rPr>
        <w:t xml:space="preserve"> 六、甲方的权利和义务</w:t>
      </w:r>
    </w:p>
    <w:p>
      <w:pPr>
        <w:pStyle w:val="null3"/>
      </w:pPr>
      <w:r>
        <w:rPr/>
        <w:t>1.甲方有权对合同规定范围内乙方的服务行为进行监督和检查，拥有监管权。有权定期核对乙方提供服务所配备的人员数量。对甲方认为不合理的部分XXX。</w:t>
      </w:r>
    </w:p>
    <w:p>
      <w:pPr>
        <w:pStyle w:val="null3"/>
      </w:pPr>
      <w:r>
        <w:rPr/>
        <w:t>2.根据本合同规定，按时向乙方支付应付服务费用。</w:t>
      </w:r>
    </w:p>
    <w:p>
      <w:pPr>
        <w:pStyle w:val="null3"/>
      </w:pPr>
      <w:r>
        <w:rPr/>
        <w:t>3.国家法律、法规所规定由甲方承担的其它责任。</w:t>
      </w:r>
    </w:p>
    <w:p>
      <w:pPr>
        <w:pStyle w:val="null3"/>
      </w:pPr>
      <w:r>
        <w:rPr/>
        <w:t>......</w:t>
      </w:r>
    </w:p>
    <w:p>
      <w:pPr>
        <w:pStyle w:val="null3"/>
        <w:outlineLvl w:val="3"/>
      </w:pPr>
      <w:r>
        <w:rPr>
          <w:b/>
          <w:sz w:val="24"/>
        </w:rPr>
        <w:t xml:space="preserve"> 七、乙方的权利和义务</w:t>
      </w:r>
    </w:p>
    <w:p>
      <w:pPr>
        <w:pStyle w:val="null3"/>
      </w:pPr>
      <w:r>
        <w:rPr/>
        <w:t>1.根据本合同的约定向甲方收取相关服务费用。</w:t>
      </w:r>
    </w:p>
    <w:p>
      <w:pPr>
        <w:pStyle w:val="null3"/>
      </w:pPr>
      <w:r>
        <w:rPr/>
        <w:t>2.接受项目行业管理部门及政府有关部门的指导，接受甲方的监督。</w:t>
      </w:r>
    </w:p>
    <w:p>
      <w:pPr>
        <w:pStyle w:val="null3"/>
      </w:pPr>
      <w:r>
        <w:rPr/>
        <w:t>3.国家法律、法规所规定由乙方承担的其它责任。</w:t>
      </w:r>
    </w:p>
    <w:p>
      <w:pPr>
        <w:pStyle w:val="null3"/>
      </w:pPr>
      <w:r>
        <w:rPr/>
        <w:t>......</w:t>
      </w:r>
    </w:p>
    <w:p>
      <w:pPr>
        <w:pStyle w:val="null3"/>
        <w:outlineLvl w:val="3"/>
      </w:pPr>
      <w:r>
        <w:rPr>
          <w:b/>
          <w:sz w:val="24"/>
        </w:rPr>
        <w:t xml:space="preserve"> 八、违约责任</w:t>
      </w:r>
    </w:p>
    <w:p>
      <w:pPr>
        <w:pStyle w:val="null3"/>
      </w:pPr>
      <w:r>
        <w:rPr/>
        <w:t>1.若甲方未按照合同约定逾期向乙方支付货物费用，每逾期一天，按应支付金额的X‰作为违约金支付给乙方，直至实际支付之日</w:t>
      </w:r>
    </w:p>
    <w:p>
      <w:pPr>
        <w:pStyle w:val="null3"/>
      </w:pPr>
      <w:r>
        <w:rPr/>
        <w:t>2.因甲方原因导致变更、中止或者终止政府采购合同的，应对乙方受到的损失予以赔偿或者补偿。</w:t>
      </w:r>
    </w:p>
    <w:p>
      <w:pPr>
        <w:pStyle w:val="null3"/>
      </w:pPr>
      <w:r>
        <w:rPr/>
        <w:t>......</w:t>
      </w:r>
    </w:p>
    <w:p>
      <w:pPr>
        <w:pStyle w:val="null3"/>
        <w:outlineLvl w:val="3"/>
      </w:pPr>
      <w:r>
        <w:rPr>
          <w:b/>
          <w:sz w:val="24"/>
        </w:rPr>
        <w:t xml:space="preserve"> 九、不可抗事件处理</w:t>
      </w:r>
    </w:p>
    <w:p>
      <w:pPr>
        <w:pStyle w:val="null3"/>
      </w:pPr>
      <w:r>
        <w:rPr/>
        <w:t>1.在合同有效期内，任何一方因战争、洪灾、台风、地震等不可抗力事件导致不能履行合同，则合同履行期可延长，其延长期与不可抗力事件影响期相同。</w:t>
      </w:r>
    </w:p>
    <w:p>
      <w:pPr>
        <w:pStyle w:val="null3"/>
      </w:pPr>
      <w:r>
        <w:rPr/>
        <w:t>2.受阻一方应在不可抗力事件发生后尽快用电话通知对方并于事故发生后XX天内将有关部门出具的证明文件等用特快专递或挂号信寄给对方审阅确认。</w:t>
      </w:r>
    </w:p>
    <w:p>
      <w:pPr>
        <w:pStyle w:val="null3"/>
      </w:pPr>
      <w:r>
        <w:rPr/>
        <w:t>3.不可抗力事件延续XX天以上，双方应通过友好协商，确定是否继续履行合同</w:t>
      </w:r>
    </w:p>
    <w:p>
      <w:pPr>
        <w:pStyle w:val="null3"/>
      </w:pPr>
      <w:r>
        <w:rPr/>
        <w:t>......</w:t>
      </w:r>
    </w:p>
    <w:p>
      <w:pPr>
        <w:pStyle w:val="null3"/>
        <w:outlineLvl w:val="3"/>
      </w:pPr>
      <w:r>
        <w:rPr>
          <w:b/>
          <w:sz w:val="24"/>
        </w:rPr>
        <w:t xml:space="preserve"> 十、解决合同纠纷的方式</w:t>
      </w:r>
      <w:r>
        <w:br/>
      </w:r>
    </w:p>
    <w:p>
      <w:pPr>
        <w:pStyle w:val="null3"/>
        <w:outlineLvl w:val="3"/>
      </w:pPr>
      <w:r>
        <w:rPr>
          <w:b/>
          <w:sz w:val="24"/>
        </w:rPr>
        <w:t xml:space="preserve"> 十一、合同生效及其他</w:t>
      </w:r>
    </w:p>
    <w:p>
      <w:pPr>
        <w:pStyle w:val="null3"/>
      </w:pPr>
    </w:p>
    <w:p>
      <w:pPr>
        <w:pStyle w:val="null3"/>
      </w:pPr>
      <w:r>
        <w:rPr/>
        <w:t>1.合同经双方法定代表人（或主要负责人）或授权委托代理人签字并加盖公章后生效。</w:t>
      </w:r>
    </w:p>
    <w:p>
      <w:pPr>
        <w:pStyle w:val="null3"/>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pPr>
      <w:r>
        <w:rPr/>
        <w:t>3.本合同一式3份，自双方签章之日起生效。甲方持有1份，乙方持有1份，同级财政部门备案1份，具有同等法律效力。</w:t>
      </w:r>
    </w:p>
    <w:p>
      <w:pPr>
        <w:pStyle w:val="null3"/>
      </w:pPr>
      <w:r>
        <w:br/>
      </w:r>
      <w:r>
        <w:br/>
      </w:r>
      <w:r>
        <w:br/>
      </w:r>
      <w:r>
        <w:br/>
      </w:r>
      <w:r>
        <w:br/>
      </w:r>
    </w:p>
    <w:p>
      <w:pPr>
        <w:pStyle w:val="null3"/>
      </w:pPr>
    </w:p>
    <w:p>
      <w:pPr>
        <w:pStyle w:val="null3"/>
      </w:pPr>
    </w:p>
    <w:p>
      <w:pPr>
        <w:pStyle w:val="null3"/>
      </w:pPr>
    </w:p>
    <w:p>
      <w:pPr>
        <w:pStyle w:val="null3"/>
      </w:pPr>
      <w:r>
        <w:rPr/>
        <w:t xml:space="preserve"> 甲方： （盖章）</w:t>
      </w:r>
    </w:p>
    <w:p>
      <w:pPr>
        <w:pStyle w:val="null3"/>
      </w:pPr>
      <w:r>
        <w:rPr/>
        <w:t xml:space="preserve"> 法定（授权）代表人：</w:t>
      </w:r>
    </w:p>
    <w:p>
      <w:pPr>
        <w:pStyle w:val="null3"/>
      </w:pPr>
      <w:r>
        <w:rPr/>
        <w:t xml:space="preserve"> 地 址：</w:t>
      </w:r>
    </w:p>
    <w:p>
      <w:pPr>
        <w:pStyle w:val="null3"/>
      </w:pPr>
      <w:r>
        <w:rPr/>
        <w:t xml:space="preserve"> 开户银行：</w:t>
      </w:r>
    </w:p>
    <w:p>
      <w:pPr>
        <w:pStyle w:val="null3"/>
      </w:pPr>
      <w:r>
        <w:rPr/>
        <w:t xml:space="preserve"> 账号：</w:t>
      </w:r>
    </w:p>
    <w:p>
      <w:pPr>
        <w:pStyle w:val="null3"/>
      </w:pPr>
      <w:r>
        <w:rPr/>
        <w:t xml:space="preserve"> 签订日期： 年 月 日</w:t>
      </w:r>
    </w:p>
    <w:p>
      <w:pPr>
        <w:pStyle w:val="null3"/>
      </w:pPr>
    </w:p>
    <w:p>
      <w:pPr>
        <w:pStyle w:val="null3"/>
        <w:spacing w:after="375"/>
      </w:pPr>
    </w:p>
    <w:p>
      <w:pPr>
        <w:pStyle w:val="null3"/>
      </w:pPr>
      <w:r>
        <w:rPr/>
        <w:t xml:space="preserve"> 乙方：(盖章）</w:t>
      </w:r>
    </w:p>
    <w:p>
      <w:pPr>
        <w:pStyle w:val="null3"/>
      </w:pPr>
      <w:r>
        <w:rPr/>
        <w:t xml:space="preserve"> 法定（授权）代表人：</w:t>
      </w:r>
    </w:p>
    <w:p>
      <w:pPr>
        <w:pStyle w:val="null3"/>
      </w:pPr>
      <w:r>
        <w:rPr/>
        <w:t xml:space="preserve"> 地 址：</w:t>
      </w:r>
    </w:p>
    <w:p>
      <w:pPr>
        <w:pStyle w:val="null3"/>
      </w:pPr>
      <w:r>
        <w:rPr/>
        <w:t xml:space="preserve"> 开户银行：</w:t>
      </w:r>
    </w:p>
    <w:p>
      <w:pPr>
        <w:pStyle w:val="null3"/>
      </w:pPr>
      <w:r>
        <w:rPr/>
        <w:t xml:space="preserve"> 账号：</w:t>
      </w:r>
    </w:p>
    <w:p>
      <w:pPr>
        <w:pStyle w:val="null3"/>
      </w:pPr>
      <w:r>
        <w:rPr/>
        <w:t xml:space="preserve"> 签订日期： 年 月 日</w:t>
      </w:r>
    </w:p>
    <w:p>
      <w:pPr>
        <w:pStyle w:val="null3"/>
      </w:pPr>
    </w:p>
    <w:p>
      <w:pPr>
        <w:pStyle w:val="null3"/>
      </w:pPr>
    </w:p>
    <w:p>
      <w:pPr>
        <w:pStyle w:val="null3"/>
      </w:pPr>
      <w:r>
        <w:rPr/>
        <w:t xml:space="preserve"> </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