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版本号：240828001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资阳市“两清单一方案”编制服务(二次)</w:t>
      </w:r>
    </w:p>
    <w:p>
      <w:pPr>
        <w:pStyle w:val="null3"/>
        <w:jc w:val="center"/>
        <w:outlineLvl w:val="2"/>
      </w:pPr>
      <w:r>
        <w:rPr>
          <w:b/>
          <w:sz w:val="28"/>
        </w:rPr>
        <w:t>采购项目编号：</w:t>
      </w:r>
      <w:r>
        <w:rPr>
          <w:b/>
          <w:sz w:val="28"/>
        </w:rPr>
        <w:t>N5120012024000176</w:t>
      </w:r>
    </w:p>
    <w:p>
      <w:pPr>
        <w:pStyle w:val="null3"/>
        <w:jc w:val="left"/>
        <w:outlineLvl w:val="2"/>
      </w:pPr>
      <w:r>
        <w:rPr>
          <w:b/>
          <w:sz w:val="28"/>
        </w:rPr>
        <w:t>资阳市生态环境局</w:t>
      </w:r>
    </w:p>
    <w:p>
      <w:pPr>
        <w:pStyle w:val="null3"/>
        <w:jc w:val="center"/>
        <w:outlineLvl w:val="2"/>
      </w:pPr>
      <w:r>
        <w:rPr>
          <w:b/>
          <w:sz w:val="28"/>
        </w:rPr>
        <w:t>四川思渠国际招标有限公司</w:t>
      </w:r>
      <w:r>
        <w:rPr>
          <w:b/>
          <w:sz w:val="28"/>
        </w:rPr>
        <w:t>共同编制</w:t>
      </w:r>
    </w:p>
    <w:p>
      <w:pPr>
        <w:pStyle w:val="null3"/>
        <w:jc w:val="center"/>
      </w:pPr>
      <w:r>
        <w:rPr/>
        <w:t>2024年08月28日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四川思渠国际招标有限公司</w:t>
      </w:r>
      <w:r>
        <w:rPr/>
        <w:t xml:space="preserve"> （以下简称“代理机构”）受 </w:t>
      </w:r>
      <w:r>
        <w:rPr/>
        <w:t>资阳市生态环境局</w:t>
      </w:r>
      <w:r>
        <w:rPr/>
        <w:t xml:space="preserve"> 委托，拟对 </w:t>
      </w:r>
      <w:r>
        <w:rPr/>
        <w:t>资阳市“两清单一方案”编制服务(二次)</w:t>
      </w:r>
      <w:r>
        <w:rPr/>
        <w:t xml:space="preserve"> 采用竞争性磋商采购方式进行采购，兹邀请符合资格条件的供应商参加磋商，本项目为四川省</w:t>
      </w:r>
      <w:r>
        <w:rPr/>
        <w:t>资阳市市本级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N5120012024000176</w:t>
      </w:r>
    </w:p>
    <w:p>
      <w:pPr>
        <w:pStyle w:val="null3"/>
        <w:jc w:val="left"/>
        <w:outlineLvl w:val="2"/>
      </w:pPr>
      <w:r>
        <w:rPr>
          <w:b/>
          <w:sz w:val="28"/>
        </w:rPr>
        <w:t>1.2.采购项目名称</w:t>
      </w:r>
      <w:r>
        <w:rPr>
          <w:b/>
          <w:sz w:val="28"/>
        </w:rPr>
        <w:t xml:space="preserve">： </w:t>
      </w:r>
      <w:r>
        <w:rPr>
          <w:b/>
          <w:sz w:val="28"/>
        </w:rPr>
        <w:t>资阳市“两清单一方案”编制服务(二次)</w:t>
      </w:r>
    </w:p>
    <w:p>
      <w:pPr>
        <w:pStyle w:val="null3"/>
        <w:jc w:val="left"/>
        <w:outlineLvl w:val="2"/>
      </w:pPr>
      <w:r>
        <w:rPr>
          <w:b/>
          <w:sz w:val="28"/>
        </w:rPr>
        <w:t>1.3.磋商项目简介</w:t>
      </w:r>
    </w:p>
    <w:p>
      <w:pPr>
        <w:pStyle w:val="null3"/>
        <w:ind w:firstLine="480"/>
        <w:jc w:val="left"/>
      </w:pPr>
      <w:r>
        <w:rPr/>
        <w:t>根据四川省生态环境厅办公室《关于做好2024年四川省大气污染防治“两清单一方案”工作的通知》（川环办函[2024]97号），为进一步提升资阳市大气污染源排放清单、重污染天气应急减排清单和“一厂一策”实施方案编制质量，夯实大气污染精准治理基础，促进环境空气质量持续改善，资阳市生态环境局决定开展资阳市“两清单一方案”编制服务 （二次），本项目为1个包。</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资阳市生态环境局</w:t>
      </w:r>
    </w:p>
    <w:p>
      <w:pPr>
        <w:pStyle w:val="null3"/>
        <w:ind w:firstLine="480"/>
        <w:jc w:val="left"/>
      </w:pPr>
      <w:r>
        <w:rPr/>
        <w:t xml:space="preserve"> 地址： </w:t>
      </w:r>
      <w:r>
        <w:rPr/>
        <w:t>资阳市雁江区天台路368号</w:t>
      </w:r>
    </w:p>
    <w:p>
      <w:pPr>
        <w:pStyle w:val="null3"/>
        <w:jc w:val="left"/>
      </w:pPr>
      <w:r>
        <w:rPr/>
        <w:t xml:space="preserve"> 邮编： </w:t>
      </w:r>
      <w:r>
        <w:rPr/>
        <w:t>641300</w:t>
      </w:r>
    </w:p>
    <w:p>
      <w:pPr>
        <w:pStyle w:val="null3"/>
        <w:jc w:val="left"/>
      </w:pPr>
      <w:r>
        <w:rPr/>
        <w:t xml:space="preserve"> 联系人： </w:t>
      </w:r>
      <w:r>
        <w:rPr/>
        <w:t>刘老师</w:t>
      </w:r>
    </w:p>
    <w:p>
      <w:pPr>
        <w:pStyle w:val="null3"/>
        <w:jc w:val="left"/>
      </w:pPr>
      <w:r>
        <w:rPr/>
        <w:t xml:space="preserve"> 联系电话： </w:t>
      </w:r>
      <w:r>
        <w:rPr/>
        <w:t>028-26110852</w:t>
      </w:r>
    </w:p>
    <w:p>
      <w:pPr>
        <w:pStyle w:val="null3"/>
        <w:ind w:firstLine="480"/>
        <w:jc w:val="left"/>
        <w:outlineLvl w:val="3"/>
      </w:pPr>
      <w:r>
        <w:rPr>
          <w:b/>
          <w:sz w:val="24"/>
        </w:rPr>
        <w:t>代理机构</w:t>
      </w:r>
      <w:r>
        <w:rPr>
          <w:b/>
          <w:sz w:val="24"/>
        </w:rPr>
        <w:t xml:space="preserve">： </w:t>
      </w:r>
      <w:r>
        <w:rPr>
          <w:b/>
          <w:sz w:val="24"/>
        </w:rPr>
        <w:t>四川思渠国际招标有限公司</w:t>
      </w:r>
    </w:p>
    <w:p>
      <w:pPr>
        <w:pStyle w:val="null3"/>
        <w:ind w:firstLine="480"/>
        <w:jc w:val="left"/>
      </w:pPr>
      <w:r>
        <w:rPr/>
        <w:t xml:space="preserve"> 地址： </w:t>
      </w:r>
      <w:r>
        <w:rPr/>
        <w:t>成都市金牛区茶店子西街36号金璐天下1栋2单元1819室；项目咨询地址：四川省资阳市雁江区娇子大道广电大楼13楼</w:t>
      </w:r>
    </w:p>
    <w:p>
      <w:pPr>
        <w:pStyle w:val="null3"/>
        <w:jc w:val="left"/>
      </w:pPr>
      <w:r>
        <w:rPr/>
        <w:t xml:space="preserve"> 邮编： </w:t>
      </w:r>
      <w:r>
        <w:rPr/>
        <w:t>641300</w:t>
      </w:r>
    </w:p>
    <w:p>
      <w:pPr>
        <w:pStyle w:val="null3"/>
        <w:jc w:val="left"/>
      </w:pPr>
      <w:r>
        <w:rPr/>
        <w:t xml:space="preserve"> 联系人： </w:t>
      </w:r>
      <w:r>
        <w:rPr/>
        <w:t>项目负责：龙福兴,查晓玉；技术审核：刘洋；</w:t>
      </w:r>
    </w:p>
    <w:p>
      <w:pPr>
        <w:pStyle w:val="null3"/>
        <w:jc w:val="left"/>
      </w:pPr>
      <w:r>
        <w:rPr/>
        <w:t xml:space="preserve"> 联系电话： </w:t>
      </w:r>
      <w:r>
        <w:rPr/>
        <w:t>项目电话：028－26129333；监察合规部（投诉、举报）电话：028-62306011。</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采购包1：400,000.00元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代理服务费收费标准：参照国家发改委“计价格[2002]1980号”文件规定的“招标代理服务收费标准基础下浮10%”执行，由采购代理机构向中标/成交供应商收取招标代理服务费。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资阳市生态环境局</w:t>
      </w:r>
      <w:r>
        <w:rPr/>
        <w:t xml:space="preserve"> 和 </w:t>
      </w:r>
      <w:r>
        <w:rPr/>
        <w:t>四川思渠国际招标有限公司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资阳市生态环境局</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四川思渠国际招标有限公司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自供应商提出验收申请之日起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按国家有关规定以及本项目采购文件的质量要求和技术指标、供应商的响应文件及承诺与本合同约定标准进行技术履约验收。</w:t>
      </w:r>
    </w:p>
    <w:p>
      <w:pPr>
        <w:pStyle w:val="null3"/>
        <w:ind w:firstLine="480"/>
        <w:jc w:val="left"/>
      </w:pPr>
      <w:r>
        <w:rPr/>
        <w:t>十、商务履约验收内容：</w:t>
      </w:r>
    </w:p>
    <w:p>
      <w:pPr>
        <w:pStyle w:val="null3"/>
        <w:ind w:firstLine="480"/>
        <w:jc w:val="left"/>
      </w:pPr>
      <w:r>
        <w:rPr/>
        <w:t>采购包1：</w:t>
      </w:r>
      <w:r>
        <w:rPr/>
        <w:t>按照采购文件商务要求及供应商响应内容进行商务履约验收。</w:t>
      </w:r>
    </w:p>
    <w:p>
      <w:pPr>
        <w:pStyle w:val="null3"/>
        <w:ind w:firstLine="480"/>
        <w:jc w:val="left"/>
      </w:pPr>
      <w:r>
        <w:rPr/>
        <w:t>十一、履约验收标准：</w:t>
      </w:r>
    </w:p>
    <w:p>
      <w:pPr>
        <w:pStyle w:val="null3"/>
        <w:ind w:firstLine="480"/>
        <w:jc w:val="left"/>
      </w:pPr>
      <w:r>
        <w:rPr/>
        <w:t>采购包1：</w:t>
      </w:r>
      <w:r>
        <w:rPr/>
        <w:t>其他未尽事宜将按照《财政部关于进一步加强政府采购需求和履约验收管理的指导意见》(财库(2016) 205号)、《政府采购需求管理办法》(财库(2021) 22号)的要求及国家行业主管部门规定的标准、方法和内容进行验收。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资阳市生态环境局</w:t>
      </w:r>
      <w:r>
        <w:rPr/>
        <w:t xml:space="preserve"> 负责答复；供应商对除采购需求外的磋商文件的询问、质疑由 </w:t>
      </w:r>
      <w:r>
        <w:rPr/>
        <w:t>四川思渠国际招标有限公司</w:t>
      </w:r>
      <w:r>
        <w:rPr/>
        <w:t xml:space="preserve"> 负责答复；供应商对采购过程、采购结果的询问、质疑由 </w:t>
      </w:r>
      <w:r>
        <w:rPr/>
        <w:t>四川思渠国际招标有限公司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联系人：查女士</w:t>
      </w:r>
    </w:p>
    <w:p>
      <w:pPr>
        <w:pStyle w:val="null3"/>
        <w:jc w:val="left"/>
      </w:pPr>
      <w:r>
        <w:rPr/>
        <w:t>联系电话：028-26129333</w:t>
      </w:r>
    </w:p>
    <w:p>
      <w:pPr>
        <w:pStyle w:val="null3"/>
        <w:jc w:val="left"/>
      </w:pPr>
      <w:r>
        <w:rPr/>
        <w:t>地址：成都市金牛区茶店子西街36号金璐天下1栋2单元1819室；项目咨询地址：资阳市雁江区娇子大道659号广电大厦13楼</w:t>
      </w:r>
    </w:p>
    <w:p>
      <w:pPr>
        <w:pStyle w:val="null3"/>
        <w:jc w:val="left"/>
      </w:pPr>
      <w:r>
        <w:rPr/>
        <w:t>邮编：641300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400,000.00</w:t>
      </w:r>
    </w:p>
    <w:p>
      <w:pPr>
        <w:pStyle w:val="null3"/>
        <w:jc w:val="left"/>
      </w:pPr>
      <w:r>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大气污染治理服务</w:t>
            </w:r>
          </w:p>
        </w:tc>
        <w:tc>
          <w:tcPr>
            <w:tcW w:type="dxa" w:w="821"/>
          </w:tcPr>
          <w:p>
            <w:pPr>
              <w:pStyle w:val="null3"/>
              <w:jc w:val="left"/>
            </w:pPr>
            <w:r>
              <w:rPr/>
              <w:t>资阳市“两清单一方案”编制服务（二次）</w:t>
            </w:r>
          </w:p>
        </w:tc>
        <w:tc>
          <w:tcPr>
            <w:tcW w:type="dxa" w:w="821"/>
          </w:tcPr>
          <w:p>
            <w:pPr>
              <w:pStyle w:val="null3"/>
              <w:jc w:val="right"/>
            </w:pPr>
            <w:r>
              <w:rPr/>
              <w:t>1.00（项）</w:t>
            </w:r>
          </w:p>
        </w:tc>
        <w:tc>
          <w:tcPr>
            <w:tcW w:type="dxa" w:w="821"/>
          </w:tcPr>
          <w:p>
            <w:pPr>
              <w:pStyle w:val="null3"/>
              <w:jc w:val="right"/>
            </w:pPr>
            <w:r>
              <w:rPr/>
              <w:t>400,000.00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资阳市“两清单一方案”编制服务（二次）</w:t>
            </w:r>
          </w:p>
        </w:tc>
        <w:tc>
          <w:tcPr>
            <w:tcW w:type="dxa" w:w="977"/>
          </w:tcPr>
          <w:p>
            <w:pPr>
              <w:pStyle w:val="null3"/>
              <w:jc w:val="right"/>
            </w:pPr>
            <w:r>
              <w:rPr/>
              <w:t>1.00（项）</w:t>
            </w:r>
          </w:p>
        </w:tc>
        <w:tc>
          <w:tcPr>
            <w:tcW w:type="dxa" w:w="1173"/>
          </w:tcPr>
          <w:p>
            <w:pPr>
              <w:pStyle w:val="null3"/>
              <w:jc w:val="right"/>
            </w:pPr>
            <w:r>
              <w:rPr/>
              <w:t>400,000（元）</w:t>
            </w:r>
          </w:p>
        </w:tc>
        <w:tc>
          <w:tcPr>
            <w:tcW w:type="dxa" w:w="1173"/>
          </w:tcPr>
          <w:p>
            <w:pPr>
              <w:pStyle w:val="null3"/>
              <w:jc w:val="right"/>
            </w:pPr>
            <w:r>
              <w:rPr/>
              <w:t>400,000.00</w:t>
            </w:r>
          </w:p>
        </w:tc>
        <w:tc>
          <w:tcPr>
            <w:tcW w:type="dxa" w:w="977"/>
          </w:tcPr>
          <w:p>
            <w:pPr>
              <w:pStyle w:val="null3"/>
              <w:jc w:val="left"/>
            </w:pPr>
            <w:r>
              <w:rPr/>
              <w:t>总价</w:t>
            </w:r>
          </w:p>
        </w:tc>
        <w:tc>
          <w:tcPr>
            <w:tcW w:type="dxa" w:w="1661"/>
          </w:tcPr>
          <w:p>
            <w:pPr>
              <w:pStyle w:val="null3"/>
              <w:jc w:val="left"/>
            </w:pPr>
            <w:r>
              <w:rPr/>
              <w:t>供应商报价不得超过最高限价，超过最高限价的报价无效。</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标的名称：资阳市“两清单一方案”编制服务（二次）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spacing w:after="165"/>
              <w:ind w:firstLine="482"/>
              <w:jc w:val="left"/>
            </w:pPr>
            <w:r>
              <w:rPr>
                <w:rFonts w:ascii="宋体" w:hAnsi="宋体" w:cs="宋体" w:eastAsia="宋体"/>
                <w:sz w:val="24"/>
              </w:rPr>
              <w:t>（一）大气污染源排放清单</w:t>
            </w:r>
          </w:p>
          <w:p>
            <w:pPr>
              <w:pStyle w:val="null3"/>
              <w:ind w:firstLine="480"/>
              <w:jc w:val="both"/>
            </w:pPr>
            <w:r>
              <w:rPr>
                <w:rFonts w:ascii="宋体" w:hAnsi="宋体" w:cs="宋体" w:eastAsia="宋体"/>
                <w:sz w:val="24"/>
              </w:rPr>
              <w:t>根据</w:t>
            </w:r>
            <w:r>
              <w:rPr>
                <w:rFonts w:ascii="&quot;times new roman&quot;" w:hAnsi="&quot;times new roman&quot;" w:cs="&quot;times new roman&quot;" w:eastAsia="&quot;times new roman&quot;"/>
                <w:sz w:val="24"/>
              </w:rPr>
              <w:t>2023</w:t>
            </w:r>
            <w:r>
              <w:rPr>
                <w:rFonts w:ascii="宋体" w:hAnsi="宋体" w:cs="宋体" w:eastAsia="宋体"/>
                <w:sz w:val="24"/>
              </w:rPr>
              <w:t>年各类大气污染排放源活动水平，</w:t>
            </w:r>
            <w:r>
              <w:rPr>
                <w:rFonts w:ascii="宋体" w:hAnsi="宋体" w:cs="宋体" w:eastAsia="宋体"/>
                <w:sz w:val="24"/>
              </w:rPr>
              <w:t>充分吸纳排污许可、大气环境重点排污单位、重污染天气应急减排清单等名录成果，结合辖区内涉气点源新增、注销等实际情况，梳理完善</w:t>
            </w:r>
            <w:r>
              <w:rPr>
                <w:rFonts w:ascii="times new roman, times, serif" w:hAnsi="times new roman, times, serif" w:cs="times new roman, times, serif" w:eastAsia="times new roman, times, serif"/>
                <w:sz w:val="24"/>
              </w:rPr>
              <w:t>2023</w:t>
            </w:r>
            <w:r>
              <w:rPr>
                <w:rFonts w:ascii="宋体" w:hAnsi="宋体" w:cs="宋体" w:eastAsia="宋体"/>
                <w:sz w:val="24"/>
              </w:rPr>
              <w:t>年涉气点源名录，</w:t>
            </w:r>
            <w:r>
              <w:rPr>
                <w:rFonts w:ascii="宋体" w:hAnsi="宋体" w:cs="宋体" w:eastAsia="宋体"/>
                <w:sz w:val="24"/>
              </w:rPr>
              <w:t>更新资阳市</w:t>
            </w:r>
            <w:r>
              <w:rPr>
                <w:rFonts w:ascii="&quot;times new roman&quot;" w:hAnsi="&quot;times new roman&quot;" w:cs="&quot;times new roman&quot;" w:eastAsia="&quot;times new roman&quot;"/>
                <w:sz w:val="24"/>
              </w:rPr>
              <w:t>2023</w:t>
            </w:r>
            <w:r>
              <w:rPr>
                <w:rFonts w:ascii="宋体" w:hAnsi="宋体" w:cs="宋体" w:eastAsia="宋体"/>
                <w:sz w:val="24"/>
              </w:rPr>
              <w:t>年大气污染源排放清单。</w:t>
            </w:r>
          </w:p>
          <w:p>
            <w:pPr>
              <w:pStyle w:val="null3"/>
              <w:ind w:firstLine="480"/>
              <w:jc w:val="both"/>
            </w:pPr>
            <w:r>
              <w:rPr>
                <w:rFonts w:ascii="&quot;times new roman&quot;" w:hAnsi="&quot;times new roman&quot;" w:cs="&quot;times new roman&quot;" w:eastAsia="&quot;times new roman&quot;"/>
                <w:sz w:val="24"/>
              </w:rPr>
              <w:t>1</w:t>
            </w:r>
            <w:r>
              <w:rPr>
                <w:rFonts w:ascii="宋体" w:hAnsi="宋体" w:cs="宋体" w:eastAsia="宋体"/>
                <w:sz w:val="24"/>
              </w:rPr>
              <w:t>、</w:t>
            </w:r>
            <w:r>
              <w:rPr>
                <w:rFonts w:ascii="宋体" w:hAnsi="宋体" w:cs="宋体" w:eastAsia="宋体"/>
                <w:sz w:val="24"/>
              </w:rPr>
              <w:t>清单基准年：</w:t>
            </w:r>
            <w:r>
              <w:rPr>
                <w:rFonts w:ascii="&quot;times new roman&quot;" w:hAnsi="&quot;times new roman&quot;" w:cs="&quot;times new roman&quot;" w:eastAsia="&quot;times new roman&quot;"/>
                <w:sz w:val="24"/>
              </w:rPr>
              <w:t>20</w:t>
            </w:r>
            <w:r>
              <w:rPr>
                <w:rFonts w:ascii="times new roman, times, serif" w:hAnsi="times new roman, times, serif" w:cs="times new roman, times, serif" w:eastAsia="times new roman, times, serif"/>
                <w:sz w:val="24"/>
              </w:rPr>
              <w:t>23</w:t>
            </w:r>
            <w:r>
              <w:rPr>
                <w:rFonts w:ascii="宋体" w:hAnsi="宋体" w:cs="宋体" w:eastAsia="宋体"/>
                <w:sz w:val="24"/>
              </w:rPr>
              <w:t>年</w:t>
            </w:r>
          </w:p>
          <w:p>
            <w:pPr>
              <w:pStyle w:val="null3"/>
              <w:ind w:firstLine="480"/>
              <w:jc w:val="both"/>
            </w:pPr>
            <w:r>
              <w:rPr>
                <w:rFonts w:ascii="&quot;times new roman&quot;" w:hAnsi="&quot;times new roman&quot;" w:cs="&quot;times new roman&quot;" w:eastAsia="&quot;times new roman&quot;"/>
                <w:sz w:val="24"/>
              </w:rPr>
              <w:t>2</w:t>
            </w:r>
            <w:r>
              <w:rPr>
                <w:rFonts w:ascii="宋体" w:hAnsi="宋体" w:cs="宋体" w:eastAsia="宋体"/>
                <w:sz w:val="24"/>
              </w:rPr>
              <w:t>、</w:t>
            </w:r>
            <w:r>
              <w:rPr>
                <w:rFonts w:ascii="宋体" w:hAnsi="宋体" w:cs="宋体" w:eastAsia="宋体"/>
                <w:sz w:val="24"/>
              </w:rPr>
              <w:t>涉及区域：资阳市全域</w:t>
            </w:r>
          </w:p>
          <w:p>
            <w:pPr>
              <w:pStyle w:val="null3"/>
              <w:ind w:firstLine="480"/>
              <w:jc w:val="both"/>
            </w:pPr>
            <w:r>
              <w:rPr>
                <w:rFonts w:ascii="&quot;times new roman&quot;" w:hAnsi="&quot;times new roman&quot;" w:cs="&quot;times new roman&quot;" w:eastAsia="&quot;times new roman&quot;"/>
                <w:sz w:val="24"/>
              </w:rPr>
              <w:t>3</w:t>
            </w:r>
            <w:r>
              <w:rPr>
                <w:rFonts w:ascii="宋体" w:hAnsi="宋体" w:cs="宋体" w:eastAsia="宋体"/>
                <w:sz w:val="24"/>
              </w:rPr>
              <w:t>、</w:t>
            </w:r>
            <w:r>
              <w:rPr>
                <w:rFonts w:ascii="宋体" w:hAnsi="宋体" w:cs="宋体" w:eastAsia="宋体"/>
                <w:sz w:val="24"/>
              </w:rPr>
              <w:t>清单涉及指标：</w:t>
            </w:r>
            <w:r>
              <w:rPr>
                <w:rFonts w:ascii="cambria math" w:hAnsi="cambria math" w:cs="cambria math" w:eastAsia="cambria math"/>
                <w:sz w:val="24"/>
              </w:rPr>
              <w:t>①</w:t>
            </w:r>
            <w:r>
              <w:rPr>
                <w:rFonts w:ascii="宋体" w:hAnsi="宋体" w:cs="宋体" w:eastAsia="宋体"/>
                <w:sz w:val="24"/>
              </w:rPr>
              <w:t>污染源类型：固定燃烧源、工艺过程源、移动源、溶剂使用源、农业源、扬尘源（包括道路扬尘、建筑扬尘）、生物质燃烧源、存储运输源、废弃物处理源和其他排放源。涉气企业数量不得少于第二次污染源普查数量；</w:t>
            </w:r>
            <w:r>
              <w:rPr>
                <w:rFonts w:ascii="cambria math" w:hAnsi="cambria math" w:cs="cambria math" w:eastAsia="cambria math"/>
                <w:sz w:val="24"/>
              </w:rPr>
              <w:t>②</w:t>
            </w:r>
            <w:r>
              <w:rPr>
                <w:rFonts w:ascii="宋体" w:hAnsi="宋体" w:cs="宋体" w:eastAsia="宋体"/>
                <w:sz w:val="24"/>
              </w:rPr>
              <w:t>清单核算物种：</w:t>
            </w:r>
            <w:r>
              <w:rPr>
                <w:rFonts w:ascii="&quot;times new roman&quot;" w:hAnsi="&quot;times new roman&quot;" w:cs="&quot;times new roman&quot;" w:eastAsia="&quot;times new roman&quot;"/>
                <w:sz w:val="24"/>
              </w:rPr>
              <w:t>CO</w:t>
            </w:r>
            <w:r>
              <w:rPr>
                <w:rFonts w:ascii="宋体" w:hAnsi="宋体" w:cs="宋体" w:eastAsia="宋体"/>
                <w:sz w:val="24"/>
              </w:rPr>
              <w:t>、</w:t>
            </w:r>
            <w:r>
              <w:rPr>
                <w:rFonts w:ascii="times new roman, times, serif" w:hAnsi="times new roman, times, serif" w:cs="times new roman, times, serif" w:eastAsia="times new roman, times, serif"/>
                <w:sz w:val="24"/>
              </w:rPr>
              <w:t>NOx</w:t>
            </w:r>
            <w:r>
              <w:rPr>
                <w:rFonts w:ascii="宋体" w:hAnsi="宋体" w:cs="宋体" w:eastAsia="宋体"/>
                <w:sz w:val="24"/>
              </w:rPr>
              <w:t>、</w:t>
            </w:r>
            <w:r>
              <w:rPr>
                <w:rFonts w:ascii="times new roman, times, serif" w:hAnsi="times new roman, times, serif" w:cs="times new roman, times, serif" w:eastAsia="times new roman, times, serif"/>
                <w:sz w:val="24"/>
              </w:rPr>
              <w:t>SO</w:t>
            </w:r>
            <w:r>
              <w:rPr>
                <w:rFonts w:ascii="&quot;times new roman&quot;" w:hAnsi="&quot;times new roman&quot;" w:cs="&quot;times new roman&quot;" w:eastAsia="&quot;times new roman&quot;"/>
                <w:sz w:val="24"/>
                <w:vertAlign w:val="subscript"/>
              </w:rPr>
              <w:t>2</w:t>
            </w:r>
            <w:r>
              <w:rPr>
                <w:rFonts w:ascii="宋体" w:hAnsi="宋体" w:cs="宋体" w:eastAsia="宋体"/>
                <w:sz w:val="24"/>
              </w:rPr>
              <w:t>、</w:t>
            </w:r>
            <w:r>
              <w:rPr>
                <w:rFonts w:ascii="&quot;times new roman&quot;" w:hAnsi="&quot;times new roman&quot;" w:cs="&quot;times new roman&quot;" w:eastAsia="&quot;times new roman&quot;"/>
                <w:sz w:val="24"/>
              </w:rPr>
              <w:t>NH</w:t>
            </w:r>
            <w:r>
              <w:rPr>
                <w:rFonts w:ascii="&quot;times new roman&quot;" w:hAnsi="&quot;times new roman&quot;" w:cs="&quot;times new roman&quot;" w:eastAsia="&quot;times new roman&quot;"/>
                <w:sz w:val="24"/>
                <w:vertAlign w:val="subscript"/>
              </w:rPr>
              <w:t>3</w:t>
            </w:r>
            <w:r>
              <w:rPr>
                <w:rFonts w:ascii="宋体" w:hAnsi="宋体" w:cs="宋体" w:eastAsia="宋体"/>
                <w:sz w:val="24"/>
              </w:rPr>
              <w:t>、</w:t>
            </w:r>
            <w:r>
              <w:rPr>
                <w:rFonts w:ascii="&quot;times new roman&quot;" w:hAnsi="&quot;times new roman&quot;" w:cs="&quot;times new roman&quot;" w:eastAsia="&quot;times new roman&quot;"/>
                <w:sz w:val="24"/>
              </w:rPr>
              <w:t>VOCs</w:t>
            </w:r>
            <w:r>
              <w:rPr>
                <w:rFonts w:ascii="宋体" w:hAnsi="宋体" w:cs="宋体" w:eastAsia="宋体"/>
                <w:sz w:val="24"/>
              </w:rPr>
              <w:t>、</w:t>
            </w:r>
            <w:r>
              <w:rPr>
                <w:rFonts w:ascii="times new roman, times, serif" w:hAnsi="times new roman, times, serif" w:cs="times new roman, times, serif" w:eastAsia="times new roman, times, serif"/>
                <w:sz w:val="24"/>
              </w:rPr>
              <w:t>PM</w:t>
            </w:r>
            <w:r>
              <w:rPr>
                <w:rFonts w:ascii="&quot;times new roman&quot;" w:hAnsi="&quot;times new roman&quot;" w:cs="&quot;times new roman&quot;" w:eastAsia="&quot;times new roman&quot;"/>
                <w:sz w:val="24"/>
                <w:vertAlign w:val="subscript"/>
              </w:rPr>
              <w:t>2.5</w:t>
            </w:r>
            <w:r>
              <w:rPr>
                <w:rFonts w:ascii="宋体" w:hAnsi="宋体" w:cs="宋体" w:eastAsia="宋体"/>
                <w:sz w:val="24"/>
              </w:rPr>
              <w:t>、</w:t>
            </w:r>
            <w:r>
              <w:rPr>
                <w:rFonts w:ascii="&quot;times new roman&quot;" w:hAnsi="&quot;times new roman&quot;" w:cs="&quot;times new roman&quot;" w:eastAsia="&quot;times new roman&quot;"/>
                <w:sz w:val="24"/>
              </w:rPr>
              <w:t>PM</w:t>
            </w:r>
            <w:r>
              <w:rPr>
                <w:rFonts w:ascii="&quot;times new roman&quot;" w:hAnsi="&quot;times new roman&quot;" w:cs="&quot;times new roman&quot;" w:eastAsia="&quot;times new roman&quot;"/>
                <w:sz w:val="24"/>
                <w:vertAlign w:val="subscript"/>
              </w:rPr>
              <w:t>10</w:t>
            </w:r>
            <w:r>
              <w:rPr>
                <w:rFonts w:ascii="宋体" w:hAnsi="宋体" w:cs="宋体" w:eastAsia="宋体"/>
                <w:sz w:val="24"/>
              </w:rPr>
              <w:t>、</w:t>
            </w:r>
            <w:r>
              <w:rPr>
                <w:rFonts w:ascii="&quot;times new roman&quot;" w:hAnsi="&quot;times new roman&quot;" w:cs="&quot;times new roman&quot;" w:eastAsia="&quot;times new roman&quot;"/>
                <w:sz w:val="24"/>
              </w:rPr>
              <w:t>BC</w:t>
            </w:r>
            <w:r>
              <w:rPr>
                <w:rFonts w:ascii="宋体" w:hAnsi="宋体" w:cs="宋体" w:eastAsia="宋体"/>
                <w:sz w:val="24"/>
              </w:rPr>
              <w:t>、</w:t>
            </w:r>
            <w:r>
              <w:rPr>
                <w:rFonts w:ascii="times new roman, times, serif" w:hAnsi="times new roman, times, serif" w:cs="times new roman, times, serif" w:eastAsia="times new roman, times, serif"/>
                <w:sz w:val="24"/>
              </w:rPr>
              <w:t>OC</w:t>
            </w:r>
            <w:r>
              <w:rPr>
                <w:rFonts w:ascii="宋体" w:hAnsi="宋体" w:cs="宋体" w:eastAsia="宋体"/>
                <w:sz w:val="24"/>
              </w:rPr>
              <w:t>共</w:t>
            </w:r>
            <w:r>
              <w:rPr>
                <w:rFonts w:ascii="times new roman, times, serif" w:hAnsi="times new roman, times, serif" w:cs="times new roman, times, serif" w:eastAsia="times new roman, times, serif"/>
                <w:sz w:val="24"/>
              </w:rPr>
              <w:t>9</w:t>
            </w:r>
            <w:r>
              <w:rPr>
                <w:rFonts w:ascii="宋体" w:hAnsi="宋体" w:cs="宋体" w:eastAsia="宋体"/>
                <w:sz w:val="24"/>
              </w:rPr>
              <w:t>项；</w:t>
            </w:r>
            <w:r>
              <w:rPr>
                <w:rFonts w:ascii="cambria math" w:hAnsi="cambria math" w:cs="cambria math" w:eastAsia="cambria math"/>
                <w:sz w:val="24"/>
              </w:rPr>
              <w:t>③</w:t>
            </w:r>
            <w:r>
              <w:rPr>
                <w:rFonts w:ascii="宋体" w:hAnsi="宋体" w:cs="宋体" w:eastAsia="宋体"/>
                <w:sz w:val="24"/>
              </w:rPr>
              <w:t>清单类型：常规</w:t>
            </w:r>
            <w:r>
              <w:rPr>
                <w:rFonts w:ascii="&quot;times new roman&quot;" w:hAnsi="&quot;times new roman&quot;" w:cs="&quot;times new roman&quot;" w:eastAsia="&quot;times new roman&quot;"/>
                <w:sz w:val="24"/>
              </w:rPr>
              <w:t>9</w:t>
            </w:r>
            <w:r>
              <w:rPr>
                <w:rFonts w:ascii="宋体" w:hAnsi="宋体" w:cs="宋体" w:eastAsia="宋体"/>
                <w:sz w:val="24"/>
              </w:rPr>
              <w:t>种物种清单，挥发性有机物组分清单。</w:t>
            </w:r>
            <w:r>
              <w:rPr>
                <w:rFonts w:ascii="cambria math" w:hAnsi="cambria math" w:cs="cambria math" w:eastAsia="cambria math"/>
                <w:sz w:val="24"/>
              </w:rPr>
              <w:t>④</w:t>
            </w:r>
            <w:r>
              <w:rPr>
                <w:rFonts w:ascii="宋体" w:hAnsi="宋体" w:cs="宋体" w:eastAsia="宋体"/>
                <w:sz w:val="24"/>
              </w:rPr>
              <w:t>时空分配：污染物时间分配需根据不同的排放特征进行，重点源提供月变化、日变化和</w:t>
            </w:r>
            <w:r>
              <w:rPr>
                <w:rFonts w:ascii="&quot;times new roman&quot;" w:hAnsi="&quot;times new roman&quot;" w:cs="&quot;times new roman&quot;" w:eastAsia="&quot;times new roman&quot;"/>
                <w:sz w:val="24"/>
              </w:rPr>
              <w:t>24</w:t>
            </w:r>
            <w:r>
              <w:rPr>
                <w:rFonts w:ascii="宋体" w:hAnsi="宋体" w:cs="宋体" w:eastAsia="宋体"/>
                <w:sz w:val="24"/>
              </w:rPr>
              <w:t>小时逐时变化。化石固定燃烧源、工艺过程源按经纬度分配；移动源按路网分</w:t>
            </w:r>
            <w:r>
              <w:rPr>
                <w:rFonts w:ascii="宋体" w:hAnsi="宋体" w:cs="宋体" w:eastAsia="宋体"/>
                <w:sz w:val="24"/>
              </w:rPr>
              <w:t>配；溶剂使用源按经纬度分配；农业源按土地利用类型分配；扬尘源中，道路扬尘按路网分配，建筑扬尘按建筑经纬度分配，生物质燃烧源中，生物质锅炉和生物质炉灶按经纬度分配，生物质开放燃烧按火点经纬度分配；存储运输源按经纬度分配；废弃物处理源按经纬度分配；无法进行准确分配的情况下，可采用其他代用空间分配参数，至少分配到乡镇级行政区划。提供各种污染物结果按照</w:t>
            </w:r>
            <w:r>
              <w:rPr>
                <w:rFonts w:ascii="&quot;times new roman&quot;" w:hAnsi="&quot;times new roman&quot;" w:cs="&quot;times new roman&quot;" w:eastAsia="&quot;times new roman&quot;"/>
                <w:sz w:val="24"/>
              </w:rPr>
              <w:t>3km*3km</w:t>
            </w:r>
            <w:r>
              <w:rPr>
                <w:rFonts w:ascii="宋体" w:hAnsi="宋体" w:cs="宋体" w:eastAsia="宋体"/>
                <w:sz w:val="24"/>
              </w:rPr>
              <w:t>的网格化分配结果。</w:t>
            </w:r>
          </w:p>
          <w:p>
            <w:pPr>
              <w:pStyle w:val="null3"/>
              <w:ind w:firstLine="480"/>
              <w:jc w:val="both"/>
            </w:pPr>
            <w:r>
              <w:rPr>
                <w:rFonts w:ascii="&quot;times new roman&quot;" w:hAnsi="&quot;times new roman&quot;" w:cs="&quot;times new roman&quot;" w:eastAsia="&quot;times new roman&quot;"/>
                <w:sz w:val="24"/>
              </w:rPr>
              <w:t>4</w:t>
            </w:r>
            <w:r>
              <w:rPr>
                <w:rFonts w:ascii="宋体" w:hAnsi="宋体" w:cs="宋体" w:eastAsia="宋体"/>
                <w:sz w:val="24"/>
              </w:rPr>
              <w:t>、</w:t>
            </w:r>
            <w:r>
              <w:rPr>
                <w:rFonts w:ascii="宋体" w:hAnsi="宋体" w:cs="宋体" w:eastAsia="宋体"/>
                <w:sz w:val="24"/>
              </w:rPr>
              <w:t>工作内容</w:t>
            </w:r>
          </w:p>
          <w:p>
            <w:pPr>
              <w:pStyle w:val="null3"/>
              <w:ind w:firstLine="480"/>
              <w:jc w:val="both"/>
            </w:pPr>
            <w:r>
              <w:rPr>
                <w:rFonts w:ascii="宋体" w:hAnsi="宋体" w:cs="宋体" w:eastAsia="宋体"/>
                <w:sz w:val="24"/>
              </w:rPr>
              <w:t>（</w:t>
            </w:r>
            <w:r>
              <w:rPr>
                <w:rFonts w:ascii="times new roman, times, serif" w:hAnsi="times new roman, times, serif" w:cs="times new roman, times, serif" w:eastAsia="times new roman, times, serif"/>
                <w:sz w:val="24"/>
              </w:rPr>
              <w:t>1</w:t>
            </w:r>
            <w:r>
              <w:rPr>
                <w:rFonts w:ascii="宋体" w:hAnsi="宋体" w:cs="宋体" w:eastAsia="宋体"/>
                <w:sz w:val="24"/>
              </w:rPr>
              <w:t>）</w:t>
            </w:r>
            <w:r>
              <w:rPr>
                <w:rFonts w:ascii="宋体" w:hAnsi="宋体" w:cs="宋体" w:eastAsia="宋体"/>
                <w:sz w:val="24"/>
              </w:rPr>
              <w:t>开展涉气污染源活动水平数据收集审核。</w:t>
            </w:r>
          </w:p>
          <w:p>
            <w:pPr>
              <w:pStyle w:val="null3"/>
              <w:ind w:firstLine="480"/>
              <w:jc w:val="both"/>
            </w:pPr>
            <w:r>
              <w:rPr>
                <w:rFonts w:ascii="宋体" w:hAnsi="宋体" w:cs="宋体" w:eastAsia="宋体"/>
                <w:sz w:val="24"/>
              </w:rPr>
              <w:t>涉气污染源活动水平数据更新。涉及的污染源类别包括固定燃烧源、工艺过程源移动源、民用燃烧源、民用溶剂使用源、扬尘源、生物质开放燃烧源、农业源、存储运输源、天然源以及其他混杂面源。其中，化石燃料固定燃烧源和工艺过程源覆盖环统重点企业。化石燃料固定燃烧源包括电厂以及工业锅炉；工艺过程源包括钢铁、化工、制药、石油加工与炼焦、有色冶金、钢铁、建材、造纸、酒与饮料、食品制造、纺织服装皮革、采矿以及其他工艺过程源；移动源包括道路移动源和非道路移动源；溶剂使用源含印刷印染、表面涂层、农药使用和其他溶剂；扬尘源包括道路扬尘和施工扬尘；生物质燃烧源包括生物质开放燃烧；存储运输源主要指油气储运，同时包括加油站排放。更新的方式采取在线填报审核，辅助以重点企业现场调查。</w:t>
            </w:r>
          </w:p>
          <w:p>
            <w:pPr>
              <w:pStyle w:val="null3"/>
              <w:ind w:firstLine="480"/>
              <w:jc w:val="both"/>
            </w:pPr>
            <w:r>
              <w:rPr>
                <w:rFonts w:ascii="宋体" w:hAnsi="宋体" w:cs="宋体" w:eastAsia="宋体"/>
                <w:sz w:val="24"/>
              </w:rPr>
              <w:t>主要活动水平数据。活动水平数据包括提供企业名称及企业地址、企业生产总值、生产天数、企业经纬度信息、企业行业类别信息、企业原辅料及原辅料消耗量、企业能源使用、企业各类有机溶剂使用，包括涂料、油墨、胶粘剂使用量和回收量、企业后处理装置基本信息及其使用信息。地区人口、经济、能源使用、民用锅炉使用、不同类型的机动车保有量、车龄分布等技术参数、典型道路交通流量信息、道路长度信息、道路面积信息、工程机械相关信息、燃油类型及消耗量信息、植被信息、溶剂使用类型、溶剂实际使用量、挥发性有机物收集处理方式、施工工地面积、主要农作物类型及产量、主要养殖类型及产量、加油站油库储油量及运输量等。</w:t>
            </w:r>
          </w:p>
          <w:p>
            <w:pPr>
              <w:pStyle w:val="null3"/>
              <w:ind w:firstLine="480"/>
              <w:jc w:val="both"/>
            </w:pPr>
            <w:r>
              <w:rPr>
                <w:rFonts w:ascii="宋体" w:hAnsi="宋体" w:cs="宋体" w:eastAsia="宋体"/>
                <w:sz w:val="24"/>
              </w:rPr>
              <w:t>（</w:t>
            </w:r>
            <w:r>
              <w:rPr>
                <w:rFonts w:ascii="times new roman, times, serif" w:hAnsi="times new roman, times, serif" w:cs="times new roman, times, serif" w:eastAsia="times new roman, times, serif"/>
                <w:sz w:val="24"/>
              </w:rPr>
              <w:t>2</w:t>
            </w:r>
            <w:r>
              <w:rPr>
                <w:rFonts w:ascii="宋体" w:hAnsi="宋体" w:cs="宋体" w:eastAsia="宋体"/>
                <w:sz w:val="24"/>
              </w:rPr>
              <w:t>）</w:t>
            </w:r>
            <w:r>
              <w:rPr>
                <w:rFonts w:ascii="宋体" w:hAnsi="宋体" w:cs="宋体" w:eastAsia="宋体"/>
                <w:sz w:val="24"/>
              </w:rPr>
              <w:t>排放清单建立及结果分析</w:t>
            </w:r>
          </w:p>
          <w:p>
            <w:pPr>
              <w:pStyle w:val="null3"/>
              <w:ind w:firstLine="480"/>
              <w:jc w:val="both"/>
            </w:pPr>
            <w:r>
              <w:rPr>
                <w:rFonts w:ascii="宋体" w:hAnsi="宋体" w:cs="宋体" w:eastAsia="宋体"/>
                <w:sz w:val="24"/>
              </w:rPr>
              <w:t>排放清单建立。基于排放清单技术指南体系以及四川省重点行业包括钢铁、水泥、陶瓷、玻璃等本地化因子，采用排放系数法、物料衡算法等建立资阳市大气污染源排放清单，清单包括各类排放源包括各类排放源包括二氧化硫（</w:t>
            </w:r>
            <w:r>
              <w:rPr>
                <w:rFonts w:ascii="&quot;times new roman&quot;" w:hAnsi="&quot;times new roman&quot;" w:cs="&quot;times new roman&quot;" w:eastAsia="&quot;times new roman&quot;"/>
                <w:sz w:val="24"/>
              </w:rPr>
              <w:t>SO</w:t>
            </w:r>
            <w:r>
              <w:rPr>
                <w:rFonts w:ascii="&quot;times new roman&quot;" w:hAnsi="&quot;times new roman&quot;" w:cs="&quot;times new roman&quot;" w:eastAsia="&quot;times new roman&quot;"/>
                <w:sz w:val="24"/>
                <w:vertAlign w:val="subscript"/>
              </w:rPr>
              <w:t>2</w:t>
            </w:r>
            <w:r>
              <w:rPr>
                <w:rFonts w:ascii="宋体" w:hAnsi="宋体" w:cs="宋体" w:eastAsia="宋体"/>
                <w:sz w:val="24"/>
              </w:rPr>
              <w:t>）、氮氧化物（</w:t>
            </w:r>
            <w:r>
              <w:rPr>
                <w:rFonts w:ascii="&quot;times new roman&quot;" w:hAnsi="&quot;times new roman&quot;" w:cs="&quot;times new roman&quot;" w:eastAsia="&quot;times new roman&quot;"/>
                <w:sz w:val="24"/>
              </w:rPr>
              <w:t>NO</w:t>
            </w:r>
            <w:r>
              <w:rPr>
                <w:rFonts w:ascii="times new roman, times, serif" w:hAnsi="times new roman, times, serif" w:cs="times new roman, times, serif" w:eastAsia="times new roman, times, serif"/>
                <w:sz w:val="24"/>
              </w:rPr>
              <w:t>x</w:t>
            </w:r>
            <w:r>
              <w:rPr>
                <w:rFonts w:ascii="宋体" w:hAnsi="宋体" w:cs="宋体" w:eastAsia="宋体"/>
                <w:sz w:val="24"/>
              </w:rPr>
              <w:t>）、一氧化碳（</w:t>
            </w:r>
            <w:r>
              <w:rPr>
                <w:rFonts w:ascii="&quot;times new roman&quot;" w:hAnsi="&quot;times new roman&quot;" w:cs="&quot;times new roman&quot;" w:eastAsia="&quot;times new roman&quot;"/>
                <w:sz w:val="24"/>
              </w:rPr>
              <w:t>CO</w:t>
            </w:r>
            <w:r>
              <w:rPr>
                <w:rFonts w:ascii="宋体" w:hAnsi="宋体" w:cs="宋体" w:eastAsia="宋体"/>
                <w:sz w:val="24"/>
              </w:rPr>
              <w:t>）、氨（</w:t>
            </w:r>
            <w:r>
              <w:rPr>
                <w:rFonts w:ascii="times new roman, times, serif" w:hAnsi="times new roman, times, serif" w:cs="times new roman, times, serif" w:eastAsia="times new roman, times, serif"/>
                <w:sz w:val="24"/>
              </w:rPr>
              <w:t>NH</w:t>
            </w:r>
            <w:r>
              <w:rPr>
                <w:rFonts w:ascii="&quot;times new roman&quot;" w:hAnsi="&quot;times new roman&quot;" w:cs="&quot;times new roman&quot;" w:eastAsia="&quot;times new roman&quot;"/>
                <w:sz w:val="24"/>
                <w:vertAlign w:val="subscript"/>
              </w:rPr>
              <w:t>3</w:t>
            </w:r>
            <w:r>
              <w:rPr>
                <w:rFonts w:ascii="宋体" w:hAnsi="宋体" w:cs="宋体" w:eastAsia="宋体"/>
                <w:sz w:val="24"/>
              </w:rPr>
              <w:t>）、细颗粒物（</w:t>
            </w:r>
            <w:r>
              <w:rPr>
                <w:rFonts w:ascii="&quot;times new roman&quot;" w:hAnsi="&quot;times new roman&quot;" w:cs="&quot;times new roman&quot;" w:eastAsia="&quot;times new roman&quot;"/>
                <w:sz w:val="24"/>
              </w:rPr>
              <w:t>PM</w:t>
            </w:r>
            <w:r>
              <w:rPr>
                <w:rFonts w:ascii="&quot;times new roman&quot;" w:hAnsi="&quot;times new roman&quot;" w:cs="&quot;times new roman&quot;" w:eastAsia="&quot;times new roman&quot;"/>
                <w:sz w:val="24"/>
                <w:vertAlign w:val="subscript"/>
              </w:rPr>
              <w:t>2.5</w:t>
            </w:r>
            <w:r>
              <w:rPr>
                <w:rFonts w:ascii="宋体" w:hAnsi="宋体" w:cs="宋体" w:eastAsia="宋体"/>
                <w:sz w:val="24"/>
              </w:rPr>
              <w:t>）、可吸入颗粒物（</w:t>
            </w:r>
            <w:r>
              <w:rPr>
                <w:rFonts w:ascii="&quot;times new roman&quot;" w:hAnsi="&quot;times new roman&quot;" w:cs="&quot;times new roman&quot;" w:eastAsia="&quot;times new roman&quot;"/>
                <w:sz w:val="24"/>
              </w:rPr>
              <w:t>PM</w:t>
            </w:r>
            <w:r>
              <w:rPr>
                <w:rFonts w:ascii="&quot;times new roman&quot;" w:hAnsi="&quot;times new roman&quot;" w:cs="&quot;times new roman&quot;" w:eastAsia="&quot;times new roman&quot;"/>
                <w:sz w:val="24"/>
                <w:vertAlign w:val="subscript"/>
              </w:rPr>
              <w:t>10</w:t>
            </w:r>
            <w:r>
              <w:rPr>
                <w:rFonts w:ascii="宋体" w:hAnsi="宋体" w:cs="宋体" w:eastAsia="宋体"/>
                <w:sz w:val="24"/>
              </w:rPr>
              <w:t>）、黑碳（</w:t>
            </w:r>
            <w:r>
              <w:rPr>
                <w:rFonts w:ascii="&quot;times new roman&quot;" w:hAnsi="&quot;times new roman&quot;" w:cs="&quot;times new roman&quot;" w:eastAsia="&quot;times new roman&quot;"/>
                <w:sz w:val="24"/>
              </w:rPr>
              <w:t>BC</w:t>
            </w:r>
            <w:r>
              <w:rPr>
                <w:rFonts w:ascii="宋体" w:hAnsi="宋体" w:cs="宋体" w:eastAsia="宋体"/>
                <w:sz w:val="24"/>
              </w:rPr>
              <w:t>）、有机碳（</w:t>
            </w:r>
            <w:r>
              <w:rPr>
                <w:rFonts w:ascii="times new roman, times, serif" w:hAnsi="times new roman, times, serif" w:cs="times new roman, times, serif" w:eastAsia="times new roman, times, serif"/>
                <w:sz w:val="24"/>
              </w:rPr>
              <w:t>OC</w:t>
            </w:r>
            <w:r>
              <w:rPr>
                <w:rFonts w:ascii="宋体" w:hAnsi="宋体" w:cs="宋体" w:eastAsia="宋体"/>
                <w:sz w:val="24"/>
              </w:rPr>
              <w:t>）共计</w:t>
            </w:r>
            <w:r>
              <w:rPr>
                <w:rFonts w:ascii="times new roman, times, serif" w:hAnsi="times new roman, times, serif" w:cs="times new roman, times, serif" w:eastAsia="times new roman, times, serif"/>
                <w:sz w:val="24"/>
              </w:rPr>
              <w:t>9</w:t>
            </w:r>
            <w:r>
              <w:rPr>
                <w:rFonts w:ascii="宋体" w:hAnsi="宋体" w:cs="宋体" w:eastAsia="宋体"/>
                <w:sz w:val="24"/>
              </w:rPr>
              <w:t>项污染物的年排放量。计算所有涉</w:t>
            </w:r>
            <w:r>
              <w:rPr>
                <w:rFonts w:ascii="times new roman, times, serif" w:hAnsi="times new roman, times, serif" w:cs="times new roman, times, serif" w:eastAsia="times new roman, times, serif"/>
                <w:sz w:val="24"/>
              </w:rPr>
              <w:t>VOC</w:t>
            </w:r>
            <w:r>
              <w:rPr>
                <w:rFonts w:ascii="宋体" w:hAnsi="宋体" w:cs="宋体" w:eastAsia="宋体"/>
                <w:sz w:val="24"/>
              </w:rPr>
              <w:t>源的</w:t>
            </w:r>
            <w:r>
              <w:rPr>
                <w:rFonts w:ascii="times new roman, times, serif" w:hAnsi="times new roman, times, serif" w:cs="times new roman, times, serif" w:eastAsia="times new roman, times, serif"/>
                <w:sz w:val="24"/>
              </w:rPr>
              <w:t>VOC</w:t>
            </w:r>
            <w:r>
              <w:rPr>
                <w:rFonts w:ascii="宋体" w:hAnsi="宋体" w:cs="宋体" w:eastAsia="宋体"/>
                <w:sz w:val="24"/>
              </w:rPr>
              <w:t>组分清单，并计算臭氧生成潜势、</w:t>
            </w:r>
            <w:r>
              <w:rPr>
                <w:rFonts w:ascii="times new roman, times, serif" w:hAnsi="times new roman, times, serif" w:cs="times new roman, times, serif" w:eastAsia="times new roman, times, serif"/>
                <w:sz w:val="24"/>
              </w:rPr>
              <w:t>SOA</w:t>
            </w:r>
            <w:r>
              <w:rPr>
                <w:rFonts w:ascii="宋体" w:hAnsi="宋体" w:cs="宋体" w:eastAsia="宋体"/>
                <w:sz w:val="24"/>
              </w:rPr>
              <w:t>生成潜势。</w:t>
            </w:r>
          </w:p>
          <w:p>
            <w:pPr>
              <w:pStyle w:val="null3"/>
              <w:ind w:firstLine="480"/>
              <w:jc w:val="both"/>
            </w:pPr>
            <w:r>
              <w:rPr>
                <w:rFonts w:ascii="宋体" w:hAnsi="宋体" w:cs="宋体" w:eastAsia="宋体"/>
                <w:sz w:val="24"/>
              </w:rPr>
              <w:t>排放清单结果分析。大气污染源排放清单结果及分析，包括九种污染物排放总量分析、大气污染源分担率分析、各污染源排放分析及主要污染物来源分析等。分区（县）源排放清单结果分析，结合行政区划对各个区（县）九种污染物工业源排放总量进行分析，提出重点管控行业及企业。</w:t>
            </w:r>
          </w:p>
          <w:p>
            <w:pPr>
              <w:pStyle w:val="null3"/>
              <w:ind w:firstLine="480"/>
              <w:jc w:val="both"/>
            </w:pPr>
            <w:r>
              <w:rPr>
                <w:rFonts w:ascii="宋体" w:hAnsi="宋体" w:cs="宋体" w:eastAsia="宋体"/>
                <w:sz w:val="24"/>
              </w:rPr>
              <w:t>治理设施现状分析。主要指资阳市工业企业后处理设施安装现状，包括安装率、处理技术。</w:t>
            </w:r>
          </w:p>
          <w:p>
            <w:pPr>
              <w:pStyle w:val="null3"/>
              <w:ind w:firstLine="480"/>
              <w:jc w:val="both"/>
            </w:pPr>
            <w:r>
              <w:rPr>
                <w:rFonts w:ascii="宋体" w:hAnsi="宋体" w:cs="宋体" w:eastAsia="宋体"/>
                <w:sz w:val="24"/>
              </w:rPr>
              <w:t>时空分布特征。包括时间分布及空间分布：时间分布包括月、日污染物排放变化特征及不同月份污染源贡献变化等；空间分布包括污染物排放的网格化分布、各区县排放情况及排放强度分析。</w:t>
            </w:r>
          </w:p>
          <w:p>
            <w:pPr>
              <w:pStyle w:val="null3"/>
              <w:ind w:firstLine="480"/>
              <w:jc w:val="both"/>
            </w:pPr>
            <w:r>
              <w:rPr>
                <w:rFonts w:ascii="宋体" w:hAnsi="宋体" w:cs="宋体" w:eastAsia="宋体"/>
                <w:sz w:val="24"/>
              </w:rPr>
              <w:t>不确定行分析。包括重点源基于因子、排放量等多方面的不确定性分析。</w:t>
            </w:r>
          </w:p>
          <w:p>
            <w:pPr>
              <w:pStyle w:val="null3"/>
              <w:ind w:left="645"/>
              <w:jc w:val="left"/>
            </w:pPr>
            <w:r>
              <w:rPr>
                <w:rFonts w:ascii="宋体" w:hAnsi="宋体" w:cs="宋体" w:eastAsia="宋体"/>
                <w:sz w:val="24"/>
              </w:rPr>
              <w:t>（二）重污染天气应急减排清单</w:t>
            </w:r>
          </w:p>
          <w:p>
            <w:pPr>
              <w:pStyle w:val="null3"/>
              <w:ind w:firstLine="480"/>
              <w:jc w:val="both"/>
            </w:pPr>
            <w:r>
              <w:rPr>
                <w:rFonts w:ascii="宋体" w:hAnsi="宋体" w:cs="宋体" w:eastAsia="宋体"/>
                <w:sz w:val="24"/>
              </w:rPr>
              <w:t>按照大气污染源排放清单的结果核算资阳市重污染天气应急减排基数，根据国家重点行业以及省级重点行业的技术指南要求制定工业源、移动源、扬尘源重污染天气应急减排措施，并估算减排成效。</w:t>
            </w:r>
          </w:p>
          <w:p>
            <w:pPr>
              <w:pStyle w:val="null3"/>
              <w:ind w:firstLine="480"/>
              <w:jc w:val="both"/>
            </w:pPr>
            <w:r>
              <w:rPr>
                <w:rFonts w:ascii="times new roman, times, serif" w:hAnsi="times new roman, times, serif" w:cs="times new roman, times, serif" w:eastAsia="times new roman, times, serif"/>
                <w:sz w:val="24"/>
              </w:rPr>
              <w:t>1</w:t>
            </w:r>
            <w:r>
              <w:rPr>
                <w:rFonts w:ascii="宋体" w:hAnsi="宋体" w:cs="宋体" w:eastAsia="宋体"/>
                <w:sz w:val="24"/>
              </w:rPr>
              <w:t>、资阳</w:t>
            </w:r>
            <w:r>
              <w:rPr>
                <w:rFonts w:ascii="宋体" w:hAnsi="宋体" w:cs="宋体" w:eastAsia="宋体"/>
                <w:sz w:val="24"/>
              </w:rPr>
              <w:t>市减排基数核算</w:t>
            </w:r>
          </w:p>
          <w:p>
            <w:pPr>
              <w:pStyle w:val="null3"/>
              <w:ind w:firstLine="480"/>
              <w:jc w:val="both"/>
            </w:pPr>
            <w:r>
              <w:rPr>
                <w:rFonts w:ascii="宋体" w:hAnsi="宋体" w:cs="宋体" w:eastAsia="宋体"/>
                <w:sz w:val="24"/>
              </w:rPr>
              <w:t>基于资阳市大气污染源排放清单（基础排放量）计算资阳市的应急减排基数。应急减排基数是在基础排放量中扣除常规治理措施的减排量，并叠加当年新增产能导致的污染新增量后折算到每日的排放量。工业源原则上按照全年排放量除以</w:t>
            </w:r>
            <w:r>
              <w:rPr>
                <w:rFonts w:ascii="&quot;times new roman&quot;" w:hAnsi="&quot;times new roman&quot;" w:cs="&quot;times new roman&quot;" w:eastAsia="&quot;times new roman&quot;"/>
                <w:sz w:val="24"/>
              </w:rPr>
              <w:t>330</w:t>
            </w:r>
            <w:r>
              <w:rPr>
                <w:rFonts w:ascii="宋体" w:hAnsi="宋体" w:cs="宋体" w:eastAsia="宋体"/>
                <w:sz w:val="24"/>
              </w:rPr>
              <w:t>天折算，移动源和扬尘源按照</w:t>
            </w:r>
            <w:r>
              <w:rPr>
                <w:rFonts w:ascii="times new roman, times, serif" w:hAnsi="times new roman, times, serif" w:cs="times new roman, times, serif" w:eastAsia="times new roman, times, serif"/>
                <w:sz w:val="24"/>
              </w:rPr>
              <w:t>365</w:t>
            </w:r>
            <w:r>
              <w:rPr>
                <w:rFonts w:ascii="宋体" w:hAnsi="宋体" w:cs="宋体" w:eastAsia="宋体"/>
                <w:sz w:val="24"/>
              </w:rPr>
              <w:t>天折算，扬尘排放量作为</w:t>
            </w:r>
            <w:r>
              <w:rPr>
                <w:rFonts w:ascii="times new roman, times, serif" w:hAnsi="times new roman, times, serif" w:cs="times new roman, times, serif" w:eastAsia="times new roman, times, serif"/>
                <w:sz w:val="24"/>
              </w:rPr>
              <w:t>PM</w:t>
            </w:r>
            <w:r>
              <w:rPr>
                <w:rFonts w:ascii="宋体" w:hAnsi="宋体" w:cs="宋体" w:eastAsia="宋体"/>
                <w:sz w:val="24"/>
              </w:rPr>
              <w:t>排放量的一部分单独计算，减排比例上限按照</w:t>
            </w:r>
            <w:r>
              <w:rPr>
                <w:rFonts w:ascii="宋体" w:hAnsi="宋体" w:cs="宋体" w:eastAsia="宋体"/>
                <w:sz w:val="24"/>
              </w:rPr>
              <w:t>资阳</w:t>
            </w:r>
            <w:r>
              <w:rPr>
                <w:rFonts w:ascii="宋体" w:hAnsi="宋体" w:cs="宋体" w:eastAsia="宋体"/>
                <w:sz w:val="24"/>
              </w:rPr>
              <w:t>市细颗粒物来源解析结果确定。采用基础排放量和应急减排基数测算重污染天气应急措施减排比例，减排比例达不到总体减排要求的，继续增加应急管控措施，直至达到要求。确实无法达到的，在提供详细的测算说明和清单</w:t>
            </w:r>
            <w:r>
              <w:rPr>
                <w:rFonts w:ascii="宋体" w:hAnsi="宋体" w:cs="宋体" w:eastAsia="宋体"/>
                <w:sz w:val="24"/>
              </w:rPr>
              <w:t>的基础上，可以酌情降低减排比例。减排基数精度满足生态环境部对于重污染天气应急减排基数表格的填报要求，做到资阳市涉气企业全覆盖，长期停产企业在清单中明确。</w:t>
            </w:r>
          </w:p>
          <w:p>
            <w:pPr>
              <w:pStyle w:val="null3"/>
              <w:ind w:firstLine="480"/>
              <w:jc w:val="both"/>
            </w:pPr>
            <w:r>
              <w:rPr>
                <w:rFonts w:ascii="times new roman, times, serif" w:hAnsi="times new roman, times, serif" w:cs="times new roman, times, serif" w:eastAsia="times new roman, times, serif"/>
                <w:sz w:val="24"/>
              </w:rPr>
              <w:t>2</w:t>
            </w:r>
            <w:r>
              <w:rPr>
                <w:rFonts w:ascii="宋体" w:hAnsi="宋体" w:cs="宋体" w:eastAsia="宋体"/>
                <w:sz w:val="24"/>
              </w:rPr>
              <w:t>、</w:t>
            </w:r>
            <w:r>
              <w:rPr>
                <w:rFonts w:ascii="宋体" w:hAnsi="宋体" w:cs="宋体" w:eastAsia="宋体"/>
                <w:sz w:val="24"/>
              </w:rPr>
              <w:t>减排措施制定</w:t>
            </w:r>
          </w:p>
          <w:p>
            <w:pPr>
              <w:pStyle w:val="null3"/>
              <w:ind w:firstLine="480"/>
              <w:jc w:val="both"/>
            </w:pPr>
            <w:r>
              <w:rPr>
                <w:rFonts w:ascii="宋体" w:hAnsi="宋体" w:cs="宋体" w:eastAsia="宋体"/>
                <w:sz w:val="24"/>
              </w:rPr>
              <w:t>针对资阳市来源解析结果（若有）和污染物排放构成选取应急管控重点对象。应急减排措施包括工业源、移动源以及扬尘源，并制定颗粒物应急管控措施。</w:t>
            </w:r>
          </w:p>
          <w:p>
            <w:pPr>
              <w:pStyle w:val="null3"/>
              <w:ind w:firstLine="480"/>
              <w:jc w:val="both"/>
            </w:pPr>
            <w:r>
              <w:rPr>
                <w:rFonts w:ascii="宋体" w:hAnsi="宋体" w:cs="宋体" w:eastAsia="宋体"/>
                <w:sz w:val="24"/>
              </w:rPr>
              <w:t>（</w:t>
            </w:r>
            <w:r>
              <w:rPr>
                <w:rFonts w:ascii="times new roman, times, serif" w:hAnsi="times new roman, times, serif" w:cs="times new roman, times, serif" w:eastAsia="times new roman, times, serif"/>
                <w:sz w:val="24"/>
              </w:rPr>
              <w:t>1</w:t>
            </w:r>
            <w:r>
              <w:rPr>
                <w:rFonts w:ascii="宋体" w:hAnsi="宋体" w:cs="宋体" w:eastAsia="宋体"/>
                <w:sz w:val="24"/>
              </w:rPr>
              <w:t>）</w:t>
            </w:r>
            <w:r>
              <w:rPr>
                <w:rFonts w:ascii="宋体" w:hAnsi="宋体" w:cs="宋体" w:eastAsia="宋体"/>
                <w:sz w:val="24"/>
              </w:rPr>
              <w:t>工业源</w:t>
            </w:r>
          </w:p>
          <w:p>
            <w:pPr>
              <w:pStyle w:val="null3"/>
              <w:ind w:firstLine="480"/>
              <w:jc w:val="both"/>
            </w:pPr>
            <w:r>
              <w:rPr>
                <w:rFonts w:ascii="宋体" w:hAnsi="宋体" w:cs="宋体" w:eastAsia="宋体"/>
                <w:sz w:val="24"/>
              </w:rPr>
              <w:t>根据资阳市城市特征，从气象、产业布局、产业升级及工业源排放特征等方面分析，分企业类别分行业分主要污染物制定应急预案措施。工业源的应急减排措施做到优先管控污染排放较大的行业，基于《关于印发〈重污染天气重点行业应急减排措施制定技术指南（</w:t>
            </w:r>
            <w:r>
              <w:rPr>
                <w:rFonts w:ascii="&quot;times new roman&quot;" w:hAnsi="&quot;times new roman&quot;" w:cs="&quot;times new roman&quot;" w:eastAsia="&quot;times new roman&quot;"/>
                <w:sz w:val="24"/>
              </w:rPr>
              <w:t>2020</w:t>
            </w:r>
            <w:r>
              <w:rPr>
                <w:rFonts w:ascii="宋体" w:hAnsi="宋体" w:cs="宋体" w:eastAsia="宋体"/>
                <w:sz w:val="24"/>
              </w:rPr>
              <w:t>年修订版）〉的函》（环办大气函〔</w:t>
            </w:r>
            <w:r>
              <w:rPr>
                <w:rFonts w:ascii="times new roman, times, serif" w:hAnsi="times new roman, times, serif" w:cs="times new roman, times, serif" w:eastAsia="times new roman, times, serif"/>
                <w:sz w:val="24"/>
              </w:rPr>
              <w:t>2020</w:t>
            </w:r>
            <w:r>
              <w:rPr>
                <w:rFonts w:ascii="宋体" w:hAnsi="宋体" w:cs="宋体" w:eastAsia="宋体"/>
                <w:sz w:val="24"/>
              </w:rPr>
              <w:t>〕</w:t>
            </w:r>
            <w:r>
              <w:rPr>
                <w:rFonts w:ascii="times new roman, times, serif" w:hAnsi="times new roman, times, serif" w:cs="times new roman, times, serif" w:eastAsia="times new roman, times, serif"/>
                <w:sz w:val="24"/>
              </w:rPr>
              <w:t>340</w:t>
            </w:r>
            <w:r>
              <w:rPr>
                <w:rFonts w:ascii="宋体" w:hAnsi="宋体" w:cs="宋体" w:eastAsia="宋体"/>
                <w:sz w:val="24"/>
              </w:rPr>
              <w:t>号）、《关于印发〈重污染天气重点行业绩效分级及减排措施〉补充说明的通知》（环办便函〔</w:t>
            </w:r>
            <w:r>
              <w:rPr>
                <w:rFonts w:ascii="times new roman, times, serif" w:hAnsi="times new roman, times, serif" w:cs="times new roman, times, serif" w:eastAsia="times new roman, times, serif"/>
                <w:sz w:val="24"/>
              </w:rPr>
              <w:t>2021</w:t>
            </w:r>
            <w:r>
              <w:rPr>
                <w:rFonts w:ascii="宋体" w:hAnsi="宋体" w:cs="宋体" w:eastAsia="宋体"/>
                <w:sz w:val="24"/>
              </w:rPr>
              <w:t>〕</w:t>
            </w:r>
            <w:r>
              <w:rPr>
                <w:rFonts w:ascii="times new roman, times, serif" w:hAnsi="times new roman, times, serif" w:cs="times new roman, times, serif" w:eastAsia="times new roman, times, serif"/>
                <w:sz w:val="24"/>
              </w:rPr>
              <w:t>341</w:t>
            </w:r>
            <w:r>
              <w:rPr>
                <w:rFonts w:ascii="宋体" w:hAnsi="宋体" w:cs="宋体" w:eastAsia="宋体"/>
                <w:sz w:val="24"/>
              </w:rPr>
              <w:t>号）及《关于印发〈四川省重污染天气金属表面处理及热处理加工等</w:t>
            </w:r>
            <w:r>
              <w:rPr>
                <w:rFonts w:ascii="times new roman, times, serif" w:hAnsi="times new roman, times, serif" w:cs="times new roman, times, serif" w:eastAsia="times new roman, times, serif"/>
                <w:sz w:val="24"/>
              </w:rPr>
              <w:t>10</w:t>
            </w:r>
            <w:r>
              <w:rPr>
                <w:rFonts w:ascii="宋体" w:hAnsi="宋体" w:cs="宋体" w:eastAsia="宋体"/>
                <w:sz w:val="24"/>
              </w:rPr>
              <w:t>个行业应急减排措施制定技术指南（试行）〉的通知》（川环函〔</w:t>
            </w:r>
            <w:r>
              <w:rPr>
                <w:rFonts w:ascii="times new roman, times, serif" w:hAnsi="times new roman, times, serif" w:cs="times new roman, times, serif" w:eastAsia="times new roman, times, serif"/>
                <w:sz w:val="24"/>
              </w:rPr>
              <w:t>2023</w:t>
            </w:r>
            <w:r>
              <w:rPr>
                <w:rFonts w:ascii="宋体" w:hAnsi="宋体" w:cs="宋体" w:eastAsia="宋体"/>
                <w:sz w:val="24"/>
              </w:rPr>
              <w:t>〕</w:t>
            </w:r>
            <w:r>
              <w:rPr>
                <w:rFonts w:ascii="times new roman, times, serif" w:hAnsi="times new roman, times, serif" w:cs="times new roman, times, serif" w:eastAsia="times new roman, times, serif"/>
                <w:sz w:val="24"/>
              </w:rPr>
              <w:t>114</w:t>
            </w:r>
            <w:r>
              <w:rPr>
                <w:rFonts w:ascii="宋体" w:hAnsi="宋体" w:cs="宋体" w:eastAsia="宋体"/>
                <w:sz w:val="24"/>
              </w:rPr>
              <w:t>号）的要求，企业分生产线制定减排措施，措施包括减产限产停产等方式进行，应急减排措施切实有效、便于操作，确保措施能落地、可操作。企业优先选取污染物排放量较大且能够快速安全减排的工艺环节，优先对城市建成区内的高污染企业，使用高污染燃料的企业等采取停产、限产措施。应急减排措施能够实现措施的延伸效能，从而推动</w:t>
            </w:r>
            <w:r>
              <w:rPr>
                <w:rFonts w:ascii="宋体" w:hAnsi="宋体" w:cs="宋体" w:eastAsia="宋体"/>
                <w:sz w:val="24"/>
              </w:rPr>
              <w:t>资阳</w:t>
            </w:r>
            <w:r>
              <w:rPr>
                <w:rFonts w:ascii="宋体" w:hAnsi="宋体" w:cs="宋体" w:eastAsia="宋体"/>
                <w:sz w:val="24"/>
              </w:rPr>
              <w:t>市产业布局调整、重点行业污染治理升级改造、工业窑炉综合整治等污染防治攻坚主体政策的落地。</w:t>
            </w:r>
          </w:p>
          <w:p>
            <w:pPr>
              <w:pStyle w:val="null3"/>
              <w:ind w:firstLine="480"/>
              <w:jc w:val="both"/>
            </w:pPr>
            <w:r>
              <w:rPr>
                <w:rFonts w:ascii="宋体" w:hAnsi="宋体" w:cs="宋体" w:eastAsia="宋体"/>
                <w:sz w:val="24"/>
              </w:rPr>
              <w:t>（</w:t>
            </w:r>
            <w:r>
              <w:rPr>
                <w:rFonts w:ascii="times new roman, times, serif" w:hAnsi="times new roman, times, serif" w:cs="times new roman, times, serif" w:eastAsia="times new roman, times, serif"/>
                <w:sz w:val="24"/>
              </w:rPr>
              <w:t>2</w:t>
            </w:r>
            <w:r>
              <w:rPr>
                <w:rFonts w:ascii="宋体" w:hAnsi="宋体" w:cs="宋体" w:eastAsia="宋体"/>
                <w:sz w:val="24"/>
              </w:rPr>
              <w:t>）</w:t>
            </w:r>
            <w:r>
              <w:rPr>
                <w:rFonts w:ascii="宋体" w:hAnsi="宋体" w:cs="宋体" w:eastAsia="宋体"/>
                <w:sz w:val="24"/>
              </w:rPr>
              <w:t>移动源</w:t>
            </w:r>
          </w:p>
          <w:p>
            <w:pPr>
              <w:pStyle w:val="null3"/>
              <w:ind w:firstLine="480"/>
              <w:jc w:val="both"/>
            </w:pPr>
            <w:r>
              <w:rPr>
                <w:rFonts w:ascii="宋体" w:hAnsi="宋体" w:cs="宋体" w:eastAsia="宋体"/>
                <w:sz w:val="24"/>
              </w:rPr>
              <w:t>移动源的减排措施重点聚焦于重型载货车和非道路移动机械。在应急减排中应与企业生产活动过程（包括物料运输、生产、成品运输等环节）的污染物排放同步减排。非道路移动机械停工结合工地的扬尘源同步减排。</w:t>
            </w:r>
          </w:p>
          <w:p>
            <w:pPr>
              <w:pStyle w:val="null3"/>
              <w:ind w:firstLine="480"/>
              <w:jc w:val="both"/>
            </w:pPr>
            <w:r>
              <w:rPr>
                <w:rFonts w:ascii="宋体" w:hAnsi="宋体" w:cs="宋体" w:eastAsia="宋体"/>
                <w:sz w:val="24"/>
              </w:rPr>
              <w:t>（</w:t>
            </w:r>
            <w:r>
              <w:rPr>
                <w:rFonts w:ascii="times new roman, times, serif" w:hAnsi="times new roman, times, serif" w:cs="times new roman, times, serif" w:eastAsia="times new roman, times, serif"/>
                <w:sz w:val="24"/>
              </w:rPr>
              <w:t>3</w:t>
            </w:r>
            <w:r>
              <w:rPr>
                <w:rFonts w:ascii="宋体" w:hAnsi="宋体" w:cs="宋体" w:eastAsia="宋体"/>
                <w:sz w:val="24"/>
              </w:rPr>
              <w:t>）</w:t>
            </w:r>
            <w:r>
              <w:rPr>
                <w:rFonts w:ascii="宋体" w:hAnsi="宋体" w:cs="宋体" w:eastAsia="宋体"/>
                <w:sz w:val="24"/>
              </w:rPr>
              <w:t>扬尘源</w:t>
            </w:r>
          </w:p>
          <w:p>
            <w:pPr>
              <w:pStyle w:val="null3"/>
              <w:ind w:firstLine="480"/>
              <w:jc w:val="both"/>
            </w:pPr>
            <w:r>
              <w:rPr>
                <w:rFonts w:ascii="宋体" w:hAnsi="宋体" w:cs="宋体" w:eastAsia="宋体"/>
                <w:sz w:val="24"/>
              </w:rPr>
              <w:t>扬尘源主要通过施工扬尘实现。根据工地开挖面积、施工阶段、施工时间、现有除尘设备、现有监控设备以及监控设备联网情况等方面分析制定减排措施。施工扬尘控制采取禁止混凝土搅拌、建筑拆除、渣土车运输、土石方作业等措施。</w:t>
            </w:r>
          </w:p>
          <w:p>
            <w:pPr>
              <w:pStyle w:val="null3"/>
              <w:ind w:left="645"/>
              <w:jc w:val="left"/>
            </w:pPr>
            <w:r>
              <w:rPr>
                <w:rFonts w:ascii="宋体" w:hAnsi="宋体" w:cs="宋体" w:eastAsia="宋体"/>
                <w:sz w:val="24"/>
              </w:rPr>
              <w:t>（三）重污染天气应急响应</w:t>
            </w:r>
            <w:r>
              <w:rPr>
                <w:rFonts w:ascii="宋体" w:hAnsi="宋体" w:cs="宋体" w:eastAsia="宋体"/>
                <w:sz w:val="24"/>
              </w:rPr>
              <w:t>“一厂一策”实施方案</w:t>
            </w:r>
          </w:p>
          <w:p>
            <w:pPr>
              <w:pStyle w:val="null3"/>
              <w:ind w:firstLine="480"/>
              <w:jc w:val="both"/>
            </w:pPr>
            <w:r>
              <w:rPr>
                <w:rFonts w:ascii="宋体" w:hAnsi="宋体" w:cs="宋体" w:eastAsia="宋体"/>
                <w:sz w:val="24"/>
              </w:rPr>
              <w:t>按照省上下达的任务，编制资阳市工业企业重污染天气应急响应</w:t>
            </w:r>
            <w:r>
              <w:rPr>
                <w:rFonts w:ascii="宋体" w:hAnsi="宋体" w:cs="宋体" w:eastAsia="宋体"/>
                <w:sz w:val="24"/>
              </w:rPr>
              <w:t>“一厂一策”实施方案。实施方案应至少包括以下内容：</w:t>
            </w:r>
          </w:p>
          <w:p>
            <w:pPr>
              <w:pStyle w:val="null3"/>
              <w:ind w:firstLine="480"/>
              <w:jc w:val="both"/>
            </w:pPr>
            <w:r>
              <w:rPr>
                <w:rFonts w:ascii="times new roman, times, serif" w:hAnsi="times new roman, times, serif" w:cs="times new roman, times, serif" w:eastAsia="times new roman, times, serif"/>
                <w:sz w:val="24"/>
              </w:rPr>
              <w:t>1</w:t>
            </w:r>
            <w:r>
              <w:rPr>
                <w:rFonts w:ascii="宋体" w:hAnsi="宋体" w:cs="宋体" w:eastAsia="宋体"/>
                <w:sz w:val="24"/>
              </w:rPr>
              <w:t>、企业基本情况</w:t>
            </w:r>
          </w:p>
          <w:p>
            <w:pPr>
              <w:pStyle w:val="null3"/>
              <w:ind w:firstLine="480"/>
              <w:jc w:val="both"/>
            </w:pPr>
            <w:r>
              <w:rPr>
                <w:rFonts w:ascii="宋体" w:hAnsi="宋体" w:cs="宋体" w:eastAsia="宋体"/>
                <w:sz w:val="24"/>
              </w:rPr>
              <w:t>（</w:t>
            </w:r>
            <w:r>
              <w:rPr>
                <w:rFonts w:ascii="times new roman, times, serif" w:hAnsi="times new roman, times, serif" w:cs="times new roman, times, serif" w:eastAsia="times new roman, times, serif"/>
                <w:sz w:val="24"/>
              </w:rPr>
              <w:t>1</w:t>
            </w:r>
            <w:r>
              <w:rPr>
                <w:rFonts w:ascii="宋体" w:hAnsi="宋体" w:cs="宋体" w:eastAsia="宋体"/>
                <w:sz w:val="24"/>
              </w:rPr>
              <w:t>）</w:t>
            </w:r>
            <w:r>
              <w:rPr>
                <w:rFonts w:ascii="宋体" w:hAnsi="宋体" w:cs="宋体" w:eastAsia="宋体"/>
                <w:sz w:val="24"/>
              </w:rPr>
              <w:t>明确企业所属行业</w:t>
            </w:r>
            <w:r>
              <w:rPr>
                <w:rFonts w:ascii="宋体" w:hAnsi="宋体" w:cs="宋体" w:eastAsia="宋体"/>
                <w:sz w:val="24"/>
              </w:rPr>
              <w:t>（</w:t>
            </w:r>
            <w:r>
              <w:rPr>
                <w:rFonts w:ascii="宋体" w:hAnsi="宋体" w:cs="宋体" w:eastAsia="宋体"/>
                <w:sz w:val="24"/>
              </w:rPr>
              <w:t>说明企业国民经济代码行业</w:t>
            </w:r>
            <w:r>
              <w:rPr>
                <w:rFonts w:ascii="宋体" w:hAnsi="宋体" w:cs="宋体" w:eastAsia="宋体"/>
                <w:sz w:val="24"/>
              </w:rPr>
              <w:t>，</w:t>
            </w:r>
            <w:r>
              <w:rPr>
                <w:rFonts w:ascii="宋体" w:hAnsi="宋体" w:cs="宋体" w:eastAsia="宋体"/>
                <w:sz w:val="24"/>
              </w:rPr>
              <w:t>说明重污染天气应急减排措施国家及四川省地方指南对应行业）；</w:t>
            </w:r>
          </w:p>
          <w:p>
            <w:pPr>
              <w:pStyle w:val="null3"/>
              <w:ind w:firstLine="480"/>
              <w:jc w:val="both"/>
            </w:pPr>
            <w:r>
              <w:rPr>
                <w:rFonts w:ascii="宋体" w:hAnsi="宋体" w:cs="宋体" w:eastAsia="宋体"/>
                <w:sz w:val="24"/>
              </w:rPr>
              <w:t>（</w:t>
            </w:r>
            <w:r>
              <w:rPr>
                <w:rFonts w:ascii="times new roman, times, serif" w:hAnsi="times new roman, times, serif" w:cs="times new roman, times, serif" w:eastAsia="times new roman, times, serif"/>
                <w:sz w:val="24"/>
              </w:rPr>
              <w:t>2</w:t>
            </w:r>
            <w:r>
              <w:rPr>
                <w:rFonts w:ascii="宋体" w:hAnsi="宋体" w:cs="宋体" w:eastAsia="宋体"/>
                <w:sz w:val="24"/>
              </w:rPr>
              <w:t>）</w:t>
            </w:r>
            <w:r>
              <w:rPr>
                <w:rFonts w:ascii="宋体" w:hAnsi="宋体" w:cs="宋体" w:eastAsia="宋体"/>
                <w:sz w:val="24"/>
              </w:rPr>
              <w:t>基本情况</w:t>
            </w:r>
            <w:r>
              <w:rPr>
                <w:rFonts w:ascii="宋体" w:hAnsi="宋体" w:cs="宋体" w:eastAsia="宋体"/>
                <w:sz w:val="24"/>
              </w:rPr>
              <w:t>（</w:t>
            </w:r>
            <w:r>
              <w:rPr>
                <w:rFonts w:ascii="宋体" w:hAnsi="宋体" w:cs="宋体" w:eastAsia="宋体"/>
                <w:sz w:val="24"/>
              </w:rPr>
              <w:t>基本生产情况</w:t>
            </w:r>
            <w:r>
              <w:rPr>
                <w:rFonts w:ascii="宋体" w:hAnsi="宋体" w:cs="宋体" w:eastAsia="宋体"/>
                <w:sz w:val="24"/>
              </w:rPr>
              <w:t>、</w:t>
            </w:r>
            <w:r>
              <w:rPr>
                <w:rFonts w:ascii="宋体" w:hAnsi="宋体" w:cs="宋体" w:eastAsia="宋体"/>
                <w:sz w:val="24"/>
              </w:rPr>
              <w:t>基本运输情况</w:t>
            </w:r>
            <w:r>
              <w:rPr>
                <w:rFonts w:ascii="宋体" w:hAnsi="宋体" w:cs="宋体" w:eastAsia="宋体"/>
                <w:sz w:val="24"/>
              </w:rPr>
              <w:t>）；</w:t>
            </w:r>
          </w:p>
          <w:p>
            <w:pPr>
              <w:pStyle w:val="null3"/>
              <w:ind w:firstLine="480"/>
              <w:jc w:val="both"/>
            </w:pPr>
            <w:r>
              <w:rPr>
                <w:rFonts w:ascii="times new roman, times, serif" w:hAnsi="times new roman, times, serif" w:cs="times new roman, times, serif" w:eastAsia="times new roman, times, serif"/>
                <w:sz w:val="24"/>
              </w:rPr>
              <w:t>2</w:t>
            </w:r>
            <w:r>
              <w:rPr>
                <w:rFonts w:ascii="宋体" w:hAnsi="宋体" w:cs="宋体" w:eastAsia="宋体"/>
                <w:sz w:val="24"/>
              </w:rPr>
              <w:t>、主要生产工艺流程</w:t>
            </w:r>
          </w:p>
          <w:p>
            <w:pPr>
              <w:pStyle w:val="null3"/>
              <w:ind w:firstLine="480"/>
              <w:jc w:val="both"/>
            </w:pPr>
            <w:r>
              <w:rPr>
                <w:rFonts w:ascii="宋体" w:hAnsi="宋体" w:cs="宋体" w:eastAsia="宋体"/>
                <w:sz w:val="24"/>
              </w:rPr>
              <w:t>生产段：介绍企业生产线数量、生产流程和各产排污环节（主要四项污染物：二氧化硫、氮氧化物、挥发性有机物、颗粒物），并附上工艺流程图。</w:t>
            </w:r>
          </w:p>
          <w:p>
            <w:pPr>
              <w:pStyle w:val="null3"/>
              <w:ind w:firstLine="480"/>
              <w:jc w:val="both"/>
            </w:pPr>
            <w:r>
              <w:rPr>
                <w:rFonts w:ascii="宋体" w:hAnsi="宋体" w:cs="宋体" w:eastAsia="宋体"/>
                <w:sz w:val="24"/>
              </w:rPr>
              <w:t>运输段：说明企业场内机械及运输车辆尾气排放阶段。</w:t>
            </w:r>
          </w:p>
          <w:p>
            <w:pPr>
              <w:pStyle w:val="null3"/>
              <w:ind w:firstLine="480"/>
              <w:jc w:val="both"/>
            </w:pPr>
            <w:r>
              <w:rPr>
                <w:rFonts w:ascii="times new roman, times, serif" w:hAnsi="times new roman, times, serif" w:cs="times new roman, times, serif" w:eastAsia="times new roman, times, serif"/>
                <w:sz w:val="24"/>
              </w:rPr>
              <w:t>3</w:t>
            </w:r>
            <w:r>
              <w:rPr>
                <w:rFonts w:ascii="宋体" w:hAnsi="宋体" w:cs="宋体" w:eastAsia="宋体"/>
                <w:sz w:val="24"/>
              </w:rPr>
              <w:t>、大气污染产生、治理及排放情况</w:t>
            </w:r>
          </w:p>
          <w:p>
            <w:pPr>
              <w:pStyle w:val="null3"/>
              <w:ind w:firstLine="480"/>
              <w:jc w:val="both"/>
            </w:pPr>
            <w:r>
              <w:rPr>
                <w:rFonts w:ascii="宋体" w:hAnsi="宋体" w:cs="宋体" w:eastAsia="宋体"/>
                <w:sz w:val="24"/>
              </w:rPr>
              <w:t>生产段：根据公司污染治理现状、排污许可证、环评文件、监测数据，对现有大气污染物的产生量、治理情况、排放情况进行说明。</w:t>
            </w:r>
          </w:p>
          <w:p>
            <w:pPr>
              <w:pStyle w:val="null3"/>
              <w:ind w:firstLine="480"/>
              <w:jc w:val="both"/>
            </w:pPr>
            <w:r>
              <w:rPr>
                <w:rFonts w:ascii="宋体" w:hAnsi="宋体" w:cs="宋体" w:eastAsia="宋体"/>
                <w:sz w:val="24"/>
              </w:rPr>
              <w:t>运输段：运输方式对现有大气污染物的产生量、治理情况、排放情况进行说明。</w:t>
            </w:r>
          </w:p>
          <w:p>
            <w:pPr>
              <w:pStyle w:val="null3"/>
              <w:ind w:firstLine="480"/>
              <w:jc w:val="both"/>
            </w:pPr>
            <w:r>
              <w:rPr>
                <w:rFonts w:ascii="times new roman, times, serif" w:hAnsi="times new roman, times, serif" w:cs="times new roman, times, serif" w:eastAsia="times new roman, times, serif"/>
                <w:sz w:val="24"/>
              </w:rPr>
              <w:t>4</w:t>
            </w:r>
            <w:r>
              <w:rPr>
                <w:rFonts w:ascii="宋体" w:hAnsi="宋体" w:cs="宋体" w:eastAsia="宋体"/>
                <w:sz w:val="24"/>
              </w:rPr>
              <w:t>、应急组织机构</w:t>
            </w:r>
          </w:p>
          <w:p>
            <w:pPr>
              <w:pStyle w:val="null3"/>
              <w:ind w:firstLine="480"/>
              <w:jc w:val="both"/>
            </w:pPr>
            <w:r>
              <w:rPr>
                <w:rFonts w:ascii="宋体" w:hAnsi="宋体" w:cs="宋体" w:eastAsia="宋体"/>
                <w:sz w:val="24"/>
              </w:rPr>
              <w:t>根据企业的架构设置，组建重污染天气应急工作组，并将应急过程中可能涉及到的各项责任分解落实到具体人员。</w:t>
            </w:r>
          </w:p>
          <w:p>
            <w:pPr>
              <w:pStyle w:val="null3"/>
              <w:ind w:firstLine="480"/>
              <w:jc w:val="both"/>
            </w:pPr>
            <w:r>
              <w:rPr>
                <w:rFonts w:ascii="times new roman, times, serif" w:hAnsi="times new roman, times, serif" w:cs="times new roman, times, serif" w:eastAsia="times new roman, times, serif"/>
                <w:sz w:val="24"/>
              </w:rPr>
              <w:t>5</w:t>
            </w:r>
            <w:r>
              <w:rPr>
                <w:rFonts w:ascii="宋体" w:hAnsi="宋体" w:cs="宋体" w:eastAsia="宋体"/>
                <w:sz w:val="24"/>
              </w:rPr>
              <w:t>、应急减排措施</w:t>
            </w:r>
          </w:p>
          <w:p>
            <w:pPr>
              <w:pStyle w:val="null3"/>
              <w:ind w:firstLine="480"/>
              <w:jc w:val="both"/>
            </w:pPr>
            <w:r>
              <w:rPr>
                <w:rFonts w:ascii="宋体" w:hAnsi="宋体" w:cs="宋体" w:eastAsia="宋体"/>
                <w:sz w:val="24"/>
              </w:rPr>
              <w:t>根据重污染天气应急减排措施国家及四川省地方指南，结合企业所属行业与实际情况（绩效评定等级、生产设备数量、产量、使用有机溶剂类型等）制定不同预警级别下的生产线减排措施；根据企业所属行业与实际情况，制定不同预警级别下的车辆运输减排措施。</w:t>
            </w:r>
          </w:p>
          <w:p>
            <w:pPr>
              <w:pStyle w:val="null3"/>
              <w:ind w:firstLine="480"/>
              <w:jc w:val="both"/>
            </w:pPr>
            <w:r>
              <w:rPr>
                <w:rFonts w:ascii="times new roman, times, serif" w:hAnsi="times new roman, times, serif" w:cs="times new roman, times, serif" w:eastAsia="times new roman, times, serif"/>
                <w:sz w:val="24"/>
              </w:rPr>
              <w:t>6</w:t>
            </w:r>
            <w:r>
              <w:rPr>
                <w:rFonts w:ascii="宋体" w:hAnsi="宋体" w:cs="宋体" w:eastAsia="宋体"/>
                <w:sz w:val="24"/>
              </w:rPr>
              <w:t>、应急减排措施核查</w:t>
            </w:r>
          </w:p>
          <w:p>
            <w:pPr>
              <w:pStyle w:val="null3"/>
              <w:ind w:firstLine="480"/>
              <w:jc w:val="both"/>
            </w:pPr>
            <w:r>
              <w:rPr>
                <w:rFonts w:ascii="宋体" w:hAnsi="宋体" w:cs="宋体" w:eastAsia="宋体"/>
                <w:sz w:val="24"/>
              </w:rPr>
              <w:t>包括：</w:t>
            </w:r>
            <w:r>
              <w:rPr>
                <w:rFonts w:ascii="宋体" w:hAnsi="宋体" w:cs="宋体" w:eastAsia="宋体"/>
                <w:sz w:val="24"/>
              </w:rPr>
              <w:t>红色预警下应急减排核查</w:t>
            </w:r>
            <w:r>
              <w:rPr>
                <w:rFonts w:ascii="宋体" w:hAnsi="宋体" w:cs="宋体" w:eastAsia="宋体"/>
                <w:sz w:val="24"/>
              </w:rPr>
              <w:t>、</w:t>
            </w:r>
            <w:r>
              <w:rPr>
                <w:rFonts w:ascii="宋体" w:hAnsi="宋体" w:cs="宋体" w:eastAsia="宋体"/>
                <w:sz w:val="24"/>
              </w:rPr>
              <w:t>橙色预警下应急减排核查</w:t>
            </w:r>
            <w:r>
              <w:rPr>
                <w:rFonts w:ascii="宋体" w:hAnsi="宋体" w:cs="宋体" w:eastAsia="宋体"/>
                <w:sz w:val="24"/>
              </w:rPr>
              <w:t>、</w:t>
            </w:r>
            <w:r>
              <w:rPr>
                <w:rFonts w:ascii="宋体" w:hAnsi="宋体" w:cs="宋体" w:eastAsia="宋体"/>
                <w:sz w:val="24"/>
              </w:rPr>
              <w:t>黄色预警下应急减排核查</w:t>
            </w:r>
            <w:r>
              <w:rPr>
                <w:rFonts w:ascii="宋体" w:hAnsi="宋体" w:cs="宋体" w:eastAsia="宋体"/>
                <w:sz w:val="24"/>
              </w:rPr>
              <w:t>。</w:t>
            </w:r>
          </w:p>
          <w:p>
            <w:pPr>
              <w:pStyle w:val="null3"/>
              <w:ind w:firstLine="480"/>
              <w:jc w:val="both"/>
            </w:pP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项目成果</w:t>
            </w:r>
          </w:p>
        </w:tc>
        <w:tc>
          <w:tcPr>
            <w:tcW w:type="dxa" w:w="2076"/>
          </w:tcPr>
          <w:p>
            <w:pPr>
              <w:pStyle w:val="null3"/>
              <w:ind w:firstLine="480"/>
              <w:jc w:val="both"/>
            </w:pPr>
            <w:r>
              <w:rPr>
                <w:rFonts w:ascii="宋体" w:hAnsi="宋体" w:cs="宋体" w:eastAsia="宋体"/>
                <w:sz w:val="24"/>
              </w:rPr>
              <w:t>1、排放清单电子版数据。排放清单电子表格文件（以区县为单位），以及分配到网格的</w:t>
            </w:r>
            <w:r>
              <w:rPr>
                <w:rFonts w:ascii="&quot;times new roman&quot;" w:hAnsi="&quot;times new roman&quot;" w:cs="&quot;times new roman&quot;" w:eastAsia="&quot;times new roman&quot;"/>
                <w:sz w:val="24"/>
              </w:rPr>
              <w:t>GIS SHP</w:t>
            </w:r>
            <w:r>
              <w:rPr>
                <w:rFonts w:ascii="宋体" w:hAnsi="宋体" w:cs="宋体" w:eastAsia="宋体"/>
                <w:sz w:val="24"/>
              </w:rPr>
              <w:t>格式排放清单。</w:t>
            </w:r>
          </w:p>
          <w:p>
            <w:pPr>
              <w:pStyle w:val="null3"/>
              <w:ind w:firstLine="480"/>
              <w:jc w:val="both"/>
            </w:pPr>
            <w:r>
              <w:rPr>
                <w:rFonts w:ascii="宋体" w:hAnsi="宋体" w:cs="宋体" w:eastAsia="宋体"/>
                <w:sz w:val="24"/>
              </w:rPr>
              <w:t>2、报告。包括《</w:t>
            </w:r>
            <w:r>
              <w:rPr>
                <w:rFonts w:ascii="&quot;times new roman&quot;" w:hAnsi="&quot;times new roman&quot;" w:cs="&quot;times new roman&quot;" w:eastAsia="&quot;times new roman&quot;"/>
                <w:sz w:val="24"/>
              </w:rPr>
              <w:t>20</w:t>
            </w:r>
            <w:r>
              <w:rPr>
                <w:rFonts w:ascii="times new roman, times, serif" w:hAnsi="times new roman, times, serif" w:cs="times new roman, times, serif" w:eastAsia="times new roman, times, serif"/>
                <w:sz w:val="24"/>
              </w:rPr>
              <w:t>23</w:t>
            </w:r>
            <w:r>
              <w:rPr>
                <w:rFonts w:ascii="宋体" w:hAnsi="宋体" w:cs="宋体" w:eastAsia="宋体"/>
                <w:sz w:val="24"/>
              </w:rPr>
              <w:t>年资阳市大气污染源清单》</w:t>
            </w:r>
            <w:r>
              <w:rPr>
                <w:rFonts w:ascii="宋体" w:hAnsi="宋体" w:cs="宋体" w:eastAsia="宋体"/>
                <w:sz w:val="24"/>
              </w:rPr>
              <w:t>、《</w:t>
            </w:r>
            <w:r>
              <w:rPr>
                <w:rFonts w:ascii="times new roman, times, serif" w:hAnsi="times new roman, times, serif" w:cs="times new roman, times, serif" w:eastAsia="times new roman, times, serif"/>
                <w:sz w:val="24"/>
              </w:rPr>
              <w:t>2023</w:t>
            </w:r>
            <w:r>
              <w:rPr>
                <w:rFonts w:ascii="宋体" w:hAnsi="宋体" w:cs="宋体" w:eastAsia="宋体"/>
                <w:sz w:val="24"/>
              </w:rPr>
              <w:t>年资阳市重污染天气应急减排清单》以及《工业企业重污染天气应急响应“一厂一策”实施方案》。</w:t>
            </w:r>
            <w:r>
              <w:rPr>
                <w:rFonts w:ascii="宋体" w:hAnsi="宋体" w:cs="宋体" w:eastAsia="宋体"/>
                <w:sz w:val="24"/>
              </w:rPr>
              <w:t>提供最终成果电子文档（含</w:t>
            </w:r>
            <w:r>
              <w:rPr>
                <w:rFonts w:ascii="&quot;times new roman&quot;" w:hAnsi="&quot;times new roman&quot;" w:cs="&quot;times new roman&quot;" w:eastAsia="&quot;times new roman&quot;"/>
                <w:sz w:val="24"/>
              </w:rPr>
              <w:t>Word</w:t>
            </w:r>
            <w:r>
              <w:rPr>
                <w:rFonts w:ascii="宋体" w:hAnsi="宋体" w:cs="宋体" w:eastAsia="宋体"/>
                <w:sz w:val="24"/>
              </w:rPr>
              <w:t>文档、</w:t>
            </w:r>
            <w:r>
              <w:rPr>
                <w:rFonts w:ascii="times new roman, times, serif" w:hAnsi="times new roman, times, serif" w:cs="times new roman, times, serif" w:eastAsia="times new roman, times, serif"/>
                <w:sz w:val="24"/>
              </w:rPr>
              <w:t>excel</w:t>
            </w:r>
            <w:r>
              <w:rPr>
                <w:rFonts w:ascii="宋体" w:hAnsi="宋体" w:cs="宋体" w:eastAsia="宋体"/>
                <w:sz w:val="24"/>
              </w:rPr>
              <w:t>文档、</w:t>
            </w:r>
            <w:r>
              <w:rPr>
                <w:rFonts w:ascii="times new roman, times, serif" w:hAnsi="times new roman, times, serif" w:cs="times new roman, times, serif" w:eastAsia="times new roman, times, serif"/>
                <w:sz w:val="24"/>
              </w:rPr>
              <w:t>PDF</w:t>
            </w:r>
            <w:r>
              <w:rPr>
                <w:rFonts w:ascii="宋体" w:hAnsi="宋体" w:cs="宋体" w:eastAsia="宋体"/>
                <w:sz w:val="24"/>
              </w:rPr>
              <w:t>文档和用于汇报演示用的</w:t>
            </w:r>
            <w:r>
              <w:rPr>
                <w:rFonts w:ascii="times new roman, times, serif" w:hAnsi="times new roman, times, serif" w:cs="times new roman, times, serif" w:eastAsia="times new roman, times, serif"/>
                <w:sz w:val="24"/>
              </w:rPr>
              <w:t>PPT</w:t>
            </w:r>
            <w:r>
              <w:rPr>
                <w:rFonts w:ascii="宋体" w:hAnsi="宋体" w:cs="宋体" w:eastAsia="宋体"/>
                <w:sz w:val="24"/>
              </w:rPr>
              <w:t>）</w:t>
            </w:r>
            <w:r>
              <w:rPr>
                <w:rFonts w:ascii="times new roman, times, serif" w:hAnsi="times new roman, times, serif" w:cs="times new roman, times, serif" w:eastAsia="times new roman, times, serif"/>
                <w:sz w:val="24"/>
              </w:rPr>
              <w:t>1</w:t>
            </w:r>
            <w:r>
              <w:rPr>
                <w:rFonts w:ascii="宋体" w:hAnsi="宋体" w:cs="宋体" w:eastAsia="宋体"/>
                <w:sz w:val="24"/>
              </w:rPr>
              <w:t>份，纸质印刷成果</w:t>
            </w:r>
            <w:r>
              <w:rPr>
                <w:rFonts w:ascii="times new roman, times, serif" w:hAnsi="times new roman, times, serif" w:cs="times new roman, times, serif" w:eastAsia="times new roman, times, serif"/>
                <w:sz w:val="24"/>
              </w:rPr>
              <w:t>10</w:t>
            </w:r>
            <w:r>
              <w:rPr>
                <w:rFonts w:ascii="宋体" w:hAnsi="宋体" w:cs="宋体" w:eastAsia="宋体"/>
                <w:sz w:val="24"/>
              </w:rPr>
              <w:t>份。</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安全责任</w:t>
            </w:r>
          </w:p>
        </w:tc>
        <w:tc>
          <w:tcPr>
            <w:tcW w:type="dxa" w:w="2076"/>
          </w:tcPr>
          <w:p>
            <w:pPr>
              <w:pStyle w:val="null3"/>
              <w:jc w:val="both"/>
            </w:pPr>
            <w:r>
              <w:rPr>
                <w:rFonts w:ascii="宋体" w:hAnsi="宋体" w:cs="宋体" w:eastAsia="宋体"/>
                <w:sz w:val="24"/>
              </w:rPr>
              <w:t xml:space="preserve">  供应商在项目实施和使用过程中的安全责任由供应自行商负责，采购人不承担任何安全责任。</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保险</w:t>
            </w:r>
          </w:p>
        </w:tc>
        <w:tc>
          <w:tcPr>
            <w:tcW w:type="dxa" w:w="2076"/>
          </w:tcPr>
          <w:p>
            <w:pPr>
              <w:pStyle w:val="null3"/>
              <w:jc w:val="both"/>
            </w:pPr>
            <w:r>
              <w:rPr>
                <w:rFonts w:ascii="宋体" w:hAnsi="宋体" w:cs="宋体" w:eastAsia="宋体"/>
                <w:sz w:val="24"/>
              </w:rPr>
              <w:t xml:space="preserve">  按国家规定执行。</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采购合同签订后一年内。</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一、验收组织方式： 采购包1： 自行验收 二、是否邀请本项目的其他供应商： 采购包1： 否 三、是否邀请专家： 采购包1： 否 四、是否邀请服务对象： 采购包1： 否 五、是否邀请第三方检测机构： 采购包1： 否 六、履约验收程序： 采购包1： 一次性验收 七、履约验收时间： 采购包1： 1、 验收条件说明： 自供应商提出验收申请之日起 ，达到验收条件起 10 日内，验收合同总金额的 100.00%； 八、验收组织的其他事项： 采购包1： 无 九、技术履约验收内容： 采购包1： 按国家有关规定以及本项目采购文件的质量要求和技术指标、供应商的响应文件及承诺与本合同约定标准进行技术履约验收。 十、商务履约验收内容： 采购包1： 按照采购文件商务要求及供应商响应内容进行商务履约验收。 十一、履约验收标准： 采购包1： 其他未尽事宜将按照《财政部关于进一步加强政府采购需求和履约验收管理的指导意见》(财库(2016) 205号)、《政府采购需求管理办法》(财库(2021) 22号)的要求及国家行业主管部门规定的标准、方法和内容进行验收。 十二、履约验收其他事项： 采购包1： 无</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1、合同签订且财政资金到位，达到付款条件起10日内，支付合同总金额的30.00%</w:t>
            </w:r>
          </w:p>
          <w:p>
            <w:pPr>
              <w:pStyle w:val="null3"/>
              <w:jc w:val="left"/>
            </w:pPr>
            <w:r>
              <w:rPr/>
              <w:t>2、项目完成并验收合格后，达到付款条件起10日内，支付合同总金额的70.00%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仲裁委员会仲裁。仲裁裁决对双方具有约束力。除另有裁决外，仲裁费应由败诉方负担。在仲裁期间，除正在进行仲裁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根据供应商针对本项目制定的服务方案进行评审，包含：①项目现状分析；②项目管理机构配置及职责分工；③项目实施计划；④技术标准及依据；⑤人员需求与配置情况；⑥质量保障措施；⑦售后服务保障；⑧重点、难点分析及应对措施。 2.供应商为本项目提供的技术服务团队。 3.供应商为本项目提供的业绩。</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rFonts w:ascii="宋体" w:hAnsi="宋体" w:cs="宋体" w:eastAsia="宋体"/>
          <w:sz w:val="24"/>
        </w:rPr>
        <w:t>在磋商过程中，磋商小组在获得采购人代表确认的前提下，可以根据磋商情况实质性变动第三章</w:t>
      </w:r>
      <w:r>
        <w:rPr>
          <w:rFonts w:ascii="宋体" w:hAnsi="宋体" w:cs="宋体" w:eastAsia="宋体"/>
          <w:sz w:val="24"/>
        </w:rPr>
        <w:t>“技术、服务及其他要求”中“3.2.技术要求”，“3.3.服务要求”。</w:t>
      </w:r>
    </w:p>
    <w:p>
      <w:pPr>
        <w:pStyle w:val="null3"/>
        <w:ind w:firstLine="480"/>
        <w:jc w:val="left"/>
      </w:pPr>
      <w:r>
        <w:rPr/>
        <w:t>二、第七章“拟签订采购合同文本”：</w:t>
      </w:r>
    </w:p>
    <w:p>
      <w:pPr>
        <w:pStyle w:val="null3"/>
        <w:ind w:firstLine="480"/>
        <w:jc w:val="left"/>
      </w:pPr>
      <w:r>
        <w:rPr>
          <w:rFonts w:ascii="宋体" w:hAnsi="宋体" w:cs="宋体" w:eastAsia="宋体"/>
          <w:sz w:val="24"/>
        </w:rPr>
        <w:t>在磋商过程中，磋商小组在获得采购人代表确认的前提下，可以根据磋商情况实质性变动</w:t>
      </w:r>
      <w:r>
        <w:rPr>
          <w:rFonts w:ascii="宋体" w:hAnsi="宋体" w:cs="宋体" w:eastAsia="宋体"/>
          <w:sz w:val="24"/>
        </w:rPr>
        <w:t>“第七章 拟签订采购合同文本”。</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w:t>
            </w:r>
          </w:p>
        </w:tc>
        <w:tc>
          <w:tcPr>
            <w:tcW w:type="dxa" w:w="1910"/>
          </w:tcPr>
          <w:p>
            <w:pPr>
              <w:pStyle w:val="null3"/>
              <w:jc w:val="left"/>
            </w:pPr>
            <w:r>
              <w:rPr/>
              <w:t>响应文件封面 投标（响应）函 具有独立承担民事责任的能力的证明材料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具有健全的财务会计制度的证明材料： A、可提供2021年度（含）至今（任意一年度）经审计的财务报告（包含审计报告和审计报告中所涉及的财务报表和报表附注）；B、也可提供2021年度（含）至今任意一年度供应商内部的财务报表（至少包含资产负债表）；C、也可提供截止响应文件递交截止日一年内其基本开户银行出具的资信证明；D、供应商注册时间截止响应文件递交截止日不足一年的，也可提供公司章程。E、若为事业单位或其他组织(不具备法人条件的组织，如合伙组织、个体工商户、农村承包经营户等)或自然人时，则可提供具有健全的财务会计制度的承诺函。（注：具有健全的财务会计制度的证明材料中第A-E项具有同等效力，供应商可根据自身实际情况选择提供其中任意一项。）</w:t>
            </w:r>
          </w:p>
        </w:tc>
        <w:tc>
          <w:tcPr>
            <w:tcW w:type="dxa" w:w="1910"/>
          </w:tcPr>
          <w:p>
            <w:pPr>
              <w:pStyle w:val="null3"/>
              <w:jc w:val="left"/>
            </w:pPr>
            <w:r>
              <w:rPr/>
              <w:t>具有健全的财务会计制度的证明材料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本项目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注：供应商报价低于最高限价50%或者低于其他有效供应商报价算术平均价40%的，磋商小组可以认为该供应商“报价明显低于其他通过符合性审查供应商的报价”。）</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技术要求</w:t>
            </w:r>
          </w:p>
        </w:tc>
        <w:tc>
          <w:tcPr>
            <w:tcW w:type="dxa" w:w="3322"/>
          </w:tcPr>
          <w:p>
            <w:pPr>
              <w:pStyle w:val="null3"/>
              <w:jc w:val="left"/>
            </w:pPr>
            <w:r>
              <w:rPr/>
              <w:t>本项目“3.2技术要求”中带“★”的技术参数与性能指标为本次磋商采购活动体现满足采购需求、质量和服务相等的采购项目最低要求，不允许有负偏离，否则做无效响应处理。</w:t>
            </w:r>
          </w:p>
        </w:tc>
        <w:tc>
          <w:tcPr>
            <w:tcW w:type="dxa" w:w="1910"/>
          </w:tcPr>
          <w:p>
            <w:pPr>
              <w:pStyle w:val="null3"/>
              <w:jc w:val="left"/>
            </w:pPr>
            <w:r>
              <w:rPr/>
              <w:t>技术要求应答表</w:t>
            </w:r>
          </w:p>
        </w:tc>
      </w:tr>
      <w:tr>
        <w:tc>
          <w:tcPr>
            <w:tcW w:type="dxa" w:w="581"/>
          </w:tcPr>
          <w:p>
            <w:pPr>
              <w:pStyle w:val="null3"/>
              <w:jc w:val="center"/>
            </w:pPr>
            <w:r>
              <w:rPr/>
              <w:t>4</w:t>
            </w:r>
          </w:p>
        </w:tc>
        <w:tc>
          <w:tcPr>
            <w:tcW w:type="dxa" w:w="2492"/>
          </w:tcPr>
          <w:p>
            <w:pPr>
              <w:pStyle w:val="null3"/>
              <w:jc w:val="left"/>
            </w:pPr>
            <w:r>
              <w:rPr/>
              <w:t>服务内容要求、商务要求</w:t>
            </w:r>
          </w:p>
        </w:tc>
        <w:tc>
          <w:tcPr>
            <w:tcW w:type="dxa" w:w="3322"/>
          </w:tcPr>
          <w:p>
            <w:pPr>
              <w:pStyle w:val="null3"/>
              <w:jc w:val="left"/>
            </w:pPr>
            <w:r>
              <w:rPr/>
              <w:t>本项目“3.3服务要求”中“3.3.1服务内容要求”、“3.3.2商务要求”中带“★”的服务要求名称和服务要求内容、商务要求名称和商务要求内容为本次磋商采购活动体现满足采购需求、质量和服务相等的采购项目最低要求，不允许有负偏离，否则做无效响应处理。</w:t>
            </w:r>
          </w:p>
        </w:tc>
        <w:tc>
          <w:tcPr>
            <w:tcW w:type="dxa" w:w="1910"/>
          </w:tcPr>
          <w:p>
            <w:pPr>
              <w:pStyle w:val="null3"/>
              <w:jc w:val="left"/>
            </w:pPr>
            <w:r>
              <w:rPr/>
              <w:t>商务要求应答表 服务内容要求应答表</w:t>
            </w:r>
          </w:p>
        </w:tc>
      </w:tr>
      <w:tr>
        <w:tc>
          <w:tcPr>
            <w:tcW w:type="dxa" w:w="581"/>
          </w:tcPr>
          <w:p>
            <w:pPr>
              <w:pStyle w:val="null3"/>
              <w:jc w:val="center"/>
            </w:pPr>
            <w:r>
              <w:rPr/>
              <w:t>5</w:t>
            </w:r>
          </w:p>
        </w:tc>
        <w:tc>
          <w:tcPr>
            <w:tcW w:type="dxa" w:w="2492"/>
          </w:tcPr>
          <w:p>
            <w:pPr>
              <w:pStyle w:val="null3"/>
              <w:jc w:val="left"/>
            </w:pPr>
            <w:r>
              <w:rPr/>
              <w:t>其他实质性要求</w:t>
            </w:r>
          </w:p>
        </w:tc>
        <w:tc>
          <w:tcPr>
            <w:tcW w:type="dxa" w:w="3322"/>
          </w:tcPr>
          <w:p>
            <w:pPr>
              <w:pStyle w:val="null3"/>
              <w:jc w:val="left"/>
            </w:pPr>
            <w:r>
              <w:rPr/>
              <w:t>评审委员会依据采购文件的其他的实质性要求，对符合资格的响应文件进行审查，以确定其是否满足采购文件的其他要求。本项目符合性审查事项仅限于采购文件的明确规定。响应文件是否满足采购文件的实质性要求，必须以本采购文件的明确规定作为依据，否则，不能对响应文件作为无效处理，评审委员会不得臆测符合性审查事项。</w:t>
            </w:r>
          </w:p>
        </w:tc>
        <w:tc>
          <w:tcPr>
            <w:tcW w:type="dxa" w:w="1910"/>
          </w:tcPr>
          <w:p>
            <w:pPr>
              <w:pStyle w:val="null3"/>
              <w:jc w:val="left"/>
            </w:pPr>
            <w:r>
              <w:rPr/>
              <w:t>关于竞争性磋商文件“第二章实质性要求”的承诺函（实质性要求）</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详见第三章</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技术服务团队</w:t>
            </w:r>
          </w:p>
        </w:tc>
        <w:tc>
          <w:tcPr>
            <w:tcW w:type="dxa" w:w="2575"/>
          </w:tcPr>
          <w:p>
            <w:pPr>
              <w:pStyle w:val="null3"/>
              <w:jc w:val="left"/>
            </w:pPr>
            <w:r>
              <w:rPr/>
              <w:t>1.项目负责人（1人）： 具有环境工程相关专业中级职称的得2分，具有环境工程相关专业高级或以上职称的得5分，本项最高得5分。 2.项目团队成员（项目负责人除外）： 每具有一名环境工程相关专业中级职称的得1分，每具有一名环境工程相关专业高级或以上职称的得2分，本项最高得12分。 注：1.提供职称证书并加盖供应商电子签章； 2.提供身份证及在职证明材料并加盖供应商电子签章； 3.同一人员持有多项证书的不重复计分。</w:t>
            </w:r>
          </w:p>
        </w:tc>
        <w:tc>
          <w:tcPr>
            <w:tcW w:type="dxa" w:w="831"/>
          </w:tcPr>
          <w:p>
            <w:pPr>
              <w:pStyle w:val="null3"/>
              <w:jc w:val="center"/>
            </w:pPr>
            <w:r>
              <w:rPr/>
              <w:t>17.00</w:t>
            </w:r>
          </w:p>
        </w:tc>
        <w:tc>
          <w:tcPr>
            <w:tcW w:type="dxa" w:w="748"/>
          </w:tcPr>
          <w:p>
            <w:pPr>
              <w:pStyle w:val="null3"/>
              <w:jc w:val="center"/>
            </w:pPr>
            <w:r>
              <w:rPr/>
              <w:t>客观</w:t>
            </w:r>
          </w:p>
        </w:tc>
        <w:tc>
          <w:tcPr>
            <w:tcW w:type="dxa" w:w="1661"/>
          </w:tcPr>
          <w:p>
            <w:pPr>
              <w:pStyle w:val="null3"/>
              <w:jc w:val="left"/>
            </w:pPr>
            <w:r>
              <w:rPr/>
              <w:t>技术服务团队应答表</w:t>
            </w:r>
          </w:p>
        </w:tc>
      </w:tr>
      <w:tr>
        <w:tc>
          <w:tcPr>
            <w:tcW w:type="dxa" w:w="831"/>
            <w:vMerge/>
          </w:tcPr>
          <w:p/>
        </w:tc>
        <w:tc>
          <w:tcPr>
            <w:tcW w:type="dxa" w:w="1661"/>
          </w:tcPr>
          <w:p>
            <w:pPr>
              <w:pStyle w:val="null3"/>
              <w:jc w:val="left"/>
            </w:pPr>
            <w:r>
              <w:rPr/>
              <w:t>服务方案</w:t>
            </w:r>
          </w:p>
        </w:tc>
        <w:tc>
          <w:tcPr>
            <w:tcW w:type="dxa" w:w="2575"/>
          </w:tcPr>
          <w:p>
            <w:pPr>
              <w:pStyle w:val="null3"/>
              <w:jc w:val="left"/>
            </w:pPr>
            <w:r>
              <w:rPr/>
              <w:t>根据供应商针对本项目制定的服务方案进行评审，包含：①项目现状分析；②项目管理机构配置及职责分工；③项目实施计划；④技术标准及依据；⑤人员需求与配置情况；⑥质量保障措施；⑦售后服务保障；⑧重点、难点分析及应对措施。涵盖以上内容且不存在缺陷得48分，在此基础上，每缺少一项内容扣6分，每有一处内容存在缺陷扣3分，扣完为止。（“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t>48.00</w:t>
            </w:r>
          </w:p>
        </w:tc>
        <w:tc>
          <w:tcPr>
            <w:tcW w:type="dxa" w:w="748"/>
          </w:tcPr>
          <w:p>
            <w:pPr>
              <w:pStyle w:val="null3"/>
              <w:jc w:val="center"/>
            </w:pPr>
            <w:r>
              <w:rPr/>
              <w:t>主观</w:t>
            </w:r>
          </w:p>
        </w:tc>
        <w:tc>
          <w:tcPr>
            <w:tcW w:type="dxa" w:w="1661"/>
          </w:tcPr>
          <w:p>
            <w:pPr>
              <w:pStyle w:val="null3"/>
              <w:jc w:val="left"/>
            </w:pPr>
            <w:r>
              <w:rPr/>
              <w:t>服务方案应答表</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供应商提供本单位自2022年1月1日（含1日）至递交响应文件截止之日的类似业绩，每提供一个得5分，最高得25分。类似业绩是指：生态环境保护相关的规划编制或实施方案编制或清单编制类似业绩。 注：提供合同并加盖供应商电子签章。</w:t>
            </w:r>
          </w:p>
        </w:tc>
        <w:tc>
          <w:tcPr>
            <w:tcW w:type="dxa" w:w="831"/>
          </w:tcPr>
          <w:p>
            <w:pPr>
              <w:pStyle w:val="null3"/>
              <w:jc w:val="center"/>
            </w:pPr>
            <w:r>
              <w:rPr/>
              <w:t>25.00</w:t>
            </w:r>
          </w:p>
        </w:tc>
        <w:tc>
          <w:tcPr>
            <w:tcW w:type="dxa" w:w="748"/>
          </w:tcPr>
          <w:p>
            <w:pPr>
              <w:pStyle w:val="null3"/>
              <w:jc w:val="center"/>
            </w:pPr>
            <w:r>
              <w:rPr/>
              <w:t>客观</w:t>
            </w:r>
          </w:p>
        </w:tc>
        <w:tc>
          <w:tcPr>
            <w:tcW w:type="dxa" w:w="1661"/>
          </w:tcPr>
          <w:p>
            <w:pPr>
              <w:pStyle w:val="null3"/>
              <w:jc w:val="left"/>
            </w:pPr>
            <w:r>
              <w:rPr/>
              <w:t>业绩应答表</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满足磋商文件要求且最后报价最低的供应商的价格为磋商基准价，其价格分为10分； 其它供应商报价得分按以下公式计算：磋商报价得分=(磋商基准价／最后磋商报价)×10×100%。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详见附件：服务方案应答表</w:t>
      </w:r>
    </w:p>
    <w:p>
      <w:pPr>
        <w:pStyle w:val="null3"/>
        <w:ind w:firstLine="960"/>
        <w:jc w:val="left"/>
      </w:pPr>
      <w:r>
        <w:rPr/>
        <w:t>详见附件：技术服务团队应答表</w:t>
      </w:r>
    </w:p>
    <w:p>
      <w:pPr>
        <w:pStyle w:val="null3"/>
        <w:ind w:firstLine="960"/>
        <w:jc w:val="left"/>
      </w:pPr>
      <w:r>
        <w:rPr/>
        <w:t>详见附件：具有独立承担民事责任的能力的证明材料</w:t>
      </w:r>
    </w:p>
    <w:p>
      <w:pPr>
        <w:pStyle w:val="null3"/>
        <w:ind w:firstLine="960"/>
        <w:jc w:val="left"/>
      </w:pPr>
      <w:r>
        <w:rPr/>
        <w:t>详见附件：具有健全的财务会计制度的证明材料</w:t>
      </w:r>
    </w:p>
    <w:p>
      <w:pPr>
        <w:pStyle w:val="null3"/>
        <w:ind w:firstLine="960"/>
        <w:jc w:val="left"/>
      </w:pPr>
      <w:r>
        <w:rPr/>
        <w:t>详见附件：关于竞争性磋商文件“第二章实质性要求”的承诺函（实质性要求）</w:t>
      </w:r>
    </w:p>
    <w:p>
      <w:pPr>
        <w:pStyle w:val="null3"/>
        <w:ind w:firstLine="960"/>
        <w:jc w:val="left"/>
      </w:pPr>
      <w:r>
        <w:rPr/>
        <w:t>详见附件：商务要求应答表</w:t>
      </w:r>
    </w:p>
    <w:p>
      <w:pPr>
        <w:pStyle w:val="null3"/>
        <w:ind w:firstLine="960"/>
        <w:jc w:val="left"/>
      </w:pPr>
      <w:r>
        <w:rPr/>
        <w:t>详见附件：技术要求应答表</w:t>
      </w:r>
    </w:p>
    <w:p>
      <w:pPr>
        <w:pStyle w:val="null3"/>
        <w:ind w:firstLine="960"/>
        <w:jc w:val="left"/>
      </w:pPr>
      <w:r>
        <w:rPr/>
        <w:t>详见附件：服务内容要求应答表</w:t>
      </w:r>
    </w:p>
    <w:p>
      <w:pPr>
        <w:pStyle w:val="null3"/>
        <w:ind w:firstLine="960"/>
        <w:jc w:val="left"/>
      </w:pPr>
      <w:r>
        <w:rPr/>
        <w:t>详见附件：业绩应答表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