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B711367">
      <w:pPr>
        <w:rPr>
          <w:rFonts w:hint="default" w:ascii="Times New Roman" w:hAnsi="Times New Roman" w:eastAsia="宋体" w:cs="Times New Roman"/>
          <w:bCs/>
          <w:color w:val="auto"/>
          <w:sz w:val="72"/>
          <w:szCs w:val="72"/>
        </w:rPr>
      </w:pPr>
    </w:p>
    <w:p w14:paraId="11EB8084">
      <w:pPr>
        <w:rPr>
          <w:rFonts w:hint="default" w:ascii="Times New Roman" w:hAnsi="Times New Roman" w:eastAsia="宋体" w:cs="Times New Roman"/>
          <w:bCs/>
          <w:color w:val="auto"/>
          <w:sz w:val="72"/>
          <w:szCs w:val="72"/>
        </w:rPr>
      </w:pPr>
    </w:p>
    <w:p w14:paraId="468A46E5">
      <w:pPr>
        <w:widowControl w:val="0"/>
        <w:kinsoku/>
        <w:autoSpaceDE/>
        <w:autoSpaceDN/>
        <w:adjustRightInd/>
        <w:snapToGrid/>
        <w:jc w:val="both"/>
        <w:textAlignment w:val="auto"/>
        <w:rPr>
          <w:rFonts w:hint="default" w:ascii="Times New Roman" w:hAnsi="Times New Roman" w:eastAsia="宋体" w:cs="Times New Roman"/>
          <w:snapToGrid/>
          <w:color w:val="auto"/>
          <w:kern w:val="2"/>
          <w:sz w:val="36"/>
          <w:szCs w:val="36"/>
        </w:rPr>
      </w:pPr>
      <w:bookmarkStart w:id="50" w:name="_GoBack"/>
      <w:bookmarkEnd w:id="50"/>
    </w:p>
    <w:p w14:paraId="6ED32D08">
      <w:pPr>
        <w:widowControl w:val="0"/>
        <w:kinsoku/>
        <w:autoSpaceDE/>
        <w:autoSpaceDN/>
        <w:adjustRightInd/>
        <w:snapToGrid/>
        <w:jc w:val="both"/>
        <w:textAlignment w:val="auto"/>
        <w:rPr>
          <w:rFonts w:hint="default" w:ascii="Times New Roman" w:hAnsi="Times New Roman" w:eastAsia="宋体" w:cs="Times New Roman"/>
          <w:snapToGrid/>
          <w:color w:val="auto"/>
          <w:kern w:val="2"/>
          <w:sz w:val="36"/>
          <w:szCs w:val="36"/>
        </w:rPr>
      </w:pPr>
    </w:p>
    <w:p w14:paraId="091C6B9F">
      <w:pPr>
        <w:widowControl w:val="0"/>
        <w:kinsoku/>
        <w:autoSpaceDE/>
        <w:autoSpaceDN/>
        <w:adjustRightInd/>
        <w:snapToGrid/>
        <w:jc w:val="both"/>
        <w:textAlignment w:val="auto"/>
        <w:rPr>
          <w:rFonts w:hint="default" w:ascii="Times New Roman" w:hAnsi="Times New Roman" w:eastAsia="宋体" w:cs="Times New Roman"/>
          <w:snapToGrid/>
          <w:color w:val="auto"/>
          <w:kern w:val="2"/>
          <w:sz w:val="36"/>
          <w:szCs w:val="36"/>
        </w:rPr>
      </w:pPr>
    </w:p>
    <w:p w14:paraId="70E6198A">
      <w:pPr>
        <w:widowControl w:val="0"/>
        <w:kinsoku/>
        <w:autoSpaceDE/>
        <w:autoSpaceDN/>
        <w:jc w:val="center"/>
        <w:textAlignment w:val="auto"/>
        <w:outlineLvl w:val="0"/>
        <w:rPr>
          <w:rFonts w:hint="default" w:ascii="Times New Roman" w:hAnsi="Times New Roman" w:eastAsia="宋体" w:cs="Times New Roman"/>
          <w:bCs/>
          <w:snapToGrid/>
          <w:color w:val="auto"/>
          <w:kern w:val="2"/>
          <w:sz w:val="72"/>
          <w:szCs w:val="72"/>
        </w:rPr>
      </w:pPr>
      <w:bookmarkStart w:id="0" w:name="_Toc15100"/>
      <w:r>
        <w:rPr>
          <w:rFonts w:hint="default" w:ascii="Times New Roman" w:hAnsi="Times New Roman" w:eastAsia="宋体" w:cs="Times New Roman"/>
          <w:bCs/>
          <w:snapToGrid/>
          <w:color w:val="auto"/>
          <w:kern w:val="2"/>
          <w:sz w:val="72"/>
          <w:szCs w:val="72"/>
        </w:rPr>
        <w:t>建设项目环境影响报告表</w:t>
      </w:r>
      <w:bookmarkEnd w:id="0"/>
    </w:p>
    <w:p w14:paraId="6CC19A08">
      <w:pPr>
        <w:widowControl w:val="0"/>
        <w:kinsoku/>
        <w:autoSpaceDE/>
        <w:autoSpaceDN/>
        <w:spacing w:line="288" w:lineRule="auto"/>
        <w:jc w:val="center"/>
        <w:textAlignment w:val="auto"/>
        <w:outlineLvl w:val="0"/>
        <w:rPr>
          <w:rFonts w:hint="default" w:ascii="Times New Roman" w:hAnsi="Times New Roman" w:eastAsia="宋体" w:cs="Times New Roman"/>
          <w:bCs/>
          <w:snapToGrid/>
          <w:color w:val="auto"/>
          <w:kern w:val="2"/>
          <w:sz w:val="48"/>
          <w:szCs w:val="48"/>
        </w:rPr>
      </w:pPr>
      <w:bookmarkStart w:id="1" w:name="_Toc7228"/>
      <w:r>
        <w:rPr>
          <w:rFonts w:hint="default" w:ascii="Times New Roman" w:hAnsi="Times New Roman" w:eastAsia="宋体" w:cs="Times New Roman"/>
          <w:bCs/>
          <w:snapToGrid/>
          <w:color w:val="auto"/>
          <w:kern w:val="2"/>
          <w:sz w:val="48"/>
          <w:szCs w:val="48"/>
        </w:rPr>
        <w:t>（生态影响类）</w:t>
      </w:r>
      <w:bookmarkEnd w:id="1"/>
    </w:p>
    <w:p w14:paraId="544D7AE6">
      <w:pPr>
        <w:widowControl w:val="0"/>
        <w:kinsoku/>
        <w:autoSpaceDE/>
        <w:autoSpaceDN/>
        <w:spacing w:line="288" w:lineRule="auto"/>
        <w:jc w:val="center"/>
        <w:textAlignment w:val="auto"/>
        <w:outlineLvl w:val="0"/>
        <w:rPr>
          <w:rFonts w:hint="default" w:ascii="Times New Roman" w:hAnsi="Times New Roman" w:eastAsia="宋体" w:cs="Times New Roman"/>
          <w:bCs/>
          <w:snapToGrid/>
          <w:color w:val="auto"/>
          <w:kern w:val="2"/>
          <w:sz w:val="48"/>
          <w:szCs w:val="48"/>
        </w:rPr>
      </w:pPr>
      <w:bookmarkStart w:id="2" w:name="_Toc7474"/>
      <w:r>
        <w:rPr>
          <w:rFonts w:hint="default" w:ascii="Times New Roman" w:hAnsi="Times New Roman" w:eastAsia="宋体" w:cs="Times New Roman"/>
          <w:bCs/>
          <w:snapToGrid/>
          <w:color w:val="auto"/>
          <w:kern w:val="2"/>
          <w:sz w:val="48"/>
          <w:szCs w:val="48"/>
        </w:rPr>
        <w:t>（</w:t>
      </w:r>
      <w:r>
        <w:rPr>
          <w:rFonts w:hint="default" w:ascii="Times New Roman" w:hAnsi="Times New Roman" w:eastAsia="宋体" w:cs="Times New Roman"/>
          <w:bCs/>
          <w:snapToGrid/>
          <w:color w:val="auto"/>
          <w:kern w:val="2"/>
          <w:sz w:val="48"/>
          <w:szCs w:val="48"/>
          <w:lang w:val="en-US" w:eastAsia="zh-CN"/>
        </w:rPr>
        <w:t>报批</w:t>
      </w:r>
      <w:r>
        <w:rPr>
          <w:rFonts w:hint="default" w:ascii="Times New Roman" w:hAnsi="Times New Roman" w:eastAsia="宋体" w:cs="Times New Roman"/>
          <w:bCs/>
          <w:snapToGrid/>
          <w:color w:val="auto"/>
          <w:kern w:val="2"/>
          <w:sz w:val="48"/>
          <w:szCs w:val="48"/>
        </w:rPr>
        <w:t>本）</w:t>
      </w:r>
      <w:bookmarkEnd w:id="2"/>
    </w:p>
    <w:p w14:paraId="357E77C7">
      <w:pPr>
        <w:widowControl w:val="0"/>
        <w:kinsoku/>
        <w:autoSpaceDE/>
        <w:autoSpaceDN/>
        <w:adjustRightInd/>
        <w:snapToGrid/>
        <w:jc w:val="center"/>
        <w:textAlignment w:val="auto"/>
        <w:rPr>
          <w:rFonts w:hint="default" w:ascii="Times New Roman" w:hAnsi="Times New Roman" w:eastAsia="宋体" w:cs="Times New Roman"/>
          <w:snapToGrid/>
          <w:color w:val="auto"/>
          <w:kern w:val="2"/>
          <w:sz w:val="36"/>
          <w:szCs w:val="36"/>
        </w:rPr>
      </w:pPr>
    </w:p>
    <w:p w14:paraId="7BFBF0C1">
      <w:pPr>
        <w:widowControl w:val="0"/>
        <w:kinsoku/>
        <w:autoSpaceDE/>
        <w:autoSpaceDN/>
        <w:adjustRightInd/>
        <w:snapToGrid/>
        <w:jc w:val="center"/>
        <w:textAlignment w:val="auto"/>
        <w:rPr>
          <w:rFonts w:hint="default" w:ascii="Times New Roman" w:hAnsi="Times New Roman" w:eastAsia="宋体" w:cs="Times New Roman"/>
          <w:snapToGrid/>
          <w:color w:val="auto"/>
          <w:kern w:val="2"/>
          <w:sz w:val="36"/>
          <w:szCs w:val="36"/>
        </w:rPr>
      </w:pPr>
    </w:p>
    <w:p w14:paraId="78BAC159">
      <w:pPr>
        <w:widowControl w:val="0"/>
        <w:kinsoku/>
        <w:autoSpaceDE/>
        <w:autoSpaceDN/>
        <w:adjustRightInd/>
        <w:snapToGrid/>
        <w:jc w:val="center"/>
        <w:textAlignment w:val="auto"/>
        <w:rPr>
          <w:rFonts w:hint="default" w:ascii="Times New Roman" w:hAnsi="Times New Roman" w:eastAsia="宋体" w:cs="Times New Roman"/>
          <w:snapToGrid/>
          <w:color w:val="auto"/>
          <w:kern w:val="2"/>
          <w:sz w:val="36"/>
          <w:szCs w:val="36"/>
        </w:rPr>
      </w:pPr>
    </w:p>
    <w:p w14:paraId="4A82BA19">
      <w:pPr>
        <w:widowControl w:val="0"/>
        <w:kinsoku/>
        <w:autoSpaceDE/>
        <w:autoSpaceDN/>
        <w:adjustRightInd/>
        <w:snapToGrid/>
        <w:jc w:val="center"/>
        <w:textAlignment w:val="auto"/>
        <w:rPr>
          <w:rFonts w:hint="default" w:ascii="Times New Roman" w:hAnsi="Times New Roman" w:eastAsia="宋体" w:cs="Times New Roman"/>
          <w:snapToGrid/>
          <w:color w:val="auto"/>
          <w:kern w:val="2"/>
          <w:sz w:val="36"/>
          <w:szCs w:val="36"/>
        </w:rPr>
      </w:pPr>
    </w:p>
    <w:p w14:paraId="49C0D8B0">
      <w:pPr>
        <w:widowControl w:val="0"/>
        <w:kinsoku/>
        <w:autoSpaceDE/>
        <w:autoSpaceDN/>
        <w:adjustRightInd/>
        <w:snapToGrid/>
        <w:ind w:firstLine="360" w:firstLineChars="100"/>
        <w:jc w:val="both"/>
        <w:textAlignment w:val="auto"/>
        <w:rPr>
          <w:rFonts w:hint="default" w:ascii="Times New Roman" w:hAnsi="Times New Roman" w:eastAsia="宋体" w:cs="Times New Roman"/>
          <w:snapToGrid/>
          <w:color w:val="auto"/>
          <w:kern w:val="2"/>
          <w:sz w:val="36"/>
          <w:szCs w:val="36"/>
          <w:u w:val="single"/>
        </w:rPr>
      </w:pPr>
      <w:r>
        <w:rPr>
          <w:rFonts w:hint="default" w:ascii="Times New Roman" w:hAnsi="Times New Roman" w:eastAsia="宋体" w:cs="Times New Roman"/>
          <w:snapToGrid/>
          <w:color w:val="auto"/>
          <w:kern w:val="2"/>
          <w:sz w:val="36"/>
          <w:szCs w:val="36"/>
        </w:rPr>
        <w:t>项目名称：</w:t>
      </w:r>
      <w:r>
        <w:rPr>
          <w:rFonts w:hint="default" w:ascii="Times New Roman" w:hAnsi="Times New Roman" w:eastAsia="宋体" w:cs="Times New Roman"/>
          <w:snapToGrid/>
          <w:color w:val="auto"/>
          <w:kern w:val="2"/>
          <w:sz w:val="36"/>
          <w:szCs w:val="36"/>
          <w:u w:val="single"/>
        </w:rPr>
        <w:t>乐至县北部片区国家储备林建设及森林质量提升项目</w:t>
      </w:r>
    </w:p>
    <w:p w14:paraId="4E096489">
      <w:pPr>
        <w:widowControl w:val="0"/>
        <w:kinsoku/>
        <w:autoSpaceDE/>
        <w:autoSpaceDN/>
        <w:adjustRightInd/>
        <w:snapToGrid/>
        <w:jc w:val="both"/>
        <w:textAlignment w:val="auto"/>
        <w:rPr>
          <w:rFonts w:hint="default" w:ascii="Times New Roman" w:hAnsi="Times New Roman" w:eastAsia="宋体" w:cs="Times New Roman"/>
          <w:snapToGrid/>
          <w:color w:val="auto"/>
          <w:kern w:val="2"/>
          <w:sz w:val="36"/>
          <w:szCs w:val="36"/>
        </w:rPr>
      </w:pPr>
    </w:p>
    <w:p w14:paraId="3CBCA8F9">
      <w:pPr>
        <w:widowControl w:val="0"/>
        <w:kinsoku/>
        <w:autoSpaceDE/>
        <w:autoSpaceDN/>
        <w:spacing w:line="288" w:lineRule="auto"/>
        <w:ind w:firstLine="360" w:firstLineChars="100"/>
        <w:jc w:val="both"/>
        <w:textAlignment w:val="auto"/>
        <w:rPr>
          <w:rFonts w:hint="default" w:ascii="Times New Roman" w:hAnsi="Times New Roman" w:eastAsia="宋体" w:cs="Times New Roman"/>
          <w:snapToGrid/>
          <w:color w:val="auto"/>
          <w:kern w:val="2"/>
          <w:sz w:val="36"/>
          <w:szCs w:val="36"/>
          <w:u w:val="single"/>
        </w:rPr>
      </w:pPr>
      <w:r>
        <w:rPr>
          <w:rFonts w:hint="default" w:ascii="Times New Roman" w:hAnsi="Times New Roman" w:eastAsia="宋体" w:cs="Times New Roman"/>
          <w:snapToGrid/>
          <w:color w:val="auto"/>
          <w:kern w:val="2"/>
          <w:sz w:val="36"/>
          <w:szCs w:val="36"/>
        </w:rPr>
        <w:t>建设单位（盖章）：</w:t>
      </w:r>
      <w:r>
        <w:rPr>
          <w:rFonts w:hint="default" w:ascii="Times New Roman" w:hAnsi="Times New Roman" w:eastAsia="宋体" w:cs="Times New Roman"/>
          <w:snapToGrid/>
          <w:color w:val="auto"/>
          <w:kern w:val="2"/>
          <w:sz w:val="36"/>
          <w:szCs w:val="36"/>
          <w:u w:val="single"/>
        </w:rPr>
        <w:t xml:space="preserve">乐至县兴茂林业开发有限公司                       </w:t>
      </w:r>
    </w:p>
    <w:p w14:paraId="717B7DE1">
      <w:pPr>
        <w:widowControl w:val="0"/>
        <w:kinsoku/>
        <w:autoSpaceDE/>
        <w:autoSpaceDN/>
        <w:adjustRightInd/>
        <w:snapToGrid/>
        <w:jc w:val="both"/>
        <w:textAlignment w:val="auto"/>
        <w:rPr>
          <w:rFonts w:hint="default" w:ascii="Times New Roman" w:hAnsi="Times New Roman" w:eastAsia="宋体" w:cs="Times New Roman"/>
          <w:snapToGrid/>
          <w:color w:val="auto"/>
          <w:kern w:val="2"/>
          <w:sz w:val="36"/>
          <w:szCs w:val="36"/>
        </w:rPr>
      </w:pPr>
    </w:p>
    <w:p w14:paraId="407477D2">
      <w:pPr>
        <w:widowControl w:val="0"/>
        <w:kinsoku/>
        <w:autoSpaceDE/>
        <w:autoSpaceDN/>
        <w:spacing w:line="288" w:lineRule="auto"/>
        <w:ind w:firstLine="360" w:firstLineChars="100"/>
        <w:jc w:val="both"/>
        <w:textAlignment w:val="auto"/>
        <w:rPr>
          <w:rFonts w:hint="default" w:ascii="Times New Roman" w:hAnsi="Times New Roman" w:eastAsia="宋体" w:cs="Times New Roman"/>
          <w:snapToGrid/>
          <w:color w:val="auto"/>
          <w:kern w:val="2"/>
          <w:sz w:val="36"/>
          <w:szCs w:val="36"/>
          <w:u w:val="single"/>
        </w:rPr>
      </w:pPr>
      <w:r>
        <w:rPr>
          <w:rFonts w:hint="default" w:ascii="Times New Roman" w:hAnsi="Times New Roman" w:eastAsia="宋体" w:cs="Times New Roman"/>
          <w:snapToGrid/>
          <w:color w:val="auto"/>
          <w:kern w:val="2"/>
          <w:sz w:val="36"/>
          <w:szCs w:val="36"/>
        </w:rPr>
        <w:t>编制日期：</w:t>
      </w:r>
      <w:r>
        <w:rPr>
          <w:rFonts w:hint="default" w:ascii="Times New Roman" w:hAnsi="Times New Roman" w:eastAsia="宋体" w:cs="Times New Roman"/>
          <w:snapToGrid/>
          <w:color w:val="auto"/>
          <w:kern w:val="2"/>
          <w:sz w:val="36"/>
          <w:szCs w:val="36"/>
          <w:u w:val="single"/>
        </w:rPr>
        <w:t xml:space="preserve">              </w:t>
      </w:r>
      <w:r>
        <w:rPr>
          <w:rFonts w:hint="default" w:ascii="Times New Roman" w:hAnsi="Times New Roman" w:eastAsia="宋体" w:cs="Times New Roman"/>
          <w:snapToGrid/>
          <w:color w:val="auto"/>
          <w:kern w:val="2"/>
          <w:sz w:val="36"/>
          <w:szCs w:val="36"/>
          <w:u w:val="single"/>
          <w:lang w:val="en-US" w:eastAsia="zh-CN"/>
        </w:rPr>
        <w:t xml:space="preserve">           </w:t>
      </w:r>
      <w:r>
        <w:rPr>
          <w:rFonts w:hint="default" w:ascii="Times New Roman" w:hAnsi="Times New Roman" w:eastAsia="宋体" w:cs="Times New Roman"/>
          <w:snapToGrid/>
          <w:color w:val="auto"/>
          <w:kern w:val="2"/>
          <w:sz w:val="36"/>
          <w:szCs w:val="36"/>
          <w:u w:val="single"/>
        </w:rPr>
        <w:t xml:space="preserve"> 202</w:t>
      </w:r>
      <w:r>
        <w:rPr>
          <w:rFonts w:hint="default" w:ascii="Times New Roman" w:hAnsi="Times New Roman" w:eastAsia="宋体" w:cs="Times New Roman"/>
          <w:snapToGrid/>
          <w:color w:val="auto"/>
          <w:kern w:val="2"/>
          <w:sz w:val="36"/>
          <w:szCs w:val="36"/>
          <w:u w:val="single"/>
          <w:lang w:val="en-US" w:eastAsia="zh-CN"/>
        </w:rPr>
        <w:t>4</w:t>
      </w:r>
      <w:r>
        <w:rPr>
          <w:rFonts w:hint="default" w:ascii="Times New Roman" w:hAnsi="Times New Roman" w:eastAsia="宋体" w:cs="Times New Roman"/>
          <w:snapToGrid/>
          <w:color w:val="auto"/>
          <w:kern w:val="2"/>
          <w:sz w:val="36"/>
          <w:szCs w:val="36"/>
          <w:u w:val="single"/>
        </w:rPr>
        <w:t>年</w:t>
      </w:r>
      <w:r>
        <w:rPr>
          <w:rFonts w:hint="eastAsia" w:ascii="Times New Roman" w:hAnsi="Times New Roman" w:eastAsia="宋体" w:cs="Times New Roman"/>
          <w:snapToGrid/>
          <w:color w:val="auto"/>
          <w:kern w:val="2"/>
          <w:sz w:val="36"/>
          <w:szCs w:val="36"/>
          <w:u w:val="single"/>
          <w:lang w:val="en-US" w:eastAsia="zh-CN"/>
        </w:rPr>
        <w:t>7</w:t>
      </w:r>
      <w:r>
        <w:rPr>
          <w:rFonts w:hint="default" w:ascii="Times New Roman" w:hAnsi="Times New Roman" w:eastAsia="宋体" w:cs="Times New Roman"/>
          <w:snapToGrid/>
          <w:color w:val="auto"/>
          <w:kern w:val="2"/>
          <w:sz w:val="36"/>
          <w:szCs w:val="36"/>
          <w:u w:val="single"/>
        </w:rPr>
        <w:t xml:space="preserve">月                                             </w:t>
      </w:r>
    </w:p>
    <w:p w14:paraId="29B2E2F5">
      <w:pPr>
        <w:widowControl w:val="0"/>
        <w:kinsoku/>
        <w:autoSpaceDE/>
        <w:autoSpaceDN/>
        <w:adjustRightInd/>
        <w:snapToGrid/>
        <w:jc w:val="center"/>
        <w:textAlignment w:val="auto"/>
        <w:rPr>
          <w:rFonts w:hint="default" w:ascii="Times New Roman" w:hAnsi="Times New Roman" w:eastAsia="宋体" w:cs="Times New Roman"/>
          <w:snapToGrid/>
          <w:color w:val="auto"/>
          <w:kern w:val="2"/>
          <w:sz w:val="36"/>
          <w:szCs w:val="36"/>
        </w:rPr>
      </w:pPr>
      <w:bookmarkStart w:id="3" w:name="_Hlk57884087"/>
    </w:p>
    <w:p w14:paraId="6700662D">
      <w:pPr>
        <w:widowControl w:val="0"/>
        <w:kinsoku/>
        <w:autoSpaceDE/>
        <w:autoSpaceDN/>
        <w:adjustRightInd/>
        <w:snapToGrid/>
        <w:jc w:val="center"/>
        <w:textAlignment w:val="auto"/>
        <w:rPr>
          <w:rFonts w:hint="default" w:ascii="Times New Roman" w:hAnsi="Times New Roman" w:eastAsia="宋体" w:cs="Times New Roman"/>
          <w:snapToGrid/>
          <w:color w:val="auto"/>
          <w:kern w:val="2"/>
          <w:sz w:val="36"/>
          <w:szCs w:val="36"/>
        </w:rPr>
      </w:pPr>
    </w:p>
    <w:p w14:paraId="1DEC54E8">
      <w:pPr>
        <w:widowControl w:val="0"/>
        <w:kinsoku/>
        <w:autoSpaceDE/>
        <w:autoSpaceDN/>
        <w:adjustRightInd/>
        <w:snapToGrid/>
        <w:jc w:val="center"/>
        <w:textAlignment w:val="auto"/>
        <w:rPr>
          <w:rFonts w:hint="default" w:ascii="Times New Roman" w:hAnsi="Times New Roman" w:eastAsia="宋体" w:cs="Times New Roman"/>
          <w:snapToGrid/>
          <w:color w:val="auto"/>
          <w:kern w:val="2"/>
          <w:sz w:val="36"/>
          <w:szCs w:val="36"/>
        </w:rPr>
      </w:pPr>
    </w:p>
    <w:p w14:paraId="0E21F4A2">
      <w:pPr>
        <w:widowControl w:val="0"/>
        <w:kinsoku/>
        <w:autoSpaceDE/>
        <w:autoSpaceDN/>
        <w:adjustRightInd/>
        <w:snapToGrid/>
        <w:jc w:val="center"/>
        <w:textAlignment w:val="auto"/>
        <w:rPr>
          <w:rFonts w:hint="default" w:ascii="Times New Roman" w:hAnsi="Times New Roman" w:eastAsia="宋体" w:cs="Times New Roman"/>
          <w:snapToGrid/>
          <w:color w:val="auto"/>
          <w:kern w:val="2"/>
          <w:sz w:val="36"/>
          <w:szCs w:val="36"/>
        </w:rPr>
      </w:pPr>
    </w:p>
    <w:bookmarkEnd w:id="3"/>
    <w:p w14:paraId="58E44413">
      <w:pPr>
        <w:widowControl w:val="0"/>
        <w:kinsoku/>
        <w:autoSpaceDE/>
        <w:autoSpaceDN/>
        <w:adjustRightInd/>
        <w:snapToGrid/>
        <w:jc w:val="center"/>
        <w:textAlignment w:val="auto"/>
        <w:rPr>
          <w:rFonts w:hint="default" w:ascii="Times New Roman" w:hAnsi="Times New Roman" w:eastAsia="宋体" w:cs="Times New Roman"/>
          <w:snapToGrid/>
          <w:color w:val="auto"/>
          <w:kern w:val="2"/>
          <w:sz w:val="36"/>
          <w:szCs w:val="36"/>
        </w:rPr>
      </w:pPr>
      <w:r>
        <w:rPr>
          <w:rFonts w:hint="default" w:ascii="Times New Roman" w:hAnsi="Times New Roman" w:eastAsia="宋体" w:cs="Times New Roman"/>
          <w:snapToGrid/>
          <w:color w:val="auto"/>
          <w:kern w:val="2"/>
          <w:sz w:val="36"/>
          <w:szCs w:val="36"/>
        </w:rPr>
        <w:t>中华人民共和国生态环境部制</w:t>
      </w:r>
    </w:p>
    <w:p w14:paraId="543DA166">
      <w:pPr>
        <w:widowControl w:val="0"/>
        <w:kinsoku/>
        <w:autoSpaceDE/>
        <w:autoSpaceDN/>
        <w:adjustRightInd/>
        <w:snapToGrid/>
        <w:jc w:val="center"/>
        <w:textAlignment w:val="auto"/>
        <w:rPr>
          <w:rFonts w:hint="default" w:ascii="Times New Roman" w:hAnsi="Times New Roman" w:eastAsia="宋体" w:cs="Times New Roman"/>
          <w:snapToGrid/>
          <w:color w:val="auto"/>
          <w:kern w:val="2"/>
          <w:sz w:val="36"/>
          <w:szCs w:val="36"/>
        </w:rPr>
      </w:pPr>
    </w:p>
    <w:p w14:paraId="523BDDEF">
      <w:pPr>
        <w:widowControl w:val="0"/>
        <w:kinsoku/>
        <w:autoSpaceDE/>
        <w:autoSpaceDN/>
        <w:adjustRightInd/>
        <w:snapToGrid/>
        <w:jc w:val="center"/>
        <w:textAlignment w:val="auto"/>
        <w:rPr>
          <w:rFonts w:hint="default" w:ascii="Times New Roman" w:hAnsi="Times New Roman" w:eastAsia="宋体" w:cs="Times New Roman"/>
          <w:snapToGrid/>
          <w:color w:val="auto"/>
          <w:kern w:val="2"/>
          <w:sz w:val="36"/>
          <w:szCs w:val="36"/>
        </w:rPr>
      </w:pPr>
    </w:p>
    <w:p w14:paraId="5495E8EF">
      <w:pPr>
        <w:widowControl w:val="0"/>
        <w:kinsoku/>
        <w:autoSpaceDE/>
        <w:autoSpaceDN/>
        <w:adjustRightInd/>
        <w:snapToGrid/>
        <w:jc w:val="center"/>
        <w:textAlignment w:val="auto"/>
        <w:rPr>
          <w:rFonts w:hint="default" w:ascii="Times New Roman" w:hAnsi="Times New Roman" w:eastAsia="宋体" w:cs="Times New Roman"/>
          <w:snapToGrid/>
          <w:color w:val="auto"/>
          <w:kern w:val="2"/>
          <w:sz w:val="36"/>
          <w:szCs w:val="36"/>
        </w:rPr>
      </w:pPr>
    </w:p>
    <w:p w14:paraId="62B034B4">
      <w:pPr>
        <w:widowControl w:val="0"/>
        <w:kinsoku/>
        <w:autoSpaceDE/>
        <w:autoSpaceDN/>
        <w:adjustRightInd/>
        <w:snapToGrid/>
        <w:jc w:val="both"/>
        <w:textAlignment w:val="auto"/>
        <w:rPr>
          <w:rFonts w:hint="default" w:ascii="Times New Roman" w:hAnsi="Times New Roman" w:eastAsia="宋体" w:cs="Times New Roman"/>
          <w:snapToGrid/>
          <w:color w:val="auto"/>
          <w:kern w:val="2"/>
          <w:sz w:val="36"/>
          <w:szCs w:val="36"/>
        </w:rPr>
        <w:sectPr>
          <w:pgSz w:w="11900" w:h="16840"/>
          <w:pgMar w:top="0" w:right="680" w:bottom="0" w:left="640" w:header="0" w:footer="0" w:gutter="0"/>
          <w:cols w:space="720" w:num="1"/>
        </w:sectPr>
      </w:pPr>
    </w:p>
    <w:p w14:paraId="7D73A8F7">
      <w:pPr>
        <w:pStyle w:val="19"/>
        <w:ind w:left="0" w:leftChars="0"/>
        <w:jc w:val="center"/>
        <w:rPr>
          <w:rFonts w:hint="default" w:ascii="Times New Roman" w:hAnsi="Times New Roman" w:eastAsia="宋体" w:cs="Times New Roman"/>
          <w:color w:val="auto"/>
        </w:rPr>
      </w:pPr>
    </w:p>
    <w:p w14:paraId="6DF1055F">
      <w:pPr>
        <w:pStyle w:val="19"/>
        <w:ind w:left="0" w:leftChars="0"/>
        <w:jc w:val="center"/>
        <w:rPr>
          <w:rFonts w:hint="default" w:ascii="Times New Roman" w:hAnsi="Times New Roman" w:eastAsia="宋体" w:cs="Times New Roman"/>
          <w:color w:val="auto"/>
        </w:rPr>
        <w:sectPr>
          <w:footerReference r:id="rId3" w:type="default"/>
          <w:pgSz w:w="11906" w:h="16838"/>
          <w:pgMar w:top="1440" w:right="1800" w:bottom="1440" w:left="1800" w:header="794" w:footer="624" w:gutter="0"/>
          <w:pgNumType w:start="1"/>
          <w:cols w:space="720" w:num="1"/>
          <w:docGrid w:type="lines" w:linePitch="312" w:charSpace="0"/>
        </w:sectPr>
      </w:pPr>
    </w:p>
    <w:p w14:paraId="654E5CF2">
      <w:pPr>
        <w:pStyle w:val="20"/>
        <w:rPr>
          <w:rFonts w:hint="default" w:ascii="Times New Roman" w:hAnsi="Times New Roman" w:eastAsia="宋体" w:cs="Times New Roman"/>
          <w:color w:val="auto"/>
        </w:rPr>
      </w:pPr>
    </w:p>
    <w:p w14:paraId="176643E3">
      <w:pPr>
        <w:pStyle w:val="20"/>
        <w:rPr>
          <w:rFonts w:hint="default" w:ascii="Times New Roman" w:hAnsi="Times New Roman" w:eastAsia="宋体" w:cs="Times New Roman"/>
          <w:color w:val="auto"/>
        </w:rPr>
      </w:pPr>
    </w:p>
    <w:sdt>
      <w:sdtPr>
        <w:rPr>
          <w:rFonts w:hint="default" w:ascii="Times New Roman" w:hAnsi="Times New Roman" w:eastAsia="宋体" w:cs="Times New Roman"/>
          <w:color w:val="auto"/>
        </w:rPr>
        <w:id w:val="147456766"/>
        <w15:color w:val="DBDBDB"/>
        <w:docPartObj>
          <w:docPartGallery w:val="Table of Contents"/>
          <w:docPartUnique/>
        </w:docPartObj>
      </w:sdtPr>
      <w:sdtEndPr>
        <w:rPr>
          <w:rFonts w:hint="default" w:ascii="Times New Roman" w:hAnsi="Times New Roman" w:eastAsia="宋体" w:cs="Times New Roman"/>
          <w:b/>
          <w:color w:val="auto"/>
        </w:rPr>
      </w:sdtEndPr>
      <w:sdtContent>
        <w:p w14:paraId="4320F93F">
          <w:pPr>
            <w:spacing w:line="360" w:lineRule="auto"/>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目录</w:t>
          </w:r>
        </w:p>
        <w:p w14:paraId="230BD2DA">
          <w:pPr>
            <w:pStyle w:val="24"/>
            <w:tabs>
              <w:tab w:val="right" w:leader="dot" w:pos="8306"/>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TOC \o "1-2" \h \u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_Toc15100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snapToGrid/>
              <w:color w:val="auto"/>
              <w:kern w:val="2"/>
              <w:sz w:val="24"/>
              <w:szCs w:val="24"/>
            </w:rPr>
            <w:t>建设项目环境影响报告表</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_Toc15100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5355A65D">
          <w:pPr>
            <w:pStyle w:val="24"/>
            <w:tabs>
              <w:tab w:val="right" w:leader="dot" w:pos="8306"/>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_Toc7228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snapToGrid/>
              <w:color w:val="auto"/>
              <w:kern w:val="2"/>
              <w:sz w:val="24"/>
              <w:szCs w:val="24"/>
            </w:rPr>
            <w:t>（生态影响类）</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_Toc7228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19BE6334">
          <w:pPr>
            <w:pStyle w:val="24"/>
            <w:tabs>
              <w:tab w:val="right" w:leader="dot" w:pos="8306"/>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_Toc7474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snapToGrid/>
              <w:color w:val="auto"/>
              <w:kern w:val="2"/>
              <w:sz w:val="24"/>
              <w:szCs w:val="24"/>
            </w:rPr>
            <w:t>（送审本）</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_Toc7474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466444A2">
          <w:pPr>
            <w:pStyle w:val="24"/>
            <w:tabs>
              <w:tab w:val="right" w:leader="dot" w:pos="8306"/>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_Toc27807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一、建设项目基本情况</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_Toc27807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3197E647">
          <w:pPr>
            <w:pStyle w:val="24"/>
            <w:tabs>
              <w:tab w:val="right" w:leader="dot" w:pos="8306"/>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_Toc1562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二、建设内容</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_Toc1562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98</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6B81326D">
          <w:pPr>
            <w:pStyle w:val="27"/>
            <w:tabs>
              <w:tab w:val="right" w:leader="dot" w:pos="8306"/>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_Toc26198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spacing w:val="-7"/>
              <w:sz w:val="24"/>
              <w:szCs w:val="24"/>
            </w:rPr>
            <w:t>一、项目组成及规模</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_Toc26198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98</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2B53D7A3">
          <w:pPr>
            <w:pStyle w:val="27"/>
            <w:tabs>
              <w:tab w:val="right" w:leader="dot" w:pos="8306"/>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_Toc13253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spacing w:val="-7"/>
              <w:sz w:val="24"/>
              <w:szCs w:val="24"/>
            </w:rPr>
            <w:t>二、总平面及现场布置</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_Toc13253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125</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4B79641F">
          <w:pPr>
            <w:pStyle w:val="27"/>
            <w:tabs>
              <w:tab w:val="right" w:leader="dot" w:pos="8306"/>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_Toc25729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spacing w:val="-10"/>
              <w:sz w:val="24"/>
              <w:szCs w:val="24"/>
            </w:rPr>
            <w:t>三、施工方案</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_Toc25729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129</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2E519DB8">
          <w:pPr>
            <w:pStyle w:val="27"/>
            <w:tabs>
              <w:tab w:val="right" w:leader="dot" w:pos="8306"/>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_Toc7394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sz w:val="24"/>
              <w:szCs w:val="24"/>
            </w:rPr>
            <w:t>四、其他</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_Toc7394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131</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6E23B74C">
          <w:pPr>
            <w:pStyle w:val="24"/>
            <w:tabs>
              <w:tab w:val="right" w:leader="dot" w:pos="8306"/>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_Toc4853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三、生态环境现状、保护目标及评价标准</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_Toc4853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132</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34F06D60">
          <w:pPr>
            <w:pStyle w:val="27"/>
            <w:tabs>
              <w:tab w:val="right" w:leader="dot" w:pos="8306"/>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_Toc5703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sz w:val="24"/>
              <w:szCs w:val="24"/>
            </w:rPr>
            <w:t>一、生态环境现状</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_Toc5703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132</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22A2CD31">
          <w:pPr>
            <w:pStyle w:val="27"/>
            <w:tabs>
              <w:tab w:val="right" w:leader="dot" w:pos="8306"/>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_Toc21023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sz w:val="24"/>
              <w:szCs w:val="24"/>
            </w:rPr>
            <w:t>二、生态环境保护目标</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_Toc21023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147</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4E4DFC6D">
          <w:pPr>
            <w:pStyle w:val="27"/>
            <w:tabs>
              <w:tab w:val="right" w:leader="dot" w:pos="8306"/>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_Toc10713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spacing w:val="-2"/>
              <w:sz w:val="24"/>
              <w:szCs w:val="24"/>
            </w:rPr>
            <w:t>三、评价标准</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_Toc10713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158</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5DCBB170">
          <w:pPr>
            <w:pStyle w:val="24"/>
            <w:tabs>
              <w:tab w:val="right" w:leader="dot" w:pos="8306"/>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_Toc10967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pacing w:val="-4"/>
              <w:sz w:val="24"/>
              <w:szCs w:val="24"/>
            </w:rPr>
            <w:t>四、生态环境影响分析</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_Toc10967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160</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4AC7D65E">
          <w:pPr>
            <w:pStyle w:val="27"/>
            <w:tabs>
              <w:tab w:val="right" w:leader="dot" w:pos="8306"/>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_Toc20876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spacing w:val="-10"/>
              <w:sz w:val="24"/>
              <w:szCs w:val="24"/>
            </w:rPr>
            <w:t>一、施工期环境影响分析</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_Toc20876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160</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03B43DD6">
          <w:pPr>
            <w:pStyle w:val="27"/>
            <w:tabs>
              <w:tab w:val="right" w:leader="dot" w:pos="8306"/>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_Toc22989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spacing w:val="-10"/>
              <w:sz w:val="24"/>
              <w:szCs w:val="24"/>
            </w:rPr>
            <w:t>二、运营期环境影响分析</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_Toc22989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168</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159C445B">
          <w:pPr>
            <w:pStyle w:val="27"/>
            <w:tabs>
              <w:tab w:val="right" w:leader="dot" w:pos="8306"/>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_Toc8087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spacing w:val="-1"/>
              <w:sz w:val="24"/>
              <w:szCs w:val="24"/>
            </w:rPr>
            <w:t>三、选址选线环境合理性分析</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_Toc8087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173</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31C08602">
          <w:pPr>
            <w:pStyle w:val="24"/>
            <w:tabs>
              <w:tab w:val="right" w:leader="dot" w:pos="8306"/>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_Toc30596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pacing w:val="-2"/>
              <w:sz w:val="24"/>
              <w:szCs w:val="24"/>
            </w:rPr>
            <w:t>五、主要生态环境保护措施</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_Toc30596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174</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78BADB0F">
          <w:pPr>
            <w:pStyle w:val="27"/>
            <w:tabs>
              <w:tab w:val="right" w:leader="dot" w:pos="8306"/>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_Toc25870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sz w:val="24"/>
              <w:szCs w:val="24"/>
            </w:rPr>
            <w:t>一、施工期环境保护措施</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_Toc25870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174</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167E9A65">
          <w:pPr>
            <w:pStyle w:val="27"/>
            <w:tabs>
              <w:tab w:val="right" w:leader="dot" w:pos="8306"/>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_Toc10480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sz w:val="24"/>
              <w:szCs w:val="24"/>
            </w:rPr>
            <w:t>二、运营期环境保护措施</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_Toc10480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181</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7BB4D8CA">
          <w:pPr>
            <w:pStyle w:val="27"/>
            <w:tabs>
              <w:tab w:val="right" w:leader="dot" w:pos="8306"/>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_Toc12923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color w:val="auto"/>
              <w:sz w:val="24"/>
              <w:szCs w:val="24"/>
            </w:rPr>
            <w:t>三、环保投资</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_Toc12923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185</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043B8D88">
          <w:pPr>
            <w:pStyle w:val="24"/>
            <w:tabs>
              <w:tab w:val="right" w:leader="dot" w:pos="8306"/>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_Toc26161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六、生态环境保护措施监督检查清单</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_Toc26161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186</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63ECD1CF">
          <w:pPr>
            <w:pStyle w:val="24"/>
            <w:tabs>
              <w:tab w:val="right" w:leader="dot" w:pos="8306"/>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_Toc10812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pacing w:val="-6"/>
              <w:sz w:val="24"/>
              <w:szCs w:val="24"/>
            </w:rPr>
            <w:t>七、结论</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_Toc10812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190</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end"/>
          </w:r>
        </w:p>
        <w:p w14:paraId="0323290B">
          <w:pPr>
            <w:spacing w:line="360" w:lineRule="auto"/>
            <w:rPr>
              <w:rFonts w:hint="default" w:ascii="Times New Roman" w:hAnsi="Times New Roman" w:eastAsia="宋体" w:cs="Times New Roman"/>
              <w:color w:val="auto"/>
            </w:rPr>
          </w:pPr>
          <w:r>
            <w:rPr>
              <w:rFonts w:hint="default" w:ascii="Times New Roman" w:hAnsi="Times New Roman" w:eastAsia="宋体" w:cs="Times New Roman"/>
              <w:color w:val="auto"/>
              <w:sz w:val="24"/>
              <w:szCs w:val="24"/>
            </w:rPr>
            <w:fldChar w:fldCharType="end"/>
          </w:r>
        </w:p>
      </w:sdtContent>
    </w:sdt>
    <w:p w14:paraId="70DCEA12">
      <w:pPr>
        <w:pStyle w:val="29"/>
        <w:jc w:val="center"/>
        <w:outlineLvl w:val="0"/>
        <w:rPr>
          <w:rFonts w:hint="default" w:ascii="Times New Roman" w:hAnsi="Times New Roman" w:eastAsia="宋体" w:cs="Times New Roman"/>
          <w:color w:val="auto"/>
          <w:sz w:val="30"/>
          <w:szCs w:val="30"/>
        </w:rPr>
        <w:sectPr>
          <w:footerReference r:id="rId4" w:type="default"/>
          <w:pgSz w:w="11906" w:h="16838"/>
          <w:pgMar w:top="1440" w:right="1800" w:bottom="1440" w:left="1800" w:header="794" w:footer="624" w:gutter="0"/>
          <w:pgNumType w:start="1"/>
          <w:cols w:space="720" w:num="1"/>
          <w:docGrid w:type="lines" w:linePitch="312" w:charSpace="0"/>
        </w:sectPr>
      </w:pPr>
    </w:p>
    <w:p w14:paraId="4FCB9FD5">
      <w:pPr>
        <w:widowControl w:val="0"/>
        <w:kinsoku/>
        <w:autoSpaceDE/>
        <w:autoSpaceDN/>
        <w:snapToGrid/>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附录</w:t>
      </w:r>
    </w:p>
    <w:p w14:paraId="4C91F67D">
      <w:pPr>
        <w:widowControl w:val="0"/>
        <w:kinsoku/>
        <w:autoSpaceDE/>
        <w:autoSpaceDN/>
        <w:snapToGrid/>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附图：</w:t>
      </w:r>
    </w:p>
    <w:p w14:paraId="3081A82B">
      <w:pPr>
        <w:widowControl w:val="0"/>
        <w:kinsoku/>
        <w:autoSpaceDE/>
        <w:autoSpaceDN/>
        <w:snapToGrid/>
        <w:spacing w:line="360" w:lineRule="auto"/>
        <w:ind w:firstLine="720" w:firstLineChars="3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附图</w:t>
      </w:r>
      <w:r>
        <w:rPr>
          <w:rFonts w:hint="default" w:ascii="Times New Roman" w:hAnsi="Times New Roman" w:eastAsia="宋体" w:cs="Times New Roman"/>
          <w:color w:val="auto"/>
          <w:sz w:val="24"/>
          <w:szCs w:val="24"/>
          <w:lang w:val="en-US" w:eastAsia="zh-CN"/>
        </w:rPr>
        <w:t>1</w:t>
      </w:r>
      <w:r>
        <w:rPr>
          <w:rFonts w:hint="default" w:ascii="Times New Roman" w:hAnsi="Times New Roman" w:eastAsia="宋体" w:cs="Times New Roman"/>
          <w:color w:val="auto"/>
          <w:sz w:val="24"/>
          <w:szCs w:val="24"/>
        </w:rPr>
        <w:t xml:space="preserve"> 位置示意图</w:t>
      </w:r>
    </w:p>
    <w:p w14:paraId="46938453">
      <w:pPr>
        <w:widowControl w:val="0"/>
        <w:kinsoku/>
        <w:autoSpaceDE/>
        <w:autoSpaceDN/>
        <w:snapToGrid/>
        <w:spacing w:line="360" w:lineRule="auto"/>
        <w:ind w:firstLine="720" w:firstLineChars="3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附图</w:t>
      </w:r>
      <w:r>
        <w:rPr>
          <w:rFonts w:hint="default"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rPr>
        <w:t xml:space="preserve"> 乐至县林地地类分布图(2)</w:t>
      </w:r>
    </w:p>
    <w:p w14:paraId="0B276A64">
      <w:pPr>
        <w:widowControl w:val="0"/>
        <w:kinsoku/>
        <w:autoSpaceDE/>
        <w:autoSpaceDN/>
        <w:snapToGrid/>
        <w:spacing w:line="360" w:lineRule="auto"/>
        <w:ind w:firstLine="720" w:firstLineChars="3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附图</w:t>
      </w:r>
      <w:r>
        <w:rPr>
          <w:rFonts w:hint="default"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rPr>
        <w:t xml:space="preserve"> 乐至县森林类别分布图</w:t>
      </w:r>
    </w:p>
    <w:p w14:paraId="61729450">
      <w:pPr>
        <w:widowControl w:val="0"/>
        <w:kinsoku/>
        <w:autoSpaceDE/>
        <w:autoSpaceDN/>
        <w:snapToGrid/>
        <w:spacing w:line="360" w:lineRule="auto"/>
        <w:ind w:firstLine="720" w:firstLineChars="3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附图</w:t>
      </w:r>
      <w:r>
        <w:rPr>
          <w:rFonts w:hint="default" w:ascii="Times New Roman" w:hAnsi="Times New Roman" w:eastAsia="宋体" w:cs="Times New Roman"/>
          <w:color w:val="auto"/>
          <w:sz w:val="24"/>
          <w:szCs w:val="24"/>
          <w:lang w:val="en-US" w:eastAsia="zh-CN"/>
        </w:rPr>
        <w:t>4</w:t>
      </w:r>
      <w:r>
        <w:rPr>
          <w:rFonts w:hint="default" w:ascii="Times New Roman" w:hAnsi="Times New Roman" w:eastAsia="宋体" w:cs="Times New Roman"/>
          <w:color w:val="auto"/>
          <w:sz w:val="24"/>
          <w:szCs w:val="24"/>
        </w:rPr>
        <w:t xml:space="preserve"> 乐至县植被分布图</w:t>
      </w:r>
    </w:p>
    <w:p w14:paraId="1D02D2C6">
      <w:pPr>
        <w:widowControl w:val="0"/>
        <w:kinsoku/>
        <w:autoSpaceDE/>
        <w:autoSpaceDN/>
        <w:snapToGrid/>
        <w:spacing w:line="360" w:lineRule="auto"/>
        <w:ind w:firstLine="720" w:firstLineChars="3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附图</w:t>
      </w:r>
      <w:r>
        <w:rPr>
          <w:rFonts w:hint="default" w:ascii="Times New Roman" w:hAnsi="Times New Roman" w:eastAsia="宋体" w:cs="Times New Roman"/>
          <w:color w:val="auto"/>
          <w:sz w:val="24"/>
          <w:szCs w:val="24"/>
          <w:lang w:val="en-US" w:eastAsia="zh-CN"/>
        </w:rPr>
        <w:t>5</w:t>
      </w:r>
      <w:r>
        <w:rPr>
          <w:rFonts w:hint="default" w:ascii="Times New Roman" w:hAnsi="Times New Roman" w:eastAsia="宋体" w:cs="Times New Roman"/>
          <w:color w:val="auto"/>
          <w:sz w:val="24"/>
          <w:szCs w:val="24"/>
        </w:rPr>
        <w:t xml:space="preserve"> 工程建设布局图(一)人工栽培</w:t>
      </w:r>
    </w:p>
    <w:p w14:paraId="67551140">
      <w:pPr>
        <w:widowControl w:val="0"/>
        <w:kinsoku/>
        <w:autoSpaceDE/>
        <w:autoSpaceDN/>
        <w:snapToGrid/>
        <w:spacing w:line="360" w:lineRule="auto"/>
        <w:ind w:firstLine="720" w:firstLineChars="3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附图</w:t>
      </w:r>
      <w:r>
        <w:rPr>
          <w:rFonts w:hint="default" w:ascii="Times New Roman" w:hAnsi="Times New Roman" w:eastAsia="宋体" w:cs="Times New Roman"/>
          <w:color w:val="auto"/>
          <w:sz w:val="24"/>
          <w:szCs w:val="24"/>
          <w:lang w:val="en-US" w:eastAsia="zh-CN"/>
        </w:rPr>
        <w:t>6</w:t>
      </w:r>
      <w:r>
        <w:rPr>
          <w:rFonts w:hint="default" w:ascii="Times New Roman" w:hAnsi="Times New Roman" w:eastAsia="宋体" w:cs="Times New Roman"/>
          <w:color w:val="auto"/>
          <w:sz w:val="24"/>
          <w:szCs w:val="24"/>
        </w:rPr>
        <w:t xml:space="preserve"> 工程建设布局图(二)改培</w:t>
      </w:r>
    </w:p>
    <w:p w14:paraId="06B4A1A9">
      <w:pPr>
        <w:widowControl w:val="0"/>
        <w:kinsoku/>
        <w:autoSpaceDE/>
        <w:autoSpaceDN/>
        <w:snapToGrid/>
        <w:spacing w:line="360" w:lineRule="auto"/>
        <w:ind w:firstLine="720" w:firstLineChars="3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附图</w:t>
      </w:r>
      <w:r>
        <w:rPr>
          <w:rFonts w:hint="default" w:ascii="Times New Roman" w:hAnsi="Times New Roman" w:eastAsia="宋体" w:cs="Times New Roman"/>
          <w:color w:val="auto"/>
          <w:sz w:val="24"/>
          <w:szCs w:val="24"/>
          <w:lang w:val="en-US" w:eastAsia="zh-CN"/>
        </w:rPr>
        <w:t>7</w:t>
      </w:r>
      <w:r>
        <w:rPr>
          <w:rFonts w:hint="default" w:ascii="Times New Roman" w:hAnsi="Times New Roman" w:eastAsia="宋体" w:cs="Times New Roman"/>
          <w:color w:val="auto"/>
          <w:sz w:val="24"/>
          <w:szCs w:val="24"/>
        </w:rPr>
        <w:t xml:space="preserve"> 工程建设布局图(三)抚育</w:t>
      </w:r>
    </w:p>
    <w:p w14:paraId="0D89F68B">
      <w:pPr>
        <w:widowControl w:val="0"/>
        <w:kinsoku/>
        <w:autoSpaceDE/>
        <w:autoSpaceDN/>
        <w:snapToGrid/>
        <w:spacing w:line="360" w:lineRule="auto"/>
        <w:ind w:firstLine="720" w:firstLineChars="3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附图</w:t>
      </w:r>
      <w:r>
        <w:rPr>
          <w:rFonts w:hint="default" w:ascii="Times New Roman" w:hAnsi="Times New Roman" w:eastAsia="宋体" w:cs="Times New Roman"/>
          <w:color w:val="auto"/>
          <w:sz w:val="24"/>
          <w:szCs w:val="24"/>
          <w:lang w:val="en-US" w:eastAsia="zh-CN"/>
        </w:rPr>
        <w:t>8</w:t>
      </w:r>
      <w:r>
        <w:rPr>
          <w:rFonts w:hint="default" w:ascii="Times New Roman" w:hAnsi="Times New Roman" w:eastAsia="宋体" w:cs="Times New Roman"/>
          <w:color w:val="auto"/>
          <w:sz w:val="24"/>
          <w:szCs w:val="24"/>
        </w:rPr>
        <w:t xml:space="preserve"> 工程建设布局图(四)林下经济</w:t>
      </w:r>
    </w:p>
    <w:p w14:paraId="2435FCFB">
      <w:pPr>
        <w:widowControl w:val="0"/>
        <w:kinsoku/>
        <w:autoSpaceDE/>
        <w:autoSpaceDN/>
        <w:snapToGrid/>
        <w:spacing w:line="360" w:lineRule="auto"/>
        <w:ind w:firstLine="720" w:firstLineChars="3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附图9-1 项目金顺镇外环境关系图</w:t>
      </w:r>
    </w:p>
    <w:p w14:paraId="186930A7">
      <w:pPr>
        <w:widowControl w:val="0"/>
        <w:kinsoku/>
        <w:autoSpaceDE/>
        <w:autoSpaceDN/>
        <w:snapToGrid/>
        <w:spacing w:line="360" w:lineRule="auto"/>
        <w:ind w:firstLine="720" w:firstLineChars="3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附图9-2 项目良安镇外环境关系图</w:t>
      </w:r>
    </w:p>
    <w:p w14:paraId="025C381C">
      <w:pPr>
        <w:widowControl w:val="0"/>
        <w:kinsoku/>
        <w:autoSpaceDE/>
        <w:autoSpaceDN/>
        <w:snapToGrid/>
        <w:spacing w:line="360" w:lineRule="auto"/>
        <w:ind w:firstLine="720" w:firstLineChars="3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附图9-3 项目中和场镇外环境关系图</w:t>
      </w:r>
    </w:p>
    <w:p w14:paraId="7C380EEC">
      <w:pPr>
        <w:widowControl w:val="0"/>
        <w:kinsoku/>
        <w:autoSpaceDE/>
        <w:autoSpaceDN/>
        <w:snapToGrid/>
        <w:spacing w:line="360" w:lineRule="auto"/>
        <w:ind w:firstLine="720" w:firstLineChars="3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附图9-4 项目大佛镇外环境关系图</w:t>
      </w:r>
    </w:p>
    <w:p w14:paraId="75645C11">
      <w:pPr>
        <w:widowControl w:val="0"/>
        <w:kinsoku/>
        <w:autoSpaceDE/>
        <w:autoSpaceDN/>
        <w:snapToGrid/>
        <w:spacing w:line="360" w:lineRule="auto"/>
        <w:ind w:firstLine="720" w:firstLineChars="3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附图9-5 项目盛池镇外环境关系图</w:t>
      </w:r>
    </w:p>
    <w:p w14:paraId="368E81DD">
      <w:pPr>
        <w:widowControl w:val="0"/>
        <w:kinsoku/>
        <w:autoSpaceDE/>
        <w:autoSpaceDN/>
        <w:snapToGrid/>
        <w:spacing w:line="360" w:lineRule="auto"/>
        <w:ind w:firstLine="720" w:firstLineChars="3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附图9-6 项目劳动镇外环境关系图</w:t>
      </w:r>
    </w:p>
    <w:p w14:paraId="6C07ABEE">
      <w:pPr>
        <w:widowControl w:val="0"/>
        <w:kinsoku/>
        <w:autoSpaceDE/>
        <w:autoSpaceDN/>
        <w:snapToGrid/>
        <w:spacing w:line="360" w:lineRule="auto"/>
        <w:ind w:firstLine="720" w:firstLineChars="3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附图9-7 项目宝林镇外环境关系图</w:t>
      </w:r>
    </w:p>
    <w:p w14:paraId="324BE5A0">
      <w:pPr>
        <w:widowControl w:val="0"/>
        <w:kinsoku/>
        <w:autoSpaceDE/>
        <w:autoSpaceDN/>
        <w:snapToGrid/>
        <w:spacing w:line="360" w:lineRule="auto"/>
        <w:ind w:firstLine="720" w:firstLineChars="3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附图9-8 项目高寺镇外环境关系图</w:t>
      </w:r>
    </w:p>
    <w:p w14:paraId="234D8BAA">
      <w:pPr>
        <w:widowControl w:val="0"/>
        <w:kinsoku/>
        <w:autoSpaceDE/>
        <w:autoSpaceDN/>
        <w:snapToGrid/>
        <w:spacing w:line="360" w:lineRule="auto"/>
        <w:ind w:firstLine="720" w:firstLineChars="3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附图9-9 项目中天镇外环境关系图</w:t>
      </w:r>
    </w:p>
    <w:p w14:paraId="75FBF2F4">
      <w:pPr>
        <w:widowControl w:val="0"/>
        <w:kinsoku/>
        <w:autoSpaceDE/>
        <w:autoSpaceDN/>
        <w:snapToGrid/>
        <w:spacing w:line="360" w:lineRule="auto"/>
        <w:ind w:firstLine="720" w:firstLineChars="3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附图9-10 项目天池街道外环境关系图</w:t>
      </w:r>
    </w:p>
    <w:p w14:paraId="44275D70">
      <w:pPr>
        <w:widowControl w:val="0"/>
        <w:kinsoku/>
        <w:autoSpaceDE/>
        <w:autoSpaceDN/>
        <w:snapToGrid/>
        <w:spacing w:line="360" w:lineRule="auto"/>
        <w:ind w:firstLine="720" w:firstLineChars="3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附图10 项目道路建设位置图</w:t>
      </w:r>
    </w:p>
    <w:p w14:paraId="51652ACC">
      <w:pPr>
        <w:widowControl w:val="0"/>
        <w:kinsoku/>
        <w:autoSpaceDE/>
        <w:autoSpaceDN/>
        <w:snapToGrid/>
        <w:spacing w:line="360" w:lineRule="auto"/>
        <w:ind w:firstLine="720" w:firstLineChars="3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附图11 弃场设计图-平面图</w:t>
      </w:r>
    </w:p>
    <w:p w14:paraId="27F95E48">
      <w:pPr>
        <w:widowControl w:val="0"/>
        <w:kinsoku/>
        <w:autoSpaceDE/>
        <w:autoSpaceDN/>
        <w:snapToGrid/>
        <w:spacing w:line="360" w:lineRule="auto"/>
        <w:ind w:firstLine="720" w:firstLineChars="3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附图12 DL-S1-4-1 公路平面总体布置图-1</w:t>
      </w:r>
    </w:p>
    <w:p w14:paraId="4FBA39D7">
      <w:pPr>
        <w:widowControl w:val="0"/>
        <w:kinsoku/>
        <w:autoSpaceDE/>
        <w:autoSpaceDN/>
        <w:snapToGrid/>
        <w:spacing w:line="360" w:lineRule="auto"/>
        <w:ind w:firstLine="720" w:firstLineChars="3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附图13 DL-S1-4-1 公路平面总体布置图-2</w:t>
      </w:r>
    </w:p>
    <w:p w14:paraId="45A12481">
      <w:pPr>
        <w:widowControl w:val="0"/>
        <w:kinsoku/>
        <w:autoSpaceDE/>
        <w:autoSpaceDN/>
        <w:snapToGrid/>
        <w:spacing w:line="360" w:lineRule="auto"/>
        <w:ind w:firstLine="720" w:firstLineChars="3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附图14 DL-S1-4-2 公路平面总体布置图-1</w:t>
      </w:r>
    </w:p>
    <w:p w14:paraId="29BD9D68">
      <w:pPr>
        <w:widowControl w:val="0"/>
        <w:kinsoku/>
        <w:autoSpaceDE/>
        <w:autoSpaceDN/>
        <w:snapToGrid/>
        <w:spacing w:line="360" w:lineRule="auto"/>
        <w:ind w:firstLine="720" w:firstLineChars="3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附图15 DL-S1-4-2 公路平面总体布置图-2</w:t>
      </w:r>
    </w:p>
    <w:p w14:paraId="667E769D">
      <w:pPr>
        <w:widowControl w:val="0"/>
        <w:kinsoku/>
        <w:autoSpaceDE/>
        <w:autoSpaceDN/>
        <w:snapToGrid/>
        <w:spacing w:line="360" w:lineRule="auto"/>
        <w:ind w:firstLine="720" w:firstLineChars="3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附图17 DL-S1-4-3 公路平面总体布置图-1</w:t>
      </w:r>
    </w:p>
    <w:p w14:paraId="6A9BAED1">
      <w:pPr>
        <w:widowControl w:val="0"/>
        <w:kinsoku/>
        <w:autoSpaceDE/>
        <w:autoSpaceDN/>
        <w:snapToGrid/>
        <w:spacing w:line="360" w:lineRule="auto"/>
        <w:ind w:firstLine="720" w:firstLineChars="3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附图18 DL-S1-4-4 公路平面总体布置图-1</w:t>
      </w:r>
    </w:p>
    <w:p w14:paraId="46C81FBB">
      <w:pPr>
        <w:widowControl w:val="0"/>
        <w:kinsoku/>
        <w:autoSpaceDE/>
        <w:autoSpaceDN/>
        <w:snapToGrid/>
        <w:spacing w:line="360" w:lineRule="auto"/>
        <w:ind w:firstLine="720" w:firstLineChars="3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附图19 DL-S1-4-4 公路平面总体布置图-2</w:t>
      </w:r>
    </w:p>
    <w:p w14:paraId="6E1E6596">
      <w:pPr>
        <w:widowControl w:val="0"/>
        <w:kinsoku/>
        <w:autoSpaceDE/>
        <w:autoSpaceDN/>
        <w:snapToGrid/>
        <w:spacing w:line="360" w:lineRule="auto"/>
        <w:ind w:firstLine="720" w:firstLineChars="3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附图20 DL-S1-4-4 公路平面总体布置图-3</w:t>
      </w:r>
    </w:p>
    <w:p w14:paraId="364922C0">
      <w:pPr>
        <w:widowControl w:val="0"/>
        <w:kinsoku/>
        <w:autoSpaceDE/>
        <w:autoSpaceDN/>
        <w:snapToGrid/>
        <w:spacing w:line="360" w:lineRule="auto"/>
        <w:ind w:firstLine="720" w:firstLineChars="3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附图21 项目消防水池平面布置图</w:t>
      </w:r>
    </w:p>
    <w:p w14:paraId="2476E41C">
      <w:pPr>
        <w:widowControl w:val="0"/>
        <w:kinsoku/>
        <w:autoSpaceDE/>
        <w:autoSpaceDN/>
        <w:snapToGrid/>
        <w:spacing w:line="360" w:lineRule="auto"/>
        <w:ind w:firstLine="720" w:firstLineChars="3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附图22 乐至县北部片区国家储备林建设及森林质量提升项目营造林工程（2023年-2024年）作业设计中幼林抚育-大径材基地布局图</w:t>
      </w:r>
    </w:p>
    <w:p w14:paraId="2959A83D">
      <w:pPr>
        <w:widowControl w:val="0"/>
        <w:kinsoku/>
        <w:autoSpaceDE/>
        <w:autoSpaceDN/>
        <w:snapToGrid/>
        <w:spacing w:line="360" w:lineRule="auto"/>
        <w:ind w:firstLine="720" w:firstLineChars="3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附图23 乐至县北部片区国家储备林建设及森林质量提升项目营造林工程（2023年-2024年）作业设计中幼林抚育-小班布局图</w:t>
      </w:r>
    </w:p>
    <w:p w14:paraId="1D888E8C">
      <w:pPr>
        <w:widowControl w:val="0"/>
        <w:kinsoku/>
        <w:autoSpaceDE/>
        <w:autoSpaceDN/>
        <w:snapToGrid/>
        <w:spacing w:line="360" w:lineRule="auto"/>
        <w:ind w:firstLine="720" w:firstLineChars="3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附图24 林下花卉布局图</w:t>
      </w:r>
    </w:p>
    <w:p w14:paraId="2CB80893">
      <w:pPr>
        <w:widowControl w:val="0"/>
        <w:kinsoku/>
        <w:autoSpaceDE/>
        <w:autoSpaceDN/>
        <w:snapToGrid/>
        <w:spacing w:line="360" w:lineRule="auto"/>
        <w:ind w:firstLine="720" w:firstLineChars="3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附图25 林下中药材布局图</w:t>
      </w:r>
    </w:p>
    <w:p w14:paraId="750A3B4D">
      <w:pPr>
        <w:widowControl w:val="0"/>
        <w:kinsoku/>
        <w:autoSpaceDE/>
        <w:autoSpaceDN/>
        <w:snapToGrid/>
        <w:spacing w:line="360" w:lineRule="auto"/>
        <w:ind w:firstLine="720" w:firstLineChars="3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附图26 林下种菌布局图</w:t>
      </w:r>
    </w:p>
    <w:p w14:paraId="164C8BEF">
      <w:pPr>
        <w:widowControl w:val="0"/>
        <w:kinsoku/>
        <w:autoSpaceDE/>
        <w:autoSpaceDN/>
        <w:snapToGrid/>
        <w:spacing w:line="360" w:lineRule="auto"/>
        <w:ind w:firstLine="720" w:firstLineChars="3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附图27 特色经济林布局图</w:t>
      </w:r>
    </w:p>
    <w:p w14:paraId="3CFFE2C7">
      <w:pPr>
        <w:widowControl w:val="0"/>
        <w:kinsoku/>
        <w:autoSpaceDE/>
        <w:autoSpaceDN/>
        <w:snapToGrid/>
        <w:spacing w:line="360" w:lineRule="auto"/>
        <w:ind w:firstLine="720" w:firstLineChars="3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附图28 现有林改培布局图</w:t>
      </w:r>
    </w:p>
    <w:p w14:paraId="608198D4">
      <w:pPr>
        <w:widowControl w:val="0"/>
        <w:kinsoku/>
        <w:autoSpaceDE/>
        <w:autoSpaceDN/>
        <w:snapToGrid/>
        <w:spacing w:line="360" w:lineRule="auto"/>
        <w:ind w:firstLine="720" w:firstLineChars="3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 xml:space="preserve">附图29 </w:t>
      </w:r>
      <w:r>
        <w:rPr>
          <w:rFonts w:hint="default" w:ascii="Times New Roman" w:hAnsi="Times New Roman" w:eastAsia="宋体" w:cs="Times New Roman"/>
          <w:color w:val="auto"/>
          <w:sz w:val="24"/>
          <w:szCs w:val="24"/>
          <w:lang w:eastAsia="zh-CN"/>
        </w:rPr>
        <w:t>珍稀林木</w:t>
      </w:r>
      <w:r>
        <w:rPr>
          <w:rFonts w:hint="default" w:ascii="Times New Roman" w:hAnsi="Times New Roman" w:eastAsia="宋体" w:cs="Times New Roman"/>
          <w:color w:val="auto"/>
          <w:sz w:val="24"/>
          <w:szCs w:val="24"/>
        </w:rPr>
        <w:t>布局图</w:t>
      </w:r>
    </w:p>
    <w:p w14:paraId="5259A9A4">
      <w:pPr>
        <w:widowControl w:val="0"/>
        <w:kinsoku/>
        <w:autoSpaceDE/>
        <w:autoSpaceDN/>
        <w:snapToGrid/>
        <w:spacing w:line="360" w:lineRule="auto"/>
        <w:ind w:firstLine="720" w:firstLineChars="300"/>
        <w:rPr>
          <w:rFonts w:hint="default" w:ascii="Times New Roman" w:hAnsi="Times New Roman" w:eastAsia="宋体" w:cs="Times New Roman"/>
          <w:b/>
          <w:bCs/>
          <w:color w:val="auto"/>
          <w:sz w:val="24"/>
          <w:szCs w:val="24"/>
        </w:rPr>
      </w:pPr>
      <w:r>
        <w:rPr>
          <w:rFonts w:hint="default" w:ascii="Times New Roman" w:hAnsi="Times New Roman" w:eastAsia="宋体" w:cs="Times New Roman"/>
          <w:color w:val="auto"/>
          <w:sz w:val="24"/>
          <w:szCs w:val="24"/>
        </w:rPr>
        <w:t>附图30 小班布局图</w:t>
      </w:r>
    </w:p>
    <w:p w14:paraId="0B1DEEA8">
      <w:pPr>
        <w:widowControl w:val="0"/>
        <w:kinsoku/>
        <w:autoSpaceDE/>
        <w:autoSpaceDN/>
        <w:snapToGrid/>
        <w:spacing w:line="360" w:lineRule="auto"/>
        <w:ind w:firstLine="480" w:firstLineChars="200"/>
        <w:rPr>
          <w:rFonts w:hint="default" w:ascii="Times New Roman" w:hAnsi="Times New Roman" w:eastAsia="宋体" w:cs="Times New Roman"/>
          <w:color w:val="auto"/>
          <w:sz w:val="24"/>
          <w:szCs w:val="24"/>
        </w:rPr>
      </w:pPr>
    </w:p>
    <w:p w14:paraId="39852FB8">
      <w:pPr>
        <w:widowControl w:val="0"/>
        <w:kinsoku/>
        <w:autoSpaceDE/>
        <w:autoSpaceDN/>
        <w:snapToGrid/>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附件：</w:t>
      </w:r>
    </w:p>
    <w:p w14:paraId="1C34E609">
      <w:pPr>
        <w:widowControl w:val="0"/>
        <w:kinsoku/>
        <w:autoSpaceDE/>
        <w:autoSpaceDN/>
        <w:snapToGrid/>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附件1 乐至北部项目备案证明</w:t>
      </w:r>
    </w:p>
    <w:p w14:paraId="0ECD7334">
      <w:pPr>
        <w:widowControl w:val="0"/>
        <w:kinsoku/>
        <w:autoSpaceDE/>
        <w:autoSpaceDN/>
        <w:snapToGrid/>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附件2-1 宝林镇林地流转</w:t>
      </w:r>
    </w:p>
    <w:p w14:paraId="52F5E011">
      <w:pPr>
        <w:widowControl w:val="0"/>
        <w:kinsoku/>
        <w:autoSpaceDE/>
        <w:autoSpaceDN/>
        <w:snapToGrid/>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附件2-2 大佛镇林地流转</w:t>
      </w:r>
    </w:p>
    <w:p w14:paraId="3B31C522">
      <w:pPr>
        <w:widowControl w:val="0"/>
        <w:kinsoku/>
        <w:autoSpaceDE/>
        <w:autoSpaceDN/>
        <w:snapToGrid/>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附件2-3 高寺镇林地流转</w:t>
      </w:r>
    </w:p>
    <w:p w14:paraId="63B4494E">
      <w:pPr>
        <w:widowControl w:val="0"/>
        <w:kinsoku/>
        <w:autoSpaceDE/>
        <w:autoSpaceDN/>
        <w:snapToGrid/>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附件2-4 金顺镇林地流转</w:t>
      </w:r>
    </w:p>
    <w:p w14:paraId="5312A74A">
      <w:pPr>
        <w:widowControl w:val="0"/>
        <w:kinsoku/>
        <w:autoSpaceDE/>
        <w:autoSpaceDN/>
        <w:snapToGrid/>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附件2-5 良安镇</w:t>
      </w:r>
      <w:r>
        <w:rPr>
          <w:rFonts w:hint="default" w:ascii="Times New Roman" w:hAnsi="Times New Roman" w:eastAsia="宋体" w:cs="Times New Roman"/>
          <w:color w:val="auto"/>
          <w:sz w:val="24"/>
          <w:szCs w:val="24"/>
          <w:lang w:eastAsia="zh-CN"/>
        </w:rPr>
        <w:t>土地</w:t>
      </w:r>
      <w:r>
        <w:rPr>
          <w:rFonts w:hint="default" w:ascii="Times New Roman" w:hAnsi="Times New Roman" w:eastAsia="宋体" w:cs="Times New Roman"/>
          <w:color w:val="auto"/>
          <w:sz w:val="24"/>
          <w:szCs w:val="24"/>
        </w:rPr>
        <w:t>流转协议</w:t>
      </w:r>
    </w:p>
    <w:p w14:paraId="0EEC2C3F">
      <w:pPr>
        <w:widowControl w:val="0"/>
        <w:kinsoku/>
        <w:autoSpaceDE/>
        <w:autoSpaceDN/>
        <w:snapToGrid/>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附件2-6 盛池镇</w:t>
      </w:r>
      <w:r>
        <w:rPr>
          <w:rFonts w:hint="default" w:ascii="Times New Roman" w:hAnsi="Times New Roman" w:eastAsia="宋体" w:cs="Times New Roman"/>
          <w:color w:val="auto"/>
          <w:sz w:val="24"/>
          <w:szCs w:val="24"/>
          <w:lang w:eastAsia="zh-CN"/>
        </w:rPr>
        <w:t>土地</w:t>
      </w:r>
      <w:r>
        <w:rPr>
          <w:rFonts w:hint="default" w:ascii="Times New Roman" w:hAnsi="Times New Roman" w:eastAsia="宋体" w:cs="Times New Roman"/>
          <w:color w:val="auto"/>
          <w:sz w:val="24"/>
          <w:szCs w:val="24"/>
        </w:rPr>
        <w:t>流转</w:t>
      </w:r>
    </w:p>
    <w:p w14:paraId="79C524D2">
      <w:pPr>
        <w:widowControl w:val="0"/>
        <w:kinsoku/>
        <w:autoSpaceDE/>
        <w:autoSpaceDN/>
        <w:snapToGrid/>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附件2-7 天池街道林地流转</w:t>
      </w:r>
    </w:p>
    <w:p w14:paraId="0A3E9B6A">
      <w:pPr>
        <w:widowControl w:val="0"/>
        <w:kinsoku/>
        <w:autoSpaceDE/>
        <w:autoSpaceDN/>
        <w:snapToGrid/>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附件2-8 中和场镇林地流转</w:t>
      </w:r>
    </w:p>
    <w:p w14:paraId="6611A4D1">
      <w:pPr>
        <w:widowControl w:val="0"/>
        <w:kinsoku/>
        <w:autoSpaceDE/>
        <w:autoSpaceDN/>
        <w:snapToGrid/>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附件2-9 中天镇林地流转</w:t>
      </w:r>
    </w:p>
    <w:p w14:paraId="45C1CBA2">
      <w:pPr>
        <w:widowControl w:val="0"/>
        <w:kinsoku/>
        <w:autoSpaceDE/>
        <w:autoSpaceDN/>
        <w:snapToGrid/>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附件2-10 劳动镇林地流转</w:t>
      </w:r>
    </w:p>
    <w:p w14:paraId="50C777E5">
      <w:pPr>
        <w:widowControl w:val="0"/>
        <w:kinsoku/>
        <w:autoSpaceDE/>
        <w:autoSpaceDN/>
        <w:snapToGrid/>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附件3 乐至县北部片区国家储备林建设及森林质量提升项目监测报告</w:t>
      </w:r>
    </w:p>
    <w:p w14:paraId="442FCCAB">
      <w:pPr>
        <w:widowControl w:val="0"/>
        <w:kinsoku/>
        <w:autoSpaceDE/>
        <w:autoSpaceDN/>
        <w:snapToGrid/>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附件4 关于《乐至县国家储备林建设及森林质量提升项目（营造林工程）2023-2024年度作业设计》的批复(1)</w:t>
      </w:r>
    </w:p>
    <w:p w14:paraId="634A648E">
      <w:pPr>
        <w:widowControl w:val="0"/>
        <w:kinsoku/>
        <w:autoSpaceDE/>
        <w:autoSpaceDN/>
        <w:snapToGrid/>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附件5 乐至县林业局关于乐至县北部片区国家储备林建设及森林质量提升项目项目类别的说明函</w:t>
      </w:r>
    </w:p>
    <w:p w14:paraId="230E88C8">
      <w:pPr>
        <w:widowControl w:val="0"/>
        <w:kinsoku/>
        <w:autoSpaceDE/>
        <w:autoSpaceDN/>
        <w:snapToGrid/>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附件6 《乐至县“十四五”林业发展规划》有关本项目规划内容</w:t>
      </w:r>
    </w:p>
    <w:p w14:paraId="348158CA">
      <w:pPr>
        <w:widowControl w:val="0"/>
        <w:kinsoku/>
        <w:autoSpaceDE/>
        <w:autoSpaceDN/>
        <w:snapToGrid/>
        <w:spacing w:line="360" w:lineRule="auto"/>
        <w:rPr>
          <w:rFonts w:hint="default" w:ascii="Times New Roman" w:hAnsi="Times New Roman" w:eastAsia="宋体" w:cs="Times New Roman"/>
          <w:color w:val="auto"/>
          <w:sz w:val="24"/>
          <w:szCs w:val="24"/>
        </w:rPr>
      </w:pPr>
    </w:p>
    <w:p w14:paraId="1C461EEA">
      <w:pPr>
        <w:pStyle w:val="29"/>
        <w:jc w:val="center"/>
        <w:outlineLvl w:val="0"/>
        <w:rPr>
          <w:rFonts w:hint="default" w:ascii="Times New Roman" w:hAnsi="Times New Roman" w:eastAsia="宋体" w:cs="Times New Roman"/>
          <w:color w:val="auto"/>
          <w:sz w:val="30"/>
          <w:szCs w:val="30"/>
        </w:rPr>
        <w:sectPr>
          <w:pgSz w:w="11906" w:h="16838"/>
          <w:pgMar w:top="1440" w:right="1800" w:bottom="1440" w:left="1800" w:header="794" w:footer="624" w:gutter="0"/>
          <w:pgNumType w:start="1"/>
          <w:cols w:space="720" w:num="1"/>
          <w:docGrid w:type="lines" w:linePitch="312" w:charSpace="0"/>
        </w:sectPr>
      </w:pPr>
    </w:p>
    <w:p w14:paraId="46DB7C0D">
      <w:pPr>
        <w:pStyle w:val="29"/>
        <w:jc w:val="center"/>
        <w:outlineLvl w:val="0"/>
        <w:rPr>
          <w:rFonts w:hint="default" w:ascii="Times New Roman" w:hAnsi="Times New Roman" w:eastAsia="宋体" w:cs="Times New Roman"/>
          <w:color w:val="auto"/>
          <w:sz w:val="30"/>
          <w:szCs w:val="30"/>
        </w:rPr>
      </w:pPr>
      <w:bookmarkStart w:id="4" w:name="_Toc27807"/>
      <w:r>
        <w:rPr>
          <w:rFonts w:hint="default" w:ascii="Times New Roman" w:hAnsi="Times New Roman" w:eastAsia="宋体" w:cs="Times New Roman"/>
          <w:color w:val="auto"/>
          <w:sz w:val="30"/>
          <w:szCs w:val="30"/>
        </w:rPr>
        <w:t>一、建设项目基本情况</w:t>
      </w:r>
      <w:bookmarkEnd w:id="4"/>
    </w:p>
    <w:tbl>
      <w:tblPr>
        <w:tblStyle w:val="32"/>
        <w:tblW w:w="878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086"/>
        <w:gridCol w:w="2497"/>
        <w:gridCol w:w="2049"/>
        <w:gridCol w:w="3155"/>
      </w:tblGrid>
      <w:tr w14:paraId="071561A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86" w:type="dxa"/>
            <w:tcMar>
              <w:top w:w="16" w:type="dxa"/>
              <w:left w:w="16" w:type="dxa"/>
              <w:right w:w="16" w:type="dxa"/>
            </w:tcMar>
            <w:vAlign w:val="center"/>
          </w:tcPr>
          <w:p w14:paraId="2B089394">
            <w:pPr>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建设项目名称</w:t>
            </w:r>
          </w:p>
        </w:tc>
        <w:tc>
          <w:tcPr>
            <w:tcW w:w="7701" w:type="dxa"/>
            <w:gridSpan w:val="3"/>
            <w:vAlign w:val="center"/>
          </w:tcPr>
          <w:p w14:paraId="2676C4C5">
            <w:pPr>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乐至县北部片区国家储备林建设及森林质量提升项目</w:t>
            </w:r>
          </w:p>
        </w:tc>
      </w:tr>
      <w:tr w14:paraId="0A5857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86" w:type="dxa"/>
            <w:tcMar>
              <w:top w:w="16" w:type="dxa"/>
              <w:left w:w="16" w:type="dxa"/>
              <w:right w:w="16" w:type="dxa"/>
            </w:tcMar>
            <w:vAlign w:val="center"/>
          </w:tcPr>
          <w:p w14:paraId="7D98B86C">
            <w:pPr>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项目代码</w:t>
            </w:r>
          </w:p>
        </w:tc>
        <w:tc>
          <w:tcPr>
            <w:tcW w:w="7701" w:type="dxa"/>
            <w:gridSpan w:val="3"/>
            <w:vAlign w:val="center"/>
          </w:tcPr>
          <w:p w14:paraId="723B8272">
            <w:pPr>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2205-512022-04-01-870230</w:t>
            </w:r>
          </w:p>
        </w:tc>
      </w:tr>
      <w:tr w14:paraId="26DC3B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86" w:type="dxa"/>
            <w:tcMar>
              <w:top w:w="16" w:type="dxa"/>
              <w:left w:w="16" w:type="dxa"/>
              <w:right w:w="16" w:type="dxa"/>
            </w:tcMar>
            <w:vAlign w:val="center"/>
          </w:tcPr>
          <w:p w14:paraId="4D652E4C">
            <w:pPr>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建设单位联系人</w:t>
            </w:r>
          </w:p>
        </w:tc>
        <w:tc>
          <w:tcPr>
            <w:tcW w:w="2497" w:type="dxa"/>
            <w:vAlign w:val="center"/>
          </w:tcPr>
          <w:p w14:paraId="231A15B5">
            <w:pPr>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黄霄汉</w:t>
            </w:r>
          </w:p>
        </w:tc>
        <w:tc>
          <w:tcPr>
            <w:tcW w:w="2049" w:type="dxa"/>
            <w:vAlign w:val="center"/>
          </w:tcPr>
          <w:p w14:paraId="150EF69B">
            <w:pPr>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联系方式</w:t>
            </w:r>
          </w:p>
        </w:tc>
        <w:tc>
          <w:tcPr>
            <w:tcW w:w="3155" w:type="dxa"/>
            <w:vAlign w:val="center"/>
          </w:tcPr>
          <w:p w14:paraId="5CBFC195">
            <w:pPr>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17628588796</w:t>
            </w:r>
          </w:p>
        </w:tc>
      </w:tr>
      <w:tr w14:paraId="68AA531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86" w:type="dxa"/>
            <w:tcMar>
              <w:top w:w="16" w:type="dxa"/>
              <w:left w:w="16" w:type="dxa"/>
              <w:right w:w="16" w:type="dxa"/>
            </w:tcMar>
            <w:vAlign w:val="center"/>
          </w:tcPr>
          <w:p w14:paraId="4B9BE016">
            <w:pPr>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建设地点</w:t>
            </w:r>
          </w:p>
        </w:tc>
        <w:tc>
          <w:tcPr>
            <w:tcW w:w="7701" w:type="dxa"/>
            <w:gridSpan w:val="3"/>
            <w:vAlign w:val="center"/>
          </w:tcPr>
          <w:p w14:paraId="0EE5AAFF">
            <w:pPr>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四川省资阳市乐至县天池街道、大佛镇、宝林镇、良安镇、高寺镇、劳动镇、中天镇、盛池镇、金顺镇、中和场镇等10个片区</w:t>
            </w:r>
          </w:p>
        </w:tc>
      </w:tr>
      <w:tr w14:paraId="71791C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86" w:type="dxa"/>
            <w:tcMar>
              <w:top w:w="16" w:type="dxa"/>
              <w:left w:w="16" w:type="dxa"/>
              <w:right w:w="16" w:type="dxa"/>
            </w:tcMar>
            <w:vAlign w:val="center"/>
          </w:tcPr>
          <w:p w14:paraId="74D009A3">
            <w:pPr>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地理坐标</w:t>
            </w:r>
          </w:p>
        </w:tc>
        <w:tc>
          <w:tcPr>
            <w:tcW w:w="7701" w:type="dxa"/>
            <w:gridSpan w:val="3"/>
            <w:vAlign w:val="center"/>
          </w:tcPr>
          <w:p w14:paraId="4DEED12D">
            <w:pPr>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u w:val="single"/>
              </w:rPr>
              <w:t>104</w:t>
            </w:r>
            <w:r>
              <w:rPr>
                <w:rFonts w:hint="default" w:ascii="Times New Roman" w:hAnsi="Times New Roman" w:eastAsia="宋体" w:cs="Times New Roman"/>
                <w:color w:val="auto"/>
                <w:sz w:val="24"/>
                <w:szCs w:val="24"/>
              </w:rPr>
              <w:t>度</w:t>
            </w:r>
            <w:r>
              <w:rPr>
                <w:rFonts w:hint="default" w:ascii="Times New Roman" w:hAnsi="Times New Roman" w:eastAsia="宋体" w:cs="Times New Roman"/>
                <w:color w:val="auto"/>
                <w:sz w:val="24"/>
                <w:szCs w:val="24"/>
                <w:u w:val="single"/>
              </w:rPr>
              <w:t>49</w:t>
            </w:r>
            <w:r>
              <w:rPr>
                <w:rFonts w:hint="default" w:ascii="Times New Roman" w:hAnsi="Times New Roman" w:eastAsia="宋体" w:cs="Times New Roman"/>
                <w:color w:val="auto"/>
                <w:sz w:val="24"/>
                <w:szCs w:val="24"/>
              </w:rPr>
              <w:t>分</w:t>
            </w:r>
            <w:r>
              <w:rPr>
                <w:rFonts w:hint="default" w:ascii="Times New Roman" w:hAnsi="Times New Roman" w:eastAsia="宋体" w:cs="Times New Roman"/>
                <w:color w:val="auto"/>
                <w:sz w:val="24"/>
                <w:szCs w:val="24"/>
                <w:u w:val="single"/>
              </w:rPr>
              <w:t>45.285</w:t>
            </w:r>
            <w:r>
              <w:rPr>
                <w:rFonts w:hint="default" w:ascii="Times New Roman" w:hAnsi="Times New Roman" w:eastAsia="宋体" w:cs="Times New Roman"/>
                <w:color w:val="auto"/>
                <w:sz w:val="24"/>
                <w:szCs w:val="24"/>
              </w:rPr>
              <w:t>秒，</w:t>
            </w:r>
            <w:r>
              <w:rPr>
                <w:rFonts w:hint="default" w:ascii="Times New Roman" w:hAnsi="Times New Roman" w:eastAsia="宋体" w:cs="Times New Roman"/>
                <w:color w:val="auto"/>
                <w:sz w:val="24"/>
                <w:szCs w:val="24"/>
                <w:u w:val="single"/>
              </w:rPr>
              <w:t>29</w:t>
            </w:r>
            <w:r>
              <w:rPr>
                <w:rFonts w:hint="default" w:ascii="Times New Roman" w:hAnsi="Times New Roman" w:eastAsia="宋体" w:cs="Times New Roman"/>
                <w:color w:val="auto"/>
                <w:sz w:val="24"/>
                <w:szCs w:val="24"/>
              </w:rPr>
              <w:t>度</w:t>
            </w:r>
            <w:r>
              <w:rPr>
                <w:rFonts w:hint="default" w:ascii="Times New Roman" w:hAnsi="Times New Roman" w:eastAsia="宋体" w:cs="Times New Roman"/>
                <w:color w:val="auto"/>
                <w:sz w:val="24"/>
                <w:szCs w:val="24"/>
                <w:u w:val="single"/>
              </w:rPr>
              <w:t>46</w:t>
            </w:r>
            <w:r>
              <w:rPr>
                <w:rFonts w:hint="default" w:ascii="Times New Roman" w:hAnsi="Times New Roman" w:eastAsia="宋体" w:cs="Times New Roman"/>
                <w:color w:val="auto"/>
                <w:sz w:val="24"/>
                <w:szCs w:val="24"/>
              </w:rPr>
              <w:t>分</w:t>
            </w:r>
            <w:r>
              <w:rPr>
                <w:rFonts w:hint="default" w:ascii="Times New Roman" w:hAnsi="Times New Roman" w:eastAsia="宋体" w:cs="Times New Roman"/>
                <w:color w:val="auto"/>
                <w:sz w:val="24"/>
                <w:szCs w:val="24"/>
                <w:u w:val="single"/>
              </w:rPr>
              <w:t>58.909</w:t>
            </w:r>
            <w:r>
              <w:rPr>
                <w:rFonts w:hint="default" w:ascii="Times New Roman" w:hAnsi="Times New Roman" w:eastAsia="宋体" w:cs="Times New Roman"/>
                <w:color w:val="auto"/>
                <w:sz w:val="24"/>
                <w:szCs w:val="24"/>
              </w:rPr>
              <w:t>秒）</w:t>
            </w:r>
          </w:p>
        </w:tc>
      </w:tr>
      <w:tr w14:paraId="55BCB5B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086" w:type="dxa"/>
            <w:tcMar>
              <w:top w:w="16" w:type="dxa"/>
              <w:left w:w="16" w:type="dxa"/>
              <w:right w:w="16" w:type="dxa"/>
            </w:tcMar>
            <w:vAlign w:val="center"/>
          </w:tcPr>
          <w:p w14:paraId="3EC6EE02">
            <w:pPr>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行业类别及代码</w:t>
            </w:r>
          </w:p>
        </w:tc>
        <w:tc>
          <w:tcPr>
            <w:tcW w:w="2497" w:type="dxa"/>
            <w:vAlign w:val="center"/>
          </w:tcPr>
          <w:p w14:paraId="42898D2A">
            <w:pPr>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一、“农业01、林业02”中“2.经济林基地项目”中“原料林基地”</w:t>
            </w:r>
          </w:p>
        </w:tc>
        <w:tc>
          <w:tcPr>
            <w:tcW w:w="2049" w:type="dxa"/>
            <w:vAlign w:val="center"/>
          </w:tcPr>
          <w:p w14:paraId="4B146C34">
            <w:pPr>
              <w:spacing w:before="57" w:line="225" w:lineRule="auto"/>
              <w:ind w:left="19" w:firstLine="117"/>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17"/>
                <w:sz w:val="24"/>
                <w:szCs w:val="24"/>
              </w:rPr>
              <w:t>用地（用海）面积</w:t>
            </w:r>
            <w:r>
              <w:rPr>
                <w:rFonts w:hint="default" w:ascii="Times New Roman" w:hAnsi="Times New Roman" w:eastAsia="宋体" w:cs="Times New Roman"/>
                <w:color w:val="auto"/>
                <w:spacing w:val="-6"/>
                <w:w w:val="99"/>
                <w:sz w:val="24"/>
                <w:szCs w:val="24"/>
              </w:rPr>
              <w:t>（</w:t>
            </w:r>
            <w:r>
              <w:rPr>
                <w:rFonts w:hint="default" w:ascii="Times New Roman" w:hAnsi="Times New Roman" w:eastAsia="宋体" w:cs="Times New Roman"/>
                <w:color w:val="auto"/>
                <w:spacing w:val="-17"/>
                <w:sz w:val="24"/>
                <w:szCs w:val="24"/>
              </w:rPr>
              <w:t>亩</w:t>
            </w:r>
            <w:r>
              <w:rPr>
                <w:rFonts w:hint="default" w:ascii="Times New Roman" w:hAnsi="Times New Roman" w:eastAsia="宋体" w:cs="Times New Roman"/>
                <w:color w:val="auto"/>
                <w:spacing w:val="-6"/>
                <w:w w:val="99"/>
                <w:sz w:val="24"/>
                <w:szCs w:val="24"/>
              </w:rPr>
              <w:t>）/长度（km）</w:t>
            </w:r>
          </w:p>
        </w:tc>
        <w:tc>
          <w:tcPr>
            <w:tcW w:w="3155" w:type="dxa"/>
            <w:vAlign w:val="center"/>
          </w:tcPr>
          <w:p w14:paraId="0C63CC12">
            <w:pPr>
              <w:spacing w:before="70"/>
              <w:ind w:firstLine="14"/>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用地面积11.45万亩</w:t>
            </w:r>
          </w:p>
        </w:tc>
      </w:tr>
      <w:tr w14:paraId="160314A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086" w:type="dxa"/>
            <w:tcMar>
              <w:top w:w="16" w:type="dxa"/>
              <w:left w:w="16" w:type="dxa"/>
              <w:right w:w="16" w:type="dxa"/>
            </w:tcMar>
            <w:vAlign w:val="center"/>
          </w:tcPr>
          <w:p w14:paraId="09E2A448">
            <w:pPr>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建设性质</w:t>
            </w:r>
          </w:p>
        </w:tc>
        <w:tc>
          <w:tcPr>
            <w:tcW w:w="2497" w:type="dxa"/>
            <w:vAlign w:val="center"/>
          </w:tcPr>
          <w:p w14:paraId="410EC89B">
            <w:pP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sym w:font="Wingdings 2" w:char="0052"/>
            </w:r>
            <w:r>
              <w:rPr>
                <w:rFonts w:hint="default" w:ascii="Times New Roman" w:hAnsi="Times New Roman" w:eastAsia="宋体" w:cs="Times New Roman"/>
                <w:color w:val="auto"/>
                <w:sz w:val="24"/>
                <w:szCs w:val="24"/>
              </w:rPr>
              <w:t>新建（迁建）</w:t>
            </w:r>
          </w:p>
          <w:p w14:paraId="37E64BB2">
            <w:pP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sym w:font="Wingdings" w:char="00A8"/>
            </w:r>
            <w:r>
              <w:rPr>
                <w:rFonts w:hint="default" w:ascii="Times New Roman" w:hAnsi="Times New Roman" w:eastAsia="宋体" w:cs="Times New Roman"/>
                <w:color w:val="auto"/>
                <w:sz w:val="24"/>
                <w:szCs w:val="24"/>
              </w:rPr>
              <w:t>改建</w:t>
            </w:r>
          </w:p>
          <w:p w14:paraId="050D235D">
            <w:pP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sym w:font="Wingdings" w:char="00A8"/>
            </w:r>
            <w:r>
              <w:rPr>
                <w:rFonts w:hint="default" w:ascii="Times New Roman" w:hAnsi="Times New Roman" w:eastAsia="宋体" w:cs="Times New Roman"/>
                <w:color w:val="auto"/>
                <w:sz w:val="24"/>
                <w:szCs w:val="24"/>
              </w:rPr>
              <w:t>扩建</w:t>
            </w:r>
          </w:p>
          <w:p w14:paraId="47ED7D1E">
            <w:pP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sym w:font="Wingdings" w:char="00A8"/>
            </w:r>
            <w:r>
              <w:rPr>
                <w:rFonts w:hint="default" w:ascii="Times New Roman" w:hAnsi="Times New Roman" w:eastAsia="宋体" w:cs="Times New Roman"/>
                <w:color w:val="auto"/>
                <w:sz w:val="24"/>
                <w:szCs w:val="24"/>
              </w:rPr>
              <w:t>技术改造</w:t>
            </w:r>
          </w:p>
        </w:tc>
        <w:tc>
          <w:tcPr>
            <w:tcW w:w="2049" w:type="dxa"/>
            <w:vAlign w:val="center"/>
          </w:tcPr>
          <w:p w14:paraId="0E8D85BA">
            <w:pPr>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建设项目</w:t>
            </w:r>
          </w:p>
          <w:p w14:paraId="719BD729">
            <w:pPr>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申报情形</w:t>
            </w:r>
          </w:p>
        </w:tc>
        <w:tc>
          <w:tcPr>
            <w:tcW w:w="3155" w:type="dxa"/>
            <w:vAlign w:val="center"/>
          </w:tcPr>
          <w:p w14:paraId="3B049A1C">
            <w:pP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sym w:font="Wingdings" w:char="00FE"/>
            </w:r>
            <w:r>
              <w:rPr>
                <w:rFonts w:hint="default" w:ascii="Times New Roman" w:hAnsi="Times New Roman" w:eastAsia="宋体" w:cs="Times New Roman"/>
                <w:color w:val="auto"/>
                <w:sz w:val="24"/>
                <w:szCs w:val="24"/>
              </w:rPr>
              <w:t>首次申报项目</w:t>
            </w:r>
          </w:p>
          <w:p w14:paraId="6AB621BE">
            <w:pP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sym w:font="Wingdings" w:char="00A8"/>
            </w:r>
            <w:r>
              <w:rPr>
                <w:rFonts w:hint="default" w:ascii="Times New Roman" w:hAnsi="Times New Roman" w:eastAsia="宋体" w:cs="Times New Roman"/>
                <w:color w:val="auto"/>
                <w:sz w:val="24"/>
                <w:szCs w:val="24"/>
              </w:rPr>
              <w:t>不予批准后再次申报项目</w:t>
            </w:r>
          </w:p>
          <w:p w14:paraId="49D1BB5B">
            <w:pP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sym w:font="Wingdings" w:char="00A8"/>
            </w:r>
            <w:r>
              <w:rPr>
                <w:rFonts w:hint="default" w:ascii="Times New Roman" w:hAnsi="Times New Roman" w:eastAsia="宋体" w:cs="Times New Roman"/>
                <w:color w:val="auto"/>
                <w:sz w:val="24"/>
                <w:szCs w:val="24"/>
              </w:rPr>
              <w:t>超五年重新审核项目</w:t>
            </w:r>
          </w:p>
          <w:p w14:paraId="32DA15CE">
            <w:pP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sym w:font="Wingdings" w:char="00A8"/>
            </w:r>
            <w:r>
              <w:rPr>
                <w:rFonts w:hint="default" w:ascii="Times New Roman" w:hAnsi="Times New Roman" w:eastAsia="宋体" w:cs="Times New Roman"/>
                <w:color w:val="auto"/>
                <w:sz w:val="24"/>
                <w:szCs w:val="24"/>
              </w:rPr>
              <w:t>重大变动重新报批项目</w:t>
            </w:r>
          </w:p>
        </w:tc>
      </w:tr>
      <w:tr w14:paraId="5BF81D6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086" w:type="dxa"/>
            <w:tcMar>
              <w:top w:w="16" w:type="dxa"/>
              <w:left w:w="16" w:type="dxa"/>
              <w:right w:w="16" w:type="dxa"/>
            </w:tcMar>
            <w:vAlign w:val="center"/>
          </w:tcPr>
          <w:p w14:paraId="04E8A244">
            <w:pPr>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项目审批（核准/</w:t>
            </w:r>
          </w:p>
          <w:p w14:paraId="26065FE7">
            <w:pPr>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备案）部门</w:t>
            </w:r>
          </w:p>
        </w:tc>
        <w:tc>
          <w:tcPr>
            <w:tcW w:w="2497" w:type="dxa"/>
            <w:vAlign w:val="center"/>
          </w:tcPr>
          <w:p w14:paraId="12C6700E">
            <w:pPr>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乐至县发展和改革局</w:t>
            </w:r>
          </w:p>
        </w:tc>
        <w:tc>
          <w:tcPr>
            <w:tcW w:w="2049" w:type="dxa"/>
            <w:vAlign w:val="center"/>
          </w:tcPr>
          <w:p w14:paraId="5EB7AF0B">
            <w:pPr>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项目审批（核准/</w:t>
            </w:r>
          </w:p>
          <w:p w14:paraId="40D64CC0">
            <w:pPr>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备案）文号</w:t>
            </w:r>
          </w:p>
        </w:tc>
        <w:tc>
          <w:tcPr>
            <w:tcW w:w="3155" w:type="dxa"/>
            <w:vAlign w:val="center"/>
          </w:tcPr>
          <w:p w14:paraId="277F21C6">
            <w:pPr>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川投资备【2205-512022-04-01-870230】FGQB-0072号</w:t>
            </w:r>
          </w:p>
        </w:tc>
      </w:tr>
      <w:tr w14:paraId="3F4CF36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86" w:type="dxa"/>
            <w:tcMar>
              <w:top w:w="16" w:type="dxa"/>
              <w:left w:w="16" w:type="dxa"/>
              <w:right w:w="16" w:type="dxa"/>
            </w:tcMar>
            <w:vAlign w:val="center"/>
          </w:tcPr>
          <w:p w14:paraId="2EE14CD6">
            <w:pPr>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总投资</w:t>
            </w:r>
          </w:p>
          <w:p w14:paraId="5F575F8D">
            <w:pPr>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（万元）</w:t>
            </w:r>
          </w:p>
        </w:tc>
        <w:tc>
          <w:tcPr>
            <w:tcW w:w="2497" w:type="dxa"/>
            <w:vAlign w:val="center"/>
          </w:tcPr>
          <w:p w14:paraId="0062D7E3">
            <w:pPr>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106100</w:t>
            </w:r>
          </w:p>
        </w:tc>
        <w:tc>
          <w:tcPr>
            <w:tcW w:w="2049" w:type="dxa"/>
            <w:tcMar>
              <w:top w:w="16" w:type="dxa"/>
              <w:left w:w="16" w:type="dxa"/>
              <w:right w:w="16" w:type="dxa"/>
            </w:tcMar>
            <w:vAlign w:val="center"/>
          </w:tcPr>
          <w:p w14:paraId="26E76965">
            <w:pPr>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环保投资（万元）</w:t>
            </w:r>
          </w:p>
        </w:tc>
        <w:tc>
          <w:tcPr>
            <w:tcW w:w="3155" w:type="dxa"/>
            <w:vAlign w:val="center"/>
          </w:tcPr>
          <w:p w14:paraId="427CC0A2">
            <w:pPr>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365.5</w:t>
            </w:r>
          </w:p>
        </w:tc>
      </w:tr>
      <w:tr w14:paraId="30D716A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86" w:type="dxa"/>
            <w:tcMar>
              <w:top w:w="16" w:type="dxa"/>
              <w:left w:w="16" w:type="dxa"/>
              <w:right w:w="16" w:type="dxa"/>
            </w:tcMar>
            <w:vAlign w:val="center"/>
          </w:tcPr>
          <w:p w14:paraId="3975D114">
            <w:pPr>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环保投资占比</w:t>
            </w:r>
          </w:p>
          <w:p w14:paraId="14F7A747">
            <w:pPr>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w:t>
            </w:r>
          </w:p>
        </w:tc>
        <w:tc>
          <w:tcPr>
            <w:tcW w:w="2497" w:type="dxa"/>
            <w:vAlign w:val="center"/>
          </w:tcPr>
          <w:p w14:paraId="24292655">
            <w:pPr>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0.34</w:t>
            </w:r>
          </w:p>
        </w:tc>
        <w:tc>
          <w:tcPr>
            <w:tcW w:w="2049" w:type="dxa"/>
            <w:tcMar>
              <w:top w:w="16" w:type="dxa"/>
              <w:left w:w="16" w:type="dxa"/>
              <w:right w:w="16" w:type="dxa"/>
            </w:tcMar>
            <w:vAlign w:val="center"/>
          </w:tcPr>
          <w:p w14:paraId="48301839">
            <w:pPr>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施工工期</w:t>
            </w:r>
          </w:p>
        </w:tc>
        <w:tc>
          <w:tcPr>
            <w:tcW w:w="3155" w:type="dxa"/>
            <w:vAlign w:val="center"/>
          </w:tcPr>
          <w:p w14:paraId="6A22842E">
            <w:pPr>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60个月</w:t>
            </w:r>
          </w:p>
        </w:tc>
      </w:tr>
      <w:tr w14:paraId="0974BDE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86" w:type="dxa"/>
            <w:tcMar>
              <w:top w:w="16" w:type="dxa"/>
              <w:left w:w="16" w:type="dxa"/>
              <w:right w:w="16" w:type="dxa"/>
            </w:tcMar>
            <w:vAlign w:val="center"/>
          </w:tcPr>
          <w:p w14:paraId="313B04F6">
            <w:pPr>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是否开工建设</w:t>
            </w:r>
          </w:p>
        </w:tc>
        <w:tc>
          <w:tcPr>
            <w:tcW w:w="7701" w:type="dxa"/>
            <w:gridSpan w:val="3"/>
            <w:vAlign w:val="center"/>
          </w:tcPr>
          <w:p w14:paraId="735FCD95">
            <w:pP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sym w:font="Wingdings" w:char="00FE"/>
            </w:r>
            <w:r>
              <w:rPr>
                <w:rFonts w:hint="default" w:ascii="Times New Roman" w:hAnsi="Times New Roman" w:eastAsia="宋体" w:cs="Times New Roman"/>
                <w:color w:val="auto"/>
                <w:sz w:val="24"/>
                <w:szCs w:val="24"/>
              </w:rPr>
              <w:t>否</w:t>
            </w:r>
          </w:p>
          <w:p w14:paraId="76552A76">
            <w:pPr>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sym w:font="Wingdings" w:char="00A8"/>
            </w:r>
            <w:r>
              <w:rPr>
                <w:rFonts w:hint="default" w:ascii="Times New Roman" w:hAnsi="Times New Roman" w:eastAsia="宋体" w:cs="Times New Roman"/>
                <w:color w:val="auto"/>
                <w:sz w:val="24"/>
                <w:szCs w:val="24"/>
              </w:rPr>
              <w:t>是：</w:t>
            </w:r>
          </w:p>
        </w:tc>
      </w:tr>
      <w:tr w14:paraId="3879A2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21" w:hRule="atLeast"/>
          <w:jc w:val="center"/>
        </w:trPr>
        <w:tc>
          <w:tcPr>
            <w:tcW w:w="1086" w:type="dxa"/>
            <w:vAlign w:val="center"/>
          </w:tcPr>
          <w:p w14:paraId="7735E116">
            <w:pPr>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专项评价设置情况</w:t>
            </w:r>
          </w:p>
        </w:tc>
        <w:tc>
          <w:tcPr>
            <w:tcW w:w="7701" w:type="dxa"/>
            <w:gridSpan w:val="3"/>
            <w:vAlign w:val="center"/>
          </w:tcPr>
          <w:p w14:paraId="72A26968">
            <w:pPr>
              <w:widowControl w:val="0"/>
              <w:kinsoku/>
              <w:spacing w:line="360" w:lineRule="auto"/>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无。</w:t>
            </w:r>
          </w:p>
          <w:p w14:paraId="66CCD1EF">
            <w:pPr>
              <w:widowControl w:val="0"/>
              <w:kinsoku/>
              <w:spacing w:line="360" w:lineRule="auto"/>
              <w:ind w:firstLine="480" w:firstLineChars="200"/>
              <w:jc w:val="both"/>
              <w:textAlignment w:val="auto"/>
              <w:rPr>
                <w:rFonts w:hint="default" w:ascii="Times New Roman" w:hAnsi="Times New Roman" w:eastAsia="宋体" w:cs="Times New Roman"/>
                <w:snapToGrid/>
                <w:color w:val="auto"/>
                <w:sz w:val="24"/>
                <w:szCs w:val="24"/>
              </w:rPr>
            </w:pPr>
            <w:r>
              <w:rPr>
                <w:rFonts w:hint="default" w:ascii="Times New Roman" w:hAnsi="Times New Roman" w:eastAsia="宋体" w:cs="Times New Roman"/>
                <w:snapToGrid/>
                <w:color w:val="auto"/>
                <w:sz w:val="24"/>
                <w:szCs w:val="24"/>
              </w:rPr>
              <w:t>按照《建设项目环境影响报告表编制技术指南》（生态影响类）（试行）中专项评价设置原则，具体见下表：</w:t>
            </w:r>
          </w:p>
          <w:p w14:paraId="0EE75795">
            <w:pPr>
              <w:widowControl w:val="0"/>
              <w:kinsoku/>
              <w:ind w:firstLine="422" w:firstLineChars="200"/>
              <w:jc w:val="center"/>
              <w:textAlignment w:val="auto"/>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表1-1专项评价设置原则表</w:t>
            </w:r>
          </w:p>
          <w:tbl>
            <w:tblPr>
              <w:tblStyle w:val="33"/>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47"/>
              <w:gridCol w:w="3862"/>
              <w:gridCol w:w="1337"/>
              <w:gridCol w:w="1135"/>
            </w:tblGrid>
            <w:tr w14:paraId="345FD2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3" w:hRule="atLeast"/>
                <w:jc w:val="center"/>
              </w:trPr>
              <w:tc>
                <w:tcPr>
                  <w:tcW w:w="767" w:type="pct"/>
                  <w:tcBorders>
                    <w:tl2br w:val="nil"/>
                    <w:tr2bl w:val="nil"/>
                  </w:tcBorders>
                  <w:noWrap w:val="0"/>
                  <w:vAlign w:val="center"/>
                </w:tcPr>
                <w:p w14:paraId="1F874878">
                  <w:pPr>
                    <w:autoSpaceDE w:val="0"/>
                    <w:autoSpaceDN w:val="0"/>
                    <w:adjustRightInd w:val="0"/>
                    <w:snapToGrid w:val="0"/>
                    <w:jc w:val="center"/>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vertAlign w:val="baseline"/>
                      <w:lang w:val="en-US" w:eastAsia="zh-CN" w:bidi="ar-SA"/>
                    </w:rPr>
                    <w:t>专项评价的类型</w:t>
                  </w:r>
                </w:p>
              </w:tc>
              <w:tc>
                <w:tcPr>
                  <w:tcW w:w="2580" w:type="pct"/>
                  <w:tcBorders>
                    <w:tl2br w:val="nil"/>
                    <w:tr2bl w:val="nil"/>
                  </w:tcBorders>
                  <w:noWrap w:val="0"/>
                  <w:vAlign w:val="center"/>
                </w:tcPr>
                <w:p w14:paraId="5FC7496D">
                  <w:pPr>
                    <w:autoSpaceDE w:val="0"/>
                    <w:autoSpaceDN w:val="0"/>
                    <w:adjustRightInd w:val="0"/>
                    <w:snapToGrid w:val="0"/>
                    <w:jc w:val="center"/>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vertAlign w:val="baseline"/>
                      <w:lang w:val="en-US" w:eastAsia="zh-CN" w:bidi="ar-SA"/>
                    </w:rPr>
                    <w:t>设置原则</w:t>
                  </w:r>
                </w:p>
              </w:tc>
              <w:tc>
                <w:tcPr>
                  <w:tcW w:w="893" w:type="pct"/>
                  <w:tcBorders>
                    <w:tl2br w:val="nil"/>
                    <w:tr2bl w:val="nil"/>
                  </w:tcBorders>
                  <w:noWrap w:val="0"/>
                  <w:vAlign w:val="center"/>
                </w:tcPr>
                <w:p w14:paraId="31DC652A">
                  <w:pPr>
                    <w:autoSpaceDE w:val="0"/>
                    <w:autoSpaceDN w:val="0"/>
                    <w:adjustRightInd w:val="0"/>
                    <w:snapToGrid w:val="0"/>
                    <w:jc w:val="center"/>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vertAlign w:val="baseline"/>
                      <w:lang w:val="en-US" w:eastAsia="zh-CN" w:bidi="ar-SA"/>
                    </w:rPr>
                    <w:t>是否设置专项评价</w:t>
                  </w:r>
                </w:p>
              </w:tc>
              <w:tc>
                <w:tcPr>
                  <w:tcW w:w="758" w:type="pct"/>
                  <w:tcBorders>
                    <w:tl2br w:val="nil"/>
                    <w:tr2bl w:val="nil"/>
                  </w:tcBorders>
                  <w:noWrap w:val="0"/>
                  <w:vAlign w:val="center"/>
                </w:tcPr>
                <w:p w14:paraId="25400CCE">
                  <w:pPr>
                    <w:autoSpaceDE w:val="0"/>
                    <w:autoSpaceDN w:val="0"/>
                    <w:adjustRightInd w:val="0"/>
                    <w:snapToGrid w:val="0"/>
                    <w:jc w:val="center"/>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vertAlign w:val="baseline"/>
                      <w:lang w:val="en-US" w:eastAsia="zh-CN" w:bidi="ar-SA"/>
                    </w:rPr>
                    <w:t>理由</w:t>
                  </w:r>
                </w:p>
              </w:tc>
            </w:tr>
            <w:tr w14:paraId="379B3D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67" w:type="pct"/>
                  <w:tcBorders>
                    <w:tl2br w:val="nil"/>
                    <w:tr2bl w:val="nil"/>
                  </w:tcBorders>
                  <w:noWrap w:val="0"/>
                  <w:vAlign w:val="center"/>
                </w:tcPr>
                <w:p w14:paraId="6B725235">
                  <w:pPr>
                    <w:autoSpaceDE w:val="0"/>
                    <w:autoSpaceDN w:val="0"/>
                    <w:adjustRightInd w:val="0"/>
                    <w:snapToGrid w:val="0"/>
                    <w:jc w:val="both"/>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vertAlign w:val="baseline"/>
                      <w:lang w:val="en-US" w:eastAsia="zh-CN" w:bidi="ar-SA"/>
                    </w:rPr>
                    <w:t>地表水</w:t>
                  </w:r>
                </w:p>
              </w:tc>
              <w:tc>
                <w:tcPr>
                  <w:tcW w:w="2580" w:type="pct"/>
                  <w:tcBorders>
                    <w:tl2br w:val="nil"/>
                    <w:tr2bl w:val="nil"/>
                  </w:tcBorders>
                  <w:noWrap w:val="0"/>
                  <w:vAlign w:val="center"/>
                </w:tcPr>
                <w:p w14:paraId="02AD28E2">
                  <w:pPr>
                    <w:autoSpaceDE w:val="0"/>
                    <w:autoSpaceDN w:val="0"/>
                    <w:adjustRightInd w:val="0"/>
                    <w:snapToGrid w:val="0"/>
                    <w:jc w:val="both"/>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vertAlign w:val="baseline"/>
                      <w:lang w:val="en-US" w:eastAsia="zh-CN" w:bidi="ar-SA"/>
                    </w:rPr>
                    <w:t>水力发电：引水式发电、涉及调峰发电的项目；</w:t>
                  </w:r>
                </w:p>
                <w:p w14:paraId="1C331620">
                  <w:pPr>
                    <w:autoSpaceDE w:val="0"/>
                    <w:autoSpaceDN w:val="0"/>
                    <w:adjustRightInd w:val="0"/>
                    <w:snapToGrid w:val="0"/>
                    <w:jc w:val="both"/>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vertAlign w:val="baseline"/>
                      <w:lang w:val="en-US" w:eastAsia="zh-CN" w:bidi="ar-SA"/>
                    </w:rPr>
                    <w:t>人工湖、人工湿地：全部；</w:t>
                  </w:r>
                </w:p>
                <w:p w14:paraId="70182D7C">
                  <w:pPr>
                    <w:autoSpaceDE w:val="0"/>
                    <w:autoSpaceDN w:val="0"/>
                    <w:adjustRightInd w:val="0"/>
                    <w:snapToGrid w:val="0"/>
                    <w:jc w:val="both"/>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vertAlign w:val="baseline"/>
                      <w:lang w:val="en-US" w:eastAsia="zh-CN" w:bidi="ar-SA"/>
                    </w:rPr>
                    <w:t>水库：全部；</w:t>
                  </w:r>
                </w:p>
                <w:p w14:paraId="6EE43B38">
                  <w:pPr>
                    <w:autoSpaceDE w:val="0"/>
                    <w:autoSpaceDN w:val="0"/>
                    <w:adjustRightInd w:val="0"/>
                    <w:snapToGrid w:val="0"/>
                    <w:jc w:val="both"/>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vertAlign w:val="baseline"/>
                      <w:lang w:val="en-US" w:eastAsia="zh-CN" w:bidi="ar-SA"/>
                    </w:rPr>
                    <w:t>引水工程：全部（配套的管线工程等除外）；</w:t>
                  </w:r>
                </w:p>
                <w:p w14:paraId="473EDF5F">
                  <w:pPr>
                    <w:autoSpaceDE w:val="0"/>
                    <w:autoSpaceDN w:val="0"/>
                    <w:adjustRightInd w:val="0"/>
                    <w:snapToGrid w:val="0"/>
                    <w:jc w:val="both"/>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vertAlign w:val="baseline"/>
                      <w:lang w:val="en-US" w:eastAsia="zh-CN" w:bidi="ar-SA"/>
                    </w:rPr>
                    <w:t>防洪除涝工程：包含水库的项目；</w:t>
                  </w:r>
                </w:p>
                <w:p w14:paraId="7AACC6B5">
                  <w:pPr>
                    <w:autoSpaceDE w:val="0"/>
                    <w:autoSpaceDN w:val="0"/>
                    <w:adjustRightInd w:val="0"/>
                    <w:snapToGrid w:val="0"/>
                    <w:jc w:val="both"/>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vertAlign w:val="baseline"/>
                      <w:lang w:val="en-US" w:eastAsia="zh-CN" w:bidi="ar-SA"/>
                    </w:rPr>
                    <w:t>河湖整治：涉及清淤且底泥存在重金属污染的项目</w:t>
                  </w:r>
                </w:p>
              </w:tc>
              <w:tc>
                <w:tcPr>
                  <w:tcW w:w="893" w:type="pct"/>
                  <w:tcBorders>
                    <w:tl2br w:val="nil"/>
                    <w:tr2bl w:val="nil"/>
                  </w:tcBorders>
                  <w:noWrap w:val="0"/>
                  <w:vAlign w:val="center"/>
                </w:tcPr>
                <w:p w14:paraId="4CDADA90">
                  <w:pPr>
                    <w:autoSpaceDE w:val="0"/>
                    <w:autoSpaceDN w:val="0"/>
                    <w:adjustRightInd w:val="0"/>
                    <w:snapToGrid w:val="0"/>
                    <w:jc w:val="center"/>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vertAlign w:val="baseline"/>
                      <w:lang w:val="en-US" w:eastAsia="zh-CN" w:bidi="ar-SA"/>
                    </w:rPr>
                    <w:t>否</w:t>
                  </w:r>
                </w:p>
              </w:tc>
              <w:tc>
                <w:tcPr>
                  <w:tcW w:w="758" w:type="pct"/>
                  <w:tcBorders>
                    <w:tl2br w:val="nil"/>
                    <w:tr2bl w:val="nil"/>
                  </w:tcBorders>
                  <w:noWrap w:val="0"/>
                  <w:vAlign w:val="center"/>
                </w:tcPr>
                <w:p w14:paraId="452FE1F9">
                  <w:pPr>
                    <w:autoSpaceDE w:val="0"/>
                    <w:autoSpaceDN w:val="0"/>
                    <w:adjustRightInd w:val="0"/>
                    <w:snapToGrid w:val="0"/>
                    <w:jc w:val="center"/>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vertAlign w:val="baseline"/>
                      <w:lang w:val="en-US" w:eastAsia="zh-CN" w:bidi="ar-SA"/>
                    </w:rPr>
                    <w:t>不涉及</w:t>
                  </w:r>
                </w:p>
              </w:tc>
            </w:tr>
            <w:tr w14:paraId="13B705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67" w:type="pct"/>
                  <w:tcBorders>
                    <w:tl2br w:val="nil"/>
                    <w:tr2bl w:val="nil"/>
                  </w:tcBorders>
                  <w:noWrap w:val="0"/>
                  <w:vAlign w:val="center"/>
                </w:tcPr>
                <w:p w14:paraId="058E3B0E">
                  <w:pPr>
                    <w:autoSpaceDE w:val="0"/>
                    <w:autoSpaceDN w:val="0"/>
                    <w:adjustRightInd w:val="0"/>
                    <w:snapToGrid w:val="0"/>
                    <w:jc w:val="both"/>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vertAlign w:val="baseline"/>
                      <w:lang w:val="en-US" w:eastAsia="zh-CN" w:bidi="ar-SA"/>
                    </w:rPr>
                    <w:t>地下水</w:t>
                  </w:r>
                </w:p>
              </w:tc>
              <w:tc>
                <w:tcPr>
                  <w:tcW w:w="2580" w:type="pct"/>
                  <w:tcBorders>
                    <w:tl2br w:val="nil"/>
                    <w:tr2bl w:val="nil"/>
                  </w:tcBorders>
                  <w:noWrap w:val="0"/>
                  <w:vAlign w:val="center"/>
                </w:tcPr>
                <w:p w14:paraId="169FA821">
                  <w:pPr>
                    <w:autoSpaceDE w:val="0"/>
                    <w:autoSpaceDN w:val="0"/>
                    <w:adjustRightInd w:val="0"/>
                    <w:snapToGrid w:val="0"/>
                    <w:jc w:val="both"/>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vertAlign w:val="baseline"/>
                      <w:lang w:val="en-US" w:eastAsia="zh-CN" w:bidi="ar-SA"/>
                    </w:rPr>
                    <w:t>陆地石油和天然气开采：全部；</w:t>
                  </w:r>
                </w:p>
                <w:p w14:paraId="5A4093E2">
                  <w:pPr>
                    <w:autoSpaceDE w:val="0"/>
                    <w:autoSpaceDN w:val="0"/>
                    <w:adjustRightInd w:val="0"/>
                    <w:snapToGrid w:val="0"/>
                    <w:jc w:val="both"/>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vertAlign w:val="baseline"/>
                      <w:lang w:val="en-US" w:eastAsia="zh-CN" w:bidi="ar-SA"/>
                    </w:rPr>
                    <w:t>地下水（含矿泉水）开采：全部；</w:t>
                  </w:r>
                </w:p>
                <w:p w14:paraId="514C2239">
                  <w:pPr>
                    <w:autoSpaceDE w:val="0"/>
                    <w:autoSpaceDN w:val="0"/>
                    <w:adjustRightInd w:val="0"/>
                    <w:snapToGrid w:val="0"/>
                    <w:jc w:val="both"/>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vertAlign w:val="baseline"/>
                      <w:lang w:val="en-US" w:eastAsia="zh-CN" w:bidi="ar-SA"/>
                    </w:rPr>
                    <w:t>水利、水电、交通等：含穿越可溶岩地层隧道的项目</w:t>
                  </w:r>
                </w:p>
              </w:tc>
              <w:tc>
                <w:tcPr>
                  <w:tcW w:w="893" w:type="pct"/>
                  <w:tcBorders>
                    <w:tl2br w:val="nil"/>
                    <w:tr2bl w:val="nil"/>
                  </w:tcBorders>
                  <w:noWrap w:val="0"/>
                  <w:vAlign w:val="center"/>
                </w:tcPr>
                <w:p w14:paraId="0404DE68">
                  <w:pPr>
                    <w:autoSpaceDE w:val="0"/>
                    <w:autoSpaceDN w:val="0"/>
                    <w:adjustRightInd w:val="0"/>
                    <w:snapToGrid w:val="0"/>
                    <w:jc w:val="center"/>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vertAlign w:val="baseline"/>
                      <w:lang w:val="en-US" w:eastAsia="zh-CN" w:bidi="ar-SA"/>
                    </w:rPr>
                    <w:t>否</w:t>
                  </w:r>
                </w:p>
              </w:tc>
              <w:tc>
                <w:tcPr>
                  <w:tcW w:w="758" w:type="pct"/>
                  <w:tcBorders>
                    <w:tl2br w:val="nil"/>
                    <w:tr2bl w:val="nil"/>
                  </w:tcBorders>
                  <w:noWrap w:val="0"/>
                  <w:vAlign w:val="center"/>
                </w:tcPr>
                <w:p w14:paraId="0FAA398C">
                  <w:pPr>
                    <w:autoSpaceDE w:val="0"/>
                    <w:autoSpaceDN w:val="0"/>
                    <w:adjustRightInd w:val="0"/>
                    <w:snapToGrid w:val="0"/>
                    <w:jc w:val="center"/>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vertAlign w:val="baseline"/>
                      <w:lang w:val="en-US" w:eastAsia="zh-CN" w:bidi="ar-SA"/>
                    </w:rPr>
                    <w:t>不涉及</w:t>
                  </w:r>
                </w:p>
              </w:tc>
            </w:tr>
            <w:tr w14:paraId="3F0BAE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67" w:type="pct"/>
                  <w:tcBorders>
                    <w:tl2br w:val="nil"/>
                    <w:tr2bl w:val="nil"/>
                  </w:tcBorders>
                  <w:noWrap w:val="0"/>
                  <w:vAlign w:val="center"/>
                </w:tcPr>
                <w:p w14:paraId="7BE5F6E9">
                  <w:pPr>
                    <w:autoSpaceDE w:val="0"/>
                    <w:autoSpaceDN w:val="0"/>
                    <w:adjustRightInd w:val="0"/>
                    <w:snapToGrid w:val="0"/>
                    <w:jc w:val="both"/>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vertAlign w:val="baseline"/>
                      <w:lang w:val="en-US" w:eastAsia="zh-CN" w:bidi="ar-SA"/>
                    </w:rPr>
                    <w:t>生态</w:t>
                  </w:r>
                </w:p>
              </w:tc>
              <w:tc>
                <w:tcPr>
                  <w:tcW w:w="2580" w:type="pct"/>
                  <w:tcBorders>
                    <w:tl2br w:val="nil"/>
                    <w:tr2bl w:val="nil"/>
                  </w:tcBorders>
                  <w:noWrap w:val="0"/>
                  <w:vAlign w:val="center"/>
                </w:tcPr>
                <w:p w14:paraId="01FB08B4">
                  <w:pPr>
                    <w:autoSpaceDE w:val="0"/>
                    <w:autoSpaceDN w:val="0"/>
                    <w:adjustRightInd w:val="0"/>
                    <w:snapToGrid w:val="0"/>
                    <w:jc w:val="both"/>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vertAlign w:val="baseline"/>
                      <w:lang w:val="en-US" w:eastAsia="zh-CN" w:bidi="ar-SA"/>
                    </w:rPr>
                    <w:t>涉及环境敏感区（不包括饮用水水源保护区，以居住、医疗卫生、文化教育、科研、行政办公为主要功能的区域，以及文物保护单位）的项目</w:t>
                  </w:r>
                </w:p>
              </w:tc>
              <w:tc>
                <w:tcPr>
                  <w:tcW w:w="893" w:type="pct"/>
                  <w:tcBorders>
                    <w:tl2br w:val="nil"/>
                    <w:tr2bl w:val="nil"/>
                  </w:tcBorders>
                  <w:noWrap w:val="0"/>
                  <w:vAlign w:val="center"/>
                </w:tcPr>
                <w:p w14:paraId="38E65157">
                  <w:pPr>
                    <w:autoSpaceDE w:val="0"/>
                    <w:autoSpaceDN w:val="0"/>
                    <w:adjustRightInd w:val="0"/>
                    <w:snapToGrid w:val="0"/>
                    <w:jc w:val="center"/>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vertAlign w:val="baseline"/>
                      <w:lang w:val="en-US" w:eastAsia="zh-CN" w:bidi="ar-SA"/>
                    </w:rPr>
                    <w:t>否</w:t>
                  </w:r>
                </w:p>
              </w:tc>
              <w:tc>
                <w:tcPr>
                  <w:tcW w:w="758" w:type="pct"/>
                  <w:tcBorders>
                    <w:tl2br w:val="nil"/>
                    <w:tr2bl w:val="nil"/>
                  </w:tcBorders>
                  <w:noWrap w:val="0"/>
                  <w:vAlign w:val="center"/>
                </w:tcPr>
                <w:p w14:paraId="63E18563">
                  <w:pPr>
                    <w:autoSpaceDE w:val="0"/>
                    <w:autoSpaceDN w:val="0"/>
                    <w:adjustRightInd w:val="0"/>
                    <w:snapToGrid w:val="0"/>
                    <w:jc w:val="center"/>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vertAlign w:val="baseline"/>
                      <w:lang w:val="en-US" w:eastAsia="zh-CN" w:bidi="ar-SA"/>
                    </w:rPr>
                    <w:t>不涉及</w:t>
                  </w:r>
                </w:p>
              </w:tc>
            </w:tr>
            <w:tr w14:paraId="1EA80C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67" w:type="pct"/>
                  <w:tcBorders>
                    <w:tl2br w:val="nil"/>
                    <w:tr2bl w:val="nil"/>
                  </w:tcBorders>
                  <w:noWrap w:val="0"/>
                  <w:vAlign w:val="center"/>
                </w:tcPr>
                <w:p w14:paraId="0A506938">
                  <w:pPr>
                    <w:autoSpaceDE w:val="0"/>
                    <w:autoSpaceDN w:val="0"/>
                    <w:adjustRightInd w:val="0"/>
                    <w:snapToGrid w:val="0"/>
                    <w:jc w:val="both"/>
                    <w:rPr>
                      <w:rFonts w:hint="default" w:ascii="Times New Roman" w:hAnsi="Times New Roman" w:eastAsia="宋体" w:cs="Times New Roman"/>
                      <w:b/>
                      <w:bCs/>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vertAlign w:val="baseline"/>
                      <w:lang w:val="en-US" w:eastAsia="zh-CN" w:bidi="ar-SA"/>
                    </w:rPr>
                    <w:t>大气</w:t>
                  </w:r>
                </w:p>
              </w:tc>
              <w:tc>
                <w:tcPr>
                  <w:tcW w:w="2580" w:type="pct"/>
                  <w:tcBorders>
                    <w:tl2br w:val="nil"/>
                    <w:tr2bl w:val="nil"/>
                  </w:tcBorders>
                  <w:noWrap w:val="0"/>
                  <w:vAlign w:val="center"/>
                </w:tcPr>
                <w:p w14:paraId="0DFA2B0F">
                  <w:pPr>
                    <w:autoSpaceDE w:val="0"/>
                    <w:autoSpaceDN w:val="0"/>
                    <w:adjustRightInd w:val="0"/>
                    <w:snapToGrid w:val="0"/>
                    <w:jc w:val="both"/>
                    <w:rPr>
                      <w:rFonts w:hint="default" w:ascii="Times New Roman" w:hAnsi="Times New Roman" w:eastAsia="宋体" w:cs="Times New Roman"/>
                      <w:b/>
                      <w:bCs/>
                      <w:color w:val="auto"/>
                      <w:kern w:val="0"/>
                      <w:sz w:val="21"/>
                      <w:szCs w:val="21"/>
                      <w:vertAlign w:val="baseline"/>
                      <w:lang w:val="en-US" w:eastAsia="zh-CN" w:bidi="ar-SA"/>
                    </w:rPr>
                  </w:pPr>
                  <w:r>
                    <w:rPr>
                      <w:rFonts w:hint="default" w:ascii="Times New Roman" w:hAnsi="Times New Roman" w:eastAsia="宋体" w:cs="Times New Roman"/>
                      <w:color w:val="auto"/>
                      <w:sz w:val="21"/>
                      <w:szCs w:val="21"/>
                      <w:lang w:val="en-US" w:eastAsia="zh-CN" w:bidi="ar-SA"/>
                    </w:rPr>
                    <w:t>油气、液体化工码头：全部；干散货（含煤炭、矿石）、件杂、多用途、通用码头：涉及粉尘、挥发性有机物排放的项目</w:t>
                  </w:r>
                </w:p>
              </w:tc>
              <w:tc>
                <w:tcPr>
                  <w:tcW w:w="893" w:type="pct"/>
                  <w:tcBorders>
                    <w:tl2br w:val="nil"/>
                    <w:tr2bl w:val="nil"/>
                  </w:tcBorders>
                  <w:noWrap w:val="0"/>
                  <w:vAlign w:val="center"/>
                </w:tcPr>
                <w:p w14:paraId="2751D0CC">
                  <w:pPr>
                    <w:autoSpaceDE w:val="0"/>
                    <w:autoSpaceDN w:val="0"/>
                    <w:adjustRightInd w:val="0"/>
                    <w:snapToGrid w:val="0"/>
                    <w:jc w:val="center"/>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vertAlign w:val="baseline"/>
                      <w:lang w:val="en-US" w:eastAsia="zh-CN" w:bidi="ar-SA"/>
                    </w:rPr>
                    <w:t>否</w:t>
                  </w:r>
                </w:p>
              </w:tc>
              <w:tc>
                <w:tcPr>
                  <w:tcW w:w="758" w:type="pct"/>
                  <w:tcBorders>
                    <w:tl2br w:val="nil"/>
                    <w:tr2bl w:val="nil"/>
                  </w:tcBorders>
                  <w:noWrap w:val="0"/>
                  <w:vAlign w:val="center"/>
                </w:tcPr>
                <w:p w14:paraId="5EA2B9C1">
                  <w:pPr>
                    <w:autoSpaceDE w:val="0"/>
                    <w:autoSpaceDN w:val="0"/>
                    <w:adjustRightInd w:val="0"/>
                    <w:snapToGrid w:val="0"/>
                    <w:jc w:val="center"/>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vertAlign w:val="baseline"/>
                      <w:lang w:val="en-US" w:eastAsia="zh-CN" w:bidi="ar-SA"/>
                    </w:rPr>
                    <w:t>不涉及</w:t>
                  </w:r>
                </w:p>
              </w:tc>
            </w:tr>
            <w:tr w14:paraId="667492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67" w:type="pct"/>
                  <w:tcBorders>
                    <w:tl2br w:val="nil"/>
                    <w:tr2bl w:val="nil"/>
                  </w:tcBorders>
                  <w:noWrap w:val="0"/>
                  <w:vAlign w:val="center"/>
                </w:tcPr>
                <w:p w14:paraId="5FE857CA">
                  <w:pPr>
                    <w:autoSpaceDE w:val="0"/>
                    <w:autoSpaceDN w:val="0"/>
                    <w:adjustRightInd w:val="0"/>
                    <w:snapToGrid w:val="0"/>
                    <w:jc w:val="both"/>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vertAlign w:val="baseline"/>
                      <w:lang w:val="en-US" w:eastAsia="zh-CN" w:bidi="ar-SA"/>
                    </w:rPr>
                    <w:t>噪声</w:t>
                  </w:r>
                </w:p>
              </w:tc>
              <w:tc>
                <w:tcPr>
                  <w:tcW w:w="2580" w:type="pct"/>
                  <w:tcBorders>
                    <w:tl2br w:val="nil"/>
                    <w:tr2bl w:val="nil"/>
                  </w:tcBorders>
                  <w:noWrap w:val="0"/>
                  <w:vAlign w:val="center"/>
                </w:tcPr>
                <w:p w14:paraId="3B428815">
                  <w:pPr>
                    <w:autoSpaceDE w:val="0"/>
                    <w:autoSpaceDN w:val="0"/>
                    <w:adjustRightInd w:val="0"/>
                    <w:snapToGrid w:val="0"/>
                    <w:jc w:val="both"/>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vertAlign w:val="baseline"/>
                      <w:lang w:val="en-US" w:eastAsia="zh-CN" w:bidi="ar-SA"/>
                    </w:rPr>
                    <w:t>公路、铁路、机场等交通运输业涉及环境敏感区（以居住、医疗卫生、文化教育、科研、行政办公为主要功能的区域）的项目；</w:t>
                  </w:r>
                </w:p>
                <w:p w14:paraId="141E0EA6">
                  <w:pPr>
                    <w:autoSpaceDE w:val="0"/>
                    <w:autoSpaceDN w:val="0"/>
                    <w:adjustRightInd w:val="0"/>
                    <w:snapToGrid w:val="0"/>
                    <w:jc w:val="both"/>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vertAlign w:val="baseline"/>
                      <w:lang w:val="en-US" w:eastAsia="zh-CN" w:bidi="ar-SA"/>
                    </w:rPr>
                    <w:t>城市道路（不含维护，不含支路、人行天桥、人行地道）：全部</w:t>
                  </w:r>
                </w:p>
              </w:tc>
              <w:tc>
                <w:tcPr>
                  <w:tcW w:w="893" w:type="pct"/>
                  <w:tcBorders>
                    <w:tl2br w:val="nil"/>
                    <w:tr2bl w:val="nil"/>
                  </w:tcBorders>
                  <w:noWrap w:val="0"/>
                  <w:vAlign w:val="center"/>
                </w:tcPr>
                <w:p w14:paraId="4BD12210">
                  <w:pPr>
                    <w:autoSpaceDE w:val="0"/>
                    <w:autoSpaceDN w:val="0"/>
                    <w:adjustRightInd w:val="0"/>
                    <w:snapToGrid w:val="0"/>
                    <w:jc w:val="center"/>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vertAlign w:val="baseline"/>
                      <w:lang w:val="en-US" w:eastAsia="zh-CN" w:bidi="ar-SA"/>
                    </w:rPr>
                    <w:t>否</w:t>
                  </w:r>
                </w:p>
              </w:tc>
              <w:tc>
                <w:tcPr>
                  <w:tcW w:w="758" w:type="pct"/>
                  <w:tcBorders>
                    <w:tl2br w:val="nil"/>
                    <w:tr2bl w:val="nil"/>
                  </w:tcBorders>
                  <w:noWrap w:val="0"/>
                  <w:vAlign w:val="center"/>
                </w:tcPr>
                <w:p w14:paraId="64ABCD45">
                  <w:pPr>
                    <w:autoSpaceDE w:val="0"/>
                    <w:autoSpaceDN w:val="0"/>
                    <w:adjustRightInd w:val="0"/>
                    <w:snapToGrid w:val="0"/>
                    <w:jc w:val="both"/>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vertAlign w:val="baseline"/>
                      <w:lang w:val="en-US" w:eastAsia="zh-CN" w:bidi="ar-SA"/>
                    </w:rPr>
                    <w:t>不涉及</w:t>
                  </w:r>
                </w:p>
              </w:tc>
            </w:tr>
            <w:tr w14:paraId="686D34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67" w:type="pct"/>
                  <w:tcBorders>
                    <w:tl2br w:val="nil"/>
                    <w:tr2bl w:val="nil"/>
                  </w:tcBorders>
                  <w:noWrap w:val="0"/>
                  <w:vAlign w:val="center"/>
                </w:tcPr>
                <w:p w14:paraId="7AC6DC4B">
                  <w:pPr>
                    <w:autoSpaceDE w:val="0"/>
                    <w:autoSpaceDN w:val="0"/>
                    <w:adjustRightInd w:val="0"/>
                    <w:snapToGrid w:val="0"/>
                    <w:jc w:val="both"/>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vertAlign w:val="baseline"/>
                      <w:lang w:val="en-US" w:eastAsia="zh-CN" w:bidi="ar-SA"/>
                    </w:rPr>
                    <w:t>环境风险</w:t>
                  </w:r>
                </w:p>
              </w:tc>
              <w:tc>
                <w:tcPr>
                  <w:tcW w:w="2580" w:type="pct"/>
                  <w:tcBorders>
                    <w:tl2br w:val="nil"/>
                    <w:tr2bl w:val="nil"/>
                  </w:tcBorders>
                  <w:noWrap w:val="0"/>
                  <w:vAlign w:val="center"/>
                </w:tcPr>
                <w:p w14:paraId="412ADE6B">
                  <w:pPr>
                    <w:autoSpaceDE w:val="0"/>
                    <w:autoSpaceDN w:val="0"/>
                    <w:adjustRightInd w:val="0"/>
                    <w:snapToGrid w:val="0"/>
                    <w:jc w:val="both"/>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vertAlign w:val="baseline"/>
                      <w:lang w:val="en-US" w:eastAsia="zh-CN" w:bidi="ar-SA"/>
                    </w:rPr>
                    <w:t>石油和天然气开采：全部；</w:t>
                  </w:r>
                </w:p>
                <w:p w14:paraId="44C55C7B">
                  <w:pPr>
                    <w:autoSpaceDE w:val="0"/>
                    <w:autoSpaceDN w:val="0"/>
                    <w:adjustRightInd w:val="0"/>
                    <w:snapToGrid w:val="0"/>
                    <w:jc w:val="both"/>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vertAlign w:val="baseline"/>
                      <w:lang w:val="en-US" w:eastAsia="zh-CN" w:bidi="ar-SA"/>
                    </w:rPr>
                    <w:t>油气、液体化工码头：全部；</w:t>
                  </w:r>
                </w:p>
                <w:p w14:paraId="20420DCE">
                  <w:pPr>
                    <w:autoSpaceDE w:val="0"/>
                    <w:autoSpaceDN w:val="0"/>
                    <w:adjustRightInd w:val="0"/>
                    <w:snapToGrid w:val="0"/>
                    <w:jc w:val="both"/>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vertAlign w:val="baseline"/>
                      <w:lang w:val="en-US" w:eastAsia="zh-CN" w:bidi="ar-SA"/>
                    </w:rPr>
                    <w:t>原油、成品油、天然气管线（不含城镇天然气管线、企业厂区内管线），危险化学品输送管线（不含企业厂区内管线）：全部</w:t>
                  </w:r>
                </w:p>
              </w:tc>
              <w:tc>
                <w:tcPr>
                  <w:tcW w:w="893" w:type="pct"/>
                  <w:tcBorders>
                    <w:tl2br w:val="nil"/>
                    <w:tr2bl w:val="nil"/>
                  </w:tcBorders>
                  <w:noWrap w:val="0"/>
                  <w:vAlign w:val="center"/>
                </w:tcPr>
                <w:p w14:paraId="78BAC29A">
                  <w:pPr>
                    <w:autoSpaceDE w:val="0"/>
                    <w:autoSpaceDN w:val="0"/>
                    <w:adjustRightInd w:val="0"/>
                    <w:snapToGrid w:val="0"/>
                    <w:jc w:val="center"/>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vertAlign w:val="baseline"/>
                      <w:lang w:val="en-US" w:eastAsia="zh-CN" w:bidi="ar-SA"/>
                    </w:rPr>
                    <w:t>否</w:t>
                  </w:r>
                </w:p>
              </w:tc>
              <w:tc>
                <w:tcPr>
                  <w:tcW w:w="758" w:type="pct"/>
                  <w:tcBorders>
                    <w:tl2br w:val="nil"/>
                    <w:tr2bl w:val="nil"/>
                  </w:tcBorders>
                  <w:noWrap w:val="0"/>
                  <w:vAlign w:val="center"/>
                </w:tcPr>
                <w:p w14:paraId="2E37C958">
                  <w:pPr>
                    <w:autoSpaceDE w:val="0"/>
                    <w:autoSpaceDN w:val="0"/>
                    <w:adjustRightInd w:val="0"/>
                    <w:snapToGrid w:val="0"/>
                    <w:jc w:val="both"/>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vertAlign w:val="baseline"/>
                      <w:lang w:val="en-US" w:eastAsia="zh-CN" w:bidi="ar-SA"/>
                    </w:rPr>
                    <w:t>不涉及</w:t>
                  </w:r>
                </w:p>
              </w:tc>
            </w:tr>
          </w:tbl>
          <w:p w14:paraId="7A1AB070">
            <w:pPr>
              <w:ind w:firstLine="420" w:firstLineChars="200"/>
              <w:rPr>
                <w:rFonts w:hint="default" w:ascii="Times New Roman" w:hAnsi="Times New Roman" w:eastAsia="宋体" w:cs="Times New Roman"/>
                <w:color w:val="auto"/>
              </w:rPr>
            </w:pPr>
            <w:r>
              <w:rPr>
                <w:rFonts w:hint="default" w:ascii="Times New Roman" w:hAnsi="Times New Roman" w:eastAsia="宋体" w:cs="Times New Roman"/>
                <w:color w:val="auto"/>
              </w:rPr>
              <w:t>注：“涉及环境敏感区”是指建设项目位于、穿（跨）越（无害化通过的除外）环境敏感区，或环境影响范围涵盖环境敏感区。环境敏感区是指《建设项目环境影响评价分类管理名录》中针对该类项目所列的敏感区。</w:t>
            </w:r>
          </w:p>
        </w:tc>
      </w:tr>
      <w:tr w14:paraId="6EDC35F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086" w:type="dxa"/>
            <w:vAlign w:val="center"/>
          </w:tcPr>
          <w:p w14:paraId="7CD13A76">
            <w:pPr>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规划情况</w:t>
            </w:r>
          </w:p>
        </w:tc>
        <w:tc>
          <w:tcPr>
            <w:tcW w:w="7701" w:type="dxa"/>
            <w:gridSpan w:val="3"/>
            <w:vAlign w:val="center"/>
          </w:tcPr>
          <w:p w14:paraId="6A06ABDE">
            <w:pPr>
              <w:pStyle w:val="2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20"/>
              <w:jc w:val="left"/>
              <w:textAlignment w:val="auto"/>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1、规划名称：《四川省林业草原发展“十四五”规划》</w:t>
            </w:r>
          </w:p>
          <w:p w14:paraId="1629EACB">
            <w:pPr>
              <w:pStyle w:val="2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20"/>
              <w:jc w:val="left"/>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审查机关：四川省林业和草原局（大熊猫国家公园四川省管理局）</w:t>
            </w:r>
          </w:p>
          <w:p w14:paraId="33F7AC55">
            <w:pPr>
              <w:pStyle w:val="2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20"/>
              <w:jc w:val="left"/>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审查文件及文号：四川省林业和草原局（大熊猫国家公园四川省管理局）组织专门力量，于2021年11月编制印发了《四川省林业草原发展“十四五”规划》。</w:t>
            </w:r>
          </w:p>
          <w:p w14:paraId="213736BB">
            <w:pPr>
              <w:pStyle w:val="2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20"/>
              <w:jc w:val="left"/>
              <w:textAlignment w:val="auto"/>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2、规划名称：《资阳市“十四五”生态保护和自然资源利用规划》</w:t>
            </w:r>
          </w:p>
          <w:p w14:paraId="75D2C05E">
            <w:pPr>
              <w:pStyle w:val="2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right="0" w:firstLine="480" w:firstLineChars="200"/>
              <w:jc w:val="left"/>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审查机关：资阳市人民政府</w:t>
            </w:r>
          </w:p>
          <w:p w14:paraId="0C571D00">
            <w:pPr>
              <w:pStyle w:val="19"/>
              <w:spacing w:line="360" w:lineRule="auto"/>
              <w:ind w:left="0" w:leftChars="0" w:firstLine="480" w:firstLineChars="200"/>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审查文件及文号：十四五 《资阳市“十四五”生态保护和自然资源利用规划》（2022-06-29）</w:t>
            </w:r>
          </w:p>
          <w:p w14:paraId="083ABB22">
            <w:pPr>
              <w:pStyle w:val="2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20"/>
              <w:jc w:val="left"/>
              <w:textAlignment w:val="auto"/>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3、规划名称：《乐至县“十四五”生态环境保护规划》</w:t>
            </w:r>
          </w:p>
          <w:p w14:paraId="775932B3">
            <w:pPr>
              <w:pStyle w:val="2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20"/>
              <w:jc w:val="left"/>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审查机关：乐至县人民政府办公室</w:t>
            </w:r>
          </w:p>
          <w:p w14:paraId="1A47E0D6">
            <w:pPr>
              <w:pStyle w:val="2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20"/>
              <w:jc w:val="left"/>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审查文件及文号：乐至县人民政府办公室关于印发《乐至县“十四五”生态环境保护规划》的通知（乐府办发〔2022〕34 号）</w:t>
            </w:r>
          </w:p>
          <w:p w14:paraId="2F11FE8C">
            <w:pPr>
              <w:pStyle w:val="2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20"/>
              <w:jc w:val="left"/>
              <w:textAlignment w:val="auto"/>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4、规划名称：《乐至县“十四五”林业发展规划》</w:t>
            </w:r>
          </w:p>
          <w:p w14:paraId="35C4F5F8">
            <w:pPr>
              <w:pStyle w:val="2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20"/>
              <w:jc w:val="left"/>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审查机关：乐至县人民政府</w:t>
            </w:r>
          </w:p>
          <w:p w14:paraId="7B31217D">
            <w:pPr>
              <w:pStyle w:val="2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20"/>
              <w:jc w:val="left"/>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kern w:val="2"/>
                <w:sz w:val="24"/>
                <w:szCs w:val="24"/>
                <w:lang w:val="en-US" w:eastAsia="zh-CN" w:bidi="ar-SA"/>
              </w:rPr>
              <w:t>审查文件及文号：乐至县人民政府印发《乐至县“十四五”林业发展规划》（乐府发〔2023〕20号）</w:t>
            </w:r>
          </w:p>
        </w:tc>
      </w:tr>
      <w:tr w14:paraId="2D9880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086" w:type="dxa"/>
            <w:vAlign w:val="center"/>
          </w:tcPr>
          <w:p w14:paraId="56E98DC1">
            <w:pPr>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规划环境影响评价情况</w:t>
            </w:r>
          </w:p>
        </w:tc>
        <w:tc>
          <w:tcPr>
            <w:tcW w:w="7701" w:type="dxa"/>
            <w:gridSpan w:val="3"/>
            <w:vAlign w:val="center"/>
          </w:tcPr>
          <w:p w14:paraId="1203597B">
            <w:pPr>
              <w:pStyle w:val="19"/>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sz w:val="24"/>
                <w:szCs w:val="24"/>
              </w:rPr>
              <w:t>无</w:t>
            </w:r>
          </w:p>
        </w:tc>
      </w:tr>
      <w:tr w14:paraId="1975BA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086" w:type="dxa"/>
            <w:vAlign w:val="center"/>
          </w:tcPr>
          <w:p w14:paraId="66D18FAA">
            <w:pPr>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规划及规划环境影响评价符合性分析</w:t>
            </w:r>
          </w:p>
        </w:tc>
        <w:tc>
          <w:tcPr>
            <w:tcW w:w="7701" w:type="dxa"/>
            <w:gridSpan w:val="3"/>
            <w:vAlign w:val="center"/>
          </w:tcPr>
          <w:p w14:paraId="34AFDD14">
            <w:pPr>
              <w:spacing w:line="360" w:lineRule="auto"/>
              <w:ind w:firstLine="241" w:firstLineChars="10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lang w:val="en-US" w:eastAsia="zh-CN"/>
              </w:rPr>
              <w:t>1</w:t>
            </w:r>
            <w:r>
              <w:rPr>
                <w:rFonts w:hint="default" w:ascii="Times New Roman" w:hAnsi="Times New Roman" w:eastAsia="宋体" w:cs="Times New Roman"/>
                <w:b/>
                <w:bCs/>
                <w:color w:val="auto"/>
                <w:sz w:val="24"/>
                <w:szCs w:val="24"/>
              </w:rPr>
              <w:t>、与《四川省林业草原发展“十四五”规划》的符合性分析</w:t>
            </w:r>
          </w:p>
          <w:p w14:paraId="4DB82E6D">
            <w:pPr>
              <w:spacing w:line="360" w:lineRule="auto"/>
              <w:ind w:firstLine="480" w:firstLineChars="20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四川省林业草原发展“十四五”规划要求围绕生态保护修复、自然保护地体系、特色林草产业、高品质生态宜居、生态产品价值实现、林草资源安全、科技创新等7个重点方面，统筹谋划四川省林草保护、发展和安全。一方面加快建设成都平原森林城市群，建设成德眉资公园城市示范区，另一方面围绕长江经济带建设、成渝地区双城经济圈建设等重大战略，发展特色林草产业助推乡村振兴，做强木材培育加工业、木本油料业、林草中药材产业、花卉苗木业、林下经济、生态旅游（康养）业等七大特色林草产业，实现用材林保持在3600万亩以上，现代木本药材基地达到130万亩、其他特色经济林产业基地170万亩等目标。</w:t>
            </w:r>
          </w:p>
          <w:p w14:paraId="58486842">
            <w:pPr>
              <w:spacing w:line="360" w:lineRule="auto"/>
              <w:ind w:firstLine="480" w:firstLineChars="20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2023年-2024年作业设计建设内容集约人工林栽培7628.4亩；现有林改培5081.6亩；中幼林抚育39791.2亩；特色经济林3000.0亩；珍稀林木2081.0亩；珍稀林地块中套种林下中药材1035.9亩；特色经济林地块中套种林下花卉205.0亩；林下种菌500.0亩。因此，本项目符合《四川省林业草原发展“十四五”规划》要求。</w:t>
            </w:r>
          </w:p>
          <w:p w14:paraId="55CF5224">
            <w:pPr>
              <w:spacing w:line="360" w:lineRule="auto"/>
              <w:ind w:firstLine="241" w:firstLineChars="100"/>
              <w:rPr>
                <w:rFonts w:hint="default" w:ascii="Times New Roman" w:hAnsi="Times New Roman" w:eastAsia="宋体" w:cs="Times New Roman"/>
                <w:b/>
                <w:bCs/>
                <w:color w:val="auto"/>
                <w:sz w:val="24"/>
                <w:szCs w:val="24"/>
              </w:rPr>
            </w:pPr>
            <w:r>
              <w:rPr>
                <w:rFonts w:hint="default" w:ascii="Times New Roman" w:hAnsi="Times New Roman" w:eastAsia="宋体" w:cs="Times New Roman"/>
                <w:b/>
                <w:color w:val="auto"/>
                <w:sz w:val="24"/>
                <w:szCs w:val="24"/>
                <w:lang w:val="en-US" w:eastAsia="zh-CN"/>
              </w:rPr>
              <w:t>2</w:t>
            </w:r>
            <w:r>
              <w:rPr>
                <w:rFonts w:hint="default" w:ascii="Times New Roman" w:hAnsi="Times New Roman" w:eastAsia="宋体" w:cs="Times New Roman"/>
                <w:b/>
                <w:color w:val="auto"/>
                <w:sz w:val="24"/>
                <w:szCs w:val="24"/>
              </w:rPr>
              <w:t>、</w:t>
            </w:r>
            <w:r>
              <w:rPr>
                <w:rFonts w:hint="default" w:ascii="Times New Roman" w:hAnsi="Times New Roman" w:eastAsia="宋体" w:cs="Times New Roman"/>
                <w:b/>
                <w:bCs/>
                <w:color w:val="auto"/>
                <w:sz w:val="24"/>
                <w:szCs w:val="24"/>
              </w:rPr>
              <w:t>与《资阳市“十四五”生态保护和自然资源利用规划》的符合性分析</w:t>
            </w:r>
          </w:p>
          <w:p w14:paraId="3B0F9C27">
            <w:pPr>
              <w:spacing w:line="360" w:lineRule="auto"/>
              <w:ind w:firstLine="480" w:firstLineChars="20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生态系统保育能力得到新提升。加强沱江、涪江流域生态保护修复整治修复滩涂湿地建设江河岸线防护林和沿江绿色生态廊道，优化林分结构，逐步提升森林质量和生态功能，开展全域土地综合整治，提升灾害风险防控能力。到 2025 年，全面完成全域土地综合试点工作，落实上级下达生态红线指标确保森林覆盖率达到38%、森林蓄积量达到1000万立方米、林地保有量不低于1050平方公里、湿地面积不低于0.94平方公里。</w:t>
            </w:r>
          </w:p>
          <w:p w14:paraId="5BC7635E">
            <w:pPr>
              <w:spacing w:line="360" w:lineRule="auto"/>
              <w:ind w:firstLine="480" w:firstLineChars="20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w:t>
            </w:r>
            <w:r>
              <w:rPr>
                <w:rFonts w:hint="default" w:ascii="Times New Roman" w:hAnsi="Times New Roman" w:eastAsia="宋体" w:cs="Times New Roman"/>
                <w:color w:val="auto"/>
                <w:sz w:val="24"/>
                <w:szCs w:val="24"/>
                <w:lang w:val="en-US" w:eastAsia="zh-CN"/>
              </w:rPr>
              <w:t>为</w:t>
            </w:r>
            <w:r>
              <w:rPr>
                <w:rFonts w:hint="default" w:ascii="Times New Roman" w:hAnsi="Times New Roman" w:eastAsia="宋体" w:cs="Times New Roman"/>
                <w:color w:val="auto"/>
                <w:sz w:val="24"/>
                <w:szCs w:val="24"/>
              </w:rPr>
              <w:t>林木培育、人工造林、林下经济和森林旅游等产业，本项目的建设符合《资阳市“十四五”生态保护和自然资源利用规划》要求。</w:t>
            </w:r>
          </w:p>
          <w:p w14:paraId="08061012">
            <w:pPr>
              <w:spacing w:line="360" w:lineRule="auto"/>
              <w:ind w:firstLine="241" w:firstLineChars="100"/>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lang w:val="en-US" w:eastAsia="zh-CN"/>
              </w:rPr>
              <w:t>3</w:t>
            </w:r>
            <w:r>
              <w:rPr>
                <w:rFonts w:hint="default" w:ascii="Times New Roman" w:hAnsi="Times New Roman" w:eastAsia="宋体" w:cs="Times New Roman"/>
                <w:b/>
                <w:color w:val="auto"/>
                <w:sz w:val="24"/>
                <w:szCs w:val="24"/>
              </w:rPr>
              <w:t>、与《乐至县“十四五”生态环境保护规划》</w:t>
            </w:r>
            <w:r>
              <w:rPr>
                <w:rFonts w:hint="default" w:ascii="Times New Roman" w:hAnsi="Times New Roman" w:eastAsia="宋体" w:cs="Times New Roman"/>
                <w:b/>
                <w:bCs/>
                <w:color w:val="auto"/>
                <w:sz w:val="24"/>
                <w:szCs w:val="24"/>
              </w:rPr>
              <w:t>的符合性分析</w:t>
            </w:r>
          </w:p>
          <w:p w14:paraId="057B3B13">
            <w:pPr>
              <w:spacing w:line="360" w:lineRule="auto"/>
              <w:ind w:firstLine="480" w:firstLineChars="20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乐至县“十四五”生态环境保护规划明确要达成全县森林覆盖率 44.5%目标，巩固“全国绿化先进县、全国绿化模范县、全国造林百佳县”成果，乐至县应推进生态价值高效转化，构建与环境相适应的绿色产业结构。因地制宜引导重大基础设施、重大生产力和公共资源优化配置，守住自然资源、生态环境、城市安全底线，构建以绿色低碳为导向、聚焦主业、错位竞争的产业发展格局。构建“1+5+2”绿色农业产业发展格局，突出绿色化、融合化发展方向。培植发展“5+3”现代服务业产业体系，依托县域资源禀赋、生态</w:t>
            </w:r>
            <w:r>
              <w:rPr>
                <w:rFonts w:hint="default" w:ascii="Times New Roman" w:hAnsi="Times New Roman" w:eastAsia="宋体" w:cs="Times New Roman"/>
                <w:color w:val="auto"/>
                <w:sz w:val="24"/>
                <w:szCs w:val="24"/>
                <w:lang w:eastAsia="zh-CN"/>
              </w:rPr>
              <w:t>本底</w:t>
            </w:r>
            <w:r>
              <w:rPr>
                <w:rFonts w:hint="default" w:ascii="Times New Roman" w:hAnsi="Times New Roman" w:eastAsia="宋体" w:cs="Times New Roman"/>
                <w:color w:val="auto"/>
                <w:sz w:val="24"/>
                <w:szCs w:val="24"/>
              </w:rPr>
              <w:t>、环境条件，重点构建全域生态旅游发展格局。</w:t>
            </w:r>
          </w:p>
          <w:p w14:paraId="55FFACB2">
            <w:pPr>
              <w:spacing w:line="360" w:lineRule="auto"/>
              <w:ind w:firstLine="480" w:firstLineChars="20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的建设有利于改善乡村整体面貌的同时发展林木培育、加工制造、林下经济和森林旅游等产业，实现农民持续增收，提升乡村经济发展水平。因此，本项目的建设符合《乐至县“十四五”生态环境保护规划》要求。</w:t>
            </w:r>
          </w:p>
          <w:p w14:paraId="381D5E09">
            <w:pPr>
              <w:pStyle w:val="11"/>
              <w:kinsoku/>
              <w:autoSpaceDE/>
              <w:autoSpaceDN/>
              <w:adjustRightInd/>
              <w:snapToGrid/>
              <w:spacing w:before="0" w:line="360" w:lineRule="auto"/>
              <w:ind w:firstLine="482" w:firstLineChars="200"/>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4、与《乐至县“十四五”林业发展规划》符合性分析</w:t>
            </w:r>
          </w:p>
          <w:p w14:paraId="5E044187">
            <w:pPr>
              <w:pStyle w:val="11"/>
              <w:kinsoku/>
              <w:autoSpaceDE/>
              <w:autoSpaceDN/>
              <w:adjustRightInd/>
              <w:snapToGrid/>
              <w:spacing w:before="0" w:line="360" w:lineRule="auto"/>
              <w:ind w:firstLine="452" w:firstLineChars="200"/>
              <w:jc w:val="both"/>
              <w:textAlignment w:val="auto"/>
              <w:rPr>
                <w:rFonts w:hint="default" w:ascii="Times New Roman" w:hAnsi="Times New Roman" w:eastAsia="宋体" w:cs="Times New Roman"/>
                <w:color w:val="auto"/>
                <w:spacing w:val="-7"/>
                <w:sz w:val="24"/>
                <w:szCs w:val="24"/>
                <w:lang w:val="en-US" w:eastAsia="zh-CN"/>
              </w:rPr>
            </w:pPr>
            <w:r>
              <w:rPr>
                <w:rFonts w:hint="default" w:ascii="Times New Roman" w:hAnsi="Times New Roman" w:eastAsia="宋体" w:cs="Times New Roman"/>
                <w:color w:val="auto"/>
                <w:spacing w:val="-7"/>
                <w:sz w:val="24"/>
                <w:szCs w:val="24"/>
                <w:lang w:val="en-US" w:eastAsia="zh-CN"/>
              </w:rPr>
              <w:t>根据2023年4月13日乐至县人民政府印发的《乐至县“十四五”林业发展规划》（2021-2025年）可知，至“十四五”期末，完成集约人工造林5.3万亩，新发展林下经济及经济林2万亩，实施现有林改培2万亩，中幼林抚育17.2万亩。全县森林覆盖率持续提升，活立木蓄积达到250万立方米，森林火灾受损率低于0.8‰，林业有害生物成灾率低于3‰。至“十四五”期末，全县国土绿化工作再进步，林业产业富民能力再增强，生态保护红线坚决不逾越，森林资源总量、质量和均量共提升，林业治理体系和治理能力步入现代化水平，努力实现全县林业的可持续发展。在乐至县北部片区开展人工林集约林栽培3万亩，现有林改1.3万亩，中幼林抚育9.8万亩，林下经济及经济林1.05万亩，以及道路等基础设施建设等。</w:t>
            </w:r>
          </w:p>
          <w:p w14:paraId="06F2BDE8">
            <w:pPr>
              <w:rPr>
                <w:rFonts w:hint="default" w:ascii="Times New Roman" w:hAnsi="Times New Roman" w:cs="Times New Roman"/>
                <w:color w:val="auto"/>
                <w:lang w:val="en-US" w:eastAsia="zh-CN"/>
              </w:rPr>
            </w:pPr>
            <w:r>
              <w:rPr>
                <w:rFonts w:hint="default" w:ascii="Times New Roman" w:hAnsi="Times New Roman" w:cs="Times New Roman"/>
                <w:color w:val="auto"/>
              </w:rPr>
              <w:drawing>
                <wp:inline distT="0" distB="0" distL="114300" distR="114300">
                  <wp:extent cx="4704080" cy="3821430"/>
                  <wp:effectExtent l="0" t="0" r="1270" b="7620"/>
                  <wp:docPr id="5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
                          <pic:cNvPicPr>
                            <a:picLocks noChangeAspect="1"/>
                          </pic:cNvPicPr>
                        </pic:nvPicPr>
                        <pic:blipFill>
                          <a:blip r:embed="rId15"/>
                          <a:stretch>
                            <a:fillRect/>
                          </a:stretch>
                        </pic:blipFill>
                        <pic:spPr>
                          <a:xfrm>
                            <a:off x="0" y="0"/>
                            <a:ext cx="4704080" cy="3821430"/>
                          </a:xfrm>
                          <a:prstGeom prst="rect">
                            <a:avLst/>
                          </a:prstGeom>
                          <a:noFill/>
                          <a:ln>
                            <a:noFill/>
                          </a:ln>
                        </pic:spPr>
                      </pic:pic>
                    </a:graphicData>
                  </a:graphic>
                </wp:inline>
              </w:drawing>
            </w:r>
          </w:p>
          <w:p w14:paraId="569979ED">
            <w:pPr>
              <w:pStyle w:val="11"/>
              <w:kinsoku/>
              <w:autoSpaceDE/>
              <w:autoSpaceDN/>
              <w:adjustRightInd/>
              <w:snapToGrid/>
              <w:spacing w:before="0" w:line="360" w:lineRule="auto"/>
              <w:ind w:firstLine="452" w:firstLineChars="200"/>
              <w:jc w:val="both"/>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pacing w:val="-7"/>
                <w:sz w:val="24"/>
                <w:szCs w:val="24"/>
                <w:lang w:val="en-US" w:eastAsia="zh-CN"/>
              </w:rPr>
              <w:t>本项目为</w:t>
            </w:r>
            <w:r>
              <w:rPr>
                <w:rFonts w:hint="default" w:ascii="Times New Roman" w:hAnsi="Times New Roman" w:eastAsia="宋体" w:cs="Times New Roman"/>
                <w:color w:val="auto"/>
                <w:spacing w:val="-7"/>
                <w:sz w:val="24"/>
                <w:szCs w:val="24"/>
              </w:rPr>
              <w:t>乐至县北部片区国家储备林建设及森林质量提升项目</w:t>
            </w:r>
            <w:r>
              <w:rPr>
                <w:rFonts w:hint="default" w:ascii="Times New Roman" w:hAnsi="Times New Roman" w:eastAsia="宋体" w:cs="Times New Roman"/>
                <w:color w:val="auto"/>
                <w:spacing w:val="-7"/>
                <w:sz w:val="24"/>
                <w:szCs w:val="24"/>
                <w:lang w:eastAsia="zh-CN"/>
              </w:rPr>
              <w:t>，</w:t>
            </w:r>
            <w:r>
              <w:rPr>
                <w:rFonts w:hint="default" w:ascii="Times New Roman" w:hAnsi="Times New Roman" w:eastAsia="宋体" w:cs="Times New Roman"/>
                <w:color w:val="auto"/>
                <w:sz w:val="24"/>
                <w:szCs w:val="24"/>
              </w:rPr>
              <w:t>根据上表，本项目已纳入“十四五”期间，全县规划林业项目</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项目2023年-2024年作业设计建设内容集约人工林栽培7628.4亩；现有林改培5081.6亩；中幼林抚育39791.2亩；特色经济林3000.0亩；珍稀林木2081.0亩；珍稀林地块中套种林下中药材1035.9亩；特色经济林地块中套种林下花卉205.0亩；林下种菌500.0亩</w:t>
            </w:r>
            <w:r>
              <w:rPr>
                <w:rFonts w:hint="default" w:ascii="Times New Roman" w:hAnsi="Times New Roman" w:eastAsia="宋体" w:cs="Times New Roman"/>
                <w:color w:val="auto"/>
                <w:spacing w:val="-7"/>
                <w:sz w:val="24"/>
                <w:szCs w:val="24"/>
              </w:rPr>
              <w:t>。未超过规划的建设内容及规模</w:t>
            </w:r>
            <w:r>
              <w:rPr>
                <w:rFonts w:hint="default" w:ascii="Times New Roman" w:hAnsi="Times New Roman" w:eastAsia="宋体" w:cs="Times New Roman"/>
                <w:color w:val="auto"/>
                <w:spacing w:val="-7"/>
                <w:sz w:val="24"/>
                <w:szCs w:val="24"/>
                <w:lang w:eastAsia="zh-CN"/>
              </w:rPr>
              <w:t>，</w:t>
            </w:r>
            <w:r>
              <w:rPr>
                <w:rFonts w:hint="default" w:ascii="Times New Roman" w:hAnsi="Times New Roman" w:eastAsia="宋体" w:cs="Times New Roman"/>
                <w:color w:val="auto"/>
                <w:spacing w:val="-7"/>
                <w:sz w:val="24"/>
                <w:szCs w:val="24"/>
                <w:lang w:val="en-US" w:eastAsia="zh-CN"/>
              </w:rPr>
              <w:t>因此，本项目的建设符合《乐至县“十四五”林业发展规划》要求</w:t>
            </w:r>
            <w:r>
              <w:rPr>
                <w:rFonts w:hint="default" w:ascii="Times New Roman" w:hAnsi="Times New Roman" w:eastAsia="宋体" w:cs="Times New Roman"/>
                <w:color w:val="auto"/>
                <w:sz w:val="24"/>
                <w:szCs w:val="24"/>
                <w:lang w:eastAsia="zh-CN"/>
              </w:rPr>
              <w:t>。</w:t>
            </w:r>
          </w:p>
        </w:tc>
      </w:tr>
      <w:tr w14:paraId="76B0088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86" w:type="dxa"/>
            <w:vAlign w:val="center"/>
          </w:tcPr>
          <w:p w14:paraId="4B8481E7">
            <w:pPr>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其他符合性分析</w:t>
            </w:r>
          </w:p>
        </w:tc>
        <w:tc>
          <w:tcPr>
            <w:tcW w:w="7701" w:type="dxa"/>
            <w:gridSpan w:val="3"/>
            <w:vAlign w:val="center"/>
          </w:tcPr>
          <w:p w14:paraId="53789EBE">
            <w:pPr>
              <w:spacing w:line="360" w:lineRule="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二、其他符合性分析</w:t>
            </w:r>
          </w:p>
          <w:p w14:paraId="2E333B95">
            <w:pPr>
              <w:spacing w:line="360" w:lineRule="auto"/>
              <w:ind w:firstLine="241" w:firstLineChars="10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1、产业政策相符合性分析</w:t>
            </w:r>
          </w:p>
          <w:p w14:paraId="724B884B">
            <w:pPr>
              <w:spacing w:line="360" w:lineRule="auto"/>
              <w:ind w:firstLine="480" w:firstLineChars="20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国民经济行业分类》（GB/T4754-2017），本项目属于“A023森林经营、管护和改培”，根据中华人民共和国国家发展与改革委员会《产业结构调整指导目录（2019年本）》，本项目属于国家鼓励类中第一大类农林业中第28条：国家储备林建设，碳汇林建设、植树种草工程及林草种苗工程，油茶、油棕等木本粮油基地建设，生物质能源林定向培育与产业化建设项目”。</w:t>
            </w:r>
          </w:p>
          <w:p w14:paraId="2E03EF95">
            <w:pPr>
              <w:widowControl w:val="0"/>
              <w:kinsoku/>
              <w:spacing w:line="360" w:lineRule="auto"/>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同时，本项目已取得乐至县发展和改革局出具的《四川省固定资产投资项目备案表》（备案号：川投资备【2205-512022-04-01-870230】FGQB-0072号）。</w:t>
            </w:r>
          </w:p>
          <w:p w14:paraId="39BA5F16">
            <w:pPr>
              <w:widowControl w:val="0"/>
              <w:kinsoku/>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综上所述，本项目为鼓励类项目，符合国家现行产业政策。</w:t>
            </w:r>
          </w:p>
          <w:p w14:paraId="582EA248">
            <w:pPr>
              <w:spacing w:line="360" w:lineRule="auto"/>
              <w:ind w:firstLine="241" w:firstLineChars="10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2、与《国家储备林建设规划（2018-2035年）》的符合性分析</w:t>
            </w:r>
          </w:p>
          <w:p w14:paraId="77A26B23">
            <w:pPr>
              <w:pStyle w:val="11"/>
              <w:kinsoku/>
              <w:autoSpaceDE/>
              <w:autoSpaceDN/>
              <w:adjustRightInd/>
              <w:snapToGrid/>
              <w:spacing w:before="0" w:line="360" w:lineRule="auto"/>
              <w:ind w:firstLine="480" w:firstLineChars="200"/>
              <w:textAlignment w:val="auto"/>
              <w:rPr>
                <w:rFonts w:hint="default" w:ascii="Times New Roman" w:hAnsi="Times New Roman" w:eastAsia="宋体" w:cs="Times New Roman"/>
                <w:bCs/>
                <w:color w:val="auto"/>
              </w:rPr>
            </w:pPr>
            <w:r>
              <w:rPr>
                <w:rFonts w:hint="default" w:ascii="Times New Roman" w:hAnsi="Times New Roman" w:eastAsia="宋体" w:cs="Times New Roman"/>
                <w:bCs/>
                <w:color w:val="auto"/>
              </w:rPr>
              <w:t>《国家储备林建设规划（2018-2035年）》明确要通过集约人工林栽培、现有林改培、中幼林抚育等措施，营造规模适度、优质高效的国家储备林，实现到2035年建设国家储备林2000万公顷，建成后每年蓄积净增加量约2亿立方米，实现我国一般用材基本自给的目标。</w:t>
            </w:r>
          </w:p>
          <w:p w14:paraId="6002A43C">
            <w:pPr>
              <w:pStyle w:val="11"/>
              <w:kinsoku/>
              <w:autoSpaceDE/>
              <w:autoSpaceDN/>
              <w:adjustRightInd/>
              <w:snapToGrid/>
              <w:spacing w:before="0" w:line="360" w:lineRule="auto"/>
              <w:ind w:firstLine="480" w:firstLineChars="200"/>
              <w:textAlignment w:val="auto"/>
              <w:rPr>
                <w:rFonts w:hint="default" w:ascii="Times New Roman" w:hAnsi="Times New Roman" w:eastAsia="宋体" w:cs="Times New Roman"/>
                <w:bCs/>
                <w:color w:val="auto"/>
              </w:rPr>
            </w:pPr>
            <w:r>
              <w:rPr>
                <w:rFonts w:hint="default" w:ascii="Times New Roman" w:hAnsi="Times New Roman" w:eastAsia="宋体" w:cs="Times New Roman"/>
                <w:bCs/>
                <w:color w:val="auto"/>
              </w:rPr>
              <w:t>根据《规划》，国家储备林建设布局按照自然条件、培育树种和培育方式相似的原则，将建设范围划分为各具特色的七大区域，乐至县位于其中的西南适宜地区，自然条件较为优越，年均降水量在800毫米以上，为因地制宜地培育桢楠、红椿、降香黄檀、铁刀木等珍稀树种和大径级用材林提供了条件。</w:t>
            </w:r>
          </w:p>
          <w:p w14:paraId="759484E3">
            <w:pPr>
              <w:pStyle w:val="11"/>
              <w:kinsoku/>
              <w:autoSpaceDE/>
              <w:autoSpaceDN/>
              <w:adjustRightInd/>
              <w:snapToGrid/>
              <w:spacing w:before="0" w:line="360" w:lineRule="auto"/>
              <w:ind w:firstLine="480" w:firstLineChars="200"/>
              <w:jc w:val="both"/>
              <w:textAlignment w:val="auto"/>
              <w:rPr>
                <w:rFonts w:hint="default" w:ascii="Times New Roman" w:hAnsi="Times New Roman" w:eastAsia="宋体" w:cs="Times New Roman"/>
                <w:bCs/>
                <w:color w:val="auto"/>
              </w:rPr>
            </w:pPr>
            <w:r>
              <w:rPr>
                <w:rFonts w:hint="default" w:ascii="Times New Roman" w:hAnsi="Times New Roman" w:eastAsia="宋体" w:cs="Times New Roman"/>
                <w:bCs/>
                <w:color w:val="auto"/>
              </w:rPr>
              <w:t>综上，本项目的建设符合《国家储备林建设规划（2018-2035年）》的要求。</w:t>
            </w:r>
          </w:p>
          <w:p w14:paraId="2FD4EB02">
            <w:pPr>
              <w:pStyle w:val="11"/>
              <w:kinsoku/>
              <w:autoSpaceDE/>
              <w:autoSpaceDN/>
              <w:adjustRightInd/>
              <w:snapToGrid/>
              <w:spacing w:before="0" w:line="360" w:lineRule="auto"/>
              <w:ind w:firstLine="480" w:firstLineChars="200"/>
              <w:jc w:val="both"/>
              <w:textAlignment w:val="auto"/>
              <w:rPr>
                <w:rFonts w:hint="default" w:ascii="Times New Roman" w:hAnsi="Times New Roman" w:eastAsia="宋体" w:cs="Times New Roman"/>
                <w:color w:val="auto"/>
              </w:rPr>
            </w:pPr>
          </w:p>
          <w:p w14:paraId="683816F6">
            <w:pPr>
              <w:rPr>
                <w:rFonts w:hint="default" w:ascii="Times New Roman" w:hAnsi="Times New Roman" w:eastAsia="宋体" w:cs="Times New Roman"/>
                <w:color w:val="auto"/>
              </w:rPr>
            </w:pPr>
          </w:p>
          <w:p w14:paraId="7ED5A9BD">
            <w:pPr>
              <w:pStyle w:val="21"/>
              <w:widowControl w:val="0"/>
              <w:kinsoku/>
              <w:autoSpaceDE/>
              <w:autoSpaceDN/>
              <w:adjustRightInd/>
              <w:snapToGrid/>
              <w:spacing w:line="336" w:lineRule="auto"/>
              <w:ind w:firstLine="0" w:firstLineChars="0"/>
              <w:textAlignment w:val="auto"/>
              <w:rPr>
                <w:rFonts w:hint="default" w:ascii="Times New Roman" w:hAnsi="Times New Roman" w:eastAsia="宋体" w:cs="Times New Roman"/>
                <w:color w:val="auto"/>
                <w:lang w:eastAsia="zh-CN"/>
              </w:rPr>
            </w:pPr>
          </w:p>
          <w:p w14:paraId="212106BE">
            <w:pPr>
              <w:pStyle w:val="21"/>
              <w:widowControl w:val="0"/>
              <w:kinsoku/>
              <w:autoSpaceDE/>
              <w:autoSpaceDN/>
              <w:adjustRightInd/>
              <w:snapToGrid/>
              <w:spacing w:line="336" w:lineRule="auto"/>
              <w:ind w:firstLine="0" w:firstLineChars="0"/>
              <w:textAlignment w:val="auto"/>
              <w:rPr>
                <w:rFonts w:hint="default" w:ascii="Times New Roman" w:hAnsi="Times New Roman" w:eastAsia="宋体" w:cs="Times New Roman"/>
                <w:color w:val="auto"/>
                <w:lang w:eastAsia="zh-CN"/>
              </w:rPr>
            </w:pPr>
          </w:p>
          <w:p w14:paraId="2293ED8C">
            <w:pPr>
              <w:pStyle w:val="21"/>
              <w:widowControl w:val="0"/>
              <w:kinsoku/>
              <w:autoSpaceDE/>
              <w:autoSpaceDN/>
              <w:adjustRightInd/>
              <w:snapToGrid/>
              <w:spacing w:line="336" w:lineRule="auto"/>
              <w:ind w:firstLine="0" w:firstLineChars="0"/>
              <w:textAlignment w:val="auto"/>
              <w:rPr>
                <w:rFonts w:hint="default" w:ascii="Times New Roman" w:hAnsi="Times New Roman" w:eastAsia="宋体" w:cs="Times New Roman"/>
                <w:color w:val="auto"/>
                <w:lang w:eastAsia="zh-CN"/>
              </w:rPr>
            </w:pPr>
          </w:p>
          <w:p w14:paraId="7AAFF9EA">
            <w:pPr>
              <w:pStyle w:val="21"/>
              <w:widowControl w:val="0"/>
              <w:kinsoku/>
              <w:autoSpaceDE/>
              <w:autoSpaceDN/>
              <w:adjustRightInd/>
              <w:snapToGrid/>
              <w:spacing w:line="336" w:lineRule="auto"/>
              <w:ind w:firstLine="0" w:firstLineChars="0"/>
              <w:textAlignment w:val="auto"/>
              <w:rPr>
                <w:rFonts w:hint="default" w:ascii="Times New Roman" w:hAnsi="Times New Roman" w:eastAsia="宋体" w:cs="Times New Roman"/>
                <w:color w:val="auto"/>
                <w:lang w:eastAsia="zh-CN"/>
              </w:rPr>
            </w:pPr>
          </w:p>
          <w:p w14:paraId="637458C4">
            <w:pPr>
              <w:pStyle w:val="21"/>
              <w:widowControl w:val="0"/>
              <w:kinsoku/>
              <w:autoSpaceDE/>
              <w:autoSpaceDN/>
              <w:adjustRightInd/>
              <w:snapToGrid/>
              <w:spacing w:line="336" w:lineRule="auto"/>
              <w:ind w:firstLine="0" w:firstLineChars="0"/>
              <w:textAlignment w:val="auto"/>
              <w:rPr>
                <w:rFonts w:hint="default" w:ascii="Times New Roman" w:hAnsi="Times New Roman" w:eastAsia="宋体" w:cs="Times New Roman"/>
                <w:color w:val="auto"/>
                <w:lang w:eastAsia="zh-CN"/>
              </w:rPr>
            </w:pPr>
          </w:p>
          <w:p w14:paraId="1A592219">
            <w:pPr>
              <w:pStyle w:val="21"/>
              <w:widowControl w:val="0"/>
              <w:kinsoku/>
              <w:autoSpaceDE/>
              <w:autoSpaceDN/>
              <w:adjustRightInd/>
              <w:snapToGrid/>
              <w:spacing w:line="336" w:lineRule="auto"/>
              <w:ind w:firstLine="0" w:firstLineChars="0"/>
              <w:textAlignment w:val="auto"/>
              <w:rPr>
                <w:rFonts w:hint="default" w:ascii="Times New Roman" w:hAnsi="Times New Roman" w:eastAsia="宋体" w:cs="Times New Roman"/>
                <w:color w:val="auto"/>
                <w:lang w:eastAsia="zh-CN"/>
              </w:rPr>
            </w:pPr>
          </w:p>
          <w:p w14:paraId="0DED98A2">
            <w:pPr>
              <w:pStyle w:val="21"/>
              <w:widowControl w:val="0"/>
              <w:kinsoku/>
              <w:autoSpaceDE/>
              <w:autoSpaceDN/>
              <w:adjustRightInd/>
              <w:snapToGrid/>
              <w:spacing w:line="336" w:lineRule="auto"/>
              <w:ind w:firstLine="0" w:firstLineChars="0"/>
              <w:textAlignment w:val="auto"/>
              <w:rPr>
                <w:rFonts w:hint="default" w:ascii="Times New Roman" w:hAnsi="Times New Roman" w:eastAsia="宋体" w:cs="Times New Roman"/>
                <w:color w:val="auto"/>
                <w:lang w:eastAsia="zh-CN"/>
              </w:rPr>
            </w:pPr>
          </w:p>
          <w:p w14:paraId="74EEF757">
            <w:pPr>
              <w:pStyle w:val="21"/>
              <w:widowControl w:val="0"/>
              <w:kinsoku/>
              <w:autoSpaceDE/>
              <w:autoSpaceDN/>
              <w:adjustRightInd/>
              <w:snapToGrid/>
              <w:spacing w:line="336" w:lineRule="auto"/>
              <w:ind w:firstLine="0" w:firstLineChars="0"/>
              <w:textAlignment w:val="auto"/>
              <w:rPr>
                <w:rFonts w:hint="default" w:ascii="Times New Roman" w:hAnsi="Times New Roman" w:eastAsia="宋体" w:cs="Times New Roman"/>
                <w:color w:val="auto"/>
                <w:lang w:eastAsia="zh-CN"/>
              </w:rPr>
            </w:pPr>
          </w:p>
          <w:p w14:paraId="704FE2B1">
            <w:pPr>
              <w:pStyle w:val="21"/>
              <w:widowControl w:val="0"/>
              <w:kinsoku/>
              <w:autoSpaceDE/>
              <w:autoSpaceDN/>
              <w:adjustRightInd/>
              <w:snapToGrid/>
              <w:spacing w:line="336" w:lineRule="auto"/>
              <w:ind w:firstLine="0" w:firstLineChars="0"/>
              <w:textAlignment w:val="auto"/>
              <w:rPr>
                <w:rFonts w:hint="default" w:ascii="Times New Roman" w:hAnsi="Times New Roman" w:eastAsia="宋体" w:cs="Times New Roman"/>
                <w:color w:val="auto"/>
                <w:lang w:eastAsia="zh-CN"/>
              </w:rPr>
            </w:pPr>
          </w:p>
          <w:p w14:paraId="13A67D7C">
            <w:pPr>
              <w:pStyle w:val="21"/>
              <w:widowControl w:val="0"/>
              <w:kinsoku/>
              <w:autoSpaceDE/>
              <w:autoSpaceDN/>
              <w:adjustRightInd/>
              <w:snapToGrid/>
              <w:spacing w:line="336" w:lineRule="auto"/>
              <w:ind w:firstLine="0" w:firstLineChars="0"/>
              <w:textAlignment w:val="auto"/>
              <w:rPr>
                <w:rFonts w:hint="default" w:ascii="Times New Roman" w:hAnsi="Times New Roman" w:eastAsia="宋体" w:cs="Times New Roman"/>
                <w:color w:val="auto"/>
                <w:lang w:eastAsia="zh-CN"/>
              </w:rPr>
            </w:pPr>
          </w:p>
          <w:p w14:paraId="703D8C66">
            <w:pPr>
              <w:pStyle w:val="21"/>
              <w:widowControl w:val="0"/>
              <w:kinsoku/>
              <w:autoSpaceDE/>
              <w:autoSpaceDN/>
              <w:adjustRightInd/>
              <w:snapToGrid/>
              <w:spacing w:line="336" w:lineRule="auto"/>
              <w:ind w:firstLine="0" w:firstLineChars="0"/>
              <w:textAlignment w:val="auto"/>
              <w:rPr>
                <w:rFonts w:hint="default" w:ascii="Times New Roman" w:hAnsi="Times New Roman" w:eastAsia="宋体" w:cs="Times New Roman"/>
                <w:color w:val="auto"/>
                <w:lang w:eastAsia="zh-CN"/>
              </w:rPr>
            </w:pPr>
          </w:p>
          <w:p w14:paraId="214A3EAC">
            <w:pPr>
              <w:pStyle w:val="21"/>
              <w:widowControl w:val="0"/>
              <w:kinsoku/>
              <w:autoSpaceDE/>
              <w:autoSpaceDN/>
              <w:adjustRightInd/>
              <w:snapToGrid/>
              <w:spacing w:line="336" w:lineRule="auto"/>
              <w:ind w:firstLine="0" w:firstLineChars="0"/>
              <w:textAlignment w:val="auto"/>
              <w:rPr>
                <w:rFonts w:hint="default" w:ascii="Times New Roman" w:hAnsi="Times New Roman" w:eastAsia="宋体" w:cs="Times New Roman"/>
                <w:color w:val="auto"/>
                <w:lang w:eastAsia="zh-CN"/>
              </w:rPr>
            </w:pPr>
          </w:p>
          <w:p w14:paraId="57B0C7B8">
            <w:pPr>
              <w:pStyle w:val="21"/>
              <w:widowControl w:val="0"/>
              <w:kinsoku/>
              <w:autoSpaceDE/>
              <w:autoSpaceDN/>
              <w:adjustRightInd/>
              <w:snapToGrid/>
              <w:spacing w:line="336" w:lineRule="auto"/>
              <w:ind w:firstLine="0" w:firstLineChars="0"/>
              <w:textAlignment w:val="auto"/>
              <w:rPr>
                <w:rFonts w:hint="default" w:ascii="Times New Roman" w:hAnsi="Times New Roman" w:eastAsia="宋体" w:cs="Times New Roman"/>
                <w:color w:val="auto"/>
                <w:lang w:eastAsia="zh-CN"/>
              </w:rPr>
            </w:pPr>
          </w:p>
          <w:p w14:paraId="2C437369">
            <w:pPr>
              <w:pStyle w:val="21"/>
              <w:widowControl w:val="0"/>
              <w:kinsoku/>
              <w:autoSpaceDE/>
              <w:autoSpaceDN/>
              <w:adjustRightInd/>
              <w:snapToGrid/>
              <w:spacing w:line="336" w:lineRule="auto"/>
              <w:ind w:firstLine="0" w:firstLineChars="0"/>
              <w:textAlignment w:val="auto"/>
              <w:rPr>
                <w:rFonts w:hint="default" w:ascii="Times New Roman" w:hAnsi="Times New Roman" w:eastAsia="宋体" w:cs="Times New Roman"/>
                <w:color w:val="auto"/>
                <w:lang w:eastAsia="zh-CN"/>
              </w:rPr>
            </w:pPr>
          </w:p>
          <w:p w14:paraId="210A43F0">
            <w:pPr>
              <w:pStyle w:val="21"/>
              <w:widowControl w:val="0"/>
              <w:kinsoku/>
              <w:autoSpaceDE/>
              <w:autoSpaceDN/>
              <w:adjustRightInd/>
              <w:snapToGrid/>
              <w:spacing w:line="336" w:lineRule="auto"/>
              <w:ind w:firstLine="0" w:firstLineChars="0"/>
              <w:textAlignment w:val="auto"/>
              <w:rPr>
                <w:rFonts w:hint="default" w:ascii="Times New Roman" w:hAnsi="Times New Roman" w:eastAsia="宋体" w:cs="Times New Roman"/>
                <w:color w:val="auto"/>
                <w:lang w:eastAsia="zh-CN"/>
              </w:rPr>
            </w:pPr>
          </w:p>
          <w:p w14:paraId="03FFAC4C">
            <w:pPr>
              <w:pStyle w:val="21"/>
              <w:widowControl w:val="0"/>
              <w:kinsoku/>
              <w:autoSpaceDE/>
              <w:autoSpaceDN/>
              <w:adjustRightInd/>
              <w:snapToGrid/>
              <w:spacing w:line="336" w:lineRule="auto"/>
              <w:ind w:firstLine="0" w:firstLineChars="0"/>
              <w:textAlignment w:val="auto"/>
              <w:rPr>
                <w:rFonts w:hint="default" w:ascii="Times New Roman" w:hAnsi="Times New Roman" w:eastAsia="宋体" w:cs="Times New Roman"/>
                <w:color w:val="auto"/>
                <w:lang w:eastAsia="zh-CN"/>
              </w:rPr>
            </w:pPr>
          </w:p>
        </w:tc>
      </w:tr>
    </w:tbl>
    <w:p w14:paraId="6AEF0D32">
      <w:pPr>
        <w:rPr>
          <w:rFonts w:hint="default" w:ascii="Times New Roman" w:hAnsi="Times New Roman" w:eastAsia="宋体" w:cs="Times New Roman"/>
          <w:color w:val="auto"/>
        </w:rPr>
        <w:sectPr>
          <w:footerReference r:id="rId5" w:type="default"/>
          <w:pgSz w:w="11906" w:h="16838"/>
          <w:pgMar w:top="1440" w:right="1800" w:bottom="1440" w:left="1800" w:header="794" w:footer="624" w:gutter="0"/>
          <w:pgNumType w:start="1"/>
          <w:cols w:space="720" w:num="1"/>
          <w:docGrid w:type="lines" w:linePitch="312" w:charSpace="0"/>
        </w:sectPr>
      </w:pPr>
    </w:p>
    <w:tbl>
      <w:tblPr>
        <w:tblStyle w:val="3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445"/>
      </w:tblGrid>
      <w:tr w14:paraId="1961CE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46" w:hRule="atLeast"/>
        </w:trPr>
        <w:tc>
          <w:tcPr>
            <w:tcW w:w="15614" w:type="dxa"/>
          </w:tcPr>
          <w:p w14:paraId="1CC3D1CA">
            <w:pPr>
              <w:pStyle w:val="11"/>
              <w:kinsoku/>
              <w:autoSpaceDE/>
              <w:autoSpaceDN/>
              <w:adjustRightInd/>
              <w:snapToGrid/>
              <w:spacing w:before="0" w:line="360" w:lineRule="auto"/>
              <w:ind w:firstLine="241" w:firstLineChars="100"/>
              <w:textAlignment w:val="auto"/>
              <w:rPr>
                <w:rFonts w:hint="default" w:ascii="Times New Roman" w:hAnsi="Times New Roman" w:eastAsia="宋体" w:cs="Times New Roman"/>
                <w:b/>
                <w:bCs/>
                <w:color w:val="auto"/>
              </w:rPr>
            </w:pPr>
            <w:r>
              <w:rPr>
                <w:rFonts w:hint="default" w:ascii="Times New Roman" w:hAnsi="Times New Roman" w:eastAsia="宋体" w:cs="Times New Roman"/>
                <w:b/>
                <w:bCs/>
                <w:color w:val="auto"/>
                <w:lang w:val="en-US" w:eastAsia="zh-CN"/>
              </w:rPr>
              <w:t>3</w:t>
            </w:r>
            <w:r>
              <w:rPr>
                <w:rFonts w:hint="default" w:ascii="Times New Roman" w:hAnsi="Times New Roman" w:eastAsia="宋体" w:cs="Times New Roman"/>
                <w:b/>
                <w:bCs/>
                <w:color w:val="auto"/>
              </w:rPr>
              <w:t>、本项目建设与“三线一单”符合性分析</w:t>
            </w:r>
          </w:p>
          <w:p w14:paraId="79EB9AFB">
            <w:pPr>
              <w:pStyle w:val="11"/>
              <w:kinsoku/>
              <w:autoSpaceDE/>
              <w:autoSpaceDN/>
              <w:adjustRightInd/>
              <w:snapToGrid/>
              <w:spacing w:before="0" w:line="360" w:lineRule="auto"/>
              <w:ind w:firstLine="482" w:firstLineChars="200"/>
              <w:textAlignment w:val="auto"/>
              <w:rPr>
                <w:rFonts w:hint="default" w:ascii="Times New Roman" w:hAnsi="Times New Roman" w:eastAsia="宋体" w:cs="Times New Roman"/>
                <w:b/>
                <w:bCs/>
                <w:color w:val="auto"/>
              </w:rPr>
            </w:pPr>
            <w:r>
              <w:rPr>
                <w:rFonts w:hint="default" w:ascii="Times New Roman" w:hAnsi="Times New Roman" w:eastAsia="宋体" w:cs="Times New Roman"/>
                <w:b/>
                <w:bCs/>
                <w:color w:val="auto"/>
                <w:lang w:val="en-US" w:eastAsia="zh-CN"/>
              </w:rPr>
              <w:t>3</w:t>
            </w:r>
            <w:r>
              <w:rPr>
                <w:rFonts w:hint="default" w:ascii="Times New Roman" w:hAnsi="Times New Roman" w:eastAsia="宋体" w:cs="Times New Roman"/>
                <w:b/>
                <w:bCs/>
                <w:color w:val="auto"/>
              </w:rPr>
              <w:t>.1总体要求</w:t>
            </w:r>
          </w:p>
          <w:p w14:paraId="04684325">
            <w:pPr>
              <w:spacing w:line="360" w:lineRule="auto"/>
              <w:ind w:firstLine="480" w:firstLineChars="20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根据四川省人民政府《关于落实生态保护红线、环境质量底线、资源利用上线制定生态环境准入清单实施生态环境分区管控的通知》（川府发[2020]9 号）以及《长江经济带战略环境评价-资阳市“三线一单”优化完善文本》，对项目拟建区域总体管控要求分析如下：</w:t>
            </w:r>
          </w:p>
          <w:p w14:paraId="46B576BD">
            <w:pPr>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表1-2  本项目与总体管控要求符合性分析一览表</w:t>
            </w:r>
          </w:p>
          <w:tbl>
            <w:tblPr>
              <w:tblStyle w:val="43"/>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388"/>
              <w:gridCol w:w="8911"/>
              <w:gridCol w:w="2871"/>
              <w:gridCol w:w="1053"/>
            </w:tblGrid>
            <w:tr w14:paraId="6CDB393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488" w:type="pct"/>
                  <w:tcBorders>
                    <w:tl2br w:val="nil"/>
                    <w:tr2bl w:val="nil"/>
                  </w:tcBorders>
                  <w:vAlign w:val="center"/>
                </w:tcPr>
                <w:p w14:paraId="00E6579A">
                  <w:pPr>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类别</w:t>
                  </w:r>
                </w:p>
              </w:tc>
              <w:tc>
                <w:tcPr>
                  <w:tcW w:w="3132" w:type="pct"/>
                  <w:tcBorders>
                    <w:tl2br w:val="nil"/>
                    <w:tr2bl w:val="nil"/>
                  </w:tcBorders>
                  <w:vAlign w:val="center"/>
                </w:tcPr>
                <w:p w14:paraId="16F0D941">
                  <w:pPr>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管控要求</w:t>
                  </w:r>
                </w:p>
              </w:tc>
              <w:tc>
                <w:tcPr>
                  <w:tcW w:w="1009" w:type="pct"/>
                  <w:tcBorders>
                    <w:tl2br w:val="nil"/>
                    <w:tr2bl w:val="nil"/>
                  </w:tcBorders>
                  <w:vAlign w:val="center"/>
                </w:tcPr>
                <w:p w14:paraId="605D9D44">
                  <w:pPr>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本项目</w:t>
                  </w:r>
                </w:p>
              </w:tc>
              <w:tc>
                <w:tcPr>
                  <w:tcW w:w="370" w:type="pct"/>
                  <w:tcBorders>
                    <w:tl2br w:val="nil"/>
                    <w:tr2bl w:val="nil"/>
                  </w:tcBorders>
                  <w:vAlign w:val="center"/>
                </w:tcPr>
                <w:p w14:paraId="0157E99E">
                  <w:pPr>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是否符合</w:t>
                  </w:r>
                </w:p>
              </w:tc>
            </w:tr>
            <w:tr w14:paraId="153C067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488" w:type="pct"/>
                  <w:tcBorders>
                    <w:tl2br w:val="nil"/>
                    <w:tr2bl w:val="nil"/>
                  </w:tcBorders>
                  <w:vAlign w:val="center"/>
                </w:tcPr>
                <w:p w14:paraId="59E71292">
                  <w:pPr>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四川省总体管控要求</w:t>
                  </w:r>
                </w:p>
              </w:tc>
              <w:tc>
                <w:tcPr>
                  <w:tcW w:w="3132" w:type="pct"/>
                  <w:tcBorders>
                    <w:tl2br w:val="nil"/>
                    <w:tr2bl w:val="nil"/>
                  </w:tcBorders>
                  <w:vAlign w:val="center"/>
                </w:tcPr>
                <w:p w14:paraId="300C9A16">
                  <w:pPr>
                    <w:numPr>
                      <w:ilvl w:val="0"/>
                      <w:numId w:val="2"/>
                    </w:numPr>
                    <w:jc w:val="both"/>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优先保护单元中，生态保护红线原则上按照禁止开发区域的要求进行管理，其中自然保护地核心保护区原则上禁止人为活动，其他区域严格禁止开发性、生产性建设活动，在符合现行法律法规前提下，除国家重大战略项目外，仅允许对生态功能不造成破坏的有限人为活动；一般生态空间按限制开发区域的要求进行管理，原则上不再新建各类开发区和扩大现有工业园区面积，已有的工业开发区要逐步改造成为低能耗、可循环、“零污染”的生态型工业区，鼓励发展“飞地经济”。</w:t>
                  </w:r>
                </w:p>
                <w:p w14:paraId="6C7F8DB7">
                  <w:pPr>
                    <w:numPr>
                      <w:ilvl w:val="0"/>
                      <w:numId w:val="2"/>
                    </w:numPr>
                    <w:jc w:val="both"/>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重点管控单元中，针对环境质量是否达标以及经济社会发展水平等因素，制定差别化的生态环境准入要求，对环境质量不达标区域，提出污染物削减比例要求，对环境质量达标区域，提出允许排放量建议指标。</w:t>
                  </w:r>
                </w:p>
                <w:p w14:paraId="3BC7D6D6">
                  <w:pPr>
                    <w:numPr>
                      <w:ilvl w:val="0"/>
                      <w:numId w:val="2"/>
                    </w:numPr>
                    <w:jc w:val="both"/>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一般管控单元中，执行区域生态环境保护的基本要求；对其中的永久基本农田实施永久特殊保护，不得擅自占用或者改变用途；对其中要素重点管控区提出水和大气污染重点管控要求。</w:t>
                  </w:r>
                </w:p>
              </w:tc>
              <w:tc>
                <w:tcPr>
                  <w:tcW w:w="1009" w:type="pct"/>
                  <w:tcBorders>
                    <w:tl2br w:val="nil"/>
                    <w:tr2bl w:val="nil"/>
                  </w:tcBorders>
                  <w:vAlign w:val="center"/>
                </w:tcPr>
                <w:p w14:paraId="588BFFB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本项目属于四川省总体管控要求中的环境综合管控单元城镇重点管控单元。项目为国家储备林建设及森林质量项目。本项目实施后，不新增大气污染物。本项目不涉及基本农田，符合要素控制要求。</w:t>
                  </w:r>
                </w:p>
              </w:tc>
              <w:tc>
                <w:tcPr>
                  <w:tcW w:w="370" w:type="pct"/>
                  <w:tcBorders>
                    <w:tl2br w:val="nil"/>
                    <w:tr2bl w:val="nil"/>
                  </w:tcBorders>
                  <w:vAlign w:val="center"/>
                </w:tcPr>
                <w:p w14:paraId="45EF29FA">
                  <w:pPr>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符合</w:t>
                  </w:r>
                </w:p>
              </w:tc>
            </w:tr>
            <w:tr w14:paraId="1E9FCF6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488" w:type="pct"/>
                  <w:tcBorders>
                    <w:tl2br w:val="nil"/>
                    <w:tr2bl w:val="nil"/>
                  </w:tcBorders>
                  <w:vAlign w:val="center"/>
                </w:tcPr>
                <w:p w14:paraId="35D049FC">
                  <w:pPr>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川南经济区总体管控要求</w:t>
                  </w:r>
                </w:p>
              </w:tc>
              <w:tc>
                <w:tcPr>
                  <w:tcW w:w="3132" w:type="pct"/>
                  <w:tcBorders>
                    <w:tl2br w:val="nil"/>
                    <w:tr2bl w:val="nil"/>
                  </w:tcBorders>
                  <w:vAlign w:val="center"/>
                </w:tcPr>
                <w:p w14:paraId="4A4DE3AC">
                  <w:pPr>
                    <w:jc w:val="both"/>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优化沿江、临城产业布局，明确岸线1公里范围内现有化工等高环境风险企业的管控要求。促进轻工、化工等传统产业提档升级，严控大气污染物排放。对区域发展产业提出高于全省平均水平的环境准入要求，对白酒产业和页岩气开发提出高水平的环境管控要求。针对内江、自贡等缺水区域，提高水资源利用效率，对高耗水项目提出最严格的环境准入要求。</w:t>
                  </w:r>
                </w:p>
              </w:tc>
              <w:tc>
                <w:tcPr>
                  <w:tcW w:w="1009" w:type="pct"/>
                  <w:tcBorders>
                    <w:tl2br w:val="nil"/>
                    <w:tr2bl w:val="nil"/>
                  </w:tcBorders>
                  <w:vAlign w:val="center"/>
                </w:tcPr>
                <w:p w14:paraId="6C55141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本项目距离长江173.00km，不位于岸线1公里范围内。本项目为国家储备林建设及森林质量项目，不属于轻工、化工传统产业、白酒产业、页岩气开发，本项目不属于高耗水项目。</w:t>
                  </w:r>
                </w:p>
              </w:tc>
              <w:tc>
                <w:tcPr>
                  <w:tcW w:w="370" w:type="pct"/>
                  <w:tcBorders>
                    <w:tl2br w:val="nil"/>
                    <w:tr2bl w:val="nil"/>
                  </w:tcBorders>
                  <w:vAlign w:val="center"/>
                </w:tcPr>
                <w:p w14:paraId="4ED8A523">
                  <w:pPr>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符合</w:t>
                  </w:r>
                </w:p>
              </w:tc>
            </w:tr>
            <w:tr w14:paraId="79F1AAD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488" w:type="pct"/>
                  <w:vMerge w:val="restart"/>
                  <w:tcBorders>
                    <w:tl2br w:val="nil"/>
                    <w:tr2bl w:val="nil"/>
                  </w:tcBorders>
                  <w:vAlign w:val="center"/>
                </w:tcPr>
                <w:p w14:paraId="488C6BC9">
                  <w:pPr>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资阳市总体管控要求</w:t>
                  </w:r>
                </w:p>
              </w:tc>
              <w:tc>
                <w:tcPr>
                  <w:tcW w:w="3132" w:type="pct"/>
                  <w:tcBorders>
                    <w:tl2br w:val="nil"/>
                    <w:tr2bl w:val="nil"/>
                  </w:tcBorders>
                  <w:vAlign w:val="center"/>
                </w:tcPr>
                <w:p w14:paraId="5A68D100">
                  <w:pPr>
                    <w:jc w:val="both"/>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1、严格执行生态保护红线、环境质量底线、资源利用上线和环境准入清单，将各类开发活动限制在资源环境承载能力之内。加强生态安全屏障建设，打造城镇生态隔离区，营造绿色生态格局。优化完善生态保护框架体系，加强市域核心生态资源保护，维护生态安全格局。落实长江十年禁渔计划，实施沱江流域全面禁捕，严厉打击非法捕捞。</w:t>
                  </w:r>
                </w:p>
              </w:tc>
              <w:tc>
                <w:tcPr>
                  <w:tcW w:w="1009" w:type="pct"/>
                  <w:tcBorders>
                    <w:tl2br w:val="nil"/>
                    <w:tr2bl w:val="nil"/>
                  </w:tcBorders>
                  <w:vAlign w:val="center"/>
                </w:tcPr>
                <w:p w14:paraId="0689C01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本项目为国家储备林建设及森林质量项目，符合生态保护红线、环境质量底线、资源利用上线和环境准入清单管控要求；本项目不属于捕捞产业。</w:t>
                  </w:r>
                </w:p>
              </w:tc>
              <w:tc>
                <w:tcPr>
                  <w:tcW w:w="370" w:type="pct"/>
                  <w:tcBorders>
                    <w:tl2br w:val="nil"/>
                    <w:tr2bl w:val="nil"/>
                  </w:tcBorders>
                  <w:vAlign w:val="center"/>
                </w:tcPr>
                <w:p w14:paraId="6764B19F">
                  <w:pPr>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符合</w:t>
                  </w:r>
                </w:p>
              </w:tc>
            </w:tr>
            <w:tr w14:paraId="6470272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488" w:type="pct"/>
                  <w:vMerge w:val="continue"/>
                  <w:tcBorders>
                    <w:tl2br w:val="nil"/>
                    <w:tr2bl w:val="nil"/>
                  </w:tcBorders>
                  <w:vAlign w:val="center"/>
                </w:tcPr>
                <w:p w14:paraId="5F1E33EF">
                  <w:pPr>
                    <w:jc w:val="center"/>
                    <w:rPr>
                      <w:rFonts w:hint="default" w:ascii="Times New Roman" w:hAnsi="Times New Roman" w:eastAsia="宋体" w:cs="Times New Roman"/>
                      <w:color w:val="auto"/>
                      <w:spacing w:val="-4"/>
                    </w:rPr>
                  </w:pPr>
                </w:p>
              </w:tc>
              <w:tc>
                <w:tcPr>
                  <w:tcW w:w="3132" w:type="pct"/>
                  <w:tcBorders>
                    <w:tl2br w:val="nil"/>
                    <w:tr2bl w:val="nil"/>
                  </w:tcBorders>
                  <w:vAlign w:val="center"/>
                </w:tcPr>
                <w:p w14:paraId="173A8432">
                  <w:pPr>
                    <w:jc w:val="both"/>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2、强化区域联防连控。协同构建生态空间和安全格局，引导城市空间和公园形态有机融合，共同推进沱江流域生态保护修复；强化山水林田湖草联合治理，共建沱江绿色发展经济带，打造同城化绿色发展示范区。协同推进深化环境污染联防联治，共建共享都市圈内大气污染院士工作站等平台和毗邻地区固体废弃物、污水处理设施，协同开展土壤污染防控和大气污染联防联控，推进流域协同治理，持续改善生态环境质量。</w:t>
                  </w:r>
                </w:p>
              </w:tc>
              <w:tc>
                <w:tcPr>
                  <w:tcW w:w="1009" w:type="pct"/>
                  <w:tcBorders>
                    <w:tl2br w:val="nil"/>
                    <w:tr2bl w:val="nil"/>
                  </w:tcBorders>
                  <w:vAlign w:val="center"/>
                </w:tcPr>
                <w:p w14:paraId="2F9798D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本项目</w:t>
                  </w:r>
                  <w:r>
                    <w:rPr>
                      <w:rFonts w:hint="default" w:ascii="Times New Roman" w:hAnsi="Times New Roman" w:eastAsia="宋体" w:cs="Times New Roman"/>
                      <w:color w:val="auto"/>
                      <w:lang w:eastAsia="zh-CN"/>
                    </w:rPr>
                    <w:t>生活污水经预处理后用作农肥不外排</w:t>
                  </w:r>
                  <w:r>
                    <w:rPr>
                      <w:rFonts w:hint="default" w:ascii="Times New Roman" w:hAnsi="Times New Roman" w:eastAsia="宋体" w:cs="Times New Roman"/>
                      <w:color w:val="auto"/>
                    </w:rPr>
                    <w:t>符合管控要求。</w:t>
                  </w:r>
                </w:p>
              </w:tc>
              <w:tc>
                <w:tcPr>
                  <w:tcW w:w="370" w:type="pct"/>
                  <w:tcBorders>
                    <w:tl2br w:val="nil"/>
                    <w:tr2bl w:val="nil"/>
                  </w:tcBorders>
                  <w:vAlign w:val="center"/>
                </w:tcPr>
                <w:p w14:paraId="39B84CCC">
                  <w:pPr>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符合</w:t>
                  </w:r>
                </w:p>
              </w:tc>
            </w:tr>
            <w:tr w14:paraId="387902C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488" w:type="pct"/>
                  <w:vMerge w:val="continue"/>
                  <w:tcBorders>
                    <w:tl2br w:val="nil"/>
                    <w:tr2bl w:val="nil"/>
                  </w:tcBorders>
                  <w:vAlign w:val="center"/>
                </w:tcPr>
                <w:p w14:paraId="40E47FA1">
                  <w:pPr>
                    <w:jc w:val="center"/>
                    <w:rPr>
                      <w:rFonts w:hint="default" w:ascii="Times New Roman" w:hAnsi="Times New Roman" w:eastAsia="宋体" w:cs="Times New Roman"/>
                      <w:color w:val="auto"/>
                      <w:spacing w:val="-4"/>
                    </w:rPr>
                  </w:pPr>
                </w:p>
              </w:tc>
              <w:tc>
                <w:tcPr>
                  <w:tcW w:w="3132" w:type="pct"/>
                  <w:tcBorders>
                    <w:tl2br w:val="nil"/>
                    <w:tr2bl w:val="nil"/>
                  </w:tcBorders>
                  <w:vAlign w:val="center"/>
                </w:tcPr>
                <w:p w14:paraId="7E4CFFDF">
                  <w:pPr>
                    <w:jc w:val="both"/>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mc:AlternateContent>
                      <mc:Choice Requires="wps">
                        <w:drawing>
                          <wp:anchor distT="0" distB="0" distL="114300" distR="114300" simplePos="0" relativeHeight="251663360" behindDoc="0" locked="0" layoutInCell="1" allowOverlap="1">
                            <wp:simplePos x="0" y="0"/>
                            <wp:positionH relativeFrom="page">
                              <wp:posOffset>3008630</wp:posOffset>
                            </wp:positionH>
                            <wp:positionV relativeFrom="page">
                              <wp:posOffset>8362950</wp:posOffset>
                            </wp:positionV>
                            <wp:extent cx="152400" cy="159385"/>
                            <wp:effectExtent l="0" t="0" r="0" b="0"/>
                            <wp:wrapNone/>
                            <wp:docPr id="2" name="文本框 2"/>
                            <wp:cNvGraphicFramePr/>
                            <a:graphic xmlns:a="http://schemas.openxmlformats.org/drawingml/2006/main">
                              <a:graphicData uri="http://schemas.microsoft.com/office/word/2010/wordprocessingShape">
                                <wps:wsp>
                                  <wps:cNvSpPr txBox="1"/>
                                  <wps:spPr>
                                    <a:xfrm>
                                      <a:off x="0" y="0"/>
                                      <a:ext cx="152400" cy="159385"/>
                                    </a:xfrm>
                                    <a:prstGeom prst="rect">
                                      <a:avLst/>
                                    </a:prstGeom>
                                    <a:noFill/>
                                    <a:ln>
                                      <a:noFill/>
                                    </a:ln>
                                    <a:effectLst/>
                                  </wps:spPr>
                                  <wps:txbx>
                                    <w:txbxContent>
                                      <w:p w14:paraId="23B249BC">
                                        <w:pPr>
                                          <w:spacing w:before="20" w:line="185" w:lineRule="auto"/>
                                          <w:rPr>
                                            <w:rFonts w:ascii="宋体" w:hAnsi="宋体" w:cs="宋体"/>
                                          </w:rPr>
                                        </w:pPr>
                                        <w:r>
                                          <w:rPr>
                                            <w:rFonts w:ascii="宋体" w:hAnsi="宋体" w:cs="宋体"/>
                                          </w:rPr>
                                          <w:t>求</w:t>
                                        </w:r>
                                      </w:p>
                                    </w:txbxContent>
                                  </wps:txbx>
                                  <wps:bodyPr lIns="0" tIns="0" rIns="0" bIns="0" upright="1"/>
                                </wps:wsp>
                              </a:graphicData>
                            </a:graphic>
                          </wp:anchor>
                        </w:drawing>
                      </mc:Choice>
                      <mc:Fallback>
                        <w:pict>
                          <v:shape id="_x0000_s1026" o:spid="_x0000_s1026" o:spt="202" type="#_x0000_t202" style="position:absolute;left:0pt;margin-left:236.9pt;margin-top:658.5pt;height:12.55pt;width:12pt;mso-position-horizontal-relative:page;mso-position-vertical-relative:page;z-index:251663360;mso-width-relative:page;mso-height-relative:page;" filled="f" stroked="f" coordsize="21600,21600" o:gfxdata="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Lv88jNoAAAANAQAADwAAAAAAAAABACAAAAAiAAAAZHJzL2Rvd25yZXYueG1s&#10;UEsBAhQAFAAAAAgAh07iQHhORY29AQAAfwMAAA4AAAAAAAAAAQAgAAAAKQEAAGRycy9lMm9Eb2Mu&#10;eG1sUEsFBgAAAAAGAAYAWQEAAFgFAAAAAA==&#10;">
                            <v:fill on="f" focussize="0,0"/>
                            <v:stroke on="f"/>
                            <v:imagedata o:title=""/>
                            <o:lock v:ext="edit" aspectratio="f"/>
                            <v:textbox inset="0mm,0mm,0mm,0mm">
                              <w:txbxContent>
                                <w:p w14:paraId="23B249BC">
                                  <w:pPr>
                                    <w:spacing w:before="20" w:line="185" w:lineRule="auto"/>
                                    <w:rPr>
                                      <w:rFonts w:ascii="宋体" w:hAnsi="宋体" w:cs="宋体"/>
                                    </w:rPr>
                                  </w:pPr>
                                  <w:r>
                                    <w:rPr>
                                      <w:rFonts w:ascii="宋体" w:hAnsi="宋体" w:cs="宋体"/>
                                    </w:rPr>
                                    <w:t>求</w:t>
                                  </w:r>
                                </w:p>
                              </w:txbxContent>
                            </v:textbox>
                          </v:shape>
                        </w:pict>
                      </mc:Fallback>
                    </mc:AlternateContent>
                  </w:r>
                  <w:r>
                    <w:rPr>
                      <w:rFonts w:hint="default" w:ascii="Times New Roman" w:hAnsi="Times New Roman" w:eastAsia="宋体" w:cs="Times New Roman"/>
                      <w:color w:val="auto"/>
                      <w:spacing w:val="-4"/>
                    </w:rPr>
                    <w:t>3、加快推进农业绿色发展。鼓励和支持节水、节肥、节药、节能等先进的种养殖技术，大力推广化肥农药减量增效和绿色防控技术，提高利用效率。以环境承载力为依据，确定水产养殖规模、品种和密度，预防、控制和减少水产养殖造成的水环境污染。推进农作物秸秆资源化利用，严防因秸秆焚烧造成区域性大气污染。</w:t>
                  </w:r>
                </w:p>
              </w:tc>
              <w:tc>
                <w:tcPr>
                  <w:tcW w:w="1009" w:type="pct"/>
                  <w:tcBorders>
                    <w:tl2br w:val="nil"/>
                    <w:tr2bl w:val="nil"/>
                  </w:tcBorders>
                  <w:vAlign w:val="center"/>
                </w:tcPr>
                <w:p w14:paraId="78DB410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本项目不属于农业产业。</w:t>
                  </w:r>
                </w:p>
              </w:tc>
              <w:tc>
                <w:tcPr>
                  <w:tcW w:w="370" w:type="pct"/>
                  <w:tcBorders>
                    <w:tl2br w:val="nil"/>
                    <w:tr2bl w:val="nil"/>
                  </w:tcBorders>
                  <w:vAlign w:val="center"/>
                </w:tcPr>
                <w:p w14:paraId="3F14941C">
                  <w:pPr>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符合</w:t>
                  </w:r>
                </w:p>
              </w:tc>
            </w:tr>
            <w:tr w14:paraId="1FAF9F3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488" w:type="pct"/>
                  <w:vMerge w:val="continue"/>
                  <w:tcBorders>
                    <w:tl2br w:val="nil"/>
                    <w:tr2bl w:val="nil"/>
                  </w:tcBorders>
                  <w:vAlign w:val="center"/>
                </w:tcPr>
                <w:p w14:paraId="43A0212C">
                  <w:pPr>
                    <w:jc w:val="center"/>
                    <w:rPr>
                      <w:rFonts w:hint="default" w:ascii="Times New Roman" w:hAnsi="Times New Roman" w:eastAsia="宋体" w:cs="Times New Roman"/>
                      <w:color w:val="auto"/>
                      <w:spacing w:val="-4"/>
                    </w:rPr>
                  </w:pPr>
                </w:p>
              </w:tc>
              <w:tc>
                <w:tcPr>
                  <w:tcW w:w="3132" w:type="pct"/>
                  <w:tcBorders>
                    <w:tl2br w:val="nil"/>
                    <w:tr2bl w:val="nil"/>
                  </w:tcBorders>
                  <w:vAlign w:val="center"/>
                </w:tcPr>
                <w:p w14:paraId="306AA65E">
                  <w:pPr>
                    <w:jc w:val="both"/>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4、深入实施工业企业污水处理设施升级改造，全面实现工业废水达标排放。加强工业园区风险应对能力建设，鼓励各行业结合区域水环境容量，实施差异化污染物排放标准管理。</w:t>
                  </w:r>
                </w:p>
              </w:tc>
              <w:tc>
                <w:tcPr>
                  <w:tcW w:w="1009" w:type="pct"/>
                  <w:tcBorders>
                    <w:tl2br w:val="nil"/>
                    <w:tr2bl w:val="nil"/>
                  </w:tcBorders>
                  <w:vAlign w:val="center"/>
                </w:tcPr>
                <w:p w14:paraId="4342C04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本项目不属于</w:t>
                  </w:r>
                  <w:r>
                    <w:rPr>
                      <w:rFonts w:hint="default" w:ascii="Times New Roman" w:hAnsi="Times New Roman" w:eastAsia="宋体" w:cs="Times New Roman"/>
                      <w:color w:val="auto"/>
                      <w:spacing w:val="-4"/>
                    </w:rPr>
                    <w:t>工业企业</w:t>
                  </w:r>
                  <w:r>
                    <w:rPr>
                      <w:rFonts w:hint="default" w:ascii="Times New Roman" w:hAnsi="Times New Roman" w:eastAsia="宋体" w:cs="Times New Roman"/>
                      <w:color w:val="auto"/>
                    </w:rPr>
                    <w:t>。</w:t>
                  </w:r>
                </w:p>
              </w:tc>
              <w:tc>
                <w:tcPr>
                  <w:tcW w:w="370" w:type="pct"/>
                  <w:tcBorders>
                    <w:tl2br w:val="nil"/>
                    <w:tr2bl w:val="nil"/>
                  </w:tcBorders>
                  <w:vAlign w:val="center"/>
                </w:tcPr>
                <w:p w14:paraId="59E0F3D9">
                  <w:pPr>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符合</w:t>
                  </w:r>
                </w:p>
              </w:tc>
            </w:tr>
            <w:tr w14:paraId="6F13900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488" w:type="pct"/>
                  <w:vMerge w:val="continue"/>
                  <w:tcBorders>
                    <w:tl2br w:val="nil"/>
                    <w:tr2bl w:val="nil"/>
                  </w:tcBorders>
                  <w:vAlign w:val="center"/>
                </w:tcPr>
                <w:p w14:paraId="524EEC9A">
                  <w:pPr>
                    <w:jc w:val="center"/>
                    <w:rPr>
                      <w:rFonts w:hint="default" w:ascii="Times New Roman" w:hAnsi="Times New Roman" w:eastAsia="宋体" w:cs="Times New Roman"/>
                      <w:color w:val="auto"/>
                      <w:spacing w:val="-4"/>
                    </w:rPr>
                  </w:pPr>
                </w:p>
              </w:tc>
              <w:tc>
                <w:tcPr>
                  <w:tcW w:w="3132" w:type="pct"/>
                  <w:tcBorders>
                    <w:tl2br w:val="nil"/>
                    <w:tr2bl w:val="nil"/>
                  </w:tcBorders>
                  <w:vAlign w:val="center"/>
                </w:tcPr>
                <w:p w14:paraId="40922098">
                  <w:pPr>
                    <w:jc w:val="both"/>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5、以沱江流域干流为骨架，其他重要支流、湖库为支撑打造绿色生态廊道防护林体系，增加城镇生态连通性，提高绿色廊道的生态稳定性、景观特色性和功能完善性。沱江干流第一层山脊内除基本农田、村庄和其他建设用地外的全部宜林宜绿土地全部纳入防护林用地范围，构建结构合理、功能稳定的沿江、沿河生态系统。构建滨江开敞空间。以多级尺度、多种形态的城镇及郊野绿地为基础，打造城市滨水公园、郊野游憩公园、湿地生态公园、农业观光公园四类公园。</w:t>
                  </w:r>
                </w:p>
              </w:tc>
              <w:tc>
                <w:tcPr>
                  <w:tcW w:w="1009" w:type="pct"/>
                  <w:tcBorders>
                    <w:tl2br w:val="nil"/>
                    <w:tr2bl w:val="nil"/>
                  </w:tcBorders>
                  <w:vAlign w:val="center"/>
                </w:tcPr>
                <w:p w14:paraId="19D7D12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本项目位于资阳市乐至城区及乡镇，项目为国家储备林建设及森林质量项目，符合管控要求。</w:t>
                  </w:r>
                </w:p>
              </w:tc>
              <w:tc>
                <w:tcPr>
                  <w:tcW w:w="370" w:type="pct"/>
                  <w:tcBorders>
                    <w:tl2br w:val="nil"/>
                    <w:tr2bl w:val="nil"/>
                  </w:tcBorders>
                  <w:vAlign w:val="center"/>
                </w:tcPr>
                <w:p w14:paraId="01820F26">
                  <w:pPr>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符合</w:t>
                  </w:r>
                </w:p>
              </w:tc>
            </w:tr>
            <w:tr w14:paraId="40B8DA6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488" w:type="pct"/>
                  <w:vMerge w:val="continue"/>
                  <w:tcBorders>
                    <w:tl2br w:val="nil"/>
                    <w:tr2bl w:val="nil"/>
                  </w:tcBorders>
                  <w:vAlign w:val="center"/>
                </w:tcPr>
                <w:p w14:paraId="6DF9CDA8">
                  <w:pPr>
                    <w:jc w:val="center"/>
                    <w:rPr>
                      <w:rFonts w:hint="default" w:ascii="Times New Roman" w:hAnsi="Times New Roman" w:eastAsia="宋体" w:cs="Times New Roman"/>
                      <w:color w:val="auto"/>
                      <w:spacing w:val="-4"/>
                    </w:rPr>
                  </w:pPr>
                </w:p>
              </w:tc>
              <w:tc>
                <w:tcPr>
                  <w:tcW w:w="3132" w:type="pct"/>
                  <w:tcBorders>
                    <w:tl2br w:val="nil"/>
                    <w:tr2bl w:val="nil"/>
                  </w:tcBorders>
                  <w:vAlign w:val="center"/>
                </w:tcPr>
                <w:p w14:paraId="632E011C">
                  <w:pPr>
                    <w:jc w:val="both"/>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6、加强农用地风险防控。严格保护优先保护类耕地，在永久基本农田集中区域，不得新建可能造成土壤污染的建设项目。加强建设用地风险防控。土壤污染重点监管单位生产经营用地的用途变更或者在其土地使用权收回、转让前，应当由土地使用权人按照规定进行土壤污染状况调查。依法严查向滩涂、河道、湿地等非法排污、倾倒有毒有害物质的环境违法犯罪行为。</w:t>
                  </w:r>
                </w:p>
              </w:tc>
              <w:tc>
                <w:tcPr>
                  <w:tcW w:w="1009" w:type="pct"/>
                  <w:tcBorders>
                    <w:tl2br w:val="nil"/>
                    <w:tr2bl w:val="nil"/>
                  </w:tcBorders>
                  <w:vAlign w:val="center"/>
                </w:tcPr>
                <w:p w14:paraId="489A3D7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乐至县兴茂林业开发有限公司已与项目所在地村民签订林地流转协议，用于储备林项目建设，符合规划。</w:t>
                  </w:r>
                </w:p>
              </w:tc>
              <w:tc>
                <w:tcPr>
                  <w:tcW w:w="370" w:type="pct"/>
                  <w:tcBorders>
                    <w:tl2br w:val="nil"/>
                    <w:tr2bl w:val="nil"/>
                  </w:tcBorders>
                  <w:vAlign w:val="center"/>
                </w:tcPr>
                <w:p w14:paraId="4BAF295C">
                  <w:pPr>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符合</w:t>
                  </w:r>
                </w:p>
              </w:tc>
            </w:tr>
            <w:tr w14:paraId="15C51A6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488" w:type="pct"/>
                  <w:vMerge w:val="continue"/>
                  <w:tcBorders>
                    <w:tl2br w:val="nil"/>
                    <w:tr2bl w:val="nil"/>
                  </w:tcBorders>
                  <w:vAlign w:val="center"/>
                </w:tcPr>
                <w:p w14:paraId="25A35F11">
                  <w:pPr>
                    <w:jc w:val="center"/>
                    <w:rPr>
                      <w:rFonts w:hint="default" w:ascii="Times New Roman" w:hAnsi="Times New Roman" w:eastAsia="宋体" w:cs="Times New Roman"/>
                      <w:color w:val="auto"/>
                      <w:spacing w:val="-4"/>
                    </w:rPr>
                  </w:pPr>
                </w:p>
              </w:tc>
              <w:tc>
                <w:tcPr>
                  <w:tcW w:w="3132" w:type="pct"/>
                  <w:tcBorders>
                    <w:tl2br w:val="nil"/>
                    <w:tr2bl w:val="nil"/>
                  </w:tcBorders>
                  <w:vAlign w:val="center"/>
                </w:tcPr>
                <w:p w14:paraId="3494CA6C">
                  <w:pPr>
                    <w:jc w:val="both"/>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7、严格国家产业准入要求，严格按照《中华人民共和国长江保护法》《四川省沱江流域水环境保护条例》的要求布局化工园区、化工项目及尾矿库。</w:t>
                  </w:r>
                </w:p>
              </w:tc>
              <w:tc>
                <w:tcPr>
                  <w:tcW w:w="1009" w:type="pct"/>
                  <w:tcBorders>
                    <w:tl2br w:val="nil"/>
                    <w:tr2bl w:val="nil"/>
                  </w:tcBorders>
                  <w:vAlign w:val="center"/>
                </w:tcPr>
                <w:p w14:paraId="20A2FD0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本项目不属于化工产业。</w:t>
                  </w:r>
                </w:p>
              </w:tc>
              <w:tc>
                <w:tcPr>
                  <w:tcW w:w="370" w:type="pct"/>
                  <w:tcBorders>
                    <w:tl2br w:val="nil"/>
                    <w:tr2bl w:val="nil"/>
                  </w:tcBorders>
                  <w:vAlign w:val="center"/>
                </w:tcPr>
                <w:p w14:paraId="3E3CE0AC">
                  <w:pPr>
                    <w:jc w:val="center"/>
                    <w:rPr>
                      <w:rFonts w:hint="default" w:ascii="Times New Roman" w:hAnsi="Times New Roman" w:eastAsia="宋体" w:cs="Times New Roman"/>
                      <w:color w:val="auto"/>
                      <w:spacing w:val="-4"/>
                    </w:rPr>
                  </w:pPr>
                  <w:r>
                    <w:rPr>
                      <w:rFonts w:hint="default" w:ascii="Times New Roman" w:hAnsi="Times New Roman" w:eastAsia="宋体" w:cs="Times New Roman"/>
                      <w:color w:val="auto"/>
                      <w:spacing w:val="-4"/>
                    </w:rPr>
                    <w:t>符合</w:t>
                  </w:r>
                </w:p>
              </w:tc>
            </w:tr>
          </w:tbl>
          <w:p w14:paraId="525AD09B">
            <w:pPr>
              <w:pStyle w:val="11"/>
              <w:spacing w:before="0" w:line="360" w:lineRule="auto"/>
              <w:rPr>
                <w:rFonts w:hint="default" w:ascii="Times New Roman" w:hAnsi="Times New Roman" w:eastAsia="宋体" w:cs="Times New Roman"/>
                <w:color w:val="auto"/>
              </w:rPr>
            </w:pPr>
          </w:p>
          <w:p w14:paraId="7DBC3759">
            <w:pPr>
              <w:pStyle w:val="11"/>
              <w:kinsoku/>
              <w:autoSpaceDE/>
              <w:autoSpaceDN/>
              <w:adjustRightInd/>
              <w:snapToGrid/>
              <w:spacing w:before="0" w:line="360" w:lineRule="auto"/>
              <w:ind w:firstLine="482" w:firstLineChars="200"/>
              <w:textAlignment w:val="auto"/>
              <w:rPr>
                <w:rFonts w:hint="default" w:ascii="Times New Roman" w:hAnsi="Times New Roman" w:eastAsia="宋体" w:cs="Times New Roman"/>
                <w:b/>
                <w:bCs/>
                <w:color w:val="auto"/>
              </w:rPr>
            </w:pPr>
            <w:r>
              <w:rPr>
                <w:rFonts w:hint="default" w:ascii="Times New Roman" w:hAnsi="Times New Roman" w:eastAsia="宋体" w:cs="Times New Roman"/>
                <w:b/>
                <w:bCs/>
                <w:color w:val="auto"/>
                <w:lang w:val="en-US" w:eastAsia="zh-CN"/>
              </w:rPr>
              <w:t>3</w:t>
            </w:r>
            <w:r>
              <w:rPr>
                <w:rFonts w:hint="default" w:ascii="Times New Roman" w:hAnsi="Times New Roman" w:eastAsia="宋体" w:cs="Times New Roman"/>
                <w:b/>
                <w:bCs/>
                <w:color w:val="auto"/>
              </w:rPr>
              <w:t>.2环境管控单元</w:t>
            </w:r>
          </w:p>
          <w:p w14:paraId="18E8F736">
            <w:pPr>
              <w:pStyle w:val="21"/>
              <w:widowControl w:val="0"/>
              <w:kinsoku/>
              <w:autoSpaceDE/>
              <w:autoSpaceDN/>
              <w:adjustRightInd/>
              <w:snapToGrid/>
              <w:spacing w:line="360" w:lineRule="auto"/>
              <w:ind w:firstLine="48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1）天池街道</w:t>
            </w:r>
          </w:p>
          <w:p w14:paraId="3DAFF8C6">
            <w:pPr>
              <w:pStyle w:val="21"/>
              <w:widowControl w:val="0"/>
              <w:kinsoku/>
              <w:autoSpaceDE/>
              <w:autoSpaceDN/>
              <w:adjustRightInd/>
              <w:snapToGrid/>
              <w:spacing w:line="360" w:lineRule="auto"/>
              <w:ind w:firstLine="48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（1）项目拟建区域管控单元识别</w:t>
            </w:r>
          </w:p>
          <w:p w14:paraId="6F6882D2">
            <w:pPr>
              <w:pStyle w:val="21"/>
              <w:widowControl w:val="0"/>
              <w:kinsoku/>
              <w:autoSpaceDE/>
              <w:autoSpaceDN/>
              <w:adjustRightInd/>
              <w:snapToGrid/>
              <w:spacing w:line="360" w:lineRule="auto"/>
              <w:ind w:firstLine="48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根据四川省生态环境厅“三线一单”符合性分析系统识别系统结果，本项目</w:t>
            </w:r>
            <w:r>
              <w:rPr>
                <w:rFonts w:hint="default" w:ascii="Times New Roman" w:hAnsi="Times New Roman" w:eastAsia="宋体" w:cs="Times New Roman"/>
                <w:b/>
                <w:bCs/>
                <w:color w:val="auto"/>
              </w:rPr>
              <w:t>天池街道</w:t>
            </w:r>
            <w:r>
              <w:rPr>
                <w:rFonts w:hint="default" w:ascii="Times New Roman" w:hAnsi="Times New Roman" w:eastAsia="宋体" w:cs="Times New Roman"/>
                <w:color w:val="auto"/>
              </w:rPr>
              <w:t>拟建区域共涉及</w:t>
            </w:r>
            <w:r>
              <w:rPr>
                <w:rFonts w:hint="default" w:ascii="Times New Roman" w:hAnsi="Times New Roman" w:eastAsia="宋体" w:cs="Times New Roman"/>
                <w:color w:val="auto"/>
                <w:lang w:val="en-US" w:eastAsia="zh-CN"/>
              </w:rPr>
              <w:t>6</w:t>
            </w:r>
            <w:r>
              <w:rPr>
                <w:rFonts w:hint="default" w:ascii="Times New Roman" w:hAnsi="Times New Roman" w:eastAsia="宋体" w:cs="Times New Roman"/>
                <w:color w:val="auto"/>
              </w:rPr>
              <w:t>个管控单元，具体情况见下图。</w:t>
            </w:r>
          </w:p>
          <w:p w14:paraId="6EDE9F9B">
            <w:pPr>
              <w:spacing w:line="360" w:lineRule="auto"/>
              <w:ind w:firstLine="480" w:firstLineChars="200"/>
              <w:rPr>
                <w:rFonts w:hint="default" w:ascii="Times New Roman" w:hAnsi="Times New Roman" w:eastAsia="宋体" w:cs="Times New Roman"/>
                <w:color w:val="auto"/>
                <w:sz w:val="24"/>
                <w:szCs w:val="24"/>
              </w:rPr>
            </w:pPr>
          </w:p>
          <w:p w14:paraId="76378BBC">
            <w:pPr>
              <w:spacing w:line="360" w:lineRule="auto"/>
              <w:ind w:firstLine="480" w:firstLineChars="200"/>
              <w:rPr>
                <w:rFonts w:hint="default" w:ascii="Times New Roman" w:hAnsi="Times New Roman" w:eastAsia="宋体" w:cs="Times New Roman"/>
                <w:color w:val="auto"/>
                <w:sz w:val="24"/>
                <w:szCs w:val="24"/>
              </w:rPr>
            </w:pPr>
          </w:p>
          <w:p w14:paraId="52EE10FB">
            <w:pPr>
              <w:jc w:val="center"/>
              <w:rPr>
                <w:rFonts w:hint="default" w:ascii="Times New Roman" w:hAnsi="Times New Roman" w:eastAsia="宋体" w:cs="Times New Roman"/>
                <w:b/>
                <w:bCs/>
                <w:color w:val="auto"/>
                <w:sz w:val="24"/>
                <w:szCs w:val="24"/>
                <w:lang w:eastAsia="zh-CN"/>
              </w:rPr>
            </w:pPr>
            <w:r>
              <w:rPr>
                <w:rFonts w:hint="default" w:ascii="Times New Roman" w:hAnsi="Times New Roman" w:eastAsia="宋体" w:cs="Times New Roman"/>
                <w:b/>
                <w:bCs/>
                <w:color w:val="auto"/>
                <w:sz w:val="24"/>
                <w:szCs w:val="24"/>
                <w:lang w:eastAsia="zh-CN"/>
              </w:rPr>
              <w:drawing>
                <wp:inline distT="0" distB="0" distL="114300" distR="114300">
                  <wp:extent cx="6919595" cy="5111750"/>
                  <wp:effectExtent l="0" t="0" r="14605" b="12700"/>
                  <wp:docPr id="24" name="图片 24" descr="d994d4444543ac2fcf388e2cdc18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d994d4444543ac2fcf388e2cdc18279"/>
                          <pic:cNvPicPr>
                            <a:picLocks noChangeAspect="1"/>
                          </pic:cNvPicPr>
                        </pic:nvPicPr>
                        <pic:blipFill>
                          <a:blip r:embed="rId16"/>
                          <a:stretch>
                            <a:fillRect/>
                          </a:stretch>
                        </pic:blipFill>
                        <pic:spPr>
                          <a:xfrm>
                            <a:off x="0" y="0"/>
                            <a:ext cx="6919595" cy="5111750"/>
                          </a:xfrm>
                          <a:prstGeom prst="rect">
                            <a:avLst/>
                          </a:prstGeom>
                        </pic:spPr>
                      </pic:pic>
                    </a:graphicData>
                  </a:graphic>
                </wp:inline>
              </w:drawing>
            </w:r>
          </w:p>
          <w:p w14:paraId="0D7676BD">
            <w:pPr>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图1-1  项目与管控分区截图</w:t>
            </w:r>
          </w:p>
          <w:p w14:paraId="7767B9FE">
            <w:pPr>
              <w:pStyle w:val="21"/>
              <w:widowControl w:val="0"/>
              <w:kinsoku/>
              <w:autoSpaceDE/>
              <w:autoSpaceDN/>
              <w:adjustRightInd/>
              <w:snapToGrid/>
              <w:spacing w:line="360" w:lineRule="auto"/>
              <w:ind w:firstLine="48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同时利用“四川省政务网---四川省生态环境厅数据库”可查询本建设项目与“四川省三线一单”符合性分析情况，经查询后可导出分析报告，分析报告明确本项目</w:t>
            </w:r>
            <w:r>
              <w:rPr>
                <w:rFonts w:hint="default" w:ascii="Times New Roman" w:hAnsi="Times New Roman" w:eastAsia="宋体" w:cs="Times New Roman"/>
                <w:color w:val="auto"/>
                <w:lang w:eastAsia="zh-CN"/>
              </w:rPr>
              <w:t>位于</w:t>
            </w:r>
            <w:r>
              <w:rPr>
                <w:rFonts w:hint="default" w:ascii="Times New Roman" w:hAnsi="Times New Roman" w:eastAsia="宋体" w:cs="Times New Roman"/>
                <w:color w:val="auto"/>
              </w:rPr>
              <w:t>资阳市乐至县环境综合管控单元工业重点管控单元（管控单元名称：四川乐至经济开发区-文峰园区，管控单元编号：ZH51202220004）</w:t>
            </w:r>
          </w:p>
          <w:p w14:paraId="18A716F1">
            <w:pPr>
              <w:pStyle w:val="21"/>
              <w:widowControl w:val="0"/>
              <w:kinsoku/>
              <w:autoSpaceDE/>
              <w:autoSpaceDN/>
              <w:adjustRightInd/>
              <w:snapToGrid/>
              <w:spacing w:line="360" w:lineRule="auto"/>
              <w:ind w:firstLine="48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本项目与管控单元相对位置如下所示：</w:t>
            </w:r>
          </w:p>
          <w:p w14:paraId="1109C4D1">
            <w:pPr>
              <w:pStyle w:val="21"/>
              <w:widowControl w:val="0"/>
              <w:kinsoku/>
              <w:autoSpaceDE/>
              <w:autoSpaceDN/>
              <w:adjustRightInd/>
              <w:snapToGrid/>
              <w:spacing w:line="336" w:lineRule="auto"/>
              <w:ind w:firstLine="0" w:firstLineChars="0"/>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sz w:val="28"/>
                <w:szCs w:val="24"/>
              </w:rPr>
              <w:drawing>
                <wp:inline distT="0" distB="0" distL="114300" distR="114300">
                  <wp:extent cx="6350000" cy="3810000"/>
                  <wp:effectExtent l="0" t="0" r="12700" b="0"/>
                  <wp:docPr id="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
                          <pic:cNvPicPr>
                            <a:picLocks noChangeAspect="1"/>
                          </pic:cNvPicPr>
                        </pic:nvPicPr>
                        <pic:blipFill>
                          <a:blip r:embed="rId17"/>
                          <a:stretch>
                            <a:fillRect/>
                          </a:stretch>
                        </pic:blipFill>
                        <pic:spPr>
                          <a:xfrm>
                            <a:off x="0" y="0"/>
                            <a:ext cx="6350000" cy="3810000"/>
                          </a:xfrm>
                          <a:prstGeom prst="rect">
                            <a:avLst/>
                          </a:prstGeom>
                          <a:noFill/>
                          <a:ln>
                            <a:noFill/>
                          </a:ln>
                        </pic:spPr>
                      </pic:pic>
                    </a:graphicData>
                  </a:graphic>
                </wp:inline>
              </w:drawing>
            </w:r>
          </w:p>
          <w:p w14:paraId="723BEA23">
            <w:pPr>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图1-2 本项目与管控单元相对位置图</w:t>
            </w:r>
          </w:p>
          <w:p w14:paraId="70E62710">
            <w:pPr>
              <w:jc w:val="center"/>
              <w:rPr>
                <w:rFonts w:hint="default" w:ascii="Times New Roman" w:hAnsi="Times New Roman" w:eastAsia="宋体" w:cs="Times New Roman"/>
                <w:b/>
                <w:bCs/>
                <w:color w:val="auto"/>
                <w:sz w:val="24"/>
                <w:szCs w:val="24"/>
              </w:rPr>
            </w:pPr>
          </w:p>
          <w:p w14:paraId="7C81D071">
            <w:pPr>
              <w:pStyle w:val="21"/>
              <w:widowControl w:val="0"/>
              <w:kinsoku/>
              <w:autoSpaceDE/>
              <w:autoSpaceDN/>
              <w:adjustRightInd/>
              <w:snapToGrid/>
              <w:spacing w:line="360" w:lineRule="auto"/>
              <w:ind w:firstLine="48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（2）生态环境准入清单符合性分析</w:t>
            </w:r>
          </w:p>
          <w:p w14:paraId="0481A637">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本项目与各个管控单元要求符合性分析见下表：</w:t>
            </w:r>
          </w:p>
          <w:p w14:paraId="4761A762">
            <w:pPr>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表1-3  本项目与管控单元符合性分析一览表</w:t>
            </w:r>
          </w:p>
          <w:tbl>
            <w:tblPr>
              <w:tblStyle w:val="43"/>
              <w:tblW w:w="4997"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881"/>
              <w:gridCol w:w="1195"/>
              <w:gridCol w:w="1810"/>
              <w:gridCol w:w="5986"/>
              <w:gridCol w:w="2751"/>
              <w:gridCol w:w="597"/>
            </w:tblGrid>
            <w:tr w14:paraId="027E4EA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1717" w:type="pct"/>
                  <w:gridSpan w:val="3"/>
                  <w:tcBorders>
                    <w:tl2br w:val="nil"/>
                    <w:tr2bl w:val="nil"/>
                  </w:tcBorders>
                  <w:vAlign w:val="center"/>
                </w:tcPr>
                <w:p w14:paraId="59B398CB">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类别</w:t>
                  </w:r>
                </w:p>
              </w:tc>
              <w:tc>
                <w:tcPr>
                  <w:tcW w:w="2104" w:type="pct"/>
                  <w:tcBorders>
                    <w:tl2br w:val="nil"/>
                    <w:tr2bl w:val="nil"/>
                  </w:tcBorders>
                  <w:vAlign w:val="center"/>
                </w:tcPr>
                <w:p w14:paraId="1BA92BA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对应管控要求</w:t>
                  </w:r>
                </w:p>
              </w:tc>
              <w:tc>
                <w:tcPr>
                  <w:tcW w:w="967" w:type="pct"/>
                  <w:tcBorders>
                    <w:tl2br w:val="nil"/>
                    <w:tr2bl w:val="nil"/>
                  </w:tcBorders>
                  <w:vAlign w:val="center"/>
                </w:tcPr>
                <w:p w14:paraId="2E9565C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项目对应情况介绍</w:t>
                  </w:r>
                </w:p>
              </w:tc>
              <w:tc>
                <w:tcPr>
                  <w:tcW w:w="210" w:type="pct"/>
                  <w:tcBorders>
                    <w:tl2br w:val="nil"/>
                    <w:tr2bl w:val="nil"/>
                  </w:tcBorders>
                  <w:vAlign w:val="center"/>
                </w:tcPr>
                <w:p w14:paraId="7205CEE4">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符合性分析</w:t>
                  </w:r>
                </w:p>
              </w:tc>
            </w:tr>
            <w:tr w14:paraId="5A58553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9" w:hRule="atLeast"/>
                <w:jc w:val="center"/>
              </w:trPr>
              <w:tc>
                <w:tcPr>
                  <w:tcW w:w="661" w:type="pct"/>
                  <w:vMerge w:val="restart"/>
                  <w:tcBorders>
                    <w:tl2br w:val="nil"/>
                    <w:tr2bl w:val="nil"/>
                  </w:tcBorders>
                  <w:vAlign w:val="center"/>
                </w:tcPr>
                <w:p w14:paraId="21CB1E46">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ZH51202220004</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四川乐至经济开发区-文峰园区</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环境管控单元</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环境综合管控单元工业重点管控单元</w:t>
                  </w:r>
                </w:p>
              </w:tc>
              <w:tc>
                <w:tcPr>
                  <w:tcW w:w="420" w:type="pct"/>
                  <w:vMerge w:val="restart"/>
                  <w:tcBorders>
                    <w:tl2br w:val="nil"/>
                    <w:tr2bl w:val="nil"/>
                  </w:tcBorders>
                  <w:vAlign w:val="center"/>
                </w:tcPr>
                <w:p w14:paraId="72666DB4">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普适性清单管控要求</w:t>
                  </w:r>
                </w:p>
              </w:tc>
              <w:tc>
                <w:tcPr>
                  <w:tcW w:w="635" w:type="pct"/>
                  <w:tcBorders>
                    <w:tl2br w:val="nil"/>
                    <w:tr2bl w:val="nil"/>
                  </w:tcBorders>
                  <w:vAlign w:val="center"/>
                </w:tcPr>
                <w:p w14:paraId="70AF33F6">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2104" w:type="pct"/>
                  <w:tcBorders>
                    <w:tl2br w:val="nil"/>
                    <w:tr2bl w:val="nil"/>
                  </w:tcBorders>
                  <w:vAlign w:val="center"/>
                </w:tcPr>
                <w:p w14:paraId="3F98A70C">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p w14:paraId="2478FCF2">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禁止开发建设活动的要求</w:t>
                  </w:r>
                </w:p>
                <w:p w14:paraId="19E10AE9">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禁止在长江干支流岸线一公里范围内新建、扩建化工园区和化工项目。（2）禁止在合规园区外新建、扩建钢铁、石化、化工、焦化、建材、有色等高污染项目。（3）沱江流域实行总磷污染防治特别措施：①禁止新建、改建、扩建增加含磷污染物排放的建设项目；②禁止在工业循环冷却水除垢、杀菌过程中加入含磷药剂。（4）禁止新建水泥、平板玻璃、焦化、冶炼等重污染项目。（5）禁止新建20蒸吨及以下燃煤及生物质锅炉。（6）禁燃区内任何单位和个人不得新建、扩建高污染燃料用设施和使用高污染燃料。</w:t>
                  </w:r>
                </w:p>
                <w:p w14:paraId="4D890339">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限制开发建设活动的要求</w:t>
                  </w:r>
                </w:p>
                <w:p w14:paraId="002FDE89">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暂无</w:t>
                  </w:r>
                </w:p>
                <w:p w14:paraId="49279A23">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不符合空间布局要求活动的退出要求</w:t>
                  </w:r>
                </w:p>
                <w:p w14:paraId="65100478">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现有属于园区禁止引入产业门类的企业，原则上限制发展，污染物排放只降不增，允许以提升安全、生态环境保护水平为目的的改建，引导企业结合产业升级等适时搬迁。（2）淘汰一批热效率低下、敞开未封闭，装备简易落后、自动化程度低、无组织排放突出等严重污染环境的工业炉窑。</w:t>
                  </w:r>
                </w:p>
                <w:p w14:paraId="4527B3F7">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其他空间布局约束要求</w:t>
                  </w:r>
                </w:p>
                <w:p w14:paraId="15CCB019">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暂无</w:t>
                  </w:r>
                </w:p>
              </w:tc>
              <w:tc>
                <w:tcPr>
                  <w:tcW w:w="967" w:type="pct"/>
                  <w:tcBorders>
                    <w:tl2br w:val="nil"/>
                    <w:tr2bl w:val="nil"/>
                  </w:tcBorders>
                  <w:vAlign w:val="center"/>
                </w:tcPr>
                <w:p w14:paraId="76DF12F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本项目位于资阳市乐至城区及乡镇，为国家储备林建设及森林质量项目，不属于工业企业。</w:t>
                  </w:r>
                </w:p>
              </w:tc>
              <w:tc>
                <w:tcPr>
                  <w:tcW w:w="210" w:type="pct"/>
                  <w:tcBorders>
                    <w:tl2br w:val="nil"/>
                    <w:tr2bl w:val="nil"/>
                  </w:tcBorders>
                  <w:vAlign w:val="center"/>
                </w:tcPr>
                <w:p w14:paraId="4DE3FF8E">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45DCC3B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004456B3">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37010477">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4CAA41D8">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2104" w:type="pct"/>
                  <w:tcBorders>
                    <w:tl2br w:val="nil"/>
                    <w:tr2bl w:val="nil"/>
                  </w:tcBorders>
                  <w:vAlign w:val="center"/>
                </w:tcPr>
                <w:p w14:paraId="168B98D9">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p w14:paraId="53C74EC7">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允许排放量要求</w:t>
                  </w:r>
                </w:p>
                <w:p w14:paraId="4C7AD282">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暂无</w:t>
                  </w:r>
                </w:p>
                <w:p w14:paraId="33F4759D">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现有源提标升级改造</w:t>
                  </w:r>
                </w:p>
                <w:p w14:paraId="55E81947">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工业污水收集处理率达100%。（2）区域生产废水、生活污水纳入污水处理厂处理，污水处理厂出水水质执行《四川省岷江、沱江流域水污染物排放标准》及《城镇污水处理厂污染物排放标准》一级A标准。在园区污水处理厂及配套管网建成并合法投入使用前，新（改、扩）建项目废水优先考虑中水回用，其余废水自行处理达行业标准或《污水综合排放标准》（GB8978-1996）一级标准后排放，但不得新增排污口。（3）针对现有化工等水污染排放量大的行业，平板玻璃等大气污染排放量大的行业执行最严格排放标准和总量控制要求。（4）35蒸吨小时以上燃煤锅炉完成超低排放改造，燃气锅炉全部实施低氮燃烧改造。（5）推进工业污染源全面达标排放。（6）鼓励实施锅炉清洁能源替代。（7）加强省级及以上工业集中区污水集中处理设施稳定运行维护，确保污水达标排放。市级及以下工业园区根据园区发展趋势和产业布局，统筹完善工业废水集中处理设施建设，按时完成重点行业工业企业污水处理设施提标改造。（8）制浆造纸、白酒、啤酒等企业加快清洁生产改造，确保单位产品基准排水量达到《四川省岷江、沱江流域水污染物排放标准》（DB51 2311-2016）。（9）工业集聚区要严格实行雨污分流的排水体制。</w:t>
                  </w:r>
                </w:p>
                <w:p w14:paraId="105B071B">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其他污染物排放管控要求</w:t>
                  </w:r>
                </w:p>
                <w:p w14:paraId="0E95AD32">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新增源等量或倍量替代：（1）上一年度水环境质量未完成目标的，新建排放水污染的建设项目按照总量管控要求进行倍量削减替代。（2）上一年度空气质量年平均浓度不达标的城市，建设项目新增相关污染物按照总量管控要求进行倍量削减替代。（3）提高涉及VOCs排放行业环保准入门槛，新建涉及VOCs排放的工业企业入园区；实施VOCs 综合治理“一厂一策”，实行涉VOCs的建设项目按照新增排放量进行2倍量替代。2、污染物排放绩效水平准入要求：（1）2025年底前，工业固体废弃物利用处置率达100%，危险废物处置率达100%。（2）汽车零部件行业项目新建应参考本报告对该行业资源环境绩效准入门槛。</w:t>
                  </w:r>
                </w:p>
              </w:tc>
              <w:tc>
                <w:tcPr>
                  <w:tcW w:w="967" w:type="pct"/>
                  <w:tcBorders>
                    <w:tl2br w:val="nil"/>
                    <w:tr2bl w:val="nil"/>
                  </w:tcBorders>
                  <w:vAlign w:val="center"/>
                </w:tcPr>
                <w:p w14:paraId="40030EE1">
                  <w:pPr>
                    <w:spacing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本项目为国家储备林建设及森林质量项目，</w:t>
                  </w:r>
                  <w:r>
                    <w:rPr>
                      <w:rFonts w:hint="default" w:ascii="Times New Roman" w:hAnsi="Times New Roman" w:eastAsia="宋体" w:cs="Times New Roman"/>
                      <w:color w:val="auto"/>
                      <w:sz w:val="21"/>
                      <w:szCs w:val="21"/>
                      <w:lang w:eastAsia="zh-CN"/>
                    </w:rPr>
                    <w:t>生活污水经预处理后用作农肥不外排</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eastAsia="zh-CN"/>
                    </w:rPr>
                    <w:t>雨水实行雨污分流符合管控要求。</w:t>
                  </w:r>
                </w:p>
              </w:tc>
              <w:tc>
                <w:tcPr>
                  <w:tcW w:w="210" w:type="pct"/>
                  <w:tcBorders>
                    <w:tl2br w:val="nil"/>
                    <w:tr2bl w:val="nil"/>
                  </w:tcBorders>
                  <w:vAlign w:val="center"/>
                </w:tcPr>
                <w:p w14:paraId="6B1A5A56">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5288942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5101EBDC">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0356B4CF">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3A7D37A5">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2104" w:type="pct"/>
                  <w:tcBorders>
                    <w:tl2br w:val="nil"/>
                    <w:tr2bl w:val="nil"/>
                  </w:tcBorders>
                  <w:vAlign w:val="center"/>
                </w:tcPr>
                <w:p w14:paraId="61E28544">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p w14:paraId="7B9E11A8">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联防联控要求</w:t>
                  </w:r>
                </w:p>
                <w:p w14:paraId="601B3EDF">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（1）建立园区监测预警系统，建立省市县、区域联动应急响应体系，实行联防联控。</w:t>
                  </w:r>
                </w:p>
                <w:p w14:paraId="1BABA107">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其他环境风险防控要求</w:t>
                  </w:r>
                </w:p>
                <w:p w14:paraId="030DFC1B">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企业环境风险防控要求：涉及有毒有害、易燃易爆物质新建、改扩建项目，严控准入要求。2、园区环境风险防控要求：园区风险防控体系要求：构建三级环境风险防控体系，强化危化品泄漏应急处置措施，确保风险可控；针对化工园区进一步强化风险防控。3、用地环境风险防控要求：（1）化工、电镀等行业企业拆除生产设施设备、构筑物和污染治理设施，要事先制定残留污染物清理和安全处置方案，要严格按照有关规定实施安全处理处置，防范拆除活动污染土壤。（2）建立区域土壤及地下水监测监控体系；污染地块在未经评估修复前，不得用于其他用途。</w:t>
                  </w:r>
                </w:p>
              </w:tc>
              <w:tc>
                <w:tcPr>
                  <w:tcW w:w="967" w:type="pct"/>
                  <w:tcBorders>
                    <w:tl2br w:val="nil"/>
                    <w:tr2bl w:val="nil"/>
                  </w:tcBorders>
                  <w:vAlign w:val="center"/>
                </w:tcPr>
                <w:p w14:paraId="55E64195">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项目为国家储备林建设及森林质量项目，不属于工业企业。</w:t>
                  </w:r>
                  <w:r>
                    <w:rPr>
                      <w:rFonts w:hint="default" w:ascii="Times New Roman" w:hAnsi="Times New Roman" w:eastAsia="宋体" w:cs="Times New Roman"/>
                      <w:color w:val="auto"/>
                      <w:sz w:val="21"/>
                      <w:szCs w:val="21"/>
                      <w:lang w:val="en-US" w:eastAsia="zh-CN"/>
                    </w:rPr>
                    <w:t>不会对土壤地下水造成污染</w:t>
                  </w: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1B32E7D8">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1DD7CB9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01A1A257">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28EF634D">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136E63F3">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2104" w:type="pct"/>
                  <w:tcBorders>
                    <w:tl2br w:val="nil"/>
                    <w:tr2bl w:val="nil"/>
                  </w:tcBorders>
                  <w:vAlign w:val="center"/>
                </w:tcPr>
                <w:p w14:paraId="2314F517">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资源开发利用效率要求：</w:t>
                  </w:r>
                </w:p>
                <w:p w14:paraId="2B1FC885">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水资源利用总量要求</w:t>
                  </w:r>
                </w:p>
                <w:p w14:paraId="3BDBC9E2">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（1）到2022年，万元工业增加值用水量较2015年分别降低 26%。（2）到2030年，万元工业增加值用水量分别降低到25m3，工业用水重复利用率达91%。（3）新、改扩建项目污染水耗指标满足《四川省省级生态工业园区指标》综合类生态工业园区要求或更高要求。</w:t>
                  </w:r>
                </w:p>
                <w:p w14:paraId="08D77CCD">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地下水开采要求</w:t>
                  </w:r>
                </w:p>
                <w:p w14:paraId="0114F94C">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暂无</w:t>
                  </w:r>
                </w:p>
                <w:p w14:paraId="7A18EB66">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能源利用总量及效率要求</w:t>
                  </w:r>
                </w:p>
                <w:p w14:paraId="2C11C8EF">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（1）规模以上企业单位工业增加值能耗下降比例达到省上下达目标要求。（2）工业企业单位工业增加值能耗达到国内先进水平及以上。 （3）实施能源消耗总量和强度“双控”、控制煤炭消费总量；加快企业清洁能源改造，推动煤电高效清洁改造，进一步优化能源消费结构，突出提升电力、天然气利用比重，实现清洁转型。到2025年，电能占终端能源消费比重达到30%。</w:t>
                  </w:r>
                </w:p>
                <w:p w14:paraId="198FB1B6">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禁燃区要求</w:t>
                  </w:r>
                </w:p>
                <w:p w14:paraId="28E3C51D">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禁燃区内任何单位和个人不得新建、扩建高污染燃料用设施，不得审批单位和个人在划定禁燃区内使用高污染燃料进行的经营性活动，禁燃区内任何单位和个人不得使用高污染燃料。</w:t>
                  </w:r>
                </w:p>
                <w:p w14:paraId="7AAA9AB0">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其他资源利用效率要求</w:t>
                  </w:r>
                </w:p>
                <w:p w14:paraId="0A8DF9B6">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暂无</w:t>
                  </w:r>
                </w:p>
              </w:tc>
              <w:tc>
                <w:tcPr>
                  <w:tcW w:w="967" w:type="pct"/>
                  <w:tcBorders>
                    <w:tl2br w:val="nil"/>
                    <w:tr2bl w:val="nil"/>
                  </w:tcBorders>
                  <w:vAlign w:val="center"/>
                </w:tcPr>
                <w:p w14:paraId="35DE223E">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本项目为国家储备林建设及森林质量项目，不属于使用高污染燃料项目，不属于禁止开发活动，不涉及上述限制开发建设活动。</w:t>
                  </w:r>
                </w:p>
              </w:tc>
              <w:tc>
                <w:tcPr>
                  <w:tcW w:w="210" w:type="pct"/>
                  <w:tcBorders>
                    <w:tl2br w:val="nil"/>
                    <w:tr2bl w:val="nil"/>
                  </w:tcBorders>
                  <w:vAlign w:val="center"/>
                </w:tcPr>
                <w:p w14:paraId="06E48973">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1CD4F0E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5396AD76">
                  <w:pPr>
                    <w:spacing w:line="240" w:lineRule="auto"/>
                    <w:jc w:val="center"/>
                    <w:rPr>
                      <w:rFonts w:hint="default" w:ascii="Times New Roman" w:hAnsi="Times New Roman" w:eastAsia="宋体" w:cs="Times New Roman"/>
                      <w:color w:val="auto"/>
                      <w:sz w:val="21"/>
                      <w:szCs w:val="21"/>
                    </w:rPr>
                  </w:pPr>
                </w:p>
              </w:tc>
              <w:tc>
                <w:tcPr>
                  <w:tcW w:w="420" w:type="pct"/>
                  <w:vMerge w:val="restart"/>
                  <w:tcBorders>
                    <w:tl2br w:val="nil"/>
                    <w:tr2bl w:val="nil"/>
                  </w:tcBorders>
                  <w:vAlign w:val="center"/>
                </w:tcPr>
                <w:p w14:paraId="578BDBC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单元级清单管控要求</w:t>
                  </w:r>
                </w:p>
              </w:tc>
              <w:tc>
                <w:tcPr>
                  <w:tcW w:w="635" w:type="pct"/>
                  <w:tcBorders>
                    <w:tl2br w:val="nil"/>
                    <w:tr2bl w:val="nil"/>
                  </w:tcBorders>
                  <w:vAlign w:val="center"/>
                </w:tcPr>
                <w:p w14:paraId="55060EDD">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5873" w:type="dxa"/>
                  <w:tcBorders>
                    <w:tl2br w:val="nil"/>
                    <w:tr2bl w:val="nil"/>
                  </w:tcBorders>
                  <w:vAlign w:val="center"/>
                </w:tcPr>
                <w:p w14:paraId="7824AE10">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禁止开发建设活动的要求</w:t>
                  </w:r>
                </w:p>
                <w:p w14:paraId="4D0C74BF">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1）禁止食品产业中的酿造、发酵项目；药品产业的化学合成（含中间体)、化学原料药、抗生素发酵制药、生物制药项目；专业电镀；电子信息产业中涉及到化工工艺、重金属的项目（2）禁止化学原料药制造项目（3）其他执行工业重点单元总体准入要求</w:t>
                  </w:r>
                </w:p>
                <w:p w14:paraId="684DAC72">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限制开发建设活动的要求</w:t>
                  </w:r>
                </w:p>
                <w:p w14:paraId="54E903FC">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允许开发建设活动的要求</w:t>
                  </w:r>
                </w:p>
                <w:p w14:paraId="23E25B9C">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不符合空间布局要求活动的退出要求</w:t>
                  </w:r>
                </w:p>
                <w:p w14:paraId="5A1F5AA6">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不符合园区产业定位的企业不再扩能</w:t>
                  </w:r>
                </w:p>
                <w:p w14:paraId="5AF81DE6">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其他空间布局约束要求</w:t>
                  </w:r>
                </w:p>
              </w:tc>
              <w:tc>
                <w:tcPr>
                  <w:tcW w:w="967" w:type="pct"/>
                  <w:tcBorders>
                    <w:tl2br w:val="nil"/>
                    <w:tr2bl w:val="nil"/>
                  </w:tcBorders>
                  <w:vAlign w:val="center"/>
                </w:tcPr>
                <w:p w14:paraId="165A05CE">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本项目不属于禁止开发活动，限制开发建设活动。</w:t>
                  </w:r>
                </w:p>
              </w:tc>
              <w:tc>
                <w:tcPr>
                  <w:tcW w:w="210" w:type="pct"/>
                  <w:tcBorders>
                    <w:tl2br w:val="nil"/>
                    <w:tr2bl w:val="nil"/>
                  </w:tcBorders>
                  <w:vAlign w:val="center"/>
                </w:tcPr>
                <w:p w14:paraId="339E9E0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3B2F060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00B4DE2D">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252622BD">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03875A8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5873" w:type="dxa"/>
                  <w:tcBorders>
                    <w:tl2br w:val="nil"/>
                    <w:tr2bl w:val="nil"/>
                  </w:tcBorders>
                  <w:vAlign w:val="center"/>
                </w:tcPr>
                <w:p w14:paraId="709637B7">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现有源提标升级改造</w:t>
                  </w:r>
                </w:p>
                <w:p w14:paraId="414DF889">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加快园区污水处理厂建设</w:t>
                  </w:r>
                </w:p>
                <w:p w14:paraId="059255B5">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新增源等量或倍量替代</w:t>
                  </w:r>
                </w:p>
                <w:p w14:paraId="7B98FB41">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执行工业重点单元总体准入要求</w:t>
                  </w:r>
                </w:p>
                <w:p w14:paraId="0440953D">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新增源排放标准限值</w:t>
                  </w:r>
                </w:p>
                <w:p w14:paraId="59A37D3D">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污染物排放绩效水平准入要求</w:t>
                  </w:r>
                </w:p>
                <w:p w14:paraId="09E10D17">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执行工业重点单元总体准入要求</w:t>
                  </w:r>
                </w:p>
                <w:p w14:paraId="11312DB2">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其他污染物排放管控要求</w:t>
                  </w:r>
                </w:p>
              </w:tc>
              <w:tc>
                <w:tcPr>
                  <w:tcW w:w="967" w:type="pct"/>
                  <w:tcBorders>
                    <w:tl2br w:val="nil"/>
                    <w:tr2bl w:val="nil"/>
                  </w:tcBorders>
                  <w:vAlign w:val="center"/>
                </w:tcPr>
                <w:p w14:paraId="0BEC745C">
                  <w:pPr>
                    <w:spacing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本项目</w:t>
                  </w:r>
                  <w:r>
                    <w:rPr>
                      <w:rFonts w:hint="default" w:ascii="Times New Roman" w:hAnsi="Times New Roman" w:eastAsia="宋体" w:cs="Times New Roman"/>
                      <w:color w:val="auto"/>
                      <w:sz w:val="21"/>
                      <w:szCs w:val="21"/>
                      <w:lang w:eastAsia="zh-CN"/>
                    </w:rPr>
                    <w:t>生活污水经预处理后用作农肥不外排</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eastAsia="zh-CN"/>
                    </w:rPr>
                    <w:t>雨水实行雨污分流符合管控要求。</w:t>
                  </w:r>
                </w:p>
              </w:tc>
              <w:tc>
                <w:tcPr>
                  <w:tcW w:w="210" w:type="pct"/>
                  <w:tcBorders>
                    <w:tl2br w:val="nil"/>
                    <w:tr2bl w:val="nil"/>
                  </w:tcBorders>
                  <w:vAlign w:val="center"/>
                </w:tcPr>
                <w:p w14:paraId="315A846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1FE87A6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090513EC">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37E0A76D">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73C4833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5873" w:type="dxa"/>
                  <w:tcBorders>
                    <w:tl2br w:val="nil"/>
                    <w:tr2bl w:val="nil"/>
                  </w:tcBorders>
                  <w:vAlign w:val="center"/>
                </w:tcPr>
                <w:p w14:paraId="05B7B142">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严格管控类农用地管控要求</w:t>
                  </w:r>
                </w:p>
                <w:p w14:paraId="1F23A3C7">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安全利用类农用地管控要求</w:t>
                  </w:r>
                </w:p>
                <w:p w14:paraId="3A718EAC">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污染地块管控要求</w:t>
                  </w:r>
                </w:p>
                <w:p w14:paraId="3E987A4E">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执行全市总体准入及工业重点单元总体准入要求。</w:t>
                  </w:r>
                </w:p>
                <w:p w14:paraId="7247737C">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园区环境风险防控要求</w:t>
                  </w:r>
                </w:p>
                <w:p w14:paraId="1679B811">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执行全市总体准入及工业重点单元总体准入要求。</w:t>
                  </w:r>
                </w:p>
                <w:p w14:paraId="5774D270">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企业环境风险防控要求</w:t>
                  </w:r>
                </w:p>
                <w:p w14:paraId="292242F7">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风险点远离县城和童家镇，企业与居住区之间设置绿化隔离带</w:t>
                  </w:r>
                </w:p>
                <w:p w14:paraId="29FE2D3A">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其他环境风险防控要求</w:t>
                  </w:r>
                </w:p>
              </w:tc>
              <w:tc>
                <w:tcPr>
                  <w:tcW w:w="967" w:type="pct"/>
                  <w:tcBorders>
                    <w:tl2br w:val="nil"/>
                    <w:tr2bl w:val="nil"/>
                  </w:tcBorders>
                  <w:vAlign w:val="center"/>
                </w:tcPr>
                <w:p w14:paraId="0E1C69E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本项目为国家储备林建设及森林质量项目，项目的实施不会提高环境风险等级。</w:t>
                  </w:r>
                </w:p>
              </w:tc>
              <w:tc>
                <w:tcPr>
                  <w:tcW w:w="210" w:type="pct"/>
                  <w:tcBorders>
                    <w:tl2br w:val="nil"/>
                    <w:tr2bl w:val="nil"/>
                  </w:tcBorders>
                  <w:vAlign w:val="center"/>
                </w:tcPr>
                <w:p w14:paraId="4BD9487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44FF08C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03ECE63C">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40A1983E">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5DAECCFE">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5873" w:type="dxa"/>
                  <w:tcBorders>
                    <w:tl2br w:val="nil"/>
                    <w:tr2bl w:val="nil"/>
                  </w:tcBorders>
                  <w:vAlign w:val="center"/>
                </w:tcPr>
                <w:p w14:paraId="0784EEE9">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水资源利用效率要求</w:t>
                  </w:r>
                </w:p>
                <w:p w14:paraId="6B88A2BC">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执行全市总体准入及工业重点单元总体准入要求。</w:t>
                  </w:r>
                </w:p>
                <w:p w14:paraId="1EBB4D48">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地下水开采要求</w:t>
                  </w:r>
                </w:p>
                <w:p w14:paraId="45637076">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能源利用效率要求</w:t>
                  </w:r>
                </w:p>
                <w:p w14:paraId="38CEB213">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执行全市总体准入及工业重点单元总体准入要求。</w:t>
                  </w:r>
                </w:p>
                <w:p w14:paraId="111439BF">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其他资源利用效率要求</w:t>
                  </w:r>
                </w:p>
              </w:tc>
              <w:tc>
                <w:tcPr>
                  <w:tcW w:w="967" w:type="pct"/>
                  <w:tcBorders>
                    <w:tl2br w:val="nil"/>
                    <w:tr2bl w:val="nil"/>
                  </w:tcBorders>
                  <w:vAlign w:val="center"/>
                </w:tcPr>
                <w:p w14:paraId="27D1E846">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本项目建设消防水池，用于储存水。</w:t>
                  </w:r>
                </w:p>
              </w:tc>
              <w:tc>
                <w:tcPr>
                  <w:tcW w:w="210" w:type="pct"/>
                  <w:tcBorders>
                    <w:tl2br w:val="nil"/>
                    <w:tr2bl w:val="nil"/>
                  </w:tcBorders>
                  <w:vAlign w:val="center"/>
                </w:tcPr>
                <w:p w14:paraId="077AA30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3E6925B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restart"/>
                  <w:tcBorders>
                    <w:tl2br w:val="nil"/>
                    <w:tr2bl w:val="nil"/>
                  </w:tcBorders>
                  <w:vAlign w:val="center"/>
                </w:tcPr>
                <w:p w14:paraId="06069E8B">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YS5120222210001</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小阳化河乐至县万安桥控制单元</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水环境管控分区</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水环境工业污染重点管控区</w:t>
                  </w:r>
                </w:p>
              </w:tc>
              <w:tc>
                <w:tcPr>
                  <w:tcW w:w="420" w:type="pct"/>
                  <w:vMerge w:val="restart"/>
                  <w:tcBorders>
                    <w:tl2br w:val="nil"/>
                    <w:tr2bl w:val="nil"/>
                  </w:tcBorders>
                  <w:vAlign w:val="center"/>
                </w:tcPr>
                <w:p w14:paraId="47DE1F2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普适性清单管控要求</w:t>
                  </w:r>
                </w:p>
              </w:tc>
              <w:tc>
                <w:tcPr>
                  <w:tcW w:w="635" w:type="pct"/>
                  <w:tcBorders>
                    <w:tl2br w:val="nil"/>
                    <w:tr2bl w:val="nil"/>
                  </w:tcBorders>
                  <w:vAlign w:val="center"/>
                </w:tcPr>
                <w:p w14:paraId="3095A23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2104" w:type="pct"/>
                  <w:tcBorders>
                    <w:tl2br w:val="nil"/>
                    <w:tr2bl w:val="nil"/>
                  </w:tcBorders>
                  <w:vAlign w:val="center"/>
                </w:tcPr>
                <w:p w14:paraId="423909CE">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5EB89FC7">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6AD7D9B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1E88192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07BBFC12">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7767A599">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27E138B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2104" w:type="pct"/>
                  <w:tcBorders>
                    <w:tl2br w:val="nil"/>
                    <w:tr2bl w:val="nil"/>
                  </w:tcBorders>
                  <w:vAlign w:val="center"/>
                </w:tcPr>
                <w:p w14:paraId="681CDD1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41DB803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456C0A16">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61C0681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7DCAAB0A">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30FC5E67">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7BB03383">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2104" w:type="pct"/>
                  <w:tcBorders>
                    <w:tl2br w:val="nil"/>
                    <w:tr2bl w:val="nil"/>
                  </w:tcBorders>
                  <w:vAlign w:val="center"/>
                </w:tcPr>
                <w:p w14:paraId="044C8C3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395D6A4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5CA1F0F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030EE69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3C02AFA1">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379B3B13">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0E1F916B">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2104" w:type="pct"/>
                  <w:tcBorders>
                    <w:tl2br w:val="nil"/>
                    <w:tr2bl w:val="nil"/>
                  </w:tcBorders>
                  <w:vAlign w:val="center"/>
                </w:tcPr>
                <w:p w14:paraId="0205A195">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4180391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116A6E9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342F437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019E3512">
                  <w:pPr>
                    <w:spacing w:line="240" w:lineRule="auto"/>
                    <w:jc w:val="center"/>
                    <w:rPr>
                      <w:rFonts w:hint="default" w:ascii="Times New Roman" w:hAnsi="Times New Roman" w:eastAsia="宋体" w:cs="Times New Roman"/>
                      <w:color w:val="auto"/>
                      <w:sz w:val="21"/>
                      <w:szCs w:val="21"/>
                    </w:rPr>
                  </w:pPr>
                </w:p>
              </w:tc>
              <w:tc>
                <w:tcPr>
                  <w:tcW w:w="420" w:type="pct"/>
                  <w:vMerge w:val="restart"/>
                  <w:tcBorders>
                    <w:tl2br w:val="nil"/>
                    <w:tr2bl w:val="nil"/>
                  </w:tcBorders>
                  <w:vAlign w:val="center"/>
                </w:tcPr>
                <w:p w14:paraId="29663E8D">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单元级清单管控要求</w:t>
                  </w:r>
                </w:p>
              </w:tc>
              <w:tc>
                <w:tcPr>
                  <w:tcW w:w="635" w:type="pct"/>
                  <w:tcBorders>
                    <w:tl2br w:val="nil"/>
                    <w:tr2bl w:val="nil"/>
                  </w:tcBorders>
                  <w:vAlign w:val="center"/>
                </w:tcPr>
                <w:p w14:paraId="4F7CE46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5873" w:type="dxa"/>
                  <w:tcBorders>
                    <w:tl2br w:val="nil"/>
                    <w:tr2bl w:val="nil"/>
                  </w:tcBorders>
                  <w:vAlign w:val="center"/>
                </w:tcPr>
                <w:p w14:paraId="4E168F87">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禁止开发建设活动的要求</w:t>
                  </w:r>
                </w:p>
                <w:p w14:paraId="697FDBB6">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限制开发建设活动的要求</w:t>
                  </w:r>
                </w:p>
                <w:p w14:paraId="122F92EC">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允许开发建设活动的要求</w:t>
                  </w:r>
                </w:p>
                <w:p w14:paraId="17D453D6">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不符合空间布局要求活动的退出要求</w:t>
                  </w:r>
                </w:p>
                <w:p w14:paraId="0799153C">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其他空间布局约束要求</w:t>
                  </w:r>
                </w:p>
              </w:tc>
              <w:tc>
                <w:tcPr>
                  <w:tcW w:w="967" w:type="pct"/>
                  <w:tcBorders>
                    <w:tl2br w:val="nil"/>
                    <w:tr2bl w:val="nil"/>
                  </w:tcBorders>
                  <w:vAlign w:val="center"/>
                </w:tcPr>
                <w:p w14:paraId="07C0EC86">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本项目不属于禁止开发活动，限制开发建设活动。</w:t>
                  </w:r>
                </w:p>
              </w:tc>
              <w:tc>
                <w:tcPr>
                  <w:tcW w:w="210" w:type="pct"/>
                  <w:tcBorders>
                    <w:tl2br w:val="nil"/>
                    <w:tr2bl w:val="nil"/>
                  </w:tcBorders>
                  <w:vAlign w:val="center"/>
                </w:tcPr>
                <w:p w14:paraId="6C53E16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316D6B7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2F1E0D12">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26769D68">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45BEF96E">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5873" w:type="dxa"/>
                  <w:tcBorders>
                    <w:tl2br w:val="nil"/>
                    <w:tr2bl w:val="nil"/>
                  </w:tcBorders>
                  <w:vAlign w:val="center"/>
                </w:tcPr>
                <w:p w14:paraId="3DB38074">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城镇污水污染控制措施要求</w:t>
                  </w:r>
                </w:p>
                <w:p w14:paraId="18B59A6D">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工业废水污染控制措施要求</w:t>
                  </w:r>
                </w:p>
                <w:p w14:paraId="42108D67">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健全园区污水收集管网，原则上企业污水均应接入园区污水处理厂；制定并执行接管标准，强化污水处理厂运行监管，确保出水稳定达标。</w:t>
                  </w:r>
                </w:p>
                <w:p w14:paraId="494713A9">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农业面源水污染控制措施要求</w:t>
                  </w:r>
                </w:p>
                <w:p w14:paraId="70FCA255">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船舶港口水污染控制措施要求</w:t>
                  </w:r>
                </w:p>
                <w:p w14:paraId="178259F8">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饮用水水源和其它特殊水体保护要求</w:t>
                  </w:r>
                </w:p>
              </w:tc>
              <w:tc>
                <w:tcPr>
                  <w:tcW w:w="967" w:type="pct"/>
                  <w:tcBorders>
                    <w:tl2br w:val="nil"/>
                    <w:tr2bl w:val="nil"/>
                  </w:tcBorders>
                  <w:vAlign w:val="center"/>
                </w:tcPr>
                <w:p w14:paraId="0C7D21E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w:t>
                  </w:r>
                  <w:r>
                    <w:rPr>
                      <w:rFonts w:hint="default" w:ascii="Times New Roman" w:hAnsi="Times New Roman" w:eastAsia="宋体" w:cs="Times New Roman"/>
                      <w:color w:val="auto"/>
                      <w:sz w:val="21"/>
                      <w:szCs w:val="21"/>
                      <w:lang w:eastAsia="zh-CN"/>
                    </w:rPr>
                    <w:t>生活污水经预处理后用作农肥不外排</w:t>
                  </w: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7D53FCC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4FED604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68ED9463">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69A2DA42">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7803791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5873" w:type="dxa"/>
                  <w:tcBorders>
                    <w:tl2br w:val="nil"/>
                    <w:tr2bl w:val="nil"/>
                  </w:tcBorders>
                  <w:vAlign w:val="center"/>
                </w:tcPr>
                <w:p w14:paraId="3FFABE64">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强化企业液体物料及废弃液体存储、转运等环节的管控，避免泄露风险；区内企业均应建立应急收集处理设施，且加强维护，保证事故状态下能正常运行，避免泄露风险；强化园区污水处理厂运行监管。</w:t>
                  </w:r>
                </w:p>
              </w:tc>
              <w:tc>
                <w:tcPr>
                  <w:tcW w:w="967" w:type="pct"/>
                  <w:tcBorders>
                    <w:tl2br w:val="nil"/>
                    <w:tr2bl w:val="nil"/>
                  </w:tcBorders>
                  <w:vAlign w:val="center"/>
                </w:tcPr>
                <w:p w14:paraId="771AD386">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本项目不属于污水处理厂、加油站、其他物料堆存场，所不存在泄露风险。</w:t>
                  </w:r>
                </w:p>
              </w:tc>
              <w:tc>
                <w:tcPr>
                  <w:tcW w:w="210" w:type="pct"/>
                  <w:tcBorders>
                    <w:tl2br w:val="nil"/>
                    <w:tr2bl w:val="nil"/>
                  </w:tcBorders>
                  <w:vAlign w:val="center"/>
                </w:tcPr>
                <w:p w14:paraId="71B5CC3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1AA2654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33CCAE2E">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4CE1E8A5">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3FFBFEB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5873" w:type="dxa"/>
                  <w:tcBorders>
                    <w:tl2br w:val="nil"/>
                    <w:tr2bl w:val="nil"/>
                  </w:tcBorders>
                  <w:vAlign w:val="center"/>
                </w:tcPr>
                <w:p w14:paraId="5DDF2F79">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w:t>
                  </w:r>
                </w:p>
              </w:tc>
              <w:tc>
                <w:tcPr>
                  <w:tcW w:w="967" w:type="pct"/>
                  <w:tcBorders>
                    <w:tl2br w:val="nil"/>
                    <w:tr2bl w:val="nil"/>
                  </w:tcBorders>
                  <w:vAlign w:val="center"/>
                </w:tcPr>
                <w:p w14:paraId="105A12F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4090A71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3760365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restart"/>
                  <w:tcBorders>
                    <w:tl2br w:val="nil"/>
                    <w:tr2bl w:val="nil"/>
                  </w:tcBorders>
                  <w:vAlign w:val="center"/>
                </w:tcPr>
                <w:p w14:paraId="2C56790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YS5120222310001</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四川乐至经济开发区-文峰园区</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大气环境管控分区</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大气环境高排放重点管控区</w:t>
                  </w:r>
                </w:p>
              </w:tc>
              <w:tc>
                <w:tcPr>
                  <w:tcW w:w="420" w:type="pct"/>
                  <w:vMerge w:val="restart"/>
                  <w:tcBorders>
                    <w:tl2br w:val="nil"/>
                    <w:tr2bl w:val="nil"/>
                  </w:tcBorders>
                  <w:vAlign w:val="center"/>
                </w:tcPr>
                <w:p w14:paraId="61405BD4">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普适性清单管控要求</w:t>
                  </w:r>
                </w:p>
              </w:tc>
              <w:tc>
                <w:tcPr>
                  <w:tcW w:w="635" w:type="pct"/>
                  <w:tcBorders>
                    <w:tl2br w:val="nil"/>
                    <w:tr2bl w:val="nil"/>
                  </w:tcBorders>
                  <w:vAlign w:val="center"/>
                </w:tcPr>
                <w:p w14:paraId="45B4FBD4">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2104" w:type="pct"/>
                  <w:tcBorders>
                    <w:tl2br w:val="nil"/>
                    <w:tr2bl w:val="nil"/>
                  </w:tcBorders>
                  <w:vAlign w:val="center"/>
                </w:tcPr>
                <w:p w14:paraId="54224563">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5D337B34">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01D45955">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7E30121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0DE189EF">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3B6CE85A">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073A75C0">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2104" w:type="pct"/>
                  <w:tcBorders>
                    <w:tl2br w:val="nil"/>
                    <w:tr2bl w:val="nil"/>
                  </w:tcBorders>
                  <w:vAlign w:val="center"/>
                </w:tcPr>
                <w:p w14:paraId="4E18407B">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62B6FEA0">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0D0565F8">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35E23DD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49038FCC">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31B70E33">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4F4E953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2104" w:type="pct"/>
                  <w:tcBorders>
                    <w:tl2br w:val="nil"/>
                    <w:tr2bl w:val="nil"/>
                  </w:tcBorders>
                  <w:vAlign w:val="center"/>
                </w:tcPr>
                <w:p w14:paraId="46040DE4">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041F2AF8">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22F03E56">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5ECC9E5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6F1F6AA7">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731BC339">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57BAD0F8">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2104" w:type="pct"/>
                  <w:tcBorders>
                    <w:tl2br w:val="nil"/>
                    <w:tr2bl w:val="nil"/>
                  </w:tcBorders>
                  <w:vAlign w:val="center"/>
                </w:tcPr>
                <w:p w14:paraId="37161D6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1278E946">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3B3DF18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16F42BA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0AE7F024">
                  <w:pPr>
                    <w:spacing w:line="240" w:lineRule="auto"/>
                    <w:jc w:val="center"/>
                    <w:rPr>
                      <w:rFonts w:hint="default" w:ascii="Times New Roman" w:hAnsi="Times New Roman" w:eastAsia="宋体" w:cs="Times New Roman"/>
                      <w:color w:val="auto"/>
                      <w:sz w:val="21"/>
                      <w:szCs w:val="21"/>
                    </w:rPr>
                  </w:pPr>
                </w:p>
              </w:tc>
              <w:tc>
                <w:tcPr>
                  <w:tcW w:w="420" w:type="pct"/>
                  <w:vMerge w:val="restart"/>
                  <w:tcBorders>
                    <w:tl2br w:val="nil"/>
                    <w:tr2bl w:val="nil"/>
                  </w:tcBorders>
                  <w:vAlign w:val="center"/>
                </w:tcPr>
                <w:p w14:paraId="61447E8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单元级清单管控要求</w:t>
                  </w:r>
                </w:p>
              </w:tc>
              <w:tc>
                <w:tcPr>
                  <w:tcW w:w="635" w:type="pct"/>
                  <w:tcBorders>
                    <w:tl2br w:val="nil"/>
                    <w:tr2bl w:val="nil"/>
                  </w:tcBorders>
                  <w:vAlign w:val="center"/>
                </w:tcPr>
                <w:p w14:paraId="5C57867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5873" w:type="dxa"/>
                  <w:tcBorders>
                    <w:tl2br w:val="nil"/>
                    <w:tr2bl w:val="nil"/>
                  </w:tcBorders>
                  <w:vAlign w:val="center"/>
                </w:tcPr>
                <w:p w14:paraId="32420F4A">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禁止开发建设活动的要求</w:t>
                  </w:r>
                </w:p>
                <w:p w14:paraId="3EF1E257">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限制开发建设活动的要求</w:t>
                  </w:r>
                </w:p>
                <w:p w14:paraId="56BAE292">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允许开发建设活动的要求</w:t>
                  </w:r>
                </w:p>
                <w:p w14:paraId="6F3FC456">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不符合空间布局要求活动的退出要求</w:t>
                  </w:r>
                </w:p>
                <w:p w14:paraId="5809A1FB">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其他空间布局约束要求</w:t>
                  </w:r>
                </w:p>
              </w:tc>
              <w:tc>
                <w:tcPr>
                  <w:tcW w:w="967" w:type="pct"/>
                  <w:tcBorders>
                    <w:tl2br w:val="nil"/>
                    <w:tr2bl w:val="nil"/>
                  </w:tcBorders>
                  <w:vAlign w:val="center"/>
                </w:tcPr>
                <w:p w14:paraId="23E2AF9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本项目为国家储备林建设及森林质量项目，空间布局合理。</w:t>
                  </w:r>
                </w:p>
              </w:tc>
              <w:tc>
                <w:tcPr>
                  <w:tcW w:w="210" w:type="pct"/>
                  <w:tcBorders>
                    <w:tl2br w:val="nil"/>
                    <w:tr2bl w:val="nil"/>
                  </w:tcBorders>
                  <w:vAlign w:val="center"/>
                </w:tcPr>
                <w:p w14:paraId="061A8ED2">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1D01334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661" w:type="pct"/>
                  <w:vMerge w:val="continue"/>
                  <w:tcBorders>
                    <w:tl2br w:val="nil"/>
                    <w:tr2bl w:val="nil"/>
                  </w:tcBorders>
                  <w:vAlign w:val="center"/>
                </w:tcPr>
                <w:p w14:paraId="69ECCD0E">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6161752C">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0BCC0AF7">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5873" w:type="dxa"/>
                  <w:tcBorders>
                    <w:tl2br w:val="nil"/>
                    <w:tr2bl w:val="nil"/>
                  </w:tcBorders>
                  <w:vAlign w:val="center"/>
                </w:tcPr>
                <w:p w14:paraId="7E602DE8">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大气环境质量执行标准</w:t>
                  </w:r>
                </w:p>
                <w:p w14:paraId="1BF85058">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《环境空气质量标准》（GB3095-2012）：二级</w:t>
                  </w:r>
                </w:p>
                <w:p w14:paraId="2DB887E0">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区域大气污染物削减/替代要求</w:t>
                  </w:r>
                </w:p>
                <w:p w14:paraId="25FA6180">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新增大气污染物排放的建设项目实施总量削减替代。</w:t>
                  </w:r>
                </w:p>
                <w:p w14:paraId="15F7B11C">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燃煤和其他能源大气污染控制要求</w:t>
                  </w:r>
                </w:p>
                <w:p w14:paraId="19105769">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工业废气污染控制要求</w:t>
                  </w:r>
                </w:p>
                <w:p w14:paraId="293FBDD3">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推进工业污染源全面达标排放。全面实行工业污染源清单制管理，将烟气在线监测数据作为执法依据，加大超标处罚和联合惩戒力度，对未达标排放的企业一律依法停产整治，对问题严重、经整治仍无法达标的企业依法责令关闭。公布未达标工业污染源名单，对重大问题实施挂牌督办，跟踪整改销号。雁江区执行大气污染物特别排放限值， 严禁新增钢铁、玻璃、陶瓷、焦化、电解铝、有色等重点行业大气污染物排放；落实覆盖所有固定污染源的企业排放许可制度。对未依法取得排污许可证或未按证排污的企业，依法依规进行处罚。</w:t>
                  </w:r>
                </w:p>
                <w:p w14:paraId="532CABF9">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机动车船大气污染控制要求</w:t>
                  </w:r>
                </w:p>
                <w:p w14:paraId="38612BCF">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扬尘污染控制要求</w:t>
                  </w:r>
                </w:p>
                <w:p w14:paraId="15C27885">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加强工业企业无组织排放管理。组织开展建材、铸造等重点行业和燃煤锅炉无组织排放排查，建立管理台账，对物料（含废渣）运输、装卸、储存、转移与输送以及生产工艺过程等无组织排放实施分类治理。</w:t>
                  </w:r>
                </w:p>
                <w:p w14:paraId="2150D827">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农业生产经营活动大气污染控制要求</w:t>
                  </w:r>
                </w:p>
                <w:p w14:paraId="71070584">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重点行业企业专项治理要求</w:t>
                  </w:r>
                </w:p>
                <w:p w14:paraId="0396ED8A">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其他大气污染物排放管控要求</w:t>
                  </w:r>
                </w:p>
                <w:p w14:paraId="3569EC1D">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对开发区、工业园区、高新区等进行集中整治，限期进行达标排放改造，减少工业集聚区污染。有条件的园区完善园区集中供热设施，积极推广集中供热。有条件的工业集聚区建设集中喷涂工程中心，配备高效治污设施，替代企业独立喷涂。强化挥发性有机物综合治理。严格涉及VOCs排放的建设项目环境准入，加强源头控制。提高涉及VOCs排放行业环保准入门槛，新建涉及VOCs排放的工业企业入园区，实行区域内VOCs排放等量或倍量削减替代。新增VOCs排放的建设项目，实行2倍削减量替代。扎实推进重点领域VOCs治理。加强VOCs的收集和治理，严格控制生产、储存、装卸等环节的排放。推进石化、医药、农药等化工类，汽车制造、机械设备制造、家具制造等工业涂装类，包装印刷、广告装修等行业VOCs综合治理。进一步加强化工等重点行业泄漏检测与修复工作。</w:t>
                  </w:r>
                </w:p>
              </w:tc>
              <w:tc>
                <w:tcPr>
                  <w:tcW w:w="967" w:type="pct"/>
                  <w:tcBorders>
                    <w:tl2br w:val="nil"/>
                    <w:tr2bl w:val="nil"/>
                  </w:tcBorders>
                  <w:vAlign w:val="center"/>
                </w:tcPr>
                <w:p w14:paraId="32CBABB2">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项目为国家储备林建设及森林质量项目，不属于工业企业。</w:t>
                  </w:r>
                  <w:r>
                    <w:rPr>
                      <w:rFonts w:hint="default" w:ascii="Times New Roman" w:hAnsi="Times New Roman" w:eastAsia="宋体" w:cs="Times New Roman"/>
                      <w:color w:val="auto"/>
                      <w:sz w:val="21"/>
                      <w:szCs w:val="21"/>
                      <w:lang w:val="en-US" w:eastAsia="zh-CN"/>
                    </w:rPr>
                    <w:t>项目大气污染物排放主要为施工扬尘</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对环境影响较小。</w:t>
                  </w:r>
                </w:p>
              </w:tc>
              <w:tc>
                <w:tcPr>
                  <w:tcW w:w="210" w:type="pct"/>
                  <w:tcBorders>
                    <w:tl2br w:val="nil"/>
                    <w:tr2bl w:val="nil"/>
                  </w:tcBorders>
                  <w:vAlign w:val="center"/>
                </w:tcPr>
                <w:p w14:paraId="7E029403">
                  <w:pPr>
                    <w:spacing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符合</w:t>
                  </w:r>
                </w:p>
              </w:tc>
            </w:tr>
            <w:tr w14:paraId="4282934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69560FD0">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3336E806">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4C731CB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2104" w:type="pct"/>
                  <w:tcBorders>
                    <w:tl2br w:val="nil"/>
                    <w:tr2bl w:val="nil"/>
                  </w:tcBorders>
                  <w:vAlign w:val="center"/>
                </w:tcPr>
                <w:p w14:paraId="6301DC00">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22794BF8">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4821BBC4">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110A561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2353A56F">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6A668626">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2374579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5873" w:type="dxa"/>
                  <w:tcBorders>
                    <w:tl2br w:val="nil"/>
                    <w:tr2bl w:val="nil"/>
                  </w:tcBorders>
                  <w:vAlign w:val="center"/>
                </w:tcPr>
                <w:p w14:paraId="5AAB355D">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699" w:type="dxa"/>
                  <w:tcBorders>
                    <w:tl2br w:val="nil"/>
                    <w:tr2bl w:val="nil"/>
                  </w:tcBorders>
                  <w:vAlign w:val="center"/>
                </w:tcPr>
                <w:p w14:paraId="1716D822">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86" w:type="dxa"/>
                  <w:tcBorders>
                    <w:tl2br w:val="nil"/>
                    <w:tr2bl w:val="nil"/>
                  </w:tcBorders>
                  <w:vAlign w:val="center"/>
                </w:tcPr>
                <w:p w14:paraId="64BFDE87">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421B549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restart"/>
                  <w:tcBorders>
                    <w:tl2br w:val="nil"/>
                    <w:tr2bl w:val="nil"/>
                  </w:tcBorders>
                  <w:vAlign w:val="center"/>
                </w:tcPr>
                <w:p w14:paraId="125A4F87">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YS5120222550001</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乐至县自然资源重点管控区</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自然资源管控分区</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自然资源重点管控区</w:t>
                  </w:r>
                </w:p>
              </w:tc>
              <w:tc>
                <w:tcPr>
                  <w:tcW w:w="420" w:type="pct"/>
                  <w:vMerge w:val="restart"/>
                  <w:tcBorders>
                    <w:tl2br w:val="nil"/>
                    <w:tr2bl w:val="nil"/>
                  </w:tcBorders>
                  <w:vAlign w:val="center"/>
                </w:tcPr>
                <w:p w14:paraId="2323339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普适性清单管控要求</w:t>
                  </w:r>
                </w:p>
              </w:tc>
              <w:tc>
                <w:tcPr>
                  <w:tcW w:w="635" w:type="pct"/>
                  <w:tcBorders>
                    <w:tl2br w:val="nil"/>
                    <w:tr2bl w:val="nil"/>
                  </w:tcBorders>
                  <w:vAlign w:val="center"/>
                </w:tcPr>
                <w:p w14:paraId="20856B4D">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2104" w:type="pct"/>
                  <w:tcBorders>
                    <w:tl2br w:val="nil"/>
                    <w:tr2bl w:val="nil"/>
                  </w:tcBorders>
                  <w:vAlign w:val="center"/>
                </w:tcPr>
                <w:p w14:paraId="11BB2AB8">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64A9099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4CDA721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6117432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48AF864B">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07917A93">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776F9D6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2104" w:type="pct"/>
                  <w:tcBorders>
                    <w:tl2br w:val="nil"/>
                    <w:tr2bl w:val="nil"/>
                  </w:tcBorders>
                  <w:vAlign w:val="center"/>
                </w:tcPr>
                <w:p w14:paraId="7181A10D">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767C85C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0F342407">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6E4E5FB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6712DC55">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67291E89">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32111F5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2104" w:type="pct"/>
                  <w:tcBorders>
                    <w:tl2br w:val="nil"/>
                    <w:tr2bl w:val="nil"/>
                  </w:tcBorders>
                  <w:vAlign w:val="center"/>
                </w:tcPr>
                <w:p w14:paraId="492BAD07">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3CD18254">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0D5BEA6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7BB438B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0D0A92BE">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75F87A69">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2CABB1F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2104" w:type="pct"/>
                  <w:tcBorders>
                    <w:tl2br w:val="nil"/>
                    <w:tr2bl w:val="nil"/>
                  </w:tcBorders>
                  <w:vAlign w:val="center"/>
                </w:tcPr>
                <w:p w14:paraId="24FD8406">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36B7AFE3">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3B3B2338">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76878F3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32322660">
                  <w:pPr>
                    <w:spacing w:line="240" w:lineRule="auto"/>
                    <w:jc w:val="center"/>
                    <w:rPr>
                      <w:rFonts w:hint="default" w:ascii="Times New Roman" w:hAnsi="Times New Roman" w:eastAsia="宋体" w:cs="Times New Roman"/>
                      <w:color w:val="auto"/>
                      <w:sz w:val="21"/>
                      <w:szCs w:val="21"/>
                    </w:rPr>
                  </w:pPr>
                </w:p>
              </w:tc>
              <w:tc>
                <w:tcPr>
                  <w:tcW w:w="420" w:type="pct"/>
                  <w:vMerge w:val="restart"/>
                  <w:tcBorders>
                    <w:tl2br w:val="nil"/>
                    <w:tr2bl w:val="nil"/>
                  </w:tcBorders>
                  <w:vAlign w:val="center"/>
                </w:tcPr>
                <w:p w14:paraId="4E295F46">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单元级清单管控要求</w:t>
                  </w:r>
                </w:p>
              </w:tc>
              <w:tc>
                <w:tcPr>
                  <w:tcW w:w="635" w:type="pct"/>
                  <w:tcBorders>
                    <w:tl2br w:val="nil"/>
                    <w:tr2bl w:val="nil"/>
                  </w:tcBorders>
                  <w:vAlign w:val="center"/>
                </w:tcPr>
                <w:p w14:paraId="2BAC4175">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2104" w:type="pct"/>
                  <w:tcBorders>
                    <w:tl2br w:val="nil"/>
                    <w:tr2bl w:val="nil"/>
                  </w:tcBorders>
                  <w:vAlign w:val="center"/>
                </w:tcPr>
                <w:p w14:paraId="4B921422">
                  <w:pPr>
                    <w:spacing w:line="240" w:lineRule="auto"/>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合理开发高效利用水资源，建设节水型社会；优化土地利用布局与结构；优化产业空间布局，构建清洁能源体系</w:t>
                  </w:r>
                </w:p>
              </w:tc>
              <w:tc>
                <w:tcPr>
                  <w:tcW w:w="2751" w:type="dxa"/>
                  <w:tcBorders>
                    <w:tl2br w:val="nil"/>
                    <w:tr2bl w:val="nil"/>
                  </w:tcBorders>
                  <w:vAlign w:val="center"/>
                </w:tcPr>
                <w:p w14:paraId="43F3FCD0">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本项目不属于禁止开发活动，限制开发建设活动。</w:t>
                  </w:r>
                </w:p>
              </w:tc>
              <w:tc>
                <w:tcPr>
                  <w:tcW w:w="597" w:type="dxa"/>
                  <w:tcBorders>
                    <w:tl2br w:val="nil"/>
                    <w:tr2bl w:val="nil"/>
                  </w:tcBorders>
                  <w:vAlign w:val="center"/>
                </w:tcPr>
                <w:p w14:paraId="7E38ABE0">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1730500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32A2330D">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7D174905">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2088DCD6">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2104" w:type="pct"/>
                  <w:tcBorders>
                    <w:tl2br w:val="nil"/>
                    <w:tr2bl w:val="nil"/>
                  </w:tcBorders>
                  <w:vAlign w:val="center"/>
                </w:tcPr>
                <w:p w14:paraId="73B32DCD">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70CBD29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530B7DFD">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7B2424B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202FD357">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1ED70D34">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6D99D6FE">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2104" w:type="pct"/>
                  <w:tcBorders>
                    <w:tl2br w:val="nil"/>
                    <w:tr2bl w:val="nil"/>
                  </w:tcBorders>
                  <w:vAlign w:val="center"/>
                </w:tcPr>
                <w:p w14:paraId="17EE8A0B">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3A92EA14">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2FA82686">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3AB83C9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76BDE35A">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4FB923C1">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36E377D3">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2104" w:type="pct"/>
                  <w:tcBorders>
                    <w:tl2br w:val="nil"/>
                    <w:tr2bl w:val="nil"/>
                  </w:tcBorders>
                  <w:vAlign w:val="center"/>
                </w:tcPr>
                <w:p w14:paraId="3BF42229">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土地资源开发效率要求</w:t>
                  </w:r>
                </w:p>
                <w:p w14:paraId="158D0917">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能源资源开发效率要求</w:t>
                  </w:r>
                </w:p>
                <w:p w14:paraId="6E03159F">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其他资源开发效率要求</w:t>
                  </w:r>
                </w:p>
              </w:tc>
              <w:tc>
                <w:tcPr>
                  <w:tcW w:w="967" w:type="pct"/>
                  <w:tcBorders>
                    <w:tl2br w:val="nil"/>
                    <w:tr2bl w:val="nil"/>
                  </w:tcBorders>
                  <w:vAlign w:val="center"/>
                </w:tcPr>
                <w:p w14:paraId="46B74EE7">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本项目资源需求小，符合资源开发效率要求。</w:t>
                  </w:r>
                </w:p>
              </w:tc>
              <w:tc>
                <w:tcPr>
                  <w:tcW w:w="210" w:type="pct"/>
                  <w:tcBorders>
                    <w:tl2br w:val="nil"/>
                    <w:tr2bl w:val="nil"/>
                  </w:tcBorders>
                  <w:vAlign w:val="center"/>
                </w:tcPr>
                <w:p w14:paraId="17D64AE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48CF793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restart"/>
                  <w:tcBorders>
                    <w:tl2br w:val="nil"/>
                    <w:tr2bl w:val="nil"/>
                  </w:tcBorders>
                  <w:vAlign w:val="center"/>
                </w:tcPr>
                <w:p w14:paraId="50B4F336">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YS5120222510003</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乐至县水资源重点管控区</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自然资源管控分区</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水资源重点管控区</w:t>
                  </w:r>
                </w:p>
              </w:tc>
              <w:tc>
                <w:tcPr>
                  <w:tcW w:w="420" w:type="pct"/>
                  <w:vMerge w:val="restart"/>
                  <w:tcBorders>
                    <w:tl2br w:val="nil"/>
                    <w:tr2bl w:val="nil"/>
                  </w:tcBorders>
                  <w:vAlign w:val="center"/>
                </w:tcPr>
                <w:p w14:paraId="576F2BC5">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普适性清单管控要求</w:t>
                  </w:r>
                </w:p>
              </w:tc>
              <w:tc>
                <w:tcPr>
                  <w:tcW w:w="635" w:type="pct"/>
                  <w:tcBorders>
                    <w:tl2br w:val="nil"/>
                    <w:tr2bl w:val="nil"/>
                  </w:tcBorders>
                  <w:vAlign w:val="center"/>
                </w:tcPr>
                <w:p w14:paraId="56779FE7">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2104" w:type="pct"/>
                  <w:tcBorders>
                    <w:tl2br w:val="nil"/>
                    <w:tr2bl w:val="nil"/>
                  </w:tcBorders>
                  <w:vAlign w:val="center"/>
                </w:tcPr>
                <w:p w14:paraId="42BA482E">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1CEB2168">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4DB8C847">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171428F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09E96CF2">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7F0BA9F2">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744AADDD">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2104" w:type="pct"/>
                  <w:tcBorders>
                    <w:tl2br w:val="nil"/>
                    <w:tr2bl w:val="nil"/>
                  </w:tcBorders>
                  <w:vAlign w:val="center"/>
                </w:tcPr>
                <w:p w14:paraId="6FF8AB8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473E0FE2">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71152CD7">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441D0D0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3641C402">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3AFD5D60">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63D06848">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2104" w:type="pct"/>
                  <w:tcBorders>
                    <w:tl2br w:val="nil"/>
                    <w:tr2bl w:val="nil"/>
                  </w:tcBorders>
                  <w:vAlign w:val="center"/>
                </w:tcPr>
                <w:p w14:paraId="36DFB10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1AE3C68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2639E333">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685DD0B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20B87D5B">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2B59CE67">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5898464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2104" w:type="pct"/>
                  <w:tcBorders>
                    <w:tl2br w:val="nil"/>
                    <w:tr2bl w:val="nil"/>
                  </w:tcBorders>
                  <w:vAlign w:val="center"/>
                </w:tcPr>
                <w:p w14:paraId="44B7FBB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34CF623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612CE4F6">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0CC6758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0155D6D0">
                  <w:pPr>
                    <w:spacing w:line="240" w:lineRule="auto"/>
                    <w:jc w:val="center"/>
                    <w:rPr>
                      <w:rFonts w:hint="default" w:ascii="Times New Roman" w:hAnsi="Times New Roman" w:eastAsia="宋体" w:cs="Times New Roman"/>
                      <w:color w:val="auto"/>
                      <w:sz w:val="21"/>
                      <w:szCs w:val="21"/>
                    </w:rPr>
                  </w:pPr>
                </w:p>
              </w:tc>
              <w:tc>
                <w:tcPr>
                  <w:tcW w:w="420" w:type="pct"/>
                  <w:vMerge w:val="restart"/>
                  <w:tcBorders>
                    <w:tl2br w:val="nil"/>
                    <w:tr2bl w:val="nil"/>
                  </w:tcBorders>
                  <w:vAlign w:val="center"/>
                </w:tcPr>
                <w:p w14:paraId="33216772">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单元级清单管控要求</w:t>
                  </w:r>
                </w:p>
              </w:tc>
              <w:tc>
                <w:tcPr>
                  <w:tcW w:w="635" w:type="pct"/>
                  <w:tcBorders>
                    <w:tl2br w:val="nil"/>
                    <w:tr2bl w:val="nil"/>
                  </w:tcBorders>
                  <w:vAlign w:val="center"/>
                </w:tcPr>
                <w:p w14:paraId="0D434918">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5873" w:type="dxa"/>
                  <w:tcBorders>
                    <w:tl2br w:val="nil"/>
                    <w:tr2bl w:val="nil"/>
                  </w:tcBorders>
                  <w:vAlign w:val="center"/>
                </w:tcPr>
                <w:p w14:paraId="22758C0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699" w:type="dxa"/>
                  <w:tcBorders>
                    <w:tl2br w:val="nil"/>
                    <w:tr2bl w:val="nil"/>
                  </w:tcBorders>
                  <w:vAlign w:val="center"/>
                </w:tcPr>
                <w:p w14:paraId="558B1182">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86" w:type="dxa"/>
                  <w:tcBorders>
                    <w:tl2br w:val="nil"/>
                    <w:tr2bl w:val="nil"/>
                  </w:tcBorders>
                  <w:vAlign w:val="center"/>
                </w:tcPr>
                <w:p w14:paraId="391FC9F7">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7498A2F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7719E38C">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44605762">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3C59AB28">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5873" w:type="dxa"/>
                  <w:tcBorders>
                    <w:tl2br w:val="nil"/>
                    <w:tr2bl w:val="nil"/>
                  </w:tcBorders>
                  <w:vAlign w:val="center"/>
                </w:tcPr>
                <w:p w14:paraId="458E723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699" w:type="dxa"/>
                  <w:tcBorders>
                    <w:tl2br w:val="nil"/>
                    <w:tr2bl w:val="nil"/>
                  </w:tcBorders>
                  <w:vAlign w:val="center"/>
                </w:tcPr>
                <w:p w14:paraId="257A4B1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86" w:type="dxa"/>
                  <w:tcBorders>
                    <w:tl2br w:val="nil"/>
                    <w:tr2bl w:val="nil"/>
                  </w:tcBorders>
                  <w:vAlign w:val="center"/>
                </w:tcPr>
                <w:p w14:paraId="54016997">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1B2FEE6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5F4E41AD">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710DE132">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5B005C6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5873" w:type="dxa"/>
                  <w:tcBorders>
                    <w:tl2br w:val="nil"/>
                    <w:tr2bl w:val="nil"/>
                  </w:tcBorders>
                  <w:vAlign w:val="center"/>
                </w:tcPr>
                <w:p w14:paraId="658581E6">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699" w:type="dxa"/>
                  <w:tcBorders>
                    <w:tl2br w:val="nil"/>
                    <w:tr2bl w:val="nil"/>
                  </w:tcBorders>
                  <w:vAlign w:val="center"/>
                </w:tcPr>
                <w:p w14:paraId="4195CE2D">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86" w:type="dxa"/>
                  <w:tcBorders>
                    <w:tl2br w:val="nil"/>
                    <w:tr2bl w:val="nil"/>
                  </w:tcBorders>
                  <w:vAlign w:val="center"/>
                </w:tcPr>
                <w:p w14:paraId="7B25E91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5905B7E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6F2BCCD6">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55DC0374">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22507336">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2104" w:type="pct"/>
                  <w:tcBorders>
                    <w:tl2br w:val="nil"/>
                    <w:tr2bl w:val="nil"/>
                  </w:tcBorders>
                  <w:vAlign w:val="center"/>
                </w:tcPr>
                <w:p w14:paraId="1E1345CE">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土地资源开发效率要求</w:t>
                  </w:r>
                </w:p>
                <w:p w14:paraId="050AC4A6">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能源资源开发效率要求</w:t>
                  </w:r>
                </w:p>
                <w:p w14:paraId="346FC9EC">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其他资源开发效率要求</w:t>
                  </w:r>
                </w:p>
              </w:tc>
              <w:tc>
                <w:tcPr>
                  <w:tcW w:w="967" w:type="pct"/>
                  <w:tcBorders>
                    <w:tl2br w:val="nil"/>
                    <w:tr2bl w:val="nil"/>
                  </w:tcBorders>
                  <w:vAlign w:val="center"/>
                </w:tcPr>
                <w:p w14:paraId="04A2211E">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53863AA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4E7DBBC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restart"/>
                  <w:tcBorders>
                    <w:tl2br w:val="nil"/>
                    <w:tr2bl w:val="nil"/>
                  </w:tcBorders>
                  <w:vAlign w:val="center"/>
                </w:tcPr>
                <w:p w14:paraId="7214A867">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YS5120222420007</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乐至县建设用地污染风险重点管控区2</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土壤污染风险管控分区</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建设用地污染风险重点管控区</w:t>
                  </w:r>
                </w:p>
              </w:tc>
              <w:tc>
                <w:tcPr>
                  <w:tcW w:w="420" w:type="pct"/>
                  <w:vMerge w:val="restart"/>
                  <w:tcBorders>
                    <w:tl2br w:val="nil"/>
                    <w:tr2bl w:val="nil"/>
                  </w:tcBorders>
                  <w:vAlign w:val="center"/>
                </w:tcPr>
                <w:p w14:paraId="09D472C6">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普适性清单管控要求</w:t>
                  </w:r>
                </w:p>
              </w:tc>
              <w:tc>
                <w:tcPr>
                  <w:tcW w:w="635" w:type="pct"/>
                  <w:tcBorders>
                    <w:tl2br w:val="nil"/>
                    <w:tr2bl w:val="nil"/>
                  </w:tcBorders>
                  <w:vAlign w:val="center"/>
                </w:tcPr>
                <w:p w14:paraId="1FD327C8">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2104" w:type="pct"/>
                  <w:tcBorders>
                    <w:tl2br w:val="nil"/>
                    <w:tr2bl w:val="nil"/>
                  </w:tcBorders>
                  <w:vAlign w:val="center"/>
                </w:tcPr>
                <w:p w14:paraId="190111BE">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4BD2F8F3">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012A6BC4">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5AFB53F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78EDD5F3">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03A83A8D">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10DCF825">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2104" w:type="pct"/>
                  <w:tcBorders>
                    <w:tl2br w:val="nil"/>
                    <w:tr2bl w:val="nil"/>
                  </w:tcBorders>
                  <w:vAlign w:val="center"/>
                </w:tcPr>
                <w:p w14:paraId="28F898A2">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4ED0A48E">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0515A12B">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005B112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0D5B2524">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216717A8">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35A37F2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2104" w:type="pct"/>
                  <w:tcBorders>
                    <w:tl2br w:val="nil"/>
                    <w:tr2bl w:val="nil"/>
                  </w:tcBorders>
                  <w:vAlign w:val="center"/>
                </w:tcPr>
                <w:p w14:paraId="007EDA83">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0FFAEAB8">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0CA90AC2">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4DEA5AF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73FC3009">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001F57D3">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65515B3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2104" w:type="pct"/>
                  <w:tcBorders>
                    <w:tl2br w:val="nil"/>
                    <w:tr2bl w:val="nil"/>
                  </w:tcBorders>
                  <w:vAlign w:val="center"/>
                </w:tcPr>
                <w:p w14:paraId="46C43D4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67224136">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41D78FC6">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16532A5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311CBDBB">
                  <w:pPr>
                    <w:spacing w:line="240" w:lineRule="auto"/>
                    <w:jc w:val="center"/>
                    <w:rPr>
                      <w:rFonts w:hint="default" w:ascii="Times New Roman" w:hAnsi="Times New Roman" w:eastAsia="宋体" w:cs="Times New Roman"/>
                      <w:color w:val="auto"/>
                      <w:sz w:val="21"/>
                      <w:szCs w:val="21"/>
                    </w:rPr>
                  </w:pPr>
                </w:p>
              </w:tc>
              <w:tc>
                <w:tcPr>
                  <w:tcW w:w="420" w:type="pct"/>
                  <w:vMerge w:val="restart"/>
                  <w:tcBorders>
                    <w:tl2br w:val="nil"/>
                    <w:tr2bl w:val="nil"/>
                  </w:tcBorders>
                  <w:vAlign w:val="center"/>
                </w:tcPr>
                <w:p w14:paraId="1225D730">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单元级清单管控要求</w:t>
                  </w:r>
                </w:p>
              </w:tc>
              <w:tc>
                <w:tcPr>
                  <w:tcW w:w="635" w:type="pct"/>
                  <w:tcBorders>
                    <w:tl2br w:val="nil"/>
                    <w:tr2bl w:val="nil"/>
                  </w:tcBorders>
                  <w:vAlign w:val="center"/>
                </w:tcPr>
                <w:p w14:paraId="7428E048">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2104" w:type="pct"/>
                  <w:tcBorders>
                    <w:tl2br w:val="nil"/>
                    <w:tr2bl w:val="nil"/>
                  </w:tcBorders>
                  <w:vAlign w:val="center"/>
                </w:tcPr>
                <w:p w14:paraId="588FAF54">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禁止开发建设活动的要求</w:t>
                  </w:r>
                </w:p>
                <w:p w14:paraId="1B8040FB">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限制开发建设活动的要求</w:t>
                  </w:r>
                </w:p>
                <w:p w14:paraId="065A9423">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允许开发建设活动的要求</w:t>
                  </w:r>
                </w:p>
                <w:p w14:paraId="553CD1B6">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不符合空间布局要求活动的退出要求</w:t>
                  </w:r>
                </w:p>
                <w:p w14:paraId="4BE05D07">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其他空间布局约束要求</w:t>
                  </w:r>
                </w:p>
              </w:tc>
              <w:tc>
                <w:tcPr>
                  <w:tcW w:w="967" w:type="pct"/>
                  <w:tcBorders>
                    <w:tl2br w:val="nil"/>
                    <w:tr2bl w:val="nil"/>
                  </w:tcBorders>
                  <w:vAlign w:val="center"/>
                </w:tcPr>
                <w:p w14:paraId="6C32528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本项目不属于禁止开发活动，限制开发建设活动。</w:t>
                  </w:r>
                </w:p>
              </w:tc>
              <w:tc>
                <w:tcPr>
                  <w:tcW w:w="210" w:type="pct"/>
                  <w:tcBorders>
                    <w:tl2br w:val="nil"/>
                    <w:tr2bl w:val="nil"/>
                  </w:tcBorders>
                  <w:vAlign w:val="center"/>
                </w:tcPr>
                <w:p w14:paraId="3F7BC7CE">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4F1CE1F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112E0D3F">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32F86799">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0735A38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5873" w:type="dxa"/>
                  <w:tcBorders>
                    <w:tl2br w:val="nil"/>
                    <w:tr2bl w:val="nil"/>
                  </w:tcBorders>
                  <w:vAlign w:val="center"/>
                </w:tcPr>
                <w:p w14:paraId="43CDDF0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699" w:type="dxa"/>
                  <w:tcBorders>
                    <w:tl2br w:val="nil"/>
                    <w:tr2bl w:val="nil"/>
                  </w:tcBorders>
                  <w:vAlign w:val="center"/>
                </w:tcPr>
                <w:p w14:paraId="6E2EB59D">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86" w:type="dxa"/>
                  <w:tcBorders>
                    <w:tl2br w:val="nil"/>
                    <w:tr2bl w:val="nil"/>
                  </w:tcBorders>
                  <w:vAlign w:val="center"/>
                </w:tcPr>
                <w:p w14:paraId="1B129D7D">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4A6B0EF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055EE83F">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1B8F0DE8">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5640A8F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5873" w:type="dxa"/>
                  <w:tcBorders>
                    <w:tl2br w:val="nil"/>
                    <w:tr2bl w:val="nil"/>
                  </w:tcBorders>
                  <w:vAlign w:val="center"/>
                </w:tcPr>
                <w:p w14:paraId="4098FD4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699" w:type="dxa"/>
                  <w:tcBorders>
                    <w:tl2br w:val="nil"/>
                    <w:tr2bl w:val="nil"/>
                  </w:tcBorders>
                  <w:vAlign w:val="center"/>
                </w:tcPr>
                <w:p w14:paraId="5921C55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86" w:type="dxa"/>
                  <w:tcBorders>
                    <w:tl2br w:val="nil"/>
                    <w:tr2bl w:val="nil"/>
                  </w:tcBorders>
                  <w:vAlign w:val="center"/>
                </w:tcPr>
                <w:p w14:paraId="4805464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78A8A99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738AB046">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580BC553">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09DCB5A3">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5873" w:type="dxa"/>
                  <w:tcBorders>
                    <w:tl2br w:val="nil"/>
                    <w:tr2bl w:val="nil"/>
                  </w:tcBorders>
                  <w:vAlign w:val="center"/>
                </w:tcPr>
                <w:p w14:paraId="27F55656">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699" w:type="dxa"/>
                  <w:tcBorders>
                    <w:tl2br w:val="nil"/>
                    <w:tr2bl w:val="nil"/>
                  </w:tcBorders>
                  <w:vAlign w:val="center"/>
                </w:tcPr>
                <w:p w14:paraId="7744624B">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86" w:type="dxa"/>
                  <w:tcBorders>
                    <w:tl2br w:val="nil"/>
                    <w:tr2bl w:val="nil"/>
                  </w:tcBorders>
                  <w:vAlign w:val="center"/>
                </w:tcPr>
                <w:p w14:paraId="4E0443F5">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bl>
          <w:p w14:paraId="0F61D0C0">
            <w:pPr>
              <w:pStyle w:val="21"/>
              <w:widowControl w:val="0"/>
              <w:kinsoku/>
              <w:autoSpaceDE/>
              <w:autoSpaceDN/>
              <w:adjustRightInd/>
              <w:snapToGrid/>
              <w:spacing w:line="360" w:lineRule="auto"/>
              <w:ind w:firstLine="48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2）大佛镇</w:t>
            </w:r>
          </w:p>
          <w:p w14:paraId="470A6DF7">
            <w:pPr>
              <w:pStyle w:val="21"/>
              <w:widowControl w:val="0"/>
              <w:kinsoku/>
              <w:autoSpaceDE/>
              <w:autoSpaceDN/>
              <w:adjustRightInd/>
              <w:snapToGrid/>
              <w:spacing w:line="360" w:lineRule="auto"/>
              <w:ind w:firstLine="48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（1）项目拟建区域管控单元识别</w:t>
            </w:r>
          </w:p>
          <w:p w14:paraId="000C2CB0">
            <w:pPr>
              <w:pStyle w:val="21"/>
              <w:widowControl w:val="0"/>
              <w:kinsoku/>
              <w:autoSpaceDE/>
              <w:autoSpaceDN/>
              <w:adjustRightInd/>
              <w:snapToGrid/>
              <w:spacing w:line="360" w:lineRule="auto"/>
              <w:ind w:firstLine="48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根据四川省生态环境厅“三线一单”符合性分析系统识别系统结果，本项目</w:t>
            </w:r>
            <w:r>
              <w:rPr>
                <w:rFonts w:hint="default" w:ascii="Times New Roman" w:hAnsi="Times New Roman" w:eastAsia="宋体" w:cs="Times New Roman"/>
                <w:b/>
                <w:bCs/>
                <w:color w:val="auto"/>
              </w:rPr>
              <w:t>大佛镇</w:t>
            </w:r>
            <w:r>
              <w:rPr>
                <w:rFonts w:hint="default" w:ascii="Times New Roman" w:hAnsi="Times New Roman" w:eastAsia="宋体" w:cs="Times New Roman"/>
                <w:color w:val="auto"/>
              </w:rPr>
              <w:t>拟建区域共涉及</w:t>
            </w:r>
            <w:r>
              <w:rPr>
                <w:rFonts w:hint="default" w:ascii="Times New Roman" w:hAnsi="Times New Roman" w:eastAsia="宋体" w:cs="Times New Roman"/>
                <w:color w:val="auto"/>
                <w:lang w:val="en-US" w:eastAsia="zh-CN"/>
              </w:rPr>
              <w:t>5</w:t>
            </w:r>
            <w:r>
              <w:rPr>
                <w:rFonts w:hint="default" w:ascii="Times New Roman" w:hAnsi="Times New Roman" w:eastAsia="宋体" w:cs="Times New Roman"/>
                <w:color w:val="auto"/>
              </w:rPr>
              <w:t>个管控单元，具体情况见下图。</w:t>
            </w:r>
          </w:p>
          <w:p w14:paraId="42F8AE1C">
            <w:pPr>
              <w:spacing w:line="360" w:lineRule="auto"/>
              <w:ind w:firstLine="480" w:firstLineChars="200"/>
              <w:rPr>
                <w:rFonts w:hint="default" w:ascii="Times New Roman" w:hAnsi="Times New Roman" w:eastAsia="宋体" w:cs="Times New Roman"/>
                <w:color w:val="auto"/>
                <w:sz w:val="24"/>
                <w:szCs w:val="24"/>
              </w:rPr>
            </w:pPr>
          </w:p>
          <w:p w14:paraId="565F8B21">
            <w:pPr>
              <w:spacing w:line="360" w:lineRule="auto"/>
              <w:ind w:firstLine="480" w:firstLineChars="200"/>
              <w:rPr>
                <w:rFonts w:hint="default" w:ascii="Times New Roman" w:hAnsi="Times New Roman" w:eastAsia="宋体" w:cs="Times New Roman"/>
                <w:color w:val="auto"/>
                <w:sz w:val="24"/>
                <w:szCs w:val="24"/>
              </w:rPr>
            </w:pPr>
          </w:p>
          <w:p w14:paraId="31119A38">
            <w:pPr>
              <w:spacing w:line="360" w:lineRule="auto"/>
              <w:jc w:val="center"/>
              <w:rPr>
                <w:rFonts w:hint="default" w:ascii="Times New Roman" w:hAnsi="Times New Roman" w:eastAsia="宋体" w:cs="Times New Roman"/>
                <w:b/>
                <w:bCs/>
                <w:color w:val="auto"/>
                <w:sz w:val="24"/>
                <w:szCs w:val="24"/>
              </w:rPr>
            </w:pPr>
          </w:p>
          <w:p w14:paraId="3E045017">
            <w:pPr>
              <w:jc w:val="center"/>
              <w:rPr>
                <w:rFonts w:hint="default" w:ascii="Times New Roman" w:hAnsi="Times New Roman" w:eastAsia="宋体" w:cs="Times New Roman"/>
                <w:b/>
                <w:bCs/>
                <w:color w:val="auto"/>
                <w:sz w:val="24"/>
                <w:szCs w:val="24"/>
              </w:rPr>
            </w:pPr>
          </w:p>
          <w:p w14:paraId="4CD51BFF">
            <w:pPr>
              <w:jc w:val="center"/>
              <w:rPr>
                <w:rFonts w:hint="default" w:ascii="Times New Roman" w:hAnsi="Times New Roman" w:eastAsia="宋体" w:cs="Times New Roman"/>
                <w:b/>
                <w:bCs/>
                <w:color w:val="auto"/>
                <w:sz w:val="24"/>
                <w:szCs w:val="24"/>
                <w:lang w:eastAsia="zh-CN"/>
              </w:rPr>
            </w:pPr>
            <w:r>
              <w:rPr>
                <w:rFonts w:hint="default" w:ascii="Times New Roman" w:hAnsi="Times New Roman" w:eastAsia="宋体" w:cs="Times New Roman"/>
                <w:b/>
                <w:bCs/>
                <w:color w:val="auto"/>
                <w:sz w:val="24"/>
                <w:szCs w:val="24"/>
                <w:lang w:eastAsia="zh-CN"/>
              </w:rPr>
              <w:drawing>
                <wp:inline distT="0" distB="0" distL="114300" distR="114300">
                  <wp:extent cx="7398385" cy="5267325"/>
                  <wp:effectExtent l="0" t="0" r="12065" b="9525"/>
                  <wp:docPr id="39" name="图片 39" descr="c60e7c48d2cabbc9fc36643f82a34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c60e7c48d2cabbc9fc36643f82a345e"/>
                          <pic:cNvPicPr>
                            <a:picLocks noChangeAspect="1"/>
                          </pic:cNvPicPr>
                        </pic:nvPicPr>
                        <pic:blipFill>
                          <a:blip r:embed="rId18"/>
                          <a:stretch>
                            <a:fillRect/>
                          </a:stretch>
                        </pic:blipFill>
                        <pic:spPr>
                          <a:xfrm>
                            <a:off x="0" y="0"/>
                            <a:ext cx="7398385" cy="5267325"/>
                          </a:xfrm>
                          <a:prstGeom prst="rect">
                            <a:avLst/>
                          </a:prstGeom>
                        </pic:spPr>
                      </pic:pic>
                    </a:graphicData>
                  </a:graphic>
                </wp:inline>
              </w:drawing>
            </w:r>
          </w:p>
          <w:p w14:paraId="408C27DB">
            <w:pPr>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图1-</w:t>
            </w:r>
            <w:r>
              <w:rPr>
                <w:rFonts w:hint="default" w:ascii="Times New Roman" w:hAnsi="Times New Roman" w:eastAsia="宋体" w:cs="Times New Roman"/>
                <w:b/>
                <w:bCs/>
                <w:color w:val="auto"/>
                <w:sz w:val="24"/>
                <w:szCs w:val="24"/>
                <w:lang w:val="en-US" w:eastAsia="zh-CN"/>
              </w:rPr>
              <w:t>3</w:t>
            </w:r>
            <w:r>
              <w:rPr>
                <w:rFonts w:hint="default" w:ascii="Times New Roman" w:hAnsi="Times New Roman" w:eastAsia="宋体" w:cs="Times New Roman"/>
                <w:b/>
                <w:bCs/>
                <w:color w:val="auto"/>
                <w:sz w:val="24"/>
                <w:szCs w:val="24"/>
              </w:rPr>
              <w:t xml:space="preserve">  项目与管控分区截图</w:t>
            </w:r>
          </w:p>
          <w:p w14:paraId="2F165E56">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同时利用“四川省政务网---四川省生态环境厅数据库”可查询本建设项目与“四川省三线一单”符合性分析情况，经查询后可导出分析报告，分析报告明确本项目位于资阳市乐至县环境综合管控单元一般管控单元（管控单元名称：一般管控单元，管控单元编号：ZH51202230009）</w:t>
            </w:r>
          </w:p>
          <w:p w14:paraId="257190E0">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本项目与管控单元相对位置如下所示：</w:t>
            </w:r>
          </w:p>
          <w:p w14:paraId="263E3F32">
            <w:pPr>
              <w:pStyle w:val="21"/>
              <w:widowControl w:val="0"/>
              <w:kinsoku/>
              <w:autoSpaceDE/>
              <w:autoSpaceDN/>
              <w:adjustRightInd/>
              <w:snapToGrid/>
              <w:spacing w:line="336" w:lineRule="auto"/>
              <w:ind w:firstLine="0" w:firstLineChars="0"/>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sz w:val="28"/>
                <w:szCs w:val="24"/>
              </w:rPr>
              <w:drawing>
                <wp:inline distT="0" distB="0" distL="114300" distR="114300">
                  <wp:extent cx="6350000" cy="3810000"/>
                  <wp:effectExtent l="0" t="0" r="12700" b="0"/>
                  <wp:docPr id="4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9"/>
                          <pic:cNvPicPr>
                            <a:picLocks noChangeAspect="1"/>
                          </pic:cNvPicPr>
                        </pic:nvPicPr>
                        <pic:blipFill>
                          <a:blip r:embed="rId19"/>
                          <a:stretch>
                            <a:fillRect/>
                          </a:stretch>
                        </pic:blipFill>
                        <pic:spPr>
                          <a:xfrm>
                            <a:off x="0" y="0"/>
                            <a:ext cx="6350000" cy="3810000"/>
                          </a:xfrm>
                          <a:prstGeom prst="rect">
                            <a:avLst/>
                          </a:prstGeom>
                          <a:noFill/>
                          <a:ln>
                            <a:noFill/>
                          </a:ln>
                        </pic:spPr>
                      </pic:pic>
                    </a:graphicData>
                  </a:graphic>
                </wp:inline>
              </w:drawing>
            </w:r>
          </w:p>
          <w:p w14:paraId="0090748B">
            <w:pPr>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图1-</w:t>
            </w:r>
            <w:r>
              <w:rPr>
                <w:rFonts w:hint="default" w:ascii="Times New Roman" w:hAnsi="Times New Roman" w:eastAsia="宋体" w:cs="Times New Roman"/>
                <w:b/>
                <w:bCs/>
                <w:color w:val="auto"/>
                <w:sz w:val="24"/>
                <w:szCs w:val="24"/>
                <w:lang w:val="en-US" w:eastAsia="zh-CN"/>
              </w:rPr>
              <w:t>4</w:t>
            </w:r>
            <w:r>
              <w:rPr>
                <w:rFonts w:hint="default" w:ascii="Times New Roman" w:hAnsi="Times New Roman" w:eastAsia="宋体" w:cs="Times New Roman"/>
                <w:b/>
                <w:bCs/>
                <w:color w:val="auto"/>
                <w:sz w:val="24"/>
                <w:szCs w:val="24"/>
              </w:rPr>
              <w:t xml:space="preserve"> 本项目与管控单元相对位置图</w:t>
            </w:r>
          </w:p>
          <w:p w14:paraId="72CF87BF">
            <w:pPr>
              <w:pStyle w:val="21"/>
              <w:widowControl w:val="0"/>
              <w:kinsoku/>
              <w:autoSpaceDE/>
              <w:autoSpaceDN/>
              <w:adjustRightInd/>
              <w:snapToGrid/>
              <w:spacing w:line="336" w:lineRule="auto"/>
              <w:ind w:firstLine="420"/>
              <w:textAlignment w:val="auto"/>
              <w:rPr>
                <w:rFonts w:hint="default" w:ascii="Times New Roman" w:hAnsi="Times New Roman" w:eastAsia="宋体" w:cs="Times New Roman"/>
                <w:color w:val="auto"/>
              </w:rPr>
            </w:pPr>
          </w:p>
          <w:p w14:paraId="69CACDB8">
            <w:pPr>
              <w:pStyle w:val="21"/>
              <w:widowControl w:val="0"/>
              <w:kinsoku/>
              <w:autoSpaceDE/>
              <w:autoSpaceDN/>
              <w:adjustRightInd/>
              <w:snapToGrid/>
              <w:spacing w:line="360" w:lineRule="auto"/>
              <w:ind w:firstLine="48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（2）生态环境准入清单符合性分析</w:t>
            </w:r>
          </w:p>
          <w:p w14:paraId="20464B4C">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本项目与各个管控单元要求符合性分析见下表：</w:t>
            </w:r>
          </w:p>
          <w:p w14:paraId="70A4868F">
            <w:pPr>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表1-</w:t>
            </w:r>
            <w:r>
              <w:rPr>
                <w:rFonts w:hint="default" w:ascii="Times New Roman" w:hAnsi="Times New Roman" w:eastAsia="宋体" w:cs="Times New Roman"/>
                <w:b/>
                <w:bCs/>
                <w:color w:val="auto"/>
                <w:sz w:val="24"/>
                <w:szCs w:val="24"/>
                <w:lang w:val="en-US" w:eastAsia="zh-CN"/>
              </w:rPr>
              <w:t>4</w:t>
            </w:r>
            <w:r>
              <w:rPr>
                <w:rFonts w:hint="default" w:ascii="Times New Roman" w:hAnsi="Times New Roman" w:eastAsia="宋体" w:cs="Times New Roman"/>
                <w:b/>
                <w:bCs/>
                <w:color w:val="auto"/>
                <w:sz w:val="24"/>
                <w:szCs w:val="24"/>
              </w:rPr>
              <w:t xml:space="preserve">  本项目与管控单元符合性分析一览表</w:t>
            </w:r>
          </w:p>
          <w:tbl>
            <w:tblPr>
              <w:tblStyle w:val="43"/>
              <w:tblW w:w="4996"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883"/>
              <w:gridCol w:w="1195"/>
              <w:gridCol w:w="1806"/>
              <w:gridCol w:w="5985"/>
              <w:gridCol w:w="2751"/>
              <w:gridCol w:w="598"/>
            </w:tblGrid>
            <w:tr w14:paraId="411438A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1717" w:type="pct"/>
                  <w:gridSpan w:val="3"/>
                  <w:tcBorders>
                    <w:tl2br w:val="nil"/>
                    <w:tr2bl w:val="nil"/>
                  </w:tcBorders>
                  <w:vAlign w:val="center"/>
                </w:tcPr>
                <w:p w14:paraId="62621D0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类别</w:t>
                  </w:r>
                </w:p>
              </w:tc>
              <w:tc>
                <w:tcPr>
                  <w:tcW w:w="2104" w:type="pct"/>
                  <w:tcBorders>
                    <w:tl2br w:val="nil"/>
                    <w:tr2bl w:val="nil"/>
                  </w:tcBorders>
                  <w:vAlign w:val="center"/>
                </w:tcPr>
                <w:p w14:paraId="4F129A0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对应管控要求</w:t>
                  </w:r>
                </w:p>
              </w:tc>
              <w:tc>
                <w:tcPr>
                  <w:tcW w:w="967" w:type="pct"/>
                  <w:tcBorders>
                    <w:tl2br w:val="nil"/>
                    <w:tr2bl w:val="nil"/>
                  </w:tcBorders>
                  <w:vAlign w:val="center"/>
                </w:tcPr>
                <w:p w14:paraId="70ACE29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项目对应情况介绍</w:t>
                  </w:r>
                </w:p>
              </w:tc>
              <w:tc>
                <w:tcPr>
                  <w:tcW w:w="210" w:type="pct"/>
                  <w:tcBorders>
                    <w:tl2br w:val="nil"/>
                    <w:tr2bl w:val="nil"/>
                  </w:tcBorders>
                  <w:vAlign w:val="center"/>
                </w:tcPr>
                <w:p w14:paraId="57B43673">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符合性分析</w:t>
                  </w:r>
                </w:p>
              </w:tc>
            </w:tr>
            <w:tr w14:paraId="015178F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9" w:hRule="atLeast"/>
                <w:jc w:val="center"/>
              </w:trPr>
              <w:tc>
                <w:tcPr>
                  <w:tcW w:w="662" w:type="pct"/>
                  <w:vMerge w:val="restart"/>
                  <w:tcBorders>
                    <w:tl2br w:val="nil"/>
                    <w:tr2bl w:val="nil"/>
                  </w:tcBorders>
                  <w:vAlign w:val="center"/>
                </w:tcPr>
                <w:p w14:paraId="6C9EEF87">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ZH51202230009</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一般管控单元</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环境管控单元</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环境综合管控单元一般管控单元</w:t>
                  </w:r>
                </w:p>
              </w:tc>
              <w:tc>
                <w:tcPr>
                  <w:tcW w:w="420" w:type="pct"/>
                  <w:vMerge w:val="restart"/>
                  <w:tcBorders>
                    <w:tl2br w:val="nil"/>
                    <w:tr2bl w:val="nil"/>
                  </w:tcBorders>
                  <w:vAlign w:val="center"/>
                </w:tcPr>
                <w:p w14:paraId="3EB7522E">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普适性清单管控要求</w:t>
                  </w:r>
                </w:p>
              </w:tc>
              <w:tc>
                <w:tcPr>
                  <w:tcW w:w="635" w:type="pct"/>
                  <w:tcBorders>
                    <w:tl2br w:val="nil"/>
                    <w:tr2bl w:val="nil"/>
                  </w:tcBorders>
                  <w:vAlign w:val="center"/>
                </w:tcPr>
                <w:p w14:paraId="5A2EC96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2104" w:type="pct"/>
                  <w:tcBorders>
                    <w:tl2br w:val="nil"/>
                    <w:tr2bl w:val="nil"/>
                  </w:tcBorders>
                  <w:vAlign w:val="center"/>
                </w:tcPr>
                <w:p w14:paraId="5799CA26">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p w14:paraId="02B85694">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禁止开发建设活动的要求</w:t>
                  </w:r>
                </w:p>
                <w:p w14:paraId="37E83C4E">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禁止在法律法规规定的禁采区内开采矿产；禁止土法采、选、冶严重污染环境的矿产资源。（2）禁止在长江流域河湖管理范围内倾倒、填埋、堆放、弃置、处理固体废物。（3）涉及基本农田的区域，按禁止开发的要求进行管理，除法律规定的重点建设项目选址确实无法避让外，其他任何建设不得占用。</w:t>
                  </w:r>
                </w:p>
                <w:p w14:paraId="74777AEB">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限制开发建设活动的要求</w:t>
                  </w:r>
                </w:p>
                <w:p w14:paraId="738E7325">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加强乡镇及以下饮用水水源保护，严格按照法律法规、管理办法等相关要求进行控制，新、改、扩建设项目在符合规划和保护要求的前提下，应实施生态避让、减缓影响及生态恢复措施。（2）按照相关要求严控水泥新增产能。（3）单元内若新布局工业园区，应结合区域环境特点、三线成果、园区产业类别，充分论证选址的环境合理性。（4）坚持最严格的耕地保护制度，对全部耕地按限制开发的要求进行管理，严控新增建设用地规模和非农建设占用耕地.（5）园区外的现有工业企业污染物排放只降不增，现有重污染行业企业要限期搬入产业对口园区。</w:t>
                  </w:r>
                </w:p>
                <w:p w14:paraId="6CD2CFDC">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不符合空间布局要求活动的退出要求</w:t>
                  </w:r>
                </w:p>
                <w:p w14:paraId="3D29A56B">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全面取缔蓄禽养殖禁养区内规模化畜禽养殖场，水产养殖禁养区内水产养殖项目。</w:t>
                  </w:r>
                </w:p>
                <w:p w14:paraId="5E669FE6">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其他空间布局约束要求</w:t>
                  </w:r>
                </w:p>
                <w:p w14:paraId="002F9F0C">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暂无</w:t>
                  </w:r>
                </w:p>
              </w:tc>
              <w:tc>
                <w:tcPr>
                  <w:tcW w:w="967" w:type="pct"/>
                  <w:tcBorders>
                    <w:tl2br w:val="nil"/>
                    <w:tr2bl w:val="nil"/>
                  </w:tcBorders>
                  <w:vAlign w:val="center"/>
                </w:tcPr>
                <w:p w14:paraId="69C7D328">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本项目位于资阳市乐至城区及乡镇，为国家储备林建设及森林质量项目，不属于工业企业。</w:t>
                  </w:r>
                </w:p>
              </w:tc>
              <w:tc>
                <w:tcPr>
                  <w:tcW w:w="210" w:type="pct"/>
                  <w:tcBorders>
                    <w:tl2br w:val="nil"/>
                    <w:tr2bl w:val="nil"/>
                  </w:tcBorders>
                  <w:vAlign w:val="center"/>
                </w:tcPr>
                <w:p w14:paraId="27B8F70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3D21A12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2" w:type="pct"/>
                  <w:vMerge w:val="continue"/>
                  <w:tcBorders>
                    <w:tl2br w:val="nil"/>
                    <w:tr2bl w:val="nil"/>
                  </w:tcBorders>
                  <w:vAlign w:val="center"/>
                </w:tcPr>
                <w:p w14:paraId="2FB42A08">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318EA7FD">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1AFBFC3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2104" w:type="pct"/>
                  <w:tcBorders>
                    <w:tl2br w:val="nil"/>
                    <w:tr2bl w:val="nil"/>
                  </w:tcBorders>
                  <w:vAlign w:val="center"/>
                </w:tcPr>
                <w:p w14:paraId="52CF95B6">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p w14:paraId="2A5850EC">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允许排放量要求</w:t>
                  </w:r>
                </w:p>
                <w:p w14:paraId="68A5FB1A">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暂无</w:t>
                  </w:r>
                </w:p>
                <w:p w14:paraId="2FB26629">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现有源提标升级改造</w:t>
                  </w:r>
                </w:p>
                <w:p w14:paraId="6BFBD348">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加快现有乡镇污水处理设施升级改造，按要求达《城镇污水处理厂污染物排放标准》一级A标后排放。（2）加强与改厕工作相衔接，推进农村生活污水资源化利用。梯次推进农村生活污水治理。农村生活污水处理设施执行《四川省农村生活污水处理设施水污染物排放标准》（DB51 2626—2019）。（3）加快推进养殖节水减排，鼓励采取技术措施开展集中连片池塘养殖区域和工厂化养殖尾水处理，推动养殖尾水资源化利用或达标排放。（4）加强不达标饮用水源地治理，推进城乡一体化供水。（5）砖瓦行业实施脱硫、除尘升级改造，污染物排放达到《砖瓦工业大气污染物排放标准》相关要求。</w:t>
                  </w:r>
                </w:p>
                <w:p w14:paraId="62D4B0F1">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其他污染物排放管控要求</w:t>
                  </w:r>
                </w:p>
                <w:p w14:paraId="0E0A0839">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绩效水平准入要求：（1）至2025年底，基本实现乡镇污水处理设施全覆盖，配套建设污水收集管网，乡镇污水处理率力争达到85%。（2）新、改扩建规模化畜禽养殖场（小区）要实施雨污分流、粪便污水资源化利用；至2025年，规模化畜禽养殖场（小区）粪污处理设施装备配套率达到100%，粪污综合利用率达到90%以上；散养密集区要实行畜禽粪便污水分户收集、集中处理利用。（3）屠宰项目必须配套污水处理设施或进入城市污水管网（4）强化农药、化肥减量工作，积极推广配方肥和商品有机肥，配方施肥覆盖面不低于50%，减少化肥施用和流失，提高化肥利用率。推进农业废弃农膜的回收，转运综合利用。到2025年底，秸秆综合利用率达到95%以上。（5）到2023年底，乡镇及行政村生活垃圾收转运处置体系基本实现全覆盖。</w:t>
                  </w:r>
                </w:p>
              </w:tc>
              <w:tc>
                <w:tcPr>
                  <w:tcW w:w="967" w:type="pct"/>
                  <w:tcBorders>
                    <w:tl2br w:val="nil"/>
                    <w:tr2bl w:val="nil"/>
                  </w:tcBorders>
                  <w:vAlign w:val="center"/>
                </w:tcPr>
                <w:p w14:paraId="5E0AD916">
                  <w:pPr>
                    <w:spacing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本项目为国家储备林建设及森林质量项目，</w:t>
                  </w:r>
                  <w:r>
                    <w:rPr>
                      <w:rFonts w:hint="default" w:ascii="Times New Roman" w:hAnsi="Times New Roman" w:eastAsia="宋体" w:cs="Times New Roman"/>
                      <w:color w:val="auto"/>
                      <w:sz w:val="21"/>
                      <w:szCs w:val="21"/>
                      <w:lang w:eastAsia="zh-CN"/>
                    </w:rPr>
                    <w:t>生活污水经预处理后用作农肥不外排</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eastAsia="zh-CN"/>
                    </w:rPr>
                    <w:t>雨水实行雨污分流符合管控要求</w:t>
                  </w:r>
                  <w:r>
                    <w:rPr>
                      <w:rFonts w:hint="eastAsia" w:ascii="Times New Roman" w:hAnsi="Times New Roman" w:eastAsia="宋体" w:cs="Times New Roman"/>
                      <w:color w:val="auto"/>
                      <w:sz w:val="21"/>
                      <w:szCs w:val="21"/>
                      <w:lang w:eastAsia="zh-CN"/>
                    </w:rPr>
                    <w:t>，施用有机生物肥和复合有机无机配方肥，避免地表撒施，尽量采用低毒、残留期短的农药和生物制剂，既保障栽植苗木生长，也减少化肥农药污染</w:t>
                  </w:r>
                  <w:r>
                    <w:rPr>
                      <w:rFonts w:hint="default" w:ascii="Times New Roman" w:hAnsi="Times New Roman" w:eastAsia="宋体" w:cs="Times New Roman"/>
                      <w:color w:val="auto"/>
                      <w:sz w:val="21"/>
                      <w:szCs w:val="21"/>
                      <w:lang w:eastAsia="zh-CN"/>
                    </w:rPr>
                    <w:t>。</w:t>
                  </w:r>
                </w:p>
              </w:tc>
              <w:tc>
                <w:tcPr>
                  <w:tcW w:w="210" w:type="pct"/>
                  <w:tcBorders>
                    <w:tl2br w:val="nil"/>
                    <w:tr2bl w:val="nil"/>
                  </w:tcBorders>
                  <w:vAlign w:val="center"/>
                </w:tcPr>
                <w:p w14:paraId="6E601B35">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57A5A4A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2" w:type="pct"/>
                  <w:vMerge w:val="continue"/>
                  <w:tcBorders>
                    <w:tl2br w:val="nil"/>
                    <w:tr2bl w:val="nil"/>
                  </w:tcBorders>
                  <w:vAlign w:val="center"/>
                </w:tcPr>
                <w:p w14:paraId="6CD4A8B6">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32552568">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013F3E22">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2104" w:type="pct"/>
                  <w:tcBorders>
                    <w:tl2br w:val="nil"/>
                    <w:tr2bl w:val="nil"/>
                  </w:tcBorders>
                  <w:vAlign w:val="center"/>
                </w:tcPr>
                <w:p w14:paraId="55C66B0D">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p w14:paraId="7FA801E8">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联防联控要求</w:t>
                  </w:r>
                </w:p>
                <w:p w14:paraId="588B992F">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暂无</w:t>
                  </w:r>
                </w:p>
                <w:p w14:paraId="22364DC1">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其他环境风险防控要求</w:t>
                  </w:r>
                </w:p>
                <w:p w14:paraId="7CFD6529">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企业环境风险防控要求：（1）工业企业退出用地，须经评估、修复满足相应用地功能后，方可改变用途。（2）加强“散乱污”企业环境风险防控。用地2、环境风险防控要求：（1）严格控制林地、草地、园地的农药使用量，禁止使用高毒、高残留农药。（2）严禁将城镇生活垃圾、污泥、工业废物直接用作肥料，禁止处理不达标的污泥进入耕地；禁止在农用地排放、倾倒、使用污泥、清淤底泥、尾矿（渣）等可能对土壤造成污染的固体废物。</w:t>
                  </w:r>
                </w:p>
              </w:tc>
              <w:tc>
                <w:tcPr>
                  <w:tcW w:w="967" w:type="pct"/>
                  <w:tcBorders>
                    <w:tl2br w:val="nil"/>
                    <w:tr2bl w:val="nil"/>
                  </w:tcBorders>
                  <w:vAlign w:val="center"/>
                </w:tcPr>
                <w:p w14:paraId="18CDDE64">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乐至县兴茂林业开发有限公司已与项目所在地村民签订林地流转协议，用于储备林项目建设，符合规划。</w:t>
                  </w:r>
                </w:p>
              </w:tc>
              <w:tc>
                <w:tcPr>
                  <w:tcW w:w="210" w:type="pct"/>
                  <w:tcBorders>
                    <w:tl2br w:val="nil"/>
                    <w:tr2bl w:val="nil"/>
                  </w:tcBorders>
                  <w:vAlign w:val="center"/>
                </w:tcPr>
                <w:p w14:paraId="12F78BD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44E10C8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2" w:type="pct"/>
                  <w:vMerge w:val="continue"/>
                  <w:tcBorders>
                    <w:tl2br w:val="nil"/>
                    <w:tr2bl w:val="nil"/>
                  </w:tcBorders>
                  <w:vAlign w:val="center"/>
                </w:tcPr>
                <w:p w14:paraId="074E2061">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45CB94D6">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2A6A29A2">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2104" w:type="pct"/>
                  <w:tcBorders>
                    <w:tl2br w:val="nil"/>
                    <w:tr2bl w:val="nil"/>
                  </w:tcBorders>
                  <w:vAlign w:val="center"/>
                </w:tcPr>
                <w:p w14:paraId="433E59F0">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资源开发利用效率要求：</w:t>
                  </w:r>
                </w:p>
                <w:p w14:paraId="6138C10F">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水资源利用总量要求</w:t>
                  </w:r>
                </w:p>
                <w:p w14:paraId="357D36B8">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（1）到2030年，农田灌溉水有效利用系数提高到0.62。</w:t>
                  </w:r>
                </w:p>
                <w:p w14:paraId="7E1BACC6">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地下水开采要求</w:t>
                  </w:r>
                </w:p>
                <w:p w14:paraId="76C3ABC8">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暂无</w:t>
                  </w:r>
                </w:p>
                <w:p w14:paraId="2D6C6E01">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能源利用总量及效率要求</w:t>
                  </w:r>
                </w:p>
                <w:p w14:paraId="4C89E485">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（1）推进清洁能源的推广使用，全面推进散煤清洁化整治。</w:t>
                  </w:r>
                </w:p>
                <w:p w14:paraId="3E03AF80">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禁燃区要求</w:t>
                  </w:r>
                </w:p>
                <w:p w14:paraId="210CBB18">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暂无</w:t>
                  </w:r>
                </w:p>
                <w:p w14:paraId="58A10C1B">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其他资源利用效率要求</w:t>
                  </w:r>
                </w:p>
                <w:p w14:paraId="5ACD1AE9">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暂无</w:t>
                  </w:r>
                </w:p>
              </w:tc>
              <w:tc>
                <w:tcPr>
                  <w:tcW w:w="967" w:type="pct"/>
                  <w:tcBorders>
                    <w:tl2br w:val="nil"/>
                    <w:tr2bl w:val="nil"/>
                  </w:tcBorders>
                  <w:vAlign w:val="center"/>
                </w:tcPr>
                <w:p w14:paraId="06C110F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本项目为国家储备林建设及森林质量项目，不属于使用高污染燃料项目，不属于禁止开发活动，不涉及上述限制开发建设活动。</w:t>
                  </w:r>
                </w:p>
              </w:tc>
              <w:tc>
                <w:tcPr>
                  <w:tcW w:w="210" w:type="pct"/>
                  <w:tcBorders>
                    <w:tl2br w:val="nil"/>
                    <w:tr2bl w:val="nil"/>
                  </w:tcBorders>
                  <w:vAlign w:val="center"/>
                </w:tcPr>
                <w:p w14:paraId="08880783">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2BEA59E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2" w:type="pct"/>
                  <w:vMerge w:val="continue"/>
                  <w:tcBorders>
                    <w:tl2br w:val="nil"/>
                    <w:tr2bl w:val="nil"/>
                  </w:tcBorders>
                  <w:vAlign w:val="center"/>
                </w:tcPr>
                <w:p w14:paraId="3DA19F29">
                  <w:pPr>
                    <w:spacing w:line="240" w:lineRule="auto"/>
                    <w:jc w:val="center"/>
                    <w:rPr>
                      <w:rFonts w:hint="default" w:ascii="Times New Roman" w:hAnsi="Times New Roman" w:eastAsia="宋体" w:cs="Times New Roman"/>
                      <w:color w:val="auto"/>
                      <w:sz w:val="21"/>
                      <w:szCs w:val="21"/>
                    </w:rPr>
                  </w:pPr>
                </w:p>
              </w:tc>
              <w:tc>
                <w:tcPr>
                  <w:tcW w:w="420" w:type="pct"/>
                  <w:vMerge w:val="restart"/>
                  <w:tcBorders>
                    <w:tl2br w:val="nil"/>
                    <w:tr2bl w:val="nil"/>
                  </w:tcBorders>
                  <w:vAlign w:val="center"/>
                </w:tcPr>
                <w:p w14:paraId="75DEC4F5">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单元级清单管控要求</w:t>
                  </w:r>
                </w:p>
              </w:tc>
              <w:tc>
                <w:tcPr>
                  <w:tcW w:w="635" w:type="pct"/>
                  <w:tcBorders>
                    <w:tl2br w:val="nil"/>
                    <w:tr2bl w:val="nil"/>
                  </w:tcBorders>
                  <w:vAlign w:val="center"/>
                </w:tcPr>
                <w:p w14:paraId="7A3C105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5985" w:type="dxa"/>
                  <w:tcBorders>
                    <w:tl2br w:val="nil"/>
                    <w:tr2bl w:val="nil"/>
                  </w:tcBorders>
                  <w:vAlign w:val="center"/>
                </w:tcPr>
                <w:p w14:paraId="6A443D6B">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禁止开发建设活动的要求</w:t>
                  </w:r>
                </w:p>
                <w:p w14:paraId="79E88249">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执行一般管控单元总体准入要求</w:t>
                  </w:r>
                </w:p>
                <w:p w14:paraId="1873D684">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限制开发建设活动的要求</w:t>
                  </w:r>
                </w:p>
                <w:p w14:paraId="0FCF456C">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执行一般管控单元总体准入要求</w:t>
                  </w:r>
                </w:p>
                <w:p w14:paraId="7E649602">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允许开发建设活动的要求</w:t>
                  </w:r>
                </w:p>
                <w:p w14:paraId="3454E5F4">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不符合空间布局要求活动的退出要求</w:t>
                  </w:r>
                </w:p>
                <w:p w14:paraId="00A0C5C5">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执行一般管控单元总体准入要求</w:t>
                  </w:r>
                </w:p>
                <w:p w14:paraId="0C09C645">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其他空间布局约束要求</w:t>
                  </w:r>
                </w:p>
              </w:tc>
              <w:tc>
                <w:tcPr>
                  <w:tcW w:w="967" w:type="pct"/>
                  <w:tcBorders>
                    <w:tl2br w:val="nil"/>
                    <w:tr2bl w:val="nil"/>
                  </w:tcBorders>
                  <w:vAlign w:val="center"/>
                </w:tcPr>
                <w:p w14:paraId="4008C63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本项目不属于禁止开发活动，限制开发建设活动。</w:t>
                  </w:r>
                </w:p>
              </w:tc>
              <w:tc>
                <w:tcPr>
                  <w:tcW w:w="210" w:type="pct"/>
                  <w:tcBorders>
                    <w:tl2br w:val="nil"/>
                    <w:tr2bl w:val="nil"/>
                  </w:tcBorders>
                  <w:vAlign w:val="center"/>
                </w:tcPr>
                <w:p w14:paraId="2F6889A0">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756D858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2" w:type="pct"/>
                  <w:vMerge w:val="continue"/>
                  <w:tcBorders>
                    <w:tl2br w:val="nil"/>
                    <w:tr2bl w:val="nil"/>
                  </w:tcBorders>
                  <w:vAlign w:val="center"/>
                </w:tcPr>
                <w:p w14:paraId="2D25E275">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5907BC08">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71D22AB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5985" w:type="dxa"/>
                  <w:tcBorders>
                    <w:tl2br w:val="nil"/>
                    <w:tr2bl w:val="nil"/>
                  </w:tcBorders>
                  <w:vAlign w:val="center"/>
                </w:tcPr>
                <w:p w14:paraId="7EA5D2F2">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现有源提标升级改造</w:t>
                  </w:r>
                </w:p>
                <w:p w14:paraId="68D62C72">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执行一般管控单元总体准入要求。单元内的大气、水重点管控区执行要素重点管控要求。</w:t>
                  </w:r>
                </w:p>
                <w:p w14:paraId="5C2F749F">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新增源等量或倍量替代</w:t>
                  </w:r>
                </w:p>
                <w:p w14:paraId="6CBB6B1C">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执行一般管控单元总体准入要求。单元内的大气、水重点管控区执行要素重点管控要求。</w:t>
                  </w:r>
                </w:p>
                <w:p w14:paraId="5FA573A5">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新增源排放标准限值</w:t>
                  </w:r>
                </w:p>
                <w:p w14:paraId="2192CC25">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污染物排放绩效水平准入要求</w:t>
                  </w:r>
                </w:p>
                <w:p w14:paraId="0E87EF1E">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执行一般管控单元总体准入要求。单元内的大气、水重点管控区执行要素重点管控要求。</w:t>
                  </w:r>
                </w:p>
                <w:p w14:paraId="31845237">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其他污染物排放管控要求</w:t>
                  </w:r>
                </w:p>
              </w:tc>
              <w:tc>
                <w:tcPr>
                  <w:tcW w:w="967" w:type="pct"/>
                  <w:tcBorders>
                    <w:tl2br w:val="nil"/>
                    <w:tr2bl w:val="nil"/>
                  </w:tcBorders>
                  <w:vAlign w:val="center"/>
                </w:tcPr>
                <w:p w14:paraId="485D33EC">
                  <w:pPr>
                    <w:spacing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本项目</w:t>
                  </w:r>
                  <w:r>
                    <w:rPr>
                      <w:rFonts w:hint="default" w:ascii="Times New Roman" w:hAnsi="Times New Roman" w:eastAsia="宋体" w:cs="Times New Roman"/>
                      <w:color w:val="auto"/>
                      <w:sz w:val="21"/>
                      <w:szCs w:val="21"/>
                      <w:lang w:eastAsia="zh-CN"/>
                    </w:rPr>
                    <w:t>生活污水经预处理后用作农肥不外排</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eastAsia="zh-CN"/>
                    </w:rPr>
                    <w:t>雨水实行雨污分流符合管控要求。</w:t>
                  </w:r>
                </w:p>
              </w:tc>
              <w:tc>
                <w:tcPr>
                  <w:tcW w:w="210" w:type="pct"/>
                  <w:tcBorders>
                    <w:tl2br w:val="nil"/>
                    <w:tr2bl w:val="nil"/>
                  </w:tcBorders>
                  <w:vAlign w:val="center"/>
                </w:tcPr>
                <w:p w14:paraId="4C591F23">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0344642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2" w:type="pct"/>
                  <w:vMerge w:val="continue"/>
                  <w:tcBorders>
                    <w:tl2br w:val="nil"/>
                    <w:tr2bl w:val="nil"/>
                  </w:tcBorders>
                  <w:vAlign w:val="center"/>
                </w:tcPr>
                <w:p w14:paraId="3BD82AC1">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1D8F9376">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2BDADBE4">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5985" w:type="dxa"/>
                  <w:tcBorders>
                    <w:tl2br w:val="nil"/>
                    <w:tr2bl w:val="nil"/>
                  </w:tcBorders>
                  <w:vAlign w:val="center"/>
                </w:tcPr>
                <w:p w14:paraId="1B16106D">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严格管控类农用地管控要求</w:t>
                  </w:r>
                </w:p>
                <w:p w14:paraId="097CFCF5">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安全利用类农用地管控要求</w:t>
                  </w:r>
                </w:p>
                <w:p w14:paraId="4F29A8D7">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污染地块管控要求</w:t>
                  </w:r>
                </w:p>
                <w:p w14:paraId="042F9800">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执行一般管控单元总体准入要求。单元内的水重点管控区执行水要素重点管控要求，土壤优先保护区执行土壤要素优先保护管控要求。</w:t>
                  </w:r>
                </w:p>
                <w:p w14:paraId="449D4C15">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园区环境风险防控要求</w:t>
                  </w:r>
                </w:p>
                <w:p w14:paraId="22535512">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企业环境风险防控要求</w:t>
                  </w:r>
                </w:p>
                <w:p w14:paraId="4D9D725F">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执行一般管控单元总体准入要求。单元内的水重点管控区执行水要素重点管控要求，土壤优先保护区执行土壤要素优先保护管控要求。</w:t>
                  </w:r>
                </w:p>
                <w:p w14:paraId="32AE6950">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其他环境风险防控要求</w:t>
                  </w:r>
                </w:p>
              </w:tc>
              <w:tc>
                <w:tcPr>
                  <w:tcW w:w="967" w:type="pct"/>
                  <w:tcBorders>
                    <w:tl2br w:val="nil"/>
                    <w:tr2bl w:val="nil"/>
                  </w:tcBorders>
                  <w:vAlign w:val="center"/>
                </w:tcPr>
                <w:p w14:paraId="2D023A18">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本项目为国家储备林建设及森林质量项目，项目的实施不会提高环境风险等级。</w:t>
                  </w:r>
                </w:p>
              </w:tc>
              <w:tc>
                <w:tcPr>
                  <w:tcW w:w="210" w:type="pct"/>
                  <w:tcBorders>
                    <w:tl2br w:val="nil"/>
                    <w:tr2bl w:val="nil"/>
                  </w:tcBorders>
                  <w:vAlign w:val="center"/>
                </w:tcPr>
                <w:p w14:paraId="6203EE2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7BC5E07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2" w:type="pct"/>
                  <w:vMerge w:val="continue"/>
                  <w:tcBorders>
                    <w:tl2br w:val="nil"/>
                    <w:tr2bl w:val="nil"/>
                  </w:tcBorders>
                  <w:vAlign w:val="center"/>
                </w:tcPr>
                <w:p w14:paraId="2340998F">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744F57B1">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534C5A0E">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5985" w:type="dxa"/>
                  <w:tcBorders>
                    <w:tl2br w:val="nil"/>
                    <w:tr2bl w:val="nil"/>
                  </w:tcBorders>
                  <w:vAlign w:val="center"/>
                </w:tcPr>
                <w:p w14:paraId="3B681984">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水资源利用效率要求</w:t>
                  </w:r>
                </w:p>
                <w:p w14:paraId="41111214">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执行一般管控单元总体准入要求。单元内的大气、水重点管控区执行要素重点管控要求。</w:t>
                  </w:r>
                </w:p>
                <w:p w14:paraId="567325F3">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地下水开采要求</w:t>
                  </w:r>
                </w:p>
                <w:p w14:paraId="32AF3457">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能源利用效率要求</w:t>
                  </w:r>
                </w:p>
                <w:p w14:paraId="17A0F926">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执行一般管控单元总体准入要求。</w:t>
                  </w:r>
                </w:p>
                <w:p w14:paraId="22B7C8FC">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其他资源利用效率要求</w:t>
                  </w:r>
                </w:p>
              </w:tc>
              <w:tc>
                <w:tcPr>
                  <w:tcW w:w="967" w:type="pct"/>
                  <w:tcBorders>
                    <w:tl2br w:val="nil"/>
                    <w:tr2bl w:val="nil"/>
                  </w:tcBorders>
                  <w:vAlign w:val="center"/>
                </w:tcPr>
                <w:p w14:paraId="32206277">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本项目建设消防水池，用于储存水。</w:t>
                  </w:r>
                </w:p>
              </w:tc>
              <w:tc>
                <w:tcPr>
                  <w:tcW w:w="210" w:type="pct"/>
                  <w:tcBorders>
                    <w:tl2br w:val="nil"/>
                    <w:tr2bl w:val="nil"/>
                  </w:tcBorders>
                  <w:vAlign w:val="center"/>
                </w:tcPr>
                <w:p w14:paraId="5F1828B3">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5231A96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2" w:type="pct"/>
                  <w:vMerge w:val="restart"/>
                  <w:tcBorders>
                    <w:tl2br w:val="nil"/>
                    <w:tr2bl w:val="nil"/>
                  </w:tcBorders>
                  <w:vAlign w:val="center"/>
                </w:tcPr>
                <w:p w14:paraId="1387FEB8">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YS5120223210001</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蟠龙河乐至县元坝子控制单元</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水环境管控分区</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水环境一般管控区</w:t>
                  </w:r>
                </w:p>
              </w:tc>
              <w:tc>
                <w:tcPr>
                  <w:tcW w:w="420" w:type="pct"/>
                  <w:vMerge w:val="restart"/>
                  <w:tcBorders>
                    <w:tl2br w:val="nil"/>
                    <w:tr2bl w:val="nil"/>
                  </w:tcBorders>
                  <w:vAlign w:val="center"/>
                </w:tcPr>
                <w:p w14:paraId="62FF4CB0">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普适性清单管控要求</w:t>
                  </w:r>
                </w:p>
              </w:tc>
              <w:tc>
                <w:tcPr>
                  <w:tcW w:w="635" w:type="pct"/>
                  <w:tcBorders>
                    <w:tl2br w:val="nil"/>
                    <w:tr2bl w:val="nil"/>
                  </w:tcBorders>
                  <w:vAlign w:val="center"/>
                </w:tcPr>
                <w:p w14:paraId="410006D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2104" w:type="pct"/>
                  <w:tcBorders>
                    <w:tl2br w:val="nil"/>
                    <w:tr2bl w:val="nil"/>
                  </w:tcBorders>
                  <w:vAlign w:val="center"/>
                </w:tcPr>
                <w:p w14:paraId="2BA36F06">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58AED528">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431EF74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141CBD3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2" w:type="pct"/>
                  <w:vMerge w:val="continue"/>
                  <w:tcBorders>
                    <w:tl2br w:val="nil"/>
                    <w:tr2bl w:val="nil"/>
                  </w:tcBorders>
                  <w:vAlign w:val="center"/>
                </w:tcPr>
                <w:p w14:paraId="6CBB1D1D">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1C72F2C0">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5250CF16">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5985" w:type="dxa"/>
                  <w:tcBorders>
                    <w:tl2br w:val="nil"/>
                    <w:tr2bl w:val="nil"/>
                  </w:tcBorders>
                  <w:vAlign w:val="center"/>
                </w:tcPr>
                <w:p w14:paraId="6C712C3B">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751" w:type="dxa"/>
                  <w:tcBorders>
                    <w:tl2br w:val="nil"/>
                    <w:tr2bl w:val="nil"/>
                  </w:tcBorders>
                  <w:vAlign w:val="center"/>
                </w:tcPr>
                <w:p w14:paraId="3F3B49EE">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98" w:type="dxa"/>
                  <w:tcBorders>
                    <w:tl2br w:val="nil"/>
                    <w:tr2bl w:val="nil"/>
                  </w:tcBorders>
                  <w:vAlign w:val="center"/>
                </w:tcPr>
                <w:p w14:paraId="6F89BD25">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235C57C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2" w:type="pct"/>
                  <w:vMerge w:val="continue"/>
                  <w:tcBorders>
                    <w:tl2br w:val="nil"/>
                    <w:tr2bl w:val="nil"/>
                  </w:tcBorders>
                  <w:vAlign w:val="center"/>
                </w:tcPr>
                <w:p w14:paraId="7C0D769C">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45B15055">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7FA1BF47">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5985" w:type="dxa"/>
                  <w:tcBorders>
                    <w:tl2br w:val="nil"/>
                    <w:tr2bl w:val="nil"/>
                  </w:tcBorders>
                  <w:vAlign w:val="center"/>
                </w:tcPr>
                <w:p w14:paraId="1712379B">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751" w:type="dxa"/>
                  <w:tcBorders>
                    <w:tl2br w:val="nil"/>
                    <w:tr2bl w:val="nil"/>
                  </w:tcBorders>
                  <w:vAlign w:val="center"/>
                </w:tcPr>
                <w:p w14:paraId="41CF0AD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98" w:type="dxa"/>
                  <w:tcBorders>
                    <w:tl2br w:val="nil"/>
                    <w:tr2bl w:val="nil"/>
                  </w:tcBorders>
                  <w:vAlign w:val="center"/>
                </w:tcPr>
                <w:p w14:paraId="3F48A2A4">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52EFB97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2" w:type="pct"/>
                  <w:vMerge w:val="continue"/>
                  <w:tcBorders>
                    <w:tl2br w:val="nil"/>
                    <w:tr2bl w:val="nil"/>
                  </w:tcBorders>
                  <w:vAlign w:val="center"/>
                </w:tcPr>
                <w:p w14:paraId="60EF8D77">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6CB90068">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2095B5E4">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5985" w:type="dxa"/>
                  <w:tcBorders>
                    <w:tl2br w:val="nil"/>
                    <w:tr2bl w:val="nil"/>
                  </w:tcBorders>
                  <w:vAlign w:val="center"/>
                </w:tcPr>
                <w:p w14:paraId="19BD8AB2">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751" w:type="dxa"/>
                  <w:tcBorders>
                    <w:tl2br w:val="nil"/>
                    <w:tr2bl w:val="nil"/>
                  </w:tcBorders>
                  <w:vAlign w:val="center"/>
                </w:tcPr>
                <w:p w14:paraId="49F06403">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98" w:type="dxa"/>
                  <w:tcBorders>
                    <w:tl2br w:val="nil"/>
                    <w:tr2bl w:val="nil"/>
                  </w:tcBorders>
                  <w:vAlign w:val="center"/>
                </w:tcPr>
                <w:p w14:paraId="1DFB9480">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3BE664F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2" w:type="pct"/>
                  <w:vMerge w:val="continue"/>
                  <w:tcBorders>
                    <w:tl2br w:val="nil"/>
                    <w:tr2bl w:val="nil"/>
                  </w:tcBorders>
                  <w:vAlign w:val="center"/>
                </w:tcPr>
                <w:p w14:paraId="3ABF2241">
                  <w:pPr>
                    <w:spacing w:line="240" w:lineRule="auto"/>
                    <w:jc w:val="center"/>
                    <w:rPr>
                      <w:rFonts w:hint="default" w:ascii="Times New Roman" w:hAnsi="Times New Roman" w:eastAsia="宋体" w:cs="Times New Roman"/>
                      <w:color w:val="auto"/>
                      <w:sz w:val="21"/>
                      <w:szCs w:val="21"/>
                    </w:rPr>
                  </w:pPr>
                </w:p>
              </w:tc>
              <w:tc>
                <w:tcPr>
                  <w:tcW w:w="420" w:type="pct"/>
                  <w:vMerge w:val="restart"/>
                  <w:tcBorders>
                    <w:tl2br w:val="nil"/>
                    <w:tr2bl w:val="nil"/>
                  </w:tcBorders>
                  <w:vAlign w:val="center"/>
                </w:tcPr>
                <w:p w14:paraId="4F206E50">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单元级清单管控要求</w:t>
                  </w:r>
                </w:p>
              </w:tc>
              <w:tc>
                <w:tcPr>
                  <w:tcW w:w="635" w:type="pct"/>
                  <w:tcBorders>
                    <w:tl2br w:val="nil"/>
                    <w:tr2bl w:val="nil"/>
                  </w:tcBorders>
                  <w:vAlign w:val="center"/>
                </w:tcPr>
                <w:p w14:paraId="06533CA4">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5985" w:type="dxa"/>
                  <w:tcBorders>
                    <w:tl2br w:val="nil"/>
                    <w:tr2bl w:val="nil"/>
                  </w:tcBorders>
                  <w:vAlign w:val="center"/>
                </w:tcPr>
                <w:p w14:paraId="6C0856EF">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禁止开发建设活动的要求</w:t>
                  </w:r>
                </w:p>
                <w:p w14:paraId="79F0231B">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限制开发建设活动的要求</w:t>
                  </w:r>
                </w:p>
                <w:p w14:paraId="4F78AB67">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允许开发建设活动的要求</w:t>
                  </w:r>
                </w:p>
                <w:p w14:paraId="01C38804">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不符合空间布局要求活动的退出要求</w:t>
                  </w:r>
                </w:p>
                <w:p w14:paraId="323A02C6">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其他空间布局约束要求</w:t>
                  </w:r>
                </w:p>
              </w:tc>
              <w:tc>
                <w:tcPr>
                  <w:tcW w:w="967" w:type="pct"/>
                  <w:tcBorders>
                    <w:tl2br w:val="nil"/>
                    <w:tr2bl w:val="nil"/>
                  </w:tcBorders>
                  <w:vAlign w:val="center"/>
                </w:tcPr>
                <w:p w14:paraId="609C0823">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本项目不属于禁止开发活动，限制开发建设活动。</w:t>
                  </w:r>
                </w:p>
              </w:tc>
              <w:tc>
                <w:tcPr>
                  <w:tcW w:w="210" w:type="pct"/>
                  <w:tcBorders>
                    <w:tl2br w:val="nil"/>
                    <w:tr2bl w:val="nil"/>
                  </w:tcBorders>
                  <w:vAlign w:val="center"/>
                </w:tcPr>
                <w:p w14:paraId="275C091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10A7B16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2" w:type="pct"/>
                  <w:vMerge w:val="continue"/>
                  <w:tcBorders>
                    <w:tl2br w:val="nil"/>
                    <w:tr2bl w:val="nil"/>
                  </w:tcBorders>
                  <w:vAlign w:val="center"/>
                </w:tcPr>
                <w:p w14:paraId="355CC755">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3EAEA649">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0FD8647E">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5985" w:type="dxa"/>
                  <w:tcBorders>
                    <w:tl2br w:val="nil"/>
                    <w:tr2bl w:val="nil"/>
                  </w:tcBorders>
                  <w:vAlign w:val="center"/>
                </w:tcPr>
                <w:p w14:paraId="4C71600F">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城镇污水污染控制措施要求</w:t>
                  </w:r>
                </w:p>
                <w:p w14:paraId="7E5A4A84">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工业废水污染控制措施要求</w:t>
                  </w:r>
                </w:p>
                <w:p w14:paraId="1579AD6F">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农业面源水污染控制措施要求</w:t>
                  </w:r>
                </w:p>
                <w:p w14:paraId="29BE56AB">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1、推进化肥、农药使用量“减量化”，逐步推进农田径流拦截及治理；2、合理控制畜禽养殖规模，单位面积耕地的畜禽承载力不突破《四川省畜禽养殖污染防治技术指南》要求，提高畜禽养殖废物资源化利用水平；3、合理控制水产养殖规模，加强水产养殖废水治理及资源化利用，禁止直接排放。4、因地制宜加强乡镇场镇、农村集聚点生活污水收集处理。</w:t>
                  </w:r>
                </w:p>
                <w:p w14:paraId="756D1A0F">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船舶港口水污染控制措施要求</w:t>
                  </w:r>
                </w:p>
                <w:p w14:paraId="33CCC8C8">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饮用水水源和其它特殊水体保护要求</w:t>
                  </w:r>
                </w:p>
              </w:tc>
              <w:tc>
                <w:tcPr>
                  <w:tcW w:w="967" w:type="pct"/>
                  <w:tcBorders>
                    <w:tl2br w:val="nil"/>
                    <w:tr2bl w:val="nil"/>
                  </w:tcBorders>
                  <w:vAlign w:val="center"/>
                </w:tcPr>
                <w:p w14:paraId="275334CD">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w:t>
                  </w:r>
                  <w:r>
                    <w:rPr>
                      <w:rFonts w:hint="default" w:ascii="Times New Roman" w:hAnsi="Times New Roman" w:eastAsia="宋体" w:cs="Times New Roman"/>
                      <w:color w:val="auto"/>
                      <w:sz w:val="21"/>
                      <w:szCs w:val="21"/>
                      <w:lang w:eastAsia="zh-CN"/>
                    </w:rPr>
                    <w:t>生活污水经预处理后用作农肥不外排</w:t>
                  </w: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4506F02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0376AE3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2" w:type="pct"/>
                  <w:vMerge w:val="continue"/>
                  <w:tcBorders>
                    <w:tl2br w:val="nil"/>
                    <w:tr2bl w:val="nil"/>
                  </w:tcBorders>
                  <w:vAlign w:val="center"/>
                </w:tcPr>
                <w:p w14:paraId="008FE92F">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0E55DBB0">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489D1A5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5985" w:type="dxa"/>
                  <w:tcBorders>
                    <w:tl2br w:val="nil"/>
                    <w:tr2bl w:val="nil"/>
                  </w:tcBorders>
                  <w:vAlign w:val="center"/>
                </w:tcPr>
                <w:p w14:paraId="5D23F132">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751" w:type="dxa"/>
                  <w:tcBorders>
                    <w:tl2br w:val="nil"/>
                    <w:tr2bl w:val="nil"/>
                  </w:tcBorders>
                  <w:vAlign w:val="center"/>
                </w:tcPr>
                <w:p w14:paraId="68876BE0">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98" w:type="dxa"/>
                  <w:tcBorders>
                    <w:tl2br w:val="nil"/>
                    <w:tr2bl w:val="nil"/>
                  </w:tcBorders>
                  <w:vAlign w:val="center"/>
                </w:tcPr>
                <w:p w14:paraId="5E9880A4">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30E3E39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2" w:type="pct"/>
                  <w:vMerge w:val="continue"/>
                  <w:tcBorders>
                    <w:tl2br w:val="nil"/>
                    <w:tr2bl w:val="nil"/>
                  </w:tcBorders>
                  <w:vAlign w:val="center"/>
                </w:tcPr>
                <w:p w14:paraId="25D06350">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26E2775D">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6469A5A6">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5985" w:type="dxa"/>
                  <w:tcBorders>
                    <w:tl2br w:val="nil"/>
                    <w:tr2bl w:val="nil"/>
                  </w:tcBorders>
                  <w:vAlign w:val="center"/>
                </w:tcPr>
                <w:p w14:paraId="5FCA4EB5">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强化种植业节水</w:t>
                  </w:r>
                </w:p>
              </w:tc>
              <w:tc>
                <w:tcPr>
                  <w:tcW w:w="2751" w:type="dxa"/>
                  <w:tcBorders>
                    <w:tl2br w:val="nil"/>
                    <w:tr2bl w:val="nil"/>
                  </w:tcBorders>
                  <w:vAlign w:val="center"/>
                </w:tcPr>
                <w:p w14:paraId="65D28220">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本项目建设消防水池，用于储存水。</w:t>
                  </w:r>
                </w:p>
              </w:tc>
              <w:tc>
                <w:tcPr>
                  <w:tcW w:w="598" w:type="dxa"/>
                  <w:tcBorders>
                    <w:tl2br w:val="nil"/>
                    <w:tr2bl w:val="nil"/>
                  </w:tcBorders>
                  <w:vAlign w:val="center"/>
                </w:tcPr>
                <w:p w14:paraId="1C6904F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18998CE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2" w:type="pct"/>
                  <w:vMerge w:val="restart"/>
                  <w:tcBorders>
                    <w:tl2br w:val="nil"/>
                    <w:tr2bl w:val="nil"/>
                  </w:tcBorders>
                  <w:vAlign w:val="center"/>
                </w:tcPr>
                <w:p w14:paraId="39F4CC62">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YS5120223310001</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乐至县大气环境一般管控区</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大气环境管控分区</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大气环境一般管控区</w:t>
                  </w:r>
                </w:p>
              </w:tc>
              <w:tc>
                <w:tcPr>
                  <w:tcW w:w="420" w:type="pct"/>
                  <w:vMerge w:val="restart"/>
                  <w:tcBorders>
                    <w:tl2br w:val="nil"/>
                    <w:tr2bl w:val="nil"/>
                  </w:tcBorders>
                  <w:vAlign w:val="center"/>
                </w:tcPr>
                <w:p w14:paraId="72FF247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普适性清单管控要求</w:t>
                  </w:r>
                </w:p>
              </w:tc>
              <w:tc>
                <w:tcPr>
                  <w:tcW w:w="635" w:type="pct"/>
                  <w:tcBorders>
                    <w:tl2br w:val="nil"/>
                    <w:tr2bl w:val="nil"/>
                  </w:tcBorders>
                  <w:vAlign w:val="center"/>
                </w:tcPr>
                <w:p w14:paraId="51EFFD82">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5985" w:type="dxa"/>
                  <w:tcBorders>
                    <w:tl2br w:val="nil"/>
                    <w:tr2bl w:val="nil"/>
                  </w:tcBorders>
                  <w:vAlign w:val="center"/>
                </w:tcPr>
                <w:p w14:paraId="59ACB86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751" w:type="dxa"/>
                  <w:tcBorders>
                    <w:tl2br w:val="nil"/>
                    <w:tr2bl w:val="nil"/>
                  </w:tcBorders>
                  <w:vAlign w:val="center"/>
                </w:tcPr>
                <w:p w14:paraId="00066CF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98" w:type="dxa"/>
                  <w:tcBorders>
                    <w:tl2br w:val="nil"/>
                    <w:tr2bl w:val="nil"/>
                  </w:tcBorders>
                  <w:vAlign w:val="center"/>
                </w:tcPr>
                <w:p w14:paraId="0D5311D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1417FDF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2" w:type="pct"/>
                  <w:vMerge w:val="continue"/>
                  <w:tcBorders>
                    <w:tl2br w:val="nil"/>
                    <w:tr2bl w:val="nil"/>
                  </w:tcBorders>
                  <w:vAlign w:val="center"/>
                </w:tcPr>
                <w:p w14:paraId="0C9A347A">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57BA3241">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2A3F504E">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5985" w:type="dxa"/>
                  <w:tcBorders>
                    <w:tl2br w:val="nil"/>
                    <w:tr2bl w:val="nil"/>
                  </w:tcBorders>
                  <w:vAlign w:val="center"/>
                </w:tcPr>
                <w:p w14:paraId="182AEF18">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751" w:type="dxa"/>
                  <w:tcBorders>
                    <w:tl2br w:val="nil"/>
                    <w:tr2bl w:val="nil"/>
                  </w:tcBorders>
                  <w:vAlign w:val="center"/>
                </w:tcPr>
                <w:p w14:paraId="6815A04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98" w:type="dxa"/>
                  <w:tcBorders>
                    <w:tl2br w:val="nil"/>
                    <w:tr2bl w:val="nil"/>
                  </w:tcBorders>
                  <w:vAlign w:val="center"/>
                </w:tcPr>
                <w:p w14:paraId="2DF6EA2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51E6E85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2" w:type="pct"/>
                  <w:vMerge w:val="continue"/>
                  <w:tcBorders>
                    <w:tl2br w:val="nil"/>
                    <w:tr2bl w:val="nil"/>
                  </w:tcBorders>
                  <w:vAlign w:val="center"/>
                </w:tcPr>
                <w:p w14:paraId="73114DDD">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5E5AA470">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5739CDA2">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5985" w:type="dxa"/>
                  <w:tcBorders>
                    <w:tl2br w:val="nil"/>
                    <w:tr2bl w:val="nil"/>
                  </w:tcBorders>
                  <w:vAlign w:val="center"/>
                </w:tcPr>
                <w:p w14:paraId="3B04CBB2">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751" w:type="dxa"/>
                  <w:tcBorders>
                    <w:tl2br w:val="nil"/>
                    <w:tr2bl w:val="nil"/>
                  </w:tcBorders>
                  <w:vAlign w:val="center"/>
                </w:tcPr>
                <w:p w14:paraId="3D0F5956">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98" w:type="dxa"/>
                  <w:tcBorders>
                    <w:tl2br w:val="nil"/>
                    <w:tr2bl w:val="nil"/>
                  </w:tcBorders>
                  <w:vAlign w:val="center"/>
                </w:tcPr>
                <w:p w14:paraId="3E7307ED">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00557AC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2" w:type="pct"/>
                  <w:vMerge w:val="continue"/>
                  <w:tcBorders>
                    <w:tl2br w:val="nil"/>
                    <w:tr2bl w:val="nil"/>
                  </w:tcBorders>
                  <w:vAlign w:val="center"/>
                </w:tcPr>
                <w:p w14:paraId="2131B779">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544C3DF3">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36CE752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5985" w:type="dxa"/>
                  <w:tcBorders>
                    <w:tl2br w:val="nil"/>
                    <w:tr2bl w:val="nil"/>
                  </w:tcBorders>
                  <w:vAlign w:val="center"/>
                </w:tcPr>
                <w:p w14:paraId="35E1DF1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751" w:type="dxa"/>
                  <w:tcBorders>
                    <w:tl2br w:val="nil"/>
                    <w:tr2bl w:val="nil"/>
                  </w:tcBorders>
                  <w:vAlign w:val="center"/>
                </w:tcPr>
                <w:p w14:paraId="36945A42">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98" w:type="dxa"/>
                  <w:tcBorders>
                    <w:tl2br w:val="nil"/>
                    <w:tr2bl w:val="nil"/>
                  </w:tcBorders>
                  <w:vAlign w:val="center"/>
                </w:tcPr>
                <w:p w14:paraId="4ABD6270">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266AE9B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2" w:type="pct"/>
                  <w:vMerge w:val="continue"/>
                  <w:tcBorders>
                    <w:tl2br w:val="nil"/>
                    <w:tr2bl w:val="nil"/>
                  </w:tcBorders>
                  <w:vAlign w:val="center"/>
                </w:tcPr>
                <w:p w14:paraId="53A00BB2">
                  <w:pPr>
                    <w:spacing w:line="240" w:lineRule="auto"/>
                    <w:jc w:val="center"/>
                    <w:rPr>
                      <w:rFonts w:hint="default" w:ascii="Times New Roman" w:hAnsi="Times New Roman" w:eastAsia="宋体" w:cs="Times New Roman"/>
                      <w:color w:val="auto"/>
                      <w:sz w:val="21"/>
                      <w:szCs w:val="21"/>
                    </w:rPr>
                  </w:pPr>
                </w:p>
              </w:tc>
              <w:tc>
                <w:tcPr>
                  <w:tcW w:w="420" w:type="pct"/>
                  <w:vMerge w:val="restart"/>
                  <w:tcBorders>
                    <w:tl2br w:val="nil"/>
                    <w:tr2bl w:val="nil"/>
                  </w:tcBorders>
                  <w:vAlign w:val="center"/>
                </w:tcPr>
                <w:p w14:paraId="5438804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单元级清单管控要求</w:t>
                  </w:r>
                </w:p>
              </w:tc>
              <w:tc>
                <w:tcPr>
                  <w:tcW w:w="635" w:type="pct"/>
                  <w:tcBorders>
                    <w:tl2br w:val="nil"/>
                    <w:tr2bl w:val="nil"/>
                  </w:tcBorders>
                  <w:vAlign w:val="center"/>
                </w:tcPr>
                <w:p w14:paraId="42DC434E">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5985" w:type="dxa"/>
                  <w:tcBorders>
                    <w:tl2br w:val="nil"/>
                    <w:tr2bl w:val="nil"/>
                  </w:tcBorders>
                  <w:vAlign w:val="center"/>
                </w:tcPr>
                <w:p w14:paraId="7D8ABBF5">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禁止开发建设活动的要求</w:t>
                  </w:r>
                </w:p>
                <w:p w14:paraId="4370E197">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限制开发建设活动的要求</w:t>
                  </w:r>
                </w:p>
                <w:p w14:paraId="2DF6BD07">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允许开发建设活动的要求</w:t>
                  </w:r>
                </w:p>
                <w:p w14:paraId="24C0B578">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不符合空间布局要求活动的退出要求</w:t>
                  </w:r>
                </w:p>
                <w:p w14:paraId="6F11AD2E">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其他空间布局约束要求</w:t>
                  </w:r>
                </w:p>
              </w:tc>
              <w:tc>
                <w:tcPr>
                  <w:tcW w:w="967" w:type="pct"/>
                  <w:tcBorders>
                    <w:tl2br w:val="nil"/>
                    <w:tr2bl w:val="nil"/>
                  </w:tcBorders>
                  <w:vAlign w:val="center"/>
                </w:tcPr>
                <w:p w14:paraId="468A344E">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本项目为国家储备林建设及森林质量项目，空间布局合理。</w:t>
                  </w:r>
                </w:p>
              </w:tc>
              <w:tc>
                <w:tcPr>
                  <w:tcW w:w="210" w:type="pct"/>
                  <w:tcBorders>
                    <w:tl2br w:val="nil"/>
                    <w:tr2bl w:val="nil"/>
                  </w:tcBorders>
                  <w:vAlign w:val="center"/>
                </w:tcPr>
                <w:p w14:paraId="5C65656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05CCEF8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662" w:type="pct"/>
                  <w:vMerge w:val="continue"/>
                  <w:tcBorders>
                    <w:tl2br w:val="nil"/>
                    <w:tr2bl w:val="nil"/>
                  </w:tcBorders>
                  <w:vAlign w:val="center"/>
                </w:tcPr>
                <w:p w14:paraId="781C035E">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2CA0FFBB">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29BDA700">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5985" w:type="dxa"/>
                  <w:tcBorders>
                    <w:tl2br w:val="nil"/>
                    <w:tr2bl w:val="nil"/>
                  </w:tcBorders>
                  <w:vAlign w:val="center"/>
                </w:tcPr>
                <w:p w14:paraId="08BFCA7E">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大气环境质量执行标准</w:t>
                  </w:r>
                </w:p>
                <w:p w14:paraId="377C0E0D">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《环境空气质量标准》（GB3095-2012）：二级</w:t>
                  </w:r>
                </w:p>
                <w:p w14:paraId="22FD26B5">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区域大气污染物削减/替代要求</w:t>
                  </w:r>
                </w:p>
                <w:p w14:paraId="497967C8">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燃煤和其他能源大气污染控制要求</w:t>
                  </w:r>
                </w:p>
                <w:p w14:paraId="65D69DEA">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工业废气污染控制要求</w:t>
                  </w:r>
                </w:p>
                <w:p w14:paraId="2430B39B">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机动车船大气污染控制要求</w:t>
                  </w:r>
                </w:p>
                <w:p w14:paraId="6D4DD0A5">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扬尘污染控制要求</w:t>
                  </w:r>
                </w:p>
                <w:p w14:paraId="62EE7635">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农业生产经营活动大气污染控制要求</w:t>
                  </w:r>
                </w:p>
                <w:p w14:paraId="3B39880C">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重点行业企业专项治理要求</w:t>
                  </w:r>
                </w:p>
                <w:p w14:paraId="6A651E74">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其他大气污染物排放管控要求</w:t>
                  </w:r>
                </w:p>
              </w:tc>
              <w:tc>
                <w:tcPr>
                  <w:tcW w:w="2751" w:type="dxa"/>
                  <w:tcBorders>
                    <w:tl2br w:val="nil"/>
                    <w:tr2bl w:val="nil"/>
                  </w:tcBorders>
                  <w:vAlign w:val="center"/>
                </w:tcPr>
                <w:p w14:paraId="4011486B">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项目为国家储备林建设及森林质量项目，不属于工业企业。</w:t>
                  </w:r>
                  <w:r>
                    <w:rPr>
                      <w:rFonts w:hint="default" w:ascii="Times New Roman" w:hAnsi="Times New Roman" w:eastAsia="宋体" w:cs="Times New Roman"/>
                      <w:color w:val="auto"/>
                      <w:sz w:val="21"/>
                      <w:szCs w:val="21"/>
                      <w:lang w:val="en-US" w:eastAsia="zh-CN"/>
                    </w:rPr>
                    <w:t>项目大气污染物排放主要为施工扬尘</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对环境影响较小。</w:t>
                  </w:r>
                </w:p>
              </w:tc>
              <w:tc>
                <w:tcPr>
                  <w:tcW w:w="598" w:type="dxa"/>
                  <w:tcBorders>
                    <w:tl2br w:val="nil"/>
                    <w:tr2bl w:val="nil"/>
                  </w:tcBorders>
                  <w:vAlign w:val="center"/>
                </w:tcPr>
                <w:p w14:paraId="27A5D8E6">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符合</w:t>
                  </w:r>
                </w:p>
              </w:tc>
            </w:tr>
            <w:tr w14:paraId="20A91DF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2" w:type="pct"/>
                  <w:vMerge w:val="continue"/>
                  <w:tcBorders>
                    <w:tl2br w:val="nil"/>
                    <w:tr2bl w:val="nil"/>
                  </w:tcBorders>
                  <w:vAlign w:val="center"/>
                </w:tcPr>
                <w:p w14:paraId="392DEBD6">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2255B100">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5F7569E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5985" w:type="dxa"/>
                  <w:tcBorders>
                    <w:tl2br w:val="nil"/>
                    <w:tr2bl w:val="nil"/>
                  </w:tcBorders>
                  <w:vAlign w:val="center"/>
                </w:tcPr>
                <w:p w14:paraId="2F23144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751" w:type="dxa"/>
                  <w:tcBorders>
                    <w:tl2br w:val="nil"/>
                    <w:tr2bl w:val="nil"/>
                  </w:tcBorders>
                  <w:vAlign w:val="center"/>
                </w:tcPr>
                <w:p w14:paraId="5E57140D">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98" w:type="dxa"/>
                  <w:tcBorders>
                    <w:tl2br w:val="nil"/>
                    <w:tr2bl w:val="nil"/>
                  </w:tcBorders>
                  <w:vAlign w:val="center"/>
                </w:tcPr>
                <w:p w14:paraId="4EA0A5A6">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355610C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2" w:type="pct"/>
                  <w:vMerge w:val="continue"/>
                  <w:tcBorders>
                    <w:tl2br w:val="nil"/>
                    <w:tr2bl w:val="nil"/>
                  </w:tcBorders>
                  <w:vAlign w:val="center"/>
                </w:tcPr>
                <w:p w14:paraId="722B4B60">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7D828C9D">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18118C0E">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5871" w:type="dxa"/>
                  <w:tcBorders>
                    <w:tl2br w:val="nil"/>
                    <w:tr2bl w:val="nil"/>
                  </w:tcBorders>
                  <w:vAlign w:val="center"/>
                </w:tcPr>
                <w:p w14:paraId="3C221CA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699" w:type="dxa"/>
                  <w:tcBorders>
                    <w:tl2br w:val="nil"/>
                    <w:tr2bl w:val="nil"/>
                  </w:tcBorders>
                  <w:vAlign w:val="center"/>
                </w:tcPr>
                <w:p w14:paraId="1922EB9B">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86" w:type="dxa"/>
                  <w:tcBorders>
                    <w:tl2br w:val="nil"/>
                    <w:tr2bl w:val="nil"/>
                  </w:tcBorders>
                  <w:vAlign w:val="center"/>
                </w:tcPr>
                <w:p w14:paraId="56DAFE1D">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49EFBF8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2" w:type="pct"/>
                  <w:vMerge w:val="restart"/>
                  <w:tcBorders>
                    <w:tl2br w:val="nil"/>
                    <w:tr2bl w:val="nil"/>
                  </w:tcBorders>
                  <w:vAlign w:val="center"/>
                </w:tcPr>
                <w:p w14:paraId="75D2DC83">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YS5120222550001</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乐至县自然资源重点管控区</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自然资源管控分区</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自然资源重点管控区</w:t>
                  </w:r>
                </w:p>
              </w:tc>
              <w:tc>
                <w:tcPr>
                  <w:tcW w:w="420" w:type="pct"/>
                  <w:vMerge w:val="restart"/>
                  <w:tcBorders>
                    <w:tl2br w:val="nil"/>
                    <w:tr2bl w:val="nil"/>
                  </w:tcBorders>
                  <w:vAlign w:val="center"/>
                </w:tcPr>
                <w:p w14:paraId="458D3BF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普适性清单管控要求</w:t>
                  </w:r>
                </w:p>
              </w:tc>
              <w:tc>
                <w:tcPr>
                  <w:tcW w:w="635" w:type="pct"/>
                  <w:tcBorders>
                    <w:tl2br w:val="nil"/>
                    <w:tr2bl w:val="nil"/>
                  </w:tcBorders>
                  <w:vAlign w:val="center"/>
                </w:tcPr>
                <w:p w14:paraId="39D98F1B">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5985" w:type="dxa"/>
                  <w:tcBorders>
                    <w:tl2br w:val="nil"/>
                    <w:tr2bl w:val="nil"/>
                  </w:tcBorders>
                  <w:vAlign w:val="center"/>
                </w:tcPr>
                <w:p w14:paraId="628FD953">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751" w:type="dxa"/>
                  <w:tcBorders>
                    <w:tl2br w:val="nil"/>
                    <w:tr2bl w:val="nil"/>
                  </w:tcBorders>
                  <w:vAlign w:val="center"/>
                </w:tcPr>
                <w:p w14:paraId="3AA4E27D">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98" w:type="dxa"/>
                  <w:tcBorders>
                    <w:tl2br w:val="nil"/>
                    <w:tr2bl w:val="nil"/>
                  </w:tcBorders>
                  <w:vAlign w:val="center"/>
                </w:tcPr>
                <w:p w14:paraId="00ABDF52">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65D039F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2" w:type="pct"/>
                  <w:vMerge w:val="continue"/>
                  <w:tcBorders>
                    <w:tl2br w:val="nil"/>
                    <w:tr2bl w:val="nil"/>
                  </w:tcBorders>
                  <w:vAlign w:val="center"/>
                </w:tcPr>
                <w:p w14:paraId="5AE58529">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71C81205">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0C7CE605">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5985" w:type="dxa"/>
                  <w:tcBorders>
                    <w:tl2br w:val="nil"/>
                    <w:tr2bl w:val="nil"/>
                  </w:tcBorders>
                  <w:vAlign w:val="center"/>
                </w:tcPr>
                <w:p w14:paraId="4BF6E1CD">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751" w:type="dxa"/>
                  <w:tcBorders>
                    <w:tl2br w:val="nil"/>
                    <w:tr2bl w:val="nil"/>
                  </w:tcBorders>
                  <w:vAlign w:val="center"/>
                </w:tcPr>
                <w:p w14:paraId="531C1E8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98" w:type="dxa"/>
                  <w:tcBorders>
                    <w:tl2br w:val="nil"/>
                    <w:tr2bl w:val="nil"/>
                  </w:tcBorders>
                  <w:vAlign w:val="center"/>
                </w:tcPr>
                <w:p w14:paraId="237C71E3">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0FBB3C5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2" w:type="pct"/>
                  <w:vMerge w:val="continue"/>
                  <w:tcBorders>
                    <w:tl2br w:val="nil"/>
                    <w:tr2bl w:val="nil"/>
                  </w:tcBorders>
                  <w:vAlign w:val="center"/>
                </w:tcPr>
                <w:p w14:paraId="5A67E379">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3A3E3AF8">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64A016D5">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5985" w:type="dxa"/>
                  <w:tcBorders>
                    <w:tl2br w:val="nil"/>
                    <w:tr2bl w:val="nil"/>
                  </w:tcBorders>
                  <w:vAlign w:val="center"/>
                </w:tcPr>
                <w:p w14:paraId="133A617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751" w:type="dxa"/>
                  <w:tcBorders>
                    <w:tl2br w:val="nil"/>
                    <w:tr2bl w:val="nil"/>
                  </w:tcBorders>
                  <w:vAlign w:val="center"/>
                </w:tcPr>
                <w:p w14:paraId="2E267BF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98" w:type="dxa"/>
                  <w:tcBorders>
                    <w:tl2br w:val="nil"/>
                    <w:tr2bl w:val="nil"/>
                  </w:tcBorders>
                  <w:vAlign w:val="center"/>
                </w:tcPr>
                <w:p w14:paraId="726A907E">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1E2CE70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2" w:type="pct"/>
                  <w:vMerge w:val="continue"/>
                  <w:tcBorders>
                    <w:tl2br w:val="nil"/>
                    <w:tr2bl w:val="nil"/>
                  </w:tcBorders>
                  <w:vAlign w:val="center"/>
                </w:tcPr>
                <w:p w14:paraId="641698D8">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319C4636">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6BAF6C17">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5985" w:type="dxa"/>
                  <w:tcBorders>
                    <w:tl2br w:val="nil"/>
                    <w:tr2bl w:val="nil"/>
                  </w:tcBorders>
                  <w:vAlign w:val="center"/>
                </w:tcPr>
                <w:p w14:paraId="448BD858">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751" w:type="dxa"/>
                  <w:tcBorders>
                    <w:tl2br w:val="nil"/>
                    <w:tr2bl w:val="nil"/>
                  </w:tcBorders>
                  <w:vAlign w:val="center"/>
                </w:tcPr>
                <w:p w14:paraId="33309DAD">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98" w:type="dxa"/>
                  <w:tcBorders>
                    <w:tl2br w:val="nil"/>
                    <w:tr2bl w:val="nil"/>
                  </w:tcBorders>
                  <w:vAlign w:val="center"/>
                </w:tcPr>
                <w:p w14:paraId="03E942CD">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056D526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2" w:type="pct"/>
                  <w:vMerge w:val="continue"/>
                  <w:tcBorders>
                    <w:tl2br w:val="nil"/>
                    <w:tr2bl w:val="nil"/>
                  </w:tcBorders>
                  <w:vAlign w:val="center"/>
                </w:tcPr>
                <w:p w14:paraId="1430BE24">
                  <w:pPr>
                    <w:spacing w:line="240" w:lineRule="auto"/>
                    <w:jc w:val="center"/>
                    <w:rPr>
                      <w:rFonts w:hint="default" w:ascii="Times New Roman" w:hAnsi="Times New Roman" w:eastAsia="宋体" w:cs="Times New Roman"/>
                      <w:color w:val="auto"/>
                      <w:sz w:val="21"/>
                      <w:szCs w:val="21"/>
                    </w:rPr>
                  </w:pPr>
                </w:p>
              </w:tc>
              <w:tc>
                <w:tcPr>
                  <w:tcW w:w="420" w:type="pct"/>
                  <w:vMerge w:val="restart"/>
                  <w:tcBorders>
                    <w:tl2br w:val="nil"/>
                    <w:tr2bl w:val="nil"/>
                  </w:tcBorders>
                  <w:vAlign w:val="center"/>
                </w:tcPr>
                <w:p w14:paraId="73EF0422">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单元级清单管控要求</w:t>
                  </w:r>
                </w:p>
              </w:tc>
              <w:tc>
                <w:tcPr>
                  <w:tcW w:w="635" w:type="pct"/>
                  <w:tcBorders>
                    <w:tl2br w:val="nil"/>
                    <w:tr2bl w:val="nil"/>
                  </w:tcBorders>
                  <w:vAlign w:val="center"/>
                </w:tcPr>
                <w:p w14:paraId="6ECCD7A8">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5985" w:type="dxa"/>
                  <w:tcBorders>
                    <w:tl2br w:val="nil"/>
                    <w:tr2bl w:val="nil"/>
                  </w:tcBorders>
                  <w:vAlign w:val="center"/>
                </w:tcPr>
                <w:p w14:paraId="043B02DB">
                  <w:pPr>
                    <w:spacing w:line="240" w:lineRule="auto"/>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合理开发高效利用水资源，建设节水型社会；优化土地利用布局与结构；优化产业空间布局，构建清洁能源体系</w:t>
                  </w:r>
                </w:p>
              </w:tc>
              <w:tc>
                <w:tcPr>
                  <w:tcW w:w="2751" w:type="dxa"/>
                  <w:tcBorders>
                    <w:tl2br w:val="nil"/>
                    <w:tr2bl w:val="nil"/>
                  </w:tcBorders>
                  <w:vAlign w:val="center"/>
                </w:tcPr>
                <w:p w14:paraId="4E403E24">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本项目为国家储备林建设及森林质量项目，空间布局合理。</w:t>
                  </w:r>
                </w:p>
              </w:tc>
              <w:tc>
                <w:tcPr>
                  <w:tcW w:w="598" w:type="dxa"/>
                  <w:tcBorders>
                    <w:tl2br w:val="nil"/>
                    <w:tr2bl w:val="nil"/>
                  </w:tcBorders>
                  <w:vAlign w:val="center"/>
                </w:tcPr>
                <w:p w14:paraId="301C3A9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2C22A51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2" w:type="pct"/>
                  <w:vMerge w:val="continue"/>
                  <w:tcBorders>
                    <w:tl2br w:val="nil"/>
                    <w:tr2bl w:val="nil"/>
                  </w:tcBorders>
                  <w:vAlign w:val="center"/>
                </w:tcPr>
                <w:p w14:paraId="2CE7BE1A">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4E67ED75">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28AE20D0">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5985" w:type="dxa"/>
                  <w:tcBorders>
                    <w:tl2br w:val="nil"/>
                    <w:tr2bl w:val="nil"/>
                  </w:tcBorders>
                  <w:vAlign w:val="center"/>
                </w:tcPr>
                <w:p w14:paraId="0417CDB3">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751" w:type="dxa"/>
                  <w:tcBorders>
                    <w:tl2br w:val="nil"/>
                    <w:tr2bl w:val="nil"/>
                  </w:tcBorders>
                  <w:vAlign w:val="center"/>
                </w:tcPr>
                <w:p w14:paraId="39FFCA8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98" w:type="dxa"/>
                  <w:tcBorders>
                    <w:tl2br w:val="nil"/>
                    <w:tr2bl w:val="nil"/>
                  </w:tcBorders>
                  <w:vAlign w:val="center"/>
                </w:tcPr>
                <w:p w14:paraId="6D88075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6CC2386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2" w:type="pct"/>
                  <w:vMerge w:val="continue"/>
                  <w:tcBorders>
                    <w:tl2br w:val="nil"/>
                    <w:tr2bl w:val="nil"/>
                  </w:tcBorders>
                  <w:vAlign w:val="center"/>
                </w:tcPr>
                <w:p w14:paraId="3D69A8A5">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78744FDE">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5AD41807">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5985" w:type="dxa"/>
                  <w:tcBorders>
                    <w:tl2br w:val="nil"/>
                    <w:tr2bl w:val="nil"/>
                  </w:tcBorders>
                  <w:vAlign w:val="center"/>
                </w:tcPr>
                <w:p w14:paraId="71877987">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751" w:type="dxa"/>
                  <w:tcBorders>
                    <w:tl2br w:val="nil"/>
                    <w:tr2bl w:val="nil"/>
                  </w:tcBorders>
                  <w:vAlign w:val="center"/>
                </w:tcPr>
                <w:p w14:paraId="50112930">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98" w:type="dxa"/>
                  <w:tcBorders>
                    <w:tl2br w:val="nil"/>
                    <w:tr2bl w:val="nil"/>
                  </w:tcBorders>
                  <w:vAlign w:val="center"/>
                </w:tcPr>
                <w:p w14:paraId="73BF3FA8">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62C127F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2" w:type="pct"/>
                  <w:vMerge w:val="continue"/>
                  <w:tcBorders>
                    <w:tl2br w:val="nil"/>
                    <w:tr2bl w:val="nil"/>
                  </w:tcBorders>
                  <w:vAlign w:val="center"/>
                </w:tcPr>
                <w:p w14:paraId="574A9B83">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1AD4C7FE">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09518C17">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2104" w:type="pct"/>
                  <w:tcBorders>
                    <w:tl2br w:val="nil"/>
                    <w:tr2bl w:val="nil"/>
                  </w:tcBorders>
                  <w:vAlign w:val="center"/>
                </w:tcPr>
                <w:p w14:paraId="302D4B58">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土地资源开发效率要求</w:t>
                  </w:r>
                </w:p>
                <w:p w14:paraId="746765B8">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能源资源开发效率要求</w:t>
                  </w:r>
                </w:p>
                <w:p w14:paraId="5C4C8BED">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其他资源开发效率要求</w:t>
                  </w:r>
                </w:p>
              </w:tc>
              <w:tc>
                <w:tcPr>
                  <w:tcW w:w="967" w:type="pct"/>
                  <w:tcBorders>
                    <w:tl2br w:val="nil"/>
                    <w:tr2bl w:val="nil"/>
                  </w:tcBorders>
                  <w:vAlign w:val="center"/>
                </w:tcPr>
                <w:p w14:paraId="7861500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本项目资源需求小，符合资源开发效率要求。</w:t>
                  </w:r>
                </w:p>
              </w:tc>
              <w:tc>
                <w:tcPr>
                  <w:tcW w:w="210" w:type="pct"/>
                  <w:tcBorders>
                    <w:tl2br w:val="nil"/>
                    <w:tr2bl w:val="nil"/>
                  </w:tcBorders>
                  <w:vAlign w:val="center"/>
                </w:tcPr>
                <w:p w14:paraId="3319741D">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2A4FAED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2" w:type="pct"/>
                  <w:vMerge w:val="restart"/>
                  <w:tcBorders>
                    <w:tl2br w:val="nil"/>
                    <w:tr2bl w:val="nil"/>
                  </w:tcBorders>
                  <w:vAlign w:val="center"/>
                </w:tcPr>
                <w:p w14:paraId="3016B8B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YS5120222510003</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乐至县水资源重点管控区</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自然资源管控分区</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水资源重点管控区</w:t>
                  </w:r>
                </w:p>
              </w:tc>
              <w:tc>
                <w:tcPr>
                  <w:tcW w:w="1195" w:type="dxa"/>
                  <w:vMerge w:val="restart"/>
                  <w:tcBorders>
                    <w:tl2br w:val="nil"/>
                    <w:tr2bl w:val="nil"/>
                  </w:tcBorders>
                  <w:vAlign w:val="center"/>
                </w:tcPr>
                <w:p w14:paraId="766B0006">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普适性清单管控要求</w:t>
                  </w:r>
                </w:p>
              </w:tc>
              <w:tc>
                <w:tcPr>
                  <w:tcW w:w="1806" w:type="dxa"/>
                  <w:tcBorders>
                    <w:tl2br w:val="nil"/>
                    <w:tr2bl w:val="nil"/>
                  </w:tcBorders>
                  <w:vAlign w:val="center"/>
                </w:tcPr>
                <w:p w14:paraId="6212178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5985" w:type="dxa"/>
                  <w:tcBorders>
                    <w:tl2br w:val="nil"/>
                    <w:tr2bl w:val="nil"/>
                  </w:tcBorders>
                  <w:vAlign w:val="center"/>
                </w:tcPr>
                <w:p w14:paraId="55D13C94">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751" w:type="dxa"/>
                  <w:tcBorders>
                    <w:tl2br w:val="nil"/>
                    <w:tr2bl w:val="nil"/>
                  </w:tcBorders>
                  <w:vAlign w:val="center"/>
                </w:tcPr>
                <w:p w14:paraId="368BC80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98" w:type="dxa"/>
                  <w:tcBorders>
                    <w:tl2br w:val="nil"/>
                    <w:tr2bl w:val="nil"/>
                  </w:tcBorders>
                  <w:vAlign w:val="center"/>
                </w:tcPr>
                <w:p w14:paraId="504DC93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4922103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2" w:type="pct"/>
                  <w:vMerge w:val="continue"/>
                  <w:tcBorders>
                    <w:tl2br w:val="nil"/>
                    <w:tr2bl w:val="nil"/>
                  </w:tcBorders>
                  <w:vAlign w:val="center"/>
                </w:tcPr>
                <w:p w14:paraId="2ED6987E">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01E18F05">
                  <w:pPr>
                    <w:spacing w:line="240" w:lineRule="auto"/>
                    <w:jc w:val="center"/>
                    <w:rPr>
                      <w:rFonts w:hint="default" w:ascii="Times New Roman" w:hAnsi="Times New Roman" w:eastAsia="宋体" w:cs="Times New Roman"/>
                      <w:color w:val="auto"/>
                      <w:sz w:val="21"/>
                      <w:szCs w:val="21"/>
                    </w:rPr>
                  </w:pPr>
                </w:p>
              </w:tc>
              <w:tc>
                <w:tcPr>
                  <w:tcW w:w="1806" w:type="dxa"/>
                  <w:tcBorders>
                    <w:tl2br w:val="nil"/>
                    <w:tr2bl w:val="nil"/>
                  </w:tcBorders>
                  <w:vAlign w:val="center"/>
                </w:tcPr>
                <w:p w14:paraId="6449A365">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5985" w:type="dxa"/>
                  <w:tcBorders>
                    <w:tl2br w:val="nil"/>
                    <w:tr2bl w:val="nil"/>
                  </w:tcBorders>
                  <w:vAlign w:val="center"/>
                </w:tcPr>
                <w:p w14:paraId="71DDE0E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751" w:type="dxa"/>
                  <w:tcBorders>
                    <w:tl2br w:val="nil"/>
                    <w:tr2bl w:val="nil"/>
                  </w:tcBorders>
                  <w:vAlign w:val="center"/>
                </w:tcPr>
                <w:p w14:paraId="125AD7D4">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98" w:type="dxa"/>
                  <w:tcBorders>
                    <w:tl2br w:val="nil"/>
                    <w:tr2bl w:val="nil"/>
                  </w:tcBorders>
                  <w:vAlign w:val="center"/>
                </w:tcPr>
                <w:p w14:paraId="72DF6226">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7B784B9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2" w:type="pct"/>
                  <w:vMerge w:val="continue"/>
                  <w:tcBorders>
                    <w:tl2br w:val="nil"/>
                    <w:tr2bl w:val="nil"/>
                  </w:tcBorders>
                  <w:vAlign w:val="center"/>
                </w:tcPr>
                <w:p w14:paraId="7BE8481F">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125BCB9F">
                  <w:pPr>
                    <w:spacing w:line="240" w:lineRule="auto"/>
                    <w:jc w:val="center"/>
                    <w:rPr>
                      <w:rFonts w:hint="default" w:ascii="Times New Roman" w:hAnsi="Times New Roman" w:eastAsia="宋体" w:cs="Times New Roman"/>
                      <w:color w:val="auto"/>
                      <w:sz w:val="21"/>
                      <w:szCs w:val="21"/>
                    </w:rPr>
                  </w:pPr>
                </w:p>
              </w:tc>
              <w:tc>
                <w:tcPr>
                  <w:tcW w:w="1806" w:type="dxa"/>
                  <w:tcBorders>
                    <w:tl2br w:val="nil"/>
                    <w:tr2bl w:val="nil"/>
                  </w:tcBorders>
                  <w:vAlign w:val="center"/>
                </w:tcPr>
                <w:p w14:paraId="36CC6920">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5985" w:type="dxa"/>
                  <w:tcBorders>
                    <w:tl2br w:val="nil"/>
                    <w:tr2bl w:val="nil"/>
                  </w:tcBorders>
                  <w:vAlign w:val="center"/>
                </w:tcPr>
                <w:p w14:paraId="7330CA04">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751" w:type="dxa"/>
                  <w:tcBorders>
                    <w:tl2br w:val="nil"/>
                    <w:tr2bl w:val="nil"/>
                  </w:tcBorders>
                  <w:vAlign w:val="center"/>
                </w:tcPr>
                <w:p w14:paraId="537DCC4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98" w:type="dxa"/>
                  <w:tcBorders>
                    <w:tl2br w:val="nil"/>
                    <w:tr2bl w:val="nil"/>
                  </w:tcBorders>
                  <w:vAlign w:val="center"/>
                </w:tcPr>
                <w:p w14:paraId="3F6A9CD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5DDF36B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2" w:type="pct"/>
                  <w:vMerge w:val="continue"/>
                  <w:tcBorders>
                    <w:tl2br w:val="nil"/>
                    <w:tr2bl w:val="nil"/>
                  </w:tcBorders>
                  <w:vAlign w:val="center"/>
                </w:tcPr>
                <w:p w14:paraId="3A2167BC">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28276659">
                  <w:pPr>
                    <w:spacing w:line="240" w:lineRule="auto"/>
                    <w:jc w:val="center"/>
                    <w:rPr>
                      <w:rFonts w:hint="default" w:ascii="Times New Roman" w:hAnsi="Times New Roman" w:eastAsia="宋体" w:cs="Times New Roman"/>
                      <w:color w:val="auto"/>
                      <w:sz w:val="21"/>
                      <w:szCs w:val="21"/>
                    </w:rPr>
                  </w:pPr>
                </w:p>
              </w:tc>
              <w:tc>
                <w:tcPr>
                  <w:tcW w:w="1806" w:type="dxa"/>
                  <w:tcBorders>
                    <w:tl2br w:val="nil"/>
                    <w:tr2bl w:val="nil"/>
                  </w:tcBorders>
                  <w:vAlign w:val="center"/>
                </w:tcPr>
                <w:p w14:paraId="4A61398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5985" w:type="dxa"/>
                  <w:tcBorders>
                    <w:tl2br w:val="nil"/>
                    <w:tr2bl w:val="nil"/>
                  </w:tcBorders>
                  <w:vAlign w:val="center"/>
                </w:tcPr>
                <w:p w14:paraId="519D8878">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751" w:type="dxa"/>
                  <w:tcBorders>
                    <w:tl2br w:val="nil"/>
                    <w:tr2bl w:val="nil"/>
                  </w:tcBorders>
                  <w:vAlign w:val="center"/>
                </w:tcPr>
                <w:p w14:paraId="4200C742">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98" w:type="dxa"/>
                  <w:tcBorders>
                    <w:tl2br w:val="nil"/>
                    <w:tr2bl w:val="nil"/>
                  </w:tcBorders>
                  <w:vAlign w:val="center"/>
                </w:tcPr>
                <w:p w14:paraId="4776602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4B4882E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2" w:type="pct"/>
                  <w:vMerge w:val="continue"/>
                  <w:tcBorders>
                    <w:tl2br w:val="nil"/>
                    <w:tr2bl w:val="nil"/>
                  </w:tcBorders>
                  <w:vAlign w:val="center"/>
                </w:tcPr>
                <w:p w14:paraId="47A088E4">
                  <w:pPr>
                    <w:spacing w:line="240" w:lineRule="auto"/>
                    <w:jc w:val="center"/>
                    <w:rPr>
                      <w:rFonts w:hint="default" w:ascii="Times New Roman" w:hAnsi="Times New Roman" w:eastAsia="宋体" w:cs="Times New Roman"/>
                      <w:color w:val="auto"/>
                      <w:sz w:val="21"/>
                      <w:szCs w:val="21"/>
                    </w:rPr>
                  </w:pPr>
                </w:p>
              </w:tc>
              <w:tc>
                <w:tcPr>
                  <w:tcW w:w="1195" w:type="dxa"/>
                  <w:vMerge w:val="restart"/>
                  <w:tcBorders>
                    <w:tl2br w:val="nil"/>
                    <w:tr2bl w:val="nil"/>
                  </w:tcBorders>
                  <w:vAlign w:val="center"/>
                </w:tcPr>
                <w:p w14:paraId="7A13B63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单元级清单管控要求</w:t>
                  </w:r>
                </w:p>
              </w:tc>
              <w:tc>
                <w:tcPr>
                  <w:tcW w:w="1806" w:type="dxa"/>
                  <w:tcBorders>
                    <w:tl2br w:val="nil"/>
                    <w:tr2bl w:val="nil"/>
                  </w:tcBorders>
                  <w:vAlign w:val="center"/>
                </w:tcPr>
                <w:p w14:paraId="6B624592">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5871" w:type="dxa"/>
                  <w:tcBorders>
                    <w:tl2br w:val="nil"/>
                    <w:tr2bl w:val="nil"/>
                  </w:tcBorders>
                  <w:vAlign w:val="center"/>
                </w:tcPr>
                <w:p w14:paraId="54FB367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699" w:type="dxa"/>
                  <w:tcBorders>
                    <w:tl2br w:val="nil"/>
                    <w:tr2bl w:val="nil"/>
                  </w:tcBorders>
                  <w:vAlign w:val="center"/>
                </w:tcPr>
                <w:p w14:paraId="02CACC2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86" w:type="dxa"/>
                  <w:tcBorders>
                    <w:tl2br w:val="nil"/>
                    <w:tr2bl w:val="nil"/>
                  </w:tcBorders>
                  <w:vAlign w:val="center"/>
                </w:tcPr>
                <w:p w14:paraId="5A08C25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3DD520C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2" w:type="pct"/>
                  <w:vMerge w:val="continue"/>
                  <w:tcBorders>
                    <w:tl2br w:val="nil"/>
                    <w:tr2bl w:val="nil"/>
                  </w:tcBorders>
                  <w:vAlign w:val="center"/>
                </w:tcPr>
                <w:p w14:paraId="64589719">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13871338">
                  <w:pPr>
                    <w:spacing w:line="240" w:lineRule="auto"/>
                    <w:jc w:val="center"/>
                    <w:rPr>
                      <w:rFonts w:hint="default" w:ascii="Times New Roman" w:hAnsi="Times New Roman" w:eastAsia="宋体" w:cs="Times New Roman"/>
                      <w:color w:val="auto"/>
                      <w:sz w:val="21"/>
                      <w:szCs w:val="21"/>
                    </w:rPr>
                  </w:pPr>
                </w:p>
              </w:tc>
              <w:tc>
                <w:tcPr>
                  <w:tcW w:w="1806" w:type="dxa"/>
                  <w:tcBorders>
                    <w:tl2br w:val="nil"/>
                    <w:tr2bl w:val="nil"/>
                  </w:tcBorders>
                  <w:vAlign w:val="center"/>
                </w:tcPr>
                <w:p w14:paraId="19311EA6">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5871" w:type="dxa"/>
                  <w:tcBorders>
                    <w:tl2br w:val="nil"/>
                    <w:tr2bl w:val="nil"/>
                  </w:tcBorders>
                  <w:vAlign w:val="center"/>
                </w:tcPr>
                <w:p w14:paraId="0EA3ABB3">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699" w:type="dxa"/>
                  <w:tcBorders>
                    <w:tl2br w:val="nil"/>
                    <w:tr2bl w:val="nil"/>
                  </w:tcBorders>
                  <w:vAlign w:val="center"/>
                </w:tcPr>
                <w:p w14:paraId="27351BF4">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86" w:type="dxa"/>
                  <w:tcBorders>
                    <w:tl2br w:val="nil"/>
                    <w:tr2bl w:val="nil"/>
                  </w:tcBorders>
                  <w:vAlign w:val="center"/>
                </w:tcPr>
                <w:p w14:paraId="3479127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024F3D5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2" w:type="pct"/>
                  <w:vMerge w:val="continue"/>
                  <w:tcBorders>
                    <w:tl2br w:val="nil"/>
                    <w:tr2bl w:val="nil"/>
                  </w:tcBorders>
                  <w:vAlign w:val="center"/>
                </w:tcPr>
                <w:p w14:paraId="7B2882ED">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2E7C58E5">
                  <w:pPr>
                    <w:spacing w:line="240" w:lineRule="auto"/>
                    <w:jc w:val="center"/>
                    <w:rPr>
                      <w:rFonts w:hint="default" w:ascii="Times New Roman" w:hAnsi="Times New Roman" w:eastAsia="宋体" w:cs="Times New Roman"/>
                      <w:color w:val="auto"/>
                      <w:sz w:val="21"/>
                      <w:szCs w:val="21"/>
                    </w:rPr>
                  </w:pPr>
                </w:p>
              </w:tc>
              <w:tc>
                <w:tcPr>
                  <w:tcW w:w="1806" w:type="dxa"/>
                  <w:tcBorders>
                    <w:tl2br w:val="nil"/>
                    <w:tr2bl w:val="nil"/>
                  </w:tcBorders>
                  <w:vAlign w:val="center"/>
                </w:tcPr>
                <w:p w14:paraId="1885FA0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5871" w:type="dxa"/>
                  <w:tcBorders>
                    <w:tl2br w:val="nil"/>
                    <w:tr2bl w:val="nil"/>
                  </w:tcBorders>
                  <w:vAlign w:val="center"/>
                </w:tcPr>
                <w:p w14:paraId="39FEEE20">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699" w:type="dxa"/>
                  <w:tcBorders>
                    <w:tl2br w:val="nil"/>
                    <w:tr2bl w:val="nil"/>
                  </w:tcBorders>
                  <w:vAlign w:val="center"/>
                </w:tcPr>
                <w:p w14:paraId="5CF93CCD">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86" w:type="dxa"/>
                  <w:tcBorders>
                    <w:tl2br w:val="nil"/>
                    <w:tr2bl w:val="nil"/>
                  </w:tcBorders>
                  <w:vAlign w:val="center"/>
                </w:tcPr>
                <w:p w14:paraId="4E2B72B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43A15CA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2" w:type="pct"/>
                  <w:vMerge w:val="continue"/>
                  <w:tcBorders>
                    <w:tl2br w:val="nil"/>
                    <w:tr2bl w:val="nil"/>
                  </w:tcBorders>
                  <w:vAlign w:val="center"/>
                </w:tcPr>
                <w:p w14:paraId="6D54B1D5">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3989C8EE">
                  <w:pPr>
                    <w:spacing w:line="240" w:lineRule="auto"/>
                    <w:jc w:val="center"/>
                    <w:rPr>
                      <w:rFonts w:hint="default" w:ascii="Times New Roman" w:hAnsi="Times New Roman" w:eastAsia="宋体" w:cs="Times New Roman"/>
                      <w:color w:val="auto"/>
                      <w:sz w:val="21"/>
                      <w:szCs w:val="21"/>
                    </w:rPr>
                  </w:pPr>
                </w:p>
              </w:tc>
              <w:tc>
                <w:tcPr>
                  <w:tcW w:w="1806" w:type="dxa"/>
                  <w:tcBorders>
                    <w:tl2br w:val="nil"/>
                    <w:tr2bl w:val="nil"/>
                  </w:tcBorders>
                  <w:vAlign w:val="center"/>
                </w:tcPr>
                <w:p w14:paraId="57D961A7">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2104" w:type="pct"/>
                  <w:tcBorders>
                    <w:tl2br w:val="nil"/>
                    <w:tr2bl w:val="nil"/>
                  </w:tcBorders>
                  <w:vAlign w:val="center"/>
                </w:tcPr>
                <w:p w14:paraId="3CD17A66">
                  <w:pPr>
                    <w:spacing w:line="240" w:lineRule="auto"/>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土地资源开发效率要求</w:t>
                  </w:r>
                </w:p>
                <w:p w14:paraId="682BFE70">
                  <w:pPr>
                    <w:spacing w:line="240" w:lineRule="auto"/>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能源资源开发效率要求</w:t>
                  </w:r>
                </w:p>
                <w:p w14:paraId="41EE293A">
                  <w:pPr>
                    <w:spacing w:line="240" w:lineRule="auto"/>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其他资源开发效率要求</w:t>
                  </w:r>
                </w:p>
              </w:tc>
              <w:tc>
                <w:tcPr>
                  <w:tcW w:w="2751" w:type="dxa"/>
                  <w:tcBorders>
                    <w:tl2br w:val="nil"/>
                    <w:tr2bl w:val="nil"/>
                  </w:tcBorders>
                  <w:vAlign w:val="center"/>
                </w:tcPr>
                <w:p w14:paraId="56D1634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本项目资源需求小，符合资源开发效率要求。</w:t>
                  </w:r>
                </w:p>
              </w:tc>
              <w:tc>
                <w:tcPr>
                  <w:tcW w:w="598" w:type="dxa"/>
                  <w:tcBorders>
                    <w:tl2br w:val="nil"/>
                    <w:tr2bl w:val="nil"/>
                  </w:tcBorders>
                  <w:vAlign w:val="center"/>
                </w:tcPr>
                <w:p w14:paraId="382E40D8">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bl>
          <w:p w14:paraId="5C1F40F7">
            <w:pPr>
              <w:pStyle w:val="21"/>
              <w:widowControl w:val="0"/>
              <w:kinsoku/>
              <w:autoSpaceDE/>
              <w:autoSpaceDN/>
              <w:adjustRightInd/>
              <w:snapToGrid/>
              <w:spacing w:line="360" w:lineRule="auto"/>
              <w:ind w:firstLine="48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3)</w:t>
            </w:r>
            <w:r>
              <w:rPr>
                <w:rFonts w:hint="default" w:ascii="Times New Roman" w:hAnsi="Times New Roman" w:eastAsia="宋体" w:cs="Times New Roman"/>
                <w:color w:val="auto"/>
              </w:rPr>
              <w:t>宝林镇</w:t>
            </w:r>
          </w:p>
          <w:p w14:paraId="006DBAE5">
            <w:pPr>
              <w:pStyle w:val="21"/>
              <w:widowControl w:val="0"/>
              <w:kinsoku/>
              <w:autoSpaceDE/>
              <w:autoSpaceDN/>
              <w:adjustRightInd/>
              <w:snapToGrid/>
              <w:spacing w:line="360" w:lineRule="auto"/>
              <w:ind w:firstLine="48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（1）项目拟建区域管控单元识别</w:t>
            </w:r>
          </w:p>
          <w:p w14:paraId="311D5606">
            <w:pPr>
              <w:pStyle w:val="21"/>
              <w:widowControl w:val="0"/>
              <w:kinsoku/>
              <w:autoSpaceDE/>
              <w:autoSpaceDN/>
              <w:adjustRightInd/>
              <w:snapToGrid/>
              <w:spacing w:line="360" w:lineRule="auto"/>
              <w:ind w:firstLine="48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根据四川省生态环境厅“三线一单”符合性分析系统识别系统结</w:t>
            </w:r>
            <w:r>
              <w:rPr>
                <w:rFonts w:hint="default" w:ascii="Times New Roman" w:hAnsi="Times New Roman" w:eastAsia="宋体" w:cs="Times New Roman"/>
                <w:b w:val="0"/>
                <w:bCs w:val="0"/>
                <w:color w:val="auto"/>
              </w:rPr>
              <w:t>果，本项目</w:t>
            </w:r>
            <w:r>
              <w:rPr>
                <w:rFonts w:hint="default" w:ascii="Times New Roman" w:hAnsi="Times New Roman" w:eastAsia="宋体" w:cs="Times New Roman"/>
                <w:b/>
                <w:bCs/>
                <w:color w:val="auto"/>
              </w:rPr>
              <w:t>宝林镇</w:t>
            </w:r>
            <w:r>
              <w:rPr>
                <w:rFonts w:hint="default" w:ascii="Times New Roman" w:hAnsi="Times New Roman" w:eastAsia="宋体" w:cs="Times New Roman"/>
                <w:color w:val="auto"/>
              </w:rPr>
              <w:t>拟建区域共涉及</w:t>
            </w:r>
            <w:r>
              <w:rPr>
                <w:rFonts w:hint="default" w:ascii="Times New Roman" w:hAnsi="Times New Roman" w:eastAsia="宋体" w:cs="Times New Roman"/>
                <w:color w:val="auto"/>
                <w:lang w:val="en-US" w:eastAsia="zh-CN"/>
              </w:rPr>
              <w:t>6</w:t>
            </w:r>
            <w:r>
              <w:rPr>
                <w:rFonts w:hint="default" w:ascii="Times New Roman" w:hAnsi="Times New Roman" w:eastAsia="宋体" w:cs="Times New Roman"/>
                <w:color w:val="auto"/>
              </w:rPr>
              <w:t>个管控单元，具体情况见下图。</w:t>
            </w:r>
          </w:p>
          <w:p w14:paraId="1B8F8AB4">
            <w:pPr>
              <w:jc w:val="center"/>
              <w:rPr>
                <w:rFonts w:hint="default" w:ascii="Times New Roman" w:hAnsi="Times New Roman" w:eastAsia="宋体" w:cs="Times New Roman"/>
                <w:b/>
                <w:bCs/>
                <w:color w:val="auto"/>
                <w:sz w:val="24"/>
                <w:szCs w:val="24"/>
                <w:lang w:eastAsia="zh-CN"/>
              </w:rPr>
            </w:pPr>
            <w:r>
              <w:rPr>
                <w:rFonts w:hint="default" w:ascii="Times New Roman" w:hAnsi="Times New Roman" w:eastAsia="宋体" w:cs="Times New Roman"/>
                <w:b/>
                <w:bCs/>
                <w:color w:val="auto"/>
                <w:sz w:val="24"/>
                <w:szCs w:val="24"/>
                <w:lang w:eastAsia="zh-CN"/>
              </w:rPr>
              <w:drawing>
                <wp:inline distT="0" distB="0" distL="114300" distR="114300">
                  <wp:extent cx="7524115" cy="5038725"/>
                  <wp:effectExtent l="0" t="0" r="635" b="9525"/>
                  <wp:docPr id="41" name="图片 41" descr="638d1b47a836eafb02e1786f8031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638d1b47a836eafb02e1786f8031769"/>
                          <pic:cNvPicPr>
                            <a:picLocks noChangeAspect="1"/>
                          </pic:cNvPicPr>
                        </pic:nvPicPr>
                        <pic:blipFill>
                          <a:blip r:embed="rId20"/>
                          <a:stretch>
                            <a:fillRect/>
                          </a:stretch>
                        </pic:blipFill>
                        <pic:spPr>
                          <a:xfrm>
                            <a:off x="0" y="0"/>
                            <a:ext cx="7524115" cy="5038725"/>
                          </a:xfrm>
                          <a:prstGeom prst="rect">
                            <a:avLst/>
                          </a:prstGeom>
                        </pic:spPr>
                      </pic:pic>
                    </a:graphicData>
                  </a:graphic>
                </wp:inline>
              </w:drawing>
            </w:r>
          </w:p>
          <w:p w14:paraId="1EC7E978">
            <w:pPr>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图1-</w:t>
            </w:r>
            <w:r>
              <w:rPr>
                <w:rFonts w:hint="default" w:ascii="Times New Roman" w:hAnsi="Times New Roman" w:eastAsia="宋体" w:cs="Times New Roman"/>
                <w:b/>
                <w:bCs/>
                <w:color w:val="auto"/>
                <w:sz w:val="24"/>
                <w:szCs w:val="24"/>
                <w:lang w:val="en-US" w:eastAsia="zh-CN"/>
              </w:rPr>
              <w:t>5</w:t>
            </w:r>
            <w:r>
              <w:rPr>
                <w:rFonts w:hint="default" w:ascii="Times New Roman" w:hAnsi="Times New Roman" w:eastAsia="宋体" w:cs="Times New Roman"/>
                <w:b/>
                <w:bCs/>
                <w:color w:val="auto"/>
                <w:sz w:val="24"/>
                <w:szCs w:val="24"/>
              </w:rPr>
              <w:t xml:space="preserve">  项目与管控分区截图</w:t>
            </w:r>
          </w:p>
          <w:p w14:paraId="6A814B7B">
            <w:pPr>
              <w:pStyle w:val="2"/>
              <w:rPr>
                <w:rFonts w:hint="default" w:ascii="Times New Roman" w:hAnsi="Times New Roman" w:eastAsia="宋体" w:cs="Times New Roman"/>
                <w:color w:val="auto"/>
              </w:rPr>
            </w:pPr>
          </w:p>
          <w:p w14:paraId="101CDA5D">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同时利用“四川省政务网---四川省生态环境厅数据库”可查询本建设项目与“四川省三线一单”符合性分析情况，经查询后可导出分析报告，分析报告明确本项目位于资阳市乐至县环境综合管控单元要素重点管控单元（管控单元名称：乐至县要素重点管控单元1，管控单元编号：ZH51202220007）</w:t>
            </w:r>
          </w:p>
          <w:p w14:paraId="05690FDB">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本项目与管控单元相对位置如下所示：</w:t>
            </w:r>
          </w:p>
          <w:p w14:paraId="27BA684A">
            <w:pPr>
              <w:pStyle w:val="21"/>
              <w:widowControl w:val="0"/>
              <w:kinsoku/>
              <w:autoSpaceDE/>
              <w:autoSpaceDN/>
              <w:adjustRightInd/>
              <w:snapToGrid/>
              <w:spacing w:line="336" w:lineRule="auto"/>
              <w:ind w:firstLine="0" w:firstLineChars="0"/>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sz w:val="28"/>
                <w:szCs w:val="24"/>
              </w:rPr>
              <w:drawing>
                <wp:inline distT="0" distB="0" distL="114300" distR="114300">
                  <wp:extent cx="6350000" cy="3810000"/>
                  <wp:effectExtent l="0" t="0" r="12700" b="0"/>
                  <wp:docPr id="4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0"/>
                          <pic:cNvPicPr>
                            <a:picLocks noChangeAspect="1"/>
                          </pic:cNvPicPr>
                        </pic:nvPicPr>
                        <pic:blipFill>
                          <a:blip r:embed="rId21"/>
                          <a:stretch>
                            <a:fillRect/>
                          </a:stretch>
                        </pic:blipFill>
                        <pic:spPr>
                          <a:xfrm>
                            <a:off x="0" y="0"/>
                            <a:ext cx="6350000" cy="3810000"/>
                          </a:xfrm>
                          <a:prstGeom prst="rect">
                            <a:avLst/>
                          </a:prstGeom>
                          <a:noFill/>
                          <a:ln>
                            <a:noFill/>
                          </a:ln>
                        </pic:spPr>
                      </pic:pic>
                    </a:graphicData>
                  </a:graphic>
                </wp:inline>
              </w:drawing>
            </w:r>
          </w:p>
          <w:p w14:paraId="101B99B0">
            <w:pPr>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图1-</w:t>
            </w:r>
            <w:r>
              <w:rPr>
                <w:rFonts w:hint="default" w:ascii="Times New Roman" w:hAnsi="Times New Roman" w:eastAsia="宋体" w:cs="Times New Roman"/>
                <w:b/>
                <w:bCs/>
                <w:color w:val="auto"/>
                <w:sz w:val="24"/>
                <w:szCs w:val="24"/>
                <w:lang w:val="en-US" w:eastAsia="zh-CN"/>
              </w:rPr>
              <w:t>6</w:t>
            </w:r>
            <w:r>
              <w:rPr>
                <w:rFonts w:hint="default" w:ascii="Times New Roman" w:hAnsi="Times New Roman" w:eastAsia="宋体" w:cs="Times New Roman"/>
                <w:b/>
                <w:bCs/>
                <w:color w:val="auto"/>
                <w:sz w:val="24"/>
                <w:szCs w:val="24"/>
              </w:rPr>
              <w:t xml:space="preserve"> 本项目与管控单元相对位置图</w:t>
            </w:r>
          </w:p>
          <w:p w14:paraId="4D3A265B">
            <w:pPr>
              <w:pStyle w:val="21"/>
              <w:widowControl w:val="0"/>
              <w:kinsoku/>
              <w:autoSpaceDE/>
              <w:autoSpaceDN/>
              <w:adjustRightInd/>
              <w:snapToGrid/>
              <w:spacing w:line="336" w:lineRule="auto"/>
              <w:ind w:firstLine="420"/>
              <w:textAlignment w:val="auto"/>
              <w:rPr>
                <w:rFonts w:hint="default" w:ascii="Times New Roman" w:hAnsi="Times New Roman" w:eastAsia="宋体" w:cs="Times New Roman"/>
                <w:color w:val="auto"/>
              </w:rPr>
            </w:pPr>
          </w:p>
          <w:p w14:paraId="204209D4">
            <w:pPr>
              <w:pStyle w:val="21"/>
              <w:widowControl w:val="0"/>
              <w:kinsoku/>
              <w:autoSpaceDE/>
              <w:autoSpaceDN/>
              <w:adjustRightInd/>
              <w:snapToGrid/>
              <w:spacing w:line="336" w:lineRule="auto"/>
              <w:ind w:firstLine="48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（2）生态环境准入清单符合性分析</w:t>
            </w:r>
          </w:p>
          <w:p w14:paraId="6728B353">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本项目与各个管控单元要求符合性分析见下表：</w:t>
            </w:r>
          </w:p>
          <w:p w14:paraId="19FA75B0">
            <w:pPr>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表1-</w:t>
            </w:r>
            <w:r>
              <w:rPr>
                <w:rFonts w:hint="default" w:ascii="Times New Roman" w:hAnsi="Times New Roman" w:eastAsia="宋体" w:cs="Times New Roman"/>
                <w:b/>
                <w:bCs/>
                <w:color w:val="auto"/>
                <w:sz w:val="24"/>
                <w:szCs w:val="24"/>
                <w:lang w:val="en-US" w:eastAsia="zh-CN"/>
              </w:rPr>
              <w:t>5</w:t>
            </w:r>
            <w:r>
              <w:rPr>
                <w:rFonts w:hint="default" w:ascii="Times New Roman" w:hAnsi="Times New Roman" w:eastAsia="宋体" w:cs="Times New Roman"/>
                <w:b/>
                <w:bCs/>
                <w:color w:val="auto"/>
                <w:sz w:val="24"/>
                <w:szCs w:val="24"/>
              </w:rPr>
              <w:t xml:space="preserve">  本项目与管控单元符合性分析一览表</w:t>
            </w:r>
          </w:p>
          <w:tbl>
            <w:tblPr>
              <w:tblStyle w:val="43"/>
              <w:tblW w:w="4996"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880"/>
              <w:gridCol w:w="1194"/>
              <w:gridCol w:w="1807"/>
              <w:gridCol w:w="5987"/>
              <w:gridCol w:w="2752"/>
              <w:gridCol w:w="598"/>
            </w:tblGrid>
            <w:tr w14:paraId="2572592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1716" w:type="pct"/>
                  <w:gridSpan w:val="3"/>
                  <w:tcBorders>
                    <w:tl2br w:val="nil"/>
                    <w:tr2bl w:val="nil"/>
                  </w:tcBorders>
                  <w:vAlign w:val="center"/>
                </w:tcPr>
                <w:p w14:paraId="68A1429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类别</w:t>
                  </w:r>
                </w:p>
              </w:tc>
              <w:tc>
                <w:tcPr>
                  <w:tcW w:w="2104" w:type="pct"/>
                  <w:tcBorders>
                    <w:tl2br w:val="nil"/>
                    <w:tr2bl w:val="nil"/>
                  </w:tcBorders>
                  <w:vAlign w:val="center"/>
                </w:tcPr>
                <w:p w14:paraId="708E33B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对应管控要求</w:t>
                  </w:r>
                </w:p>
              </w:tc>
              <w:tc>
                <w:tcPr>
                  <w:tcW w:w="967" w:type="pct"/>
                  <w:tcBorders>
                    <w:tl2br w:val="nil"/>
                    <w:tr2bl w:val="nil"/>
                  </w:tcBorders>
                  <w:vAlign w:val="center"/>
                </w:tcPr>
                <w:p w14:paraId="63A2F3F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项目对应情况介绍</w:t>
                  </w:r>
                </w:p>
              </w:tc>
              <w:tc>
                <w:tcPr>
                  <w:tcW w:w="210" w:type="pct"/>
                  <w:tcBorders>
                    <w:tl2br w:val="nil"/>
                    <w:tr2bl w:val="nil"/>
                  </w:tcBorders>
                  <w:vAlign w:val="center"/>
                </w:tcPr>
                <w:p w14:paraId="7A30833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符合性分析</w:t>
                  </w:r>
                </w:p>
              </w:tc>
            </w:tr>
            <w:tr w14:paraId="4896F3D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9" w:hRule="atLeast"/>
                <w:jc w:val="center"/>
              </w:trPr>
              <w:tc>
                <w:tcPr>
                  <w:tcW w:w="661" w:type="pct"/>
                  <w:vMerge w:val="restart"/>
                  <w:tcBorders>
                    <w:tl2br w:val="nil"/>
                    <w:tr2bl w:val="nil"/>
                  </w:tcBorders>
                  <w:vAlign w:val="center"/>
                </w:tcPr>
                <w:p w14:paraId="4C3483B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ZH51202220007</w:t>
                  </w:r>
                  <w:r>
                    <w:rPr>
                      <w:rFonts w:hint="default" w:ascii="Times New Roman" w:hAnsi="Times New Roman" w:eastAsia="宋体" w:cs="Times New Roman"/>
                      <w:color w:val="auto"/>
                    </w:rPr>
                    <w:tab/>
                  </w:r>
                  <w:r>
                    <w:rPr>
                      <w:rFonts w:hint="default" w:ascii="Times New Roman" w:hAnsi="Times New Roman" w:eastAsia="宋体" w:cs="Times New Roman"/>
                      <w:color w:val="auto"/>
                    </w:rPr>
                    <w:t>乐至县要素重点管控单元1</w:t>
                  </w:r>
                  <w:r>
                    <w:rPr>
                      <w:rFonts w:hint="default" w:ascii="Times New Roman" w:hAnsi="Times New Roman" w:eastAsia="宋体" w:cs="Times New Roman"/>
                      <w:color w:val="auto"/>
                    </w:rPr>
                    <w:tab/>
                  </w:r>
                  <w:r>
                    <w:rPr>
                      <w:rFonts w:hint="default" w:ascii="Times New Roman" w:hAnsi="Times New Roman" w:eastAsia="宋体" w:cs="Times New Roman"/>
                      <w:color w:val="auto"/>
                    </w:rPr>
                    <w:t>环境管控单元</w:t>
                  </w:r>
                  <w:r>
                    <w:rPr>
                      <w:rFonts w:hint="default" w:ascii="Times New Roman" w:hAnsi="Times New Roman" w:eastAsia="宋体" w:cs="Times New Roman"/>
                      <w:color w:val="auto"/>
                    </w:rPr>
                    <w:tab/>
                  </w:r>
                  <w:r>
                    <w:rPr>
                      <w:rFonts w:hint="default" w:ascii="Times New Roman" w:hAnsi="Times New Roman" w:eastAsia="宋体" w:cs="Times New Roman"/>
                      <w:color w:val="auto"/>
                    </w:rPr>
                    <w:t>环境综合管控单元要素重点管控单元</w:t>
                  </w:r>
                </w:p>
              </w:tc>
              <w:tc>
                <w:tcPr>
                  <w:tcW w:w="420" w:type="pct"/>
                  <w:vMerge w:val="restart"/>
                  <w:tcBorders>
                    <w:tl2br w:val="nil"/>
                    <w:tr2bl w:val="nil"/>
                  </w:tcBorders>
                  <w:vAlign w:val="center"/>
                </w:tcPr>
                <w:p w14:paraId="211F809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普适性清单管控要求</w:t>
                  </w:r>
                </w:p>
              </w:tc>
              <w:tc>
                <w:tcPr>
                  <w:tcW w:w="635" w:type="pct"/>
                  <w:tcBorders>
                    <w:tl2br w:val="nil"/>
                    <w:tr2bl w:val="nil"/>
                  </w:tcBorders>
                  <w:vAlign w:val="center"/>
                </w:tcPr>
                <w:p w14:paraId="7EACFF4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空间布局约束</w:t>
                  </w:r>
                </w:p>
              </w:tc>
              <w:tc>
                <w:tcPr>
                  <w:tcW w:w="2104" w:type="pct"/>
                  <w:tcBorders>
                    <w:tl2br w:val="nil"/>
                    <w:tr2bl w:val="nil"/>
                  </w:tcBorders>
                  <w:vAlign w:val="center"/>
                </w:tcPr>
                <w:p w14:paraId="01381C73">
                  <w:pPr>
                    <w:rPr>
                      <w:rFonts w:hint="default" w:ascii="Times New Roman" w:hAnsi="Times New Roman" w:eastAsia="宋体" w:cs="Times New Roman"/>
                      <w:color w:val="auto"/>
                    </w:rPr>
                  </w:pPr>
                  <w:r>
                    <w:rPr>
                      <w:rFonts w:hint="default" w:ascii="Times New Roman" w:hAnsi="Times New Roman" w:eastAsia="宋体" w:cs="Times New Roman"/>
                      <w:color w:val="auto"/>
                    </w:rPr>
                    <w:t>空间布局约束：</w:t>
                  </w:r>
                </w:p>
                <w:p w14:paraId="0D69F1EB">
                  <w:pPr>
                    <w:rPr>
                      <w:rFonts w:hint="default" w:ascii="Times New Roman" w:hAnsi="Times New Roman" w:eastAsia="宋体" w:cs="Times New Roman"/>
                      <w:color w:val="auto"/>
                    </w:rPr>
                  </w:pPr>
                  <w:r>
                    <w:rPr>
                      <w:rFonts w:hint="default" w:ascii="Times New Roman" w:hAnsi="Times New Roman" w:eastAsia="宋体" w:cs="Times New Roman"/>
                      <w:color w:val="auto"/>
                    </w:rPr>
                    <w:t>禁止开发建设活动的要求</w:t>
                  </w:r>
                </w:p>
                <w:p w14:paraId="204B4E55">
                  <w:pPr>
                    <w:rPr>
                      <w:rFonts w:hint="default" w:ascii="Times New Roman" w:hAnsi="Times New Roman" w:eastAsia="宋体" w:cs="Times New Roman"/>
                      <w:color w:val="auto"/>
                    </w:rPr>
                  </w:pPr>
                  <w:r>
                    <w:rPr>
                      <w:rFonts w:hint="default" w:ascii="Times New Roman" w:hAnsi="Times New Roman" w:eastAsia="宋体" w:cs="Times New Roman"/>
                      <w:color w:val="auto"/>
                    </w:rPr>
                    <w:t>（1）禁止在长江干支流岸线一公里范围内新建、扩建化工园区和化工项目。（2）禁止在法律法规规定的禁采区内开采矿产；禁止土法采、选、冶严重污染环境的矿产资源。（3）对于基本农田，除法律规定的重点建设项目选址确实无法避让外，其他任何建设不得占用。（4）禁止新引入工业企业（（砖瓦制造、农副产品加工、混凝土及砂石制品制造、矿产资源采选、可再生能源等除外）。（5）现有区外工业企业应逐步向工业园区集中。（6）严控新增建设用地规模和非农建设占用耕地。（7）禁止在畜禽养殖和水产养殖禁养区内新建不符合要求的畜禽养殖和水产养殖项目。</w:t>
                  </w:r>
                </w:p>
                <w:p w14:paraId="5FE97BF9">
                  <w:pPr>
                    <w:rPr>
                      <w:rFonts w:hint="default" w:ascii="Times New Roman" w:hAnsi="Times New Roman" w:eastAsia="宋体" w:cs="Times New Roman"/>
                      <w:color w:val="auto"/>
                    </w:rPr>
                  </w:pPr>
                  <w:r>
                    <w:rPr>
                      <w:rFonts w:hint="default" w:ascii="Times New Roman" w:hAnsi="Times New Roman" w:eastAsia="宋体" w:cs="Times New Roman"/>
                      <w:color w:val="auto"/>
                    </w:rPr>
                    <w:t>限制开发建设活动的要求</w:t>
                  </w:r>
                </w:p>
                <w:p w14:paraId="17ACE0DC">
                  <w:pPr>
                    <w:rPr>
                      <w:rFonts w:hint="default" w:ascii="Times New Roman" w:hAnsi="Times New Roman" w:eastAsia="宋体" w:cs="Times New Roman"/>
                      <w:color w:val="auto"/>
                    </w:rPr>
                  </w:pPr>
                  <w:r>
                    <w:rPr>
                      <w:rFonts w:hint="default" w:ascii="Times New Roman" w:hAnsi="Times New Roman" w:eastAsia="宋体" w:cs="Times New Roman"/>
                      <w:color w:val="auto"/>
                    </w:rPr>
                    <w:t>（（1）单元内新布局工业园区，应结合区域环境特点、三线成果、园区产业类别，充分论证选址的环境合理性。（2）大气布局敏感区、弱扩散区应严格限制布设以钢铁、建材、石化、化工（低污染绿色化工除外）、有色等高污染行业为主导产业的园区；（3）水环境城镇生活污染、农业污染重点管控区应严格限制布设以电力、钢铁、造纸、石化、化工（低耗水绿色化工除外）、印染、化纤等高耗水行业为主导产业的园区。（4）严控在沱江岸线1公里范围内新建涉磷、造纸、印染、制革等项目。</w:t>
                  </w:r>
                </w:p>
                <w:p w14:paraId="77657F93">
                  <w:pPr>
                    <w:rPr>
                      <w:rFonts w:hint="default" w:ascii="Times New Roman" w:hAnsi="Times New Roman" w:eastAsia="宋体" w:cs="Times New Roman"/>
                      <w:color w:val="auto"/>
                    </w:rPr>
                  </w:pPr>
                  <w:r>
                    <w:rPr>
                      <w:rFonts w:hint="default" w:ascii="Times New Roman" w:hAnsi="Times New Roman" w:eastAsia="宋体" w:cs="Times New Roman"/>
                      <w:color w:val="auto"/>
                    </w:rPr>
                    <w:t>不符合空间布局要求活动的退出要求</w:t>
                  </w:r>
                </w:p>
                <w:p w14:paraId="25585DA3">
                  <w:pPr>
                    <w:rPr>
                      <w:rFonts w:hint="default" w:ascii="Times New Roman" w:hAnsi="Times New Roman" w:eastAsia="宋体" w:cs="Times New Roman"/>
                      <w:color w:val="auto"/>
                    </w:rPr>
                  </w:pPr>
                  <w:r>
                    <w:rPr>
                      <w:rFonts w:hint="default" w:ascii="Times New Roman" w:hAnsi="Times New Roman" w:eastAsia="宋体" w:cs="Times New Roman"/>
                      <w:color w:val="auto"/>
                    </w:rPr>
                    <w:t>（1）全面取缔蓄禽养殖禁养区内规模化畜禽养殖场，水产养殖禁养区内水产养殖项目。（2）现有白酒企业，用地性质不符合及达不到《发酵酒精和白酒工业水污染物排放标准》的企业应限期整治或适时搬迁。（3）强化监管，防止“散乱污”企业反弹。重点清理整治与成德眉交界区域的“散乱污”企业，实现 “散乱污”企业动态清零。（4）强化现有化工企业监管，存在违法违规行企业限期整改，整改后仍不能达到要求的依法关闭，鼓励企业搬入合规园区。</w:t>
                  </w:r>
                </w:p>
                <w:p w14:paraId="6BDF8866">
                  <w:pPr>
                    <w:rPr>
                      <w:rFonts w:hint="default" w:ascii="Times New Roman" w:hAnsi="Times New Roman" w:eastAsia="宋体" w:cs="Times New Roman"/>
                      <w:color w:val="auto"/>
                    </w:rPr>
                  </w:pPr>
                  <w:r>
                    <w:rPr>
                      <w:rFonts w:hint="default" w:ascii="Times New Roman" w:hAnsi="Times New Roman" w:eastAsia="宋体" w:cs="Times New Roman"/>
                      <w:color w:val="auto"/>
                    </w:rPr>
                    <w:t>其他空间布局约束要求</w:t>
                  </w:r>
                </w:p>
                <w:p w14:paraId="72BD81BB">
                  <w:pPr>
                    <w:rPr>
                      <w:rFonts w:hint="default" w:ascii="Times New Roman" w:hAnsi="Times New Roman" w:eastAsia="宋体" w:cs="Times New Roman"/>
                      <w:color w:val="auto"/>
                    </w:rPr>
                  </w:pPr>
                  <w:r>
                    <w:rPr>
                      <w:rFonts w:hint="default" w:ascii="Times New Roman" w:hAnsi="Times New Roman" w:eastAsia="宋体" w:cs="Times New Roman"/>
                      <w:color w:val="auto"/>
                    </w:rPr>
                    <w:t>暂无</w:t>
                  </w:r>
                </w:p>
              </w:tc>
              <w:tc>
                <w:tcPr>
                  <w:tcW w:w="967" w:type="pct"/>
                  <w:tcBorders>
                    <w:tl2br w:val="nil"/>
                    <w:tr2bl w:val="nil"/>
                  </w:tcBorders>
                  <w:vAlign w:val="center"/>
                </w:tcPr>
                <w:p w14:paraId="09DD662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本项目位于资阳市乐至城区及乡镇，为国家储备林建设及森林质量项目，不属于工业企业。</w:t>
                  </w:r>
                </w:p>
              </w:tc>
              <w:tc>
                <w:tcPr>
                  <w:tcW w:w="210" w:type="pct"/>
                  <w:tcBorders>
                    <w:tl2br w:val="nil"/>
                    <w:tr2bl w:val="nil"/>
                  </w:tcBorders>
                  <w:vAlign w:val="center"/>
                </w:tcPr>
                <w:p w14:paraId="7045158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符合</w:t>
                  </w:r>
                </w:p>
              </w:tc>
            </w:tr>
            <w:tr w14:paraId="6601D3B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3564B35B">
                  <w:pPr>
                    <w:jc w:val="center"/>
                    <w:rPr>
                      <w:rFonts w:hint="default" w:ascii="Times New Roman" w:hAnsi="Times New Roman" w:eastAsia="宋体" w:cs="Times New Roman"/>
                      <w:color w:val="auto"/>
                    </w:rPr>
                  </w:pPr>
                </w:p>
              </w:tc>
              <w:tc>
                <w:tcPr>
                  <w:tcW w:w="420" w:type="pct"/>
                  <w:vMerge w:val="continue"/>
                  <w:tcBorders>
                    <w:tl2br w:val="nil"/>
                    <w:tr2bl w:val="nil"/>
                  </w:tcBorders>
                  <w:vAlign w:val="center"/>
                </w:tcPr>
                <w:p w14:paraId="76D9EAAF">
                  <w:pPr>
                    <w:jc w:val="center"/>
                    <w:rPr>
                      <w:rFonts w:hint="default" w:ascii="Times New Roman" w:hAnsi="Times New Roman" w:eastAsia="宋体" w:cs="Times New Roman"/>
                      <w:color w:val="auto"/>
                    </w:rPr>
                  </w:pPr>
                </w:p>
              </w:tc>
              <w:tc>
                <w:tcPr>
                  <w:tcW w:w="635" w:type="pct"/>
                  <w:tcBorders>
                    <w:tl2br w:val="nil"/>
                    <w:tr2bl w:val="nil"/>
                  </w:tcBorders>
                  <w:vAlign w:val="center"/>
                </w:tcPr>
                <w:p w14:paraId="3070E4D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污染物排放管控</w:t>
                  </w:r>
                </w:p>
              </w:tc>
              <w:tc>
                <w:tcPr>
                  <w:tcW w:w="2104" w:type="pct"/>
                  <w:tcBorders>
                    <w:tl2br w:val="nil"/>
                    <w:tr2bl w:val="nil"/>
                  </w:tcBorders>
                  <w:vAlign w:val="center"/>
                </w:tcPr>
                <w:p w14:paraId="2670E1D7">
                  <w:pPr>
                    <w:rPr>
                      <w:rFonts w:hint="default" w:ascii="Times New Roman" w:hAnsi="Times New Roman" w:eastAsia="宋体" w:cs="Times New Roman"/>
                      <w:color w:val="auto"/>
                    </w:rPr>
                  </w:pPr>
                  <w:r>
                    <w:rPr>
                      <w:rFonts w:hint="default" w:ascii="Times New Roman" w:hAnsi="Times New Roman" w:eastAsia="宋体" w:cs="Times New Roman"/>
                      <w:color w:val="auto"/>
                    </w:rPr>
                    <w:t>污染物排放管控：</w:t>
                  </w:r>
                </w:p>
                <w:p w14:paraId="2D9DAE5C">
                  <w:pPr>
                    <w:rPr>
                      <w:rFonts w:hint="default" w:ascii="Times New Roman" w:hAnsi="Times New Roman" w:eastAsia="宋体" w:cs="Times New Roman"/>
                      <w:color w:val="auto"/>
                    </w:rPr>
                  </w:pPr>
                  <w:r>
                    <w:rPr>
                      <w:rFonts w:hint="default" w:ascii="Times New Roman" w:hAnsi="Times New Roman" w:eastAsia="宋体" w:cs="Times New Roman"/>
                      <w:color w:val="auto"/>
                    </w:rPr>
                    <w:t>允许排放量要求</w:t>
                  </w:r>
                </w:p>
                <w:p w14:paraId="113E01FE">
                  <w:pPr>
                    <w:rPr>
                      <w:rFonts w:hint="default" w:ascii="Times New Roman" w:hAnsi="Times New Roman" w:eastAsia="宋体" w:cs="Times New Roman"/>
                      <w:color w:val="auto"/>
                    </w:rPr>
                  </w:pPr>
                  <w:r>
                    <w:rPr>
                      <w:rFonts w:hint="default" w:ascii="Times New Roman" w:hAnsi="Times New Roman" w:eastAsia="宋体" w:cs="Times New Roman"/>
                      <w:color w:val="auto"/>
                    </w:rPr>
                    <w:t>暂无</w:t>
                  </w:r>
                </w:p>
                <w:p w14:paraId="6367A136">
                  <w:pPr>
                    <w:rPr>
                      <w:rFonts w:hint="default" w:ascii="Times New Roman" w:hAnsi="Times New Roman" w:eastAsia="宋体" w:cs="Times New Roman"/>
                      <w:color w:val="auto"/>
                    </w:rPr>
                  </w:pPr>
                  <w:r>
                    <w:rPr>
                      <w:rFonts w:hint="default" w:ascii="Times New Roman" w:hAnsi="Times New Roman" w:eastAsia="宋体" w:cs="Times New Roman"/>
                      <w:color w:val="auto"/>
                    </w:rPr>
                    <w:t>现有源提标升级改造</w:t>
                  </w:r>
                </w:p>
                <w:p w14:paraId="5B419BF8">
                  <w:pPr>
                    <w:rPr>
                      <w:rFonts w:hint="default" w:ascii="Times New Roman" w:hAnsi="Times New Roman" w:eastAsia="宋体" w:cs="Times New Roman"/>
                      <w:color w:val="auto"/>
                    </w:rPr>
                  </w:pPr>
                  <w:r>
                    <w:rPr>
                      <w:rFonts w:hint="default" w:ascii="Times New Roman" w:hAnsi="Times New Roman" w:eastAsia="宋体" w:cs="Times New Roman"/>
                      <w:color w:val="auto"/>
                    </w:rPr>
                    <w:t>（1）推进乡镇现有污水处理设施升级改造，完善污水收集管网，沱江流域处理能力达到1000吨日以上的污水处理厂执行《四川省岷江、沱江流域水污染物排放标准》。（2）加强与改厕工作相衔接，推进农村生活污水资源化利用。梯次推进农村生活污水治理，农村生活污水处理设施执行《四川省农村生活污水处理设施水污染物排放标准》（DB51 2626—2019）。到2025年，85%以上的行政村农村污水得到有效治理。（3）加强畜禽养殖污染治理，规模养殖场全部配套粪污处置设施，推进粪污资源化利用。沱江流域规模化畜禽养殖场废水排放应执行《四川省岷江、沱江流域水污染物排放标准》。（4）加强水产养殖污染治理，依法拆除禁养区内的网箱养殖设施，推进水产养殖尾水治理和排放申报。（5）砖瓦行业实施脱硫、除尘升级改造，污染物排放达到《砖瓦工业大气污染物排放标准》相关要求。</w:t>
                  </w:r>
                </w:p>
                <w:p w14:paraId="04A2BF39">
                  <w:pPr>
                    <w:rPr>
                      <w:rFonts w:hint="default" w:ascii="Times New Roman" w:hAnsi="Times New Roman" w:eastAsia="宋体" w:cs="Times New Roman"/>
                      <w:color w:val="auto"/>
                    </w:rPr>
                  </w:pPr>
                  <w:r>
                    <w:rPr>
                      <w:rFonts w:hint="default" w:ascii="Times New Roman" w:hAnsi="Times New Roman" w:eastAsia="宋体" w:cs="Times New Roman"/>
                      <w:color w:val="auto"/>
                    </w:rPr>
                    <w:t>其他污染物排放管控要求</w:t>
                  </w:r>
                </w:p>
                <w:p w14:paraId="0008FBA6">
                  <w:pPr>
                    <w:rPr>
                      <w:rFonts w:hint="default" w:ascii="Times New Roman" w:hAnsi="Times New Roman" w:eastAsia="宋体" w:cs="Times New Roman"/>
                      <w:color w:val="auto"/>
                    </w:rPr>
                  </w:pPr>
                  <w:r>
                    <w:rPr>
                      <w:rFonts w:hint="default" w:ascii="Times New Roman" w:hAnsi="Times New Roman" w:eastAsia="宋体" w:cs="Times New Roman"/>
                      <w:color w:val="auto"/>
                    </w:rPr>
                    <w:t>1、新增源排放标准限制：雁江区新、改、扩建工业项目全面执行大气污染物特别排放限值。2、新增源等量或倍量替代：对主要污染物排放超过总量控制要求且环境质量不达标的地区，暂停审批新增污染物排放量的建设项目。3、污染物排放绩效水平准入要求：（1）至2025年底，基本实现乡镇污水处理设施全覆盖，配套建设污水收集管网，乡镇污水处理率力争达到85%。（2）新、改扩建规模化畜禽养殖场（小区）要实施雨污分流，配套粪污处置设施，推进粪便污水资源化利用，至2025年，规模化畜禽养殖场（小区）粪污处理设施装备配套率达到100%，粪污综合利用率达到90%以上；散养密集区要实行畜禽粪便污水分户收集、集中处理利用。（3）屠宰项目必须配套污水处理设施或进入城市污水管网。（4）强化农药、化肥减量工作，积极推广配方肥和商品有机肥，配方施肥覆盖面不低于50%，减少化肥施用和流失，提高化肥利用率。 （5）乡镇及行政村生活垃圾收转运处置体系基本实现全覆盖；（6）推进农业废弃农膜的回收、转运综合利用。到2025年秸秆综合利用率达到95%以上。</w:t>
                  </w:r>
                </w:p>
              </w:tc>
              <w:tc>
                <w:tcPr>
                  <w:tcW w:w="967" w:type="pct"/>
                  <w:tcBorders>
                    <w:tl2br w:val="nil"/>
                    <w:tr2bl w:val="nil"/>
                  </w:tcBorders>
                  <w:vAlign w:val="center"/>
                </w:tcPr>
                <w:p w14:paraId="7CCA6872">
                  <w:pPr>
                    <w:jc w:val="center"/>
                    <w:rPr>
                      <w:rFonts w:hint="default" w:ascii="Times New Roman" w:hAnsi="Times New Roman" w:eastAsia="宋体" w:cs="Times New Roman"/>
                      <w:color w:val="auto"/>
                      <w:lang w:eastAsia="zh-CN"/>
                    </w:rPr>
                  </w:pPr>
                  <w:r>
                    <w:rPr>
                      <w:rFonts w:hint="default" w:ascii="Times New Roman" w:hAnsi="Times New Roman" w:eastAsia="宋体" w:cs="Times New Roman"/>
                      <w:color w:val="auto"/>
                    </w:rPr>
                    <w:t>本项目为国家储备林建设及森林质量项目，</w:t>
                  </w:r>
                  <w:r>
                    <w:rPr>
                      <w:rFonts w:hint="default" w:ascii="Times New Roman" w:hAnsi="Times New Roman" w:eastAsia="宋体" w:cs="Times New Roman"/>
                      <w:color w:val="auto"/>
                      <w:lang w:eastAsia="zh-CN"/>
                    </w:rPr>
                    <w:t>生活污水经预处理后用作农肥不外排</w:t>
                  </w:r>
                  <w:r>
                    <w:rPr>
                      <w:rFonts w:hint="default" w:ascii="Times New Roman" w:hAnsi="Times New Roman" w:eastAsia="宋体" w:cs="Times New Roman"/>
                      <w:color w:val="auto"/>
                    </w:rPr>
                    <w:t>，</w:t>
                  </w:r>
                  <w:r>
                    <w:rPr>
                      <w:rFonts w:hint="default" w:ascii="Times New Roman" w:hAnsi="Times New Roman" w:eastAsia="宋体" w:cs="Times New Roman"/>
                      <w:color w:val="auto"/>
                      <w:lang w:eastAsia="zh-CN"/>
                    </w:rPr>
                    <w:t>雨水实行雨污分流符合管控要求</w:t>
                  </w:r>
                  <w:r>
                    <w:rPr>
                      <w:rFonts w:hint="eastAsia" w:ascii="Times New Roman" w:hAnsi="Times New Roman" w:eastAsia="宋体" w:cs="Times New Roman"/>
                      <w:color w:val="auto"/>
                      <w:lang w:eastAsia="zh-CN"/>
                    </w:rPr>
                    <w:t>，施用有机生物肥和复合有机无机配方肥，避免地表撒施，尽量采用低毒、残留期短的农药和生物制剂，既保障栽植苗木生长，也减少化肥农药污染</w:t>
                  </w:r>
                  <w:r>
                    <w:rPr>
                      <w:rFonts w:hint="default" w:ascii="Times New Roman" w:hAnsi="Times New Roman" w:eastAsia="宋体" w:cs="Times New Roman"/>
                      <w:color w:val="auto"/>
                      <w:lang w:eastAsia="zh-CN"/>
                    </w:rPr>
                    <w:t>。</w:t>
                  </w:r>
                </w:p>
              </w:tc>
              <w:tc>
                <w:tcPr>
                  <w:tcW w:w="210" w:type="pct"/>
                  <w:tcBorders>
                    <w:tl2br w:val="nil"/>
                    <w:tr2bl w:val="nil"/>
                  </w:tcBorders>
                  <w:vAlign w:val="center"/>
                </w:tcPr>
                <w:p w14:paraId="3E8C7C0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符合</w:t>
                  </w:r>
                </w:p>
              </w:tc>
            </w:tr>
            <w:tr w14:paraId="7B21FA5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4D9CB713">
                  <w:pPr>
                    <w:jc w:val="center"/>
                    <w:rPr>
                      <w:rFonts w:hint="default" w:ascii="Times New Roman" w:hAnsi="Times New Roman" w:eastAsia="宋体" w:cs="Times New Roman"/>
                      <w:color w:val="auto"/>
                    </w:rPr>
                  </w:pPr>
                </w:p>
              </w:tc>
              <w:tc>
                <w:tcPr>
                  <w:tcW w:w="420" w:type="pct"/>
                  <w:vMerge w:val="continue"/>
                  <w:tcBorders>
                    <w:tl2br w:val="nil"/>
                    <w:tr2bl w:val="nil"/>
                  </w:tcBorders>
                  <w:vAlign w:val="center"/>
                </w:tcPr>
                <w:p w14:paraId="540ECDA9">
                  <w:pPr>
                    <w:jc w:val="center"/>
                    <w:rPr>
                      <w:rFonts w:hint="default" w:ascii="Times New Roman" w:hAnsi="Times New Roman" w:eastAsia="宋体" w:cs="Times New Roman"/>
                      <w:color w:val="auto"/>
                    </w:rPr>
                  </w:pPr>
                </w:p>
              </w:tc>
              <w:tc>
                <w:tcPr>
                  <w:tcW w:w="635" w:type="pct"/>
                  <w:tcBorders>
                    <w:tl2br w:val="nil"/>
                    <w:tr2bl w:val="nil"/>
                  </w:tcBorders>
                  <w:vAlign w:val="center"/>
                </w:tcPr>
                <w:p w14:paraId="7477CB0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环境风险防控</w:t>
                  </w:r>
                </w:p>
              </w:tc>
              <w:tc>
                <w:tcPr>
                  <w:tcW w:w="2104" w:type="pct"/>
                  <w:tcBorders>
                    <w:tl2br w:val="nil"/>
                    <w:tr2bl w:val="nil"/>
                  </w:tcBorders>
                  <w:vAlign w:val="center"/>
                </w:tcPr>
                <w:p w14:paraId="4E5501C7">
                  <w:pPr>
                    <w:rPr>
                      <w:rFonts w:hint="default" w:ascii="Times New Roman" w:hAnsi="Times New Roman" w:eastAsia="宋体" w:cs="Times New Roman"/>
                      <w:color w:val="auto"/>
                    </w:rPr>
                  </w:pPr>
                  <w:r>
                    <w:rPr>
                      <w:rFonts w:hint="default" w:ascii="Times New Roman" w:hAnsi="Times New Roman" w:eastAsia="宋体" w:cs="Times New Roman"/>
                      <w:color w:val="auto"/>
                    </w:rPr>
                    <w:t>环境风险防控：</w:t>
                  </w:r>
                </w:p>
                <w:p w14:paraId="4A51897F">
                  <w:pPr>
                    <w:rPr>
                      <w:rFonts w:hint="default" w:ascii="Times New Roman" w:hAnsi="Times New Roman" w:eastAsia="宋体" w:cs="Times New Roman"/>
                      <w:color w:val="auto"/>
                    </w:rPr>
                  </w:pPr>
                  <w:r>
                    <w:rPr>
                      <w:rFonts w:hint="default" w:ascii="Times New Roman" w:hAnsi="Times New Roman" w:eastAsia="宋体" w:cs="Times New Roman"/>
                      <w:color w:val="auto"/>
                    </w:rPr>
                    <w:t>联防联控要求</w:t>
                  </w:r>
                </w:p>
                <w:p w14:paraId="722E60C4">
                  <w:pPr>
                    <w:rPr>
                      <w:rFonts w:hint="default" w:ascii="Times New Roman" w:hAnsi="Times New Roman" w:eastAsia="宋体" w:cs="Times New Roman"/>
                      <w:color w:val="auto"/>
                    </w:rPr>
                  </w:pPr>
                  <w:r>
                    <w:rPr>
                      <w:rFonts w:hint="default" w:ascii="Times New Roman" w:hAnsi="Times New Roman" w:eastAsia="宋体" w:cs="Times New Roman"/>
                      <w:color w:val="auto"/>
                    </w:rPr>
                    <w:t>暂无</w:t>
                  </w:r>
                </w:p>
                <w:p w14:paraId="174DB212">
                  <w:pPr>
                    <w:rPr>
                      <w:rFonts w:hint="default" w:ascii="Times New Roman" w:hAnsi="Times New Roman" w:eastAsia="宋体" w:cs="Times New Roman"/>
                      <w:color w:val="auto"/>
                    </w:rPr>
                  </w:pPr>
                  <w:r>
                    <w:rPr>
                      <w:rFonts w:hint="default" w:ascii="Times New Roman" w:hAnsi="Times New Roman" w:eastAsia="宋体" w:cs="Times New Roman"/>
                      <w:color w:val="auto"/>
                    </w:rPr>
                    <w:t>其他环境风险防控要求</w:t>
                  </w:r>
                </w:p>
                <w:p w14:paraId="612C2DDD">
                  <w:pPr>
                    <w:rPr>
                      <w:rFonts w:hint="default" w:ascii="Times New Roman" w:hAnsi="Times New Roman" w:eastAsia="宋体" w:cs="Times New Roman"/>
                      <w:color w:val="auto"/>
                    </w:rPr>
                  </w:pPr>
                  <w:r>
                    <w:rPr>
                      <w:rFonts w:hint="default" w:ascii="Times New Roman" w:hAnsi="Times New Roman" w:eastAsia="宋体" w:cs="Times New Roman"/>
                      <w:color w:val="auto"/>
                    </w:rPr>
                    <w:t>用地环境风险防控要求：（1）工业企业退出用地，须经评估、修复满足相应用地功能后，方可改变用途。（2）严禁将城镇生活垃圾、污泥、工业废物直接用作肥料，禁止处理不达标的污泥进入耕地；禁止在农用地排放、倾倒、使用污泥、清淤底泥、尾矿（渣）等可能对土壤造成污染的固体废物。</w:t>
                  </w:r>
                </w:p>
              </w:tc>
              <w:tc>
                <w:tcPr>
                  <w:tcW w:w="967" w:type="pct"/>
                  <w:tcBorders>
                    <w:tl2br w:val="nil"/>
                    <w:tr2bl w:val="nil"/>
                  </w:tcBorders>
                  <w:vAlign w:val="center"/>
                </w:tcPr>
                <w:p w14:paraId="55D204E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乐至县兴茂林业开发有限公司已与项目所在地村民签订林地流转协议，用于储备林项目建设，符合规划。</w:t>
                  </w:r>
                </w:p>
              </w:tc>
              <w:tc>
                <w:tcPr>
                  <w:tcW w:w="210" w:type="pct"/>
                  <w:tcBorders>
                    <w:tl2br w:val="nil"/>
                    <w:tr2bl w:val="nil"/>
                  </w:tcBorders>
                  <w:vAlign w:val="center"/>
                </w:tcPr>
                <w:p w14:paraId="2AA3DBB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符合</w:t>
                  </w:r>
                </w:p>
              </w:tc>
            </w:tr>
            <w:tr w14:paraId="6F0672C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1BF8F47A">
                  <w:pPr>
                    <w:jc w:val="center"/>
                    <w:rPr>
                      <w:rFonts w:hint="default" w:ascii="Times New Roman" w:hAnsi="Times New Roman" w:eastAsia="宋体" w:cs="Times New Roman"/>
                      <w:color w:val="auto"/>
                    </w:rPr>
                  </w:pPr>
                </w:p>
              </w:tc>
              <w:tc>
                <w:tcPr>
                  <w:tcW w:w="420" w:type="pct"/>
                  <w:vMerge w:val="continue"/>
                  <w:tcBorders>
                    <w:tl2br w:val="nil"/>
                    <w:tr2bl w:val="nil"/>
                  </w:tcBorders>
                  <w:vAlign w:val="center"/>
                </w:tcPr>
                <w:p w14:paraId="654F5E0E">
                  <w:pPr>
                    <w:jc w:val="center"/>
                    <w:rPr>
                      <w:rFonts w:hint="default" w:ascii="Times New Roman" w:hAnsi="Times New Roman" w:eastAsia="宋体" w:cs="Times New Roman"/>
                      <w:color w:val="auto"/>
                    </w:rPr>
                  </w:pPr>
                </w:p>
              </w:tc>
              <w:tc>
                <w:tcPr>
                  <w:tcW w:w="635" w:type="pct"/>
                  <w:tcBorders>
                    <w:tl2br w:val="nil"/>
                    <w:tr2bl w:val="nil"/>
                  </w:tcBorders>
                  <w:vAlign w:val="center"/>
                </w:tcPr>
                <w:p w14:paraId="07926F2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资源开发效率要求</w:t>
                  </w:r>
                </w:p>
              </w:tc>
              <w:tc>
                <w:tcPr>
                  <w:tcW w:w="2104" w:type="pct"/>
                  <w:tcBorders>
                    <w:tl2br w:val="nil"/>
                    <w:tr2bl w:val="nil"/>
                  </w:tcBorders>
                  <w:vAlign w:val="center"/>
                </w:tcPr>
                <w:p w14:paraId="18396419">
                  <w:pPr>
                    <w:rPr>
                      <w:rFonts w:hint="default" w:ascii="Times New Roman" w:hAnsi="Times New Roman" w:eastAsia="宋体" w:cs="Times New Roman"/>
                      <w:color w:val="auto"/>
                    </w:rPr>
                  </w:pPr>
                  <w:r>
                    <w:rPr>
                      <w:rFonts w:hint="default" w:ascii="Times New Roman" w:hAnsi="Times New Roman" w:eastAsia="宋体" w:cs="Times New Roman"/>
                      <w:color w:val="auto"/>
                    </w:rPr>
                    <w:t>资源开发利用效率要求：</w:t>
                  </w:r>
                </w:p>
                <w:p w14:paraId="4BCF1F84">
                  <w:pPr>
                    <w:rPr>
                      <w:rFonts w:hint="default" w:ascii="Times New Roman" w:hAnsi="Times New Roman" w:eastAsia="宋体" w:cs="Times New Roman"/>
                      <w:color w:val="auto"/>
                    </w:rPr>
                  </w:pPr>
                  <w:r>
                    <w:rPr>
                      <w:rFonts w:hint="default" w:ascii="Times New Roman" w:hAnsi="Times New Roman" w:eastAsia="宋体" w:cs="Times New Roman"/>
                      <w:color w:val="auto"/>
                    </w:rPr>
                    <w:t>水资源利用总量要求</w:t>
                  </w:r>
                </w:p>
                <w:p w14:paraId="48608500">
                  <w:pPr>
                    <w:rPr>
                      <w:rFonts w:hint="default" w:ascii="Times New Roman" w:hAnsi="Times New Roman" w:eastAsia="宋体" w:cs="Times New Roman"/>
                      <w:color w:val="auto"/>
                    </w:rPr>
                  </w:pPr>
                  <w:r>
                    <w:rPr>
                      <w:rFonts w:hint="default" w:ascii="Times New Roman" w:hAnsi="Times New Roman" w:eastAsia="宋体" w:cs="Times New Roman"/>
                      <w:color w:val="auto"/>
                    </w:rPr>
                    <w:t>（1）九曲河流域加强再生水利用，有条件的优先使用再用水，减少新鲜水取水量。（2）到2030年，农田灌溉水有效利用系数提高到0.62。</w:t>
                  </w:r>
                </w:p>
                <w:p w14:paraId="75C638FB">
                  <w:pPr>
                    <w:rPr>
                      <w:rFonts w:hint="default" w:ascii="Times New Roman" w:hAnsi="Times New Roman" w:eastAsia="宋体" w:cs="Times New Roman"/>
                      <w:color w:val="auto"/>
                    </w:rPr>
                  </w:pPr>
                  <w:r>
                    <w:rPr>
                      <w:rFonts w:hint="default" w:ascii="Times New Roman" w:hAnsi="Times New Roman" w:eastAsia="宋体" w:cs="Times New Roman"/>
                      <w:color w:val="auto"/>
                    </w:rPr>
                    <w:t>地下水开采要求</w:t>
                  </w:r>
                </w:p>
                <w:p w14:paraId="7352F0B0">
                  <w:pPr>
                    <w:rPr>
                      <w:rFonts w:hint="default" w:ascii="Times New Roman" w:hAnsi="Times New Roman" w:eastAsia="宋体" w:cs="Times New Roman"/>
                      <w:color w:val="auto"/>
                    </w:rPr>
                  </w:pPr>
                  <w:r>
                    <w:rPr>
                      <w:rFonts w:hint="default" w:ascii="Times New Roman" w:hAnsi="Times New Roman" w:eastAsia="宋体" w:cs="Times New Roman"/>
                      <w:color w:val="auto"/>
                    </w:rPr>
                    <w:t>暂无</w:t>
                  </w:r>
                </w:p>
                <w:p w14:paraId="498189EE">
                  <w:pPr>
                    <w:rPr>
                      <w:rFonts w:hint="default" w:ascii="Times New Roman" w:hAnsi="Times New Roman" w:eastAsia="宋体" w:cs="Times New Roman"/>
                      <w:color w:val="auto"/>
                    </w:rPr>
                  </w:pPr>
                  <w:r>
                    <w:rPr>
                      <w:rFonts w:hint="default" w:ascii="Times New Roman" w:hAnsi="Times New Roman" w:eastAsia="宋体" w:cs="Times New Roman"/>
                      <w:color w:val="auto"/>
                    </w:rPr>
                    <w:t>能源利用总量及效率要求</w:t>
                  </w:r>
                </w:p>
                <w:p w14:paraId="207F2B8B">
                  <w:pPr>
                    <w:rPr>
                      <w:rFonts w:hint="default" w:ascii="Times New Roman" w:hAnsi="Times New Roman" w:eastAsia="宋体" w:cs="Times New Roman"/>
                      <w:color w:val="auto"/>
                    </w:rPr>
                  </w:pPr>
                  <w:r>
                    <w:rPr>
                      <w:rFonts w:hint="default" w:ascii="Times New Roman" w:hAnsi="Times New Roman" w:eastAsia="宋体" w:cs="Times New Roman"/>
                      <w:color w:val="auto"/>
                    </w:rPr>
                    <w:t>（1）严控使用燃煤等高污染燃料，禁止焚烧垃圾。（2）推进清洁能源的推广使用，全面推进散煤清洁化整治。</w:t>
                  </w:r>
                </w:p>
                <w:p w14:paraId="1D1863A4">
                  <w:pPr>
                    <w:rPr>
                      <w:rFonts w:hint="default" w:ascii="Times New Roman" w:hAnsi="Times New Roman" w:eastAsia="宋体" w:cs="Times New Roman"/>
                      <w:color w:val="auto"/>
                    </w:rPr>
                  </w:pPr>
                  <w:r>
                    <w:rPr>
                      <w:rFonts w:hint="default" w:ascii="Times New Roman" w:hAnsi="Times New Roman" w:eastAsia="宋体" w:cs="Times New Roman"/>
                      <w:color w:val="auto"/>
                    </w:rPr>
                    <w:t>禁燃区要求</w:t>
                  </w:r>
                </w:p>
                <w:p w14:paraId="0E5A635C">
                  <w:pPr>
                    <w:rPr>
                      <w:rFonts w:hint="default" w:ascii="Times New Roman" w:hAnsi="Times New Roman" w:eastAsia="宋体" w:cs="Times New Roman"/>
                      <w:color w:val="auto"/>
                    </w:rPr>
                  </w:pPr>
                  <w:r>
                    <w:rPr>
                      <w:rFonts w:hint="default" w:ascii="Times New Roman" w:hAnsi="Times New Roman" w:eastAsia="宋体" w:cs="Times New Roman"/>
                      <w:color w:val="auto"/>
                    </w:rPr>
                    <w:t>暂无</w:t>
                  </w:r>
                </w:p>
                <w:p w14:paraId="66531404">
                  <w:pPr>
                    <w:rPr>
                      <w:rFonts w:hint="default" w:ascii="Times New Roman" w:hAnsi="Times New Roman" w:eastAsia="宋体" w:cs="Times New Roman"/>
                      <w:color w:val="auto"/>
                    </w:rPr>
                  </w:pPr>
                  <w:r>
                    <w:rPr>
                      <w:rFonts w:hint="default" w:ascii="Times New Roman" w:hAnsi="Times New Roman" w:eastAsia="宋体" w:cs="Times New Roman"/>
                      <w:color w:val="auto"/>
                    </w:rPr>
                    <w:t>其他资源利用效率要求</w:t>
                  </w:r>
                </w:p>
                <w:p w14:paraId="351741F8">
                  <w:pPr>
                    <w:rPr>
                      <w:rFonts w:hint="default" w:ascii="Times New Roman" w:hAnsi="Times New Roman" w:eastAsia="宋体" w:cs="Times New Roman"/>
                      <w:color w:val="auto"/>
                    </w:rPr>
                  </w:pPr>
                  <w:r>
                    <w:rPr>
                      <w:rFonts w:hint="default" w:ascii="Times New Roman" w:hAnsi="Times New Roman" w:eastAsia="宋体" w:cs="Times New Roman"/>
                      <w:color w:val="auto"/>
                    </w:rPr>
                    <w:t>暂无</w:t>
                  </w:r>
                </w:p>
              </w:tc>
              <w:tc>
                <w:tcPr>
                  <w:tcW w:w="967" w:type="pct"/>
                  <w:tcBorders>
                    <w:tl2br w:val="nil"/>
                    <w:tr2bl w:val="nil"/>
                  </w:tcBorders>
                  <w:vAlign w:val="center"/>
                </w:tcPr>
                <w:p w14:paraId="6F95EE1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本项目为国家储备林建设及森林质量项目，不属于使用高污染燃料项目，不属于禁止开发活动，不涉及上述限制开发建设活动。</w:t>
                  </w:r>
                </w:p>
              </w:tc>
              <w:tc>
                <w:tcPr>
                  <w:tcW w:w="210" w:type="pct"/>
                  <w:tcBorders>
                    <w:tl2br w:val="nil"/>
                    <w:tr2bl w:val="nil"/>
                  </w:tcBorders>
                  <w:vAlign w:val="center"/>
                </w:tcPr>
                <w:p w14:paraId="6A35717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符合</w:t>
                  </w:r>
                </w:p>
              </w:tc>
            </w:tr>
            <w:tr w14:paraId="3545898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383E8920">
                  <w:pPr>
                    <w:jc w:val="center"/>
                    <w:rPr>
                      <w:rFonts w:hint="default" w:ascii="Times New Roman" w:hAnsi="Times New Roman" w:eastAsia="宋体" w:cs="Times New Roman"/>
                      <w:color w:val="auto"/>
                    </w:rPr>
                  </w:pPr>
                </w:p>
              </w:tc>
              <w:tc>
                <w:tcPr>
                  <w:tcW w:w="420" w:type="pct"/>
                  <w:vMerge w:val="restart"/>
                  <w:tcBorders>
                    <w:tl2br w:val="nil"/>
                    <w:tr2bl w:val="nil"/>
                  </w:tcBorders>
                  <w:vAlign w:val="center"/>
                </w:tcPr>
                <w:p w14:paraId="4E1E6D9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单元级清单管控要求</w:t>
                  </w:r>
                </w:p>
              </w:tc>
              <w:tc>
                <w:tcPr>
                  <w:tcW w:w="635" w:type="pct"/>
                  <w:tcBorders>
                    <w:tl2br w:val="nil"/>
                    <w:tr2bl w:val="nil"/>
                  </w:tcBorders>
                  <w:vAlign w:val="center"/>
                </w:tcPr>
                <w:p w14:paraId="402938B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空间布局约束</w:t>
                  </w:r>
                </w:p>
              </w:tc>
              <w:tc>
                <w:tcPr>
                  <w:tcW w:w="2104" w:type="pct"/>
                  <w:tcBorders>
                    <w:tl2br w:val="nil"/>
                    <w:tr2bl w:val="nil"/>
                  </w:tcBorders>
                  <w:vAlign w:val="center"/>
                </w:tcPr>
                <w:p w14:paraId="1CD36108">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禁止开发建设活动的要求</w:t>
                  </w:r>
                </w:p>
                <w:p w14:paraId="6CD11BFB">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执行要素重点单元总体准入要求</w:t>
                  </w:r>
                </w:p>
                <w:p w14:paraId="472A50CD">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限制开发建设活动的要求</w:t>
                  </w:r>
                </w:p>
                <w:p w14:paraId="6D40695E">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允许开发建设活动的要求</w:t>
                  </w:r>
                </w:p>
                <w:p w14:paraId="1AB37B0B">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不符合空间布局要求活动的退出要求</w:t>
                  </w:r>
                </w:p>
                <w:p w14:paraId="72C026D4">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执行要素重点单元总体准入要求</w:t>
                  </w:r>
                </w:p>
                <w:p w14:paraId="795FC86C">
                  <w:pPr>
                    <w:pStyle w:val="54"/>
                    <w:widowControl/>
                    <w:shd w:val="clear" w:color="auto" w:fill="FFFFFF"/>
                    <w:spacing w:line="240" w:lineRule="auto"/>
                    <w:ind w:firstLine="0" w:firstLineChars="0"/>
                    <w:jc w:val="left"/>
                    <w:rPr>
                      <w:rFonts w:hint="default" w:ascii="Times New Roman" w:hAnsi="Times New Roman" w:eastAsia="宋体" w:cs="Times New Roman"/>
                      <w:color w:val="auto"/>
                    </w:rPr>
                  </w:pPr>
                  <w:r>
                    <w:rPr>
                      <w:rStyle w:val="34"/>
                      <w:rFonts w:hint="default" w:ascii="Times New Roman" w:hAnsi="Times New Roman" w:eastAsia="宋体" w:cs="Times New Roman"/>
                      <w:color w:val="auto"/>
                      <w:kern w:val="2"/>
                      <w:sz w:val="21"/>
                      <w:szCs w:val="21"/>
                      <w:lang w:val="en-US" w:eastAsia="zh-CN" w:bidi="ar-SA"/>
                    </w:rPr>
                    <w:t>其他空间布局约束要求</w:t>
                  </w:r>
                </w:p>
              </w:tc>
              <w:tc>
                <w:tcPr>
                  <w:tcW w:w="967" w:type="pct"/>
                  <w:tcBorders>
                    <w:tl2br w:val="nil"/>
                    <w:tr2bl w:val="nil"/>
                  </w:tcBorders>
                  <w:vAlign w:val="center"/>
                </w:tcPr>
                <w:p w14:paraId="76C030E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本项目不属于禁止开发活动，限制开发建设活动。</w:t>
                  </w:r>
                </w:p>
              </w:tc>
              <w:tc>
                <w:tcPr>
                  <w:tcW w:w="210" w:type="pct"/>
                  <w:tcBorders>
                    <w:tl2br w:val="nil"/>
                    <w:tr2bl w:val="nil"/>
                  </w:tcBorders>
                  <w:vAlign w:val="center"/>
                </w:tcPr>
                <w:p w14:paraId="7BE0521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符合</w:t>
                  </w:r>
                </w:p>
              </w:tc>
            </w:tr>
            <w:tr w14:paraId="05D673B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6F2BF6A0">
                  <w:pPr>
                    <w:jc w:val="center"/>
                    <w:rPr>
                      <w:rFonts w:hint="default" w:ascii="Times New Roman" w:hAnsi="Times New Roman" w:eastAsia="宋体" w:cs="Times New Roman"/>
                      <w:color w:val="auto"/>
                    </w:rPr>
                  </w:pPr>
                </w:p>
              </w:tc>
              <w:tc>
                <w:tcPr>
                  <w:tcW w:w="420" w:type="pct"/>
                  <w:vMerge w:val="continue"/>
                  <w:tcBorders>
                    <w:tl2br w:val="nil"/>
                    <w:tr2bl w:val="nil"/>
                  </w:tcBorders>
                  <w:vAlign w:val="center"/>
                </w:tcPr>
                <w:p w14:paraId="2F8F1CCD">
                  <w:pPr>
                    <w:jc w:val="center"/>
                    <w:rPr>
                      <w:rFonts w:hint="default" w:ascii="Times New Roman" w:hAnsi="Times New Roman" w:eastAsia="宋体" w:cs="Times New Roman"/>
                      <w:color w:val="auto"/>
                    </w:rPr>
                  </w:pPr>
                </w:p>
              </w:tc>
              <w:tc>
                <w:tcPr>
                  <w:tcW w:w="635" w:type="pct"/>
                  <w:tcBorders>
                    <w:tl2br w:val="nil"/>
                    <w:tr2bl w:val="nil"/>
                  </w:tcBorders>
                  <w:vAlign w:val="center"/>
                </w:tcPr>
                <w:p w14:paraId="5CE5135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污染物排放管控</w:t>
                  </w:r>
                </w:p>
              </w:tc>
              <w:tc>
                <w:tcPr>
                  <w:tcW w:w="2104" w:type="pct"/>
                  <w:tcBorders>
                    <w:tl2br w:val="nil"/>
                    <w:tr2bl w:val="nil"/>
                  </w:tcBorders>
                  <w:vAlign w:val="center"/>
                </w:tcPr>
                <w:p w14:paraId="078C1A39">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现有源提标升级改造</w:t>
                  </w:r>
                </w:p>
                <w:p w14:paraId="73971831">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（1）以水生态修复为基本思路，从水质生态净化、景观提升和水生态环境保护等多方面对饮用水源地进行内源治理。（2）加快索溪河进行河道清淤、河道两岸生态护岸、生态修复及附属雨污截污设施建设</w:t>
                  </w:r>
                </w:p>
                <w:p w14:paraId="40D2DCCA">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新增源等量或倍量替代</w:t>
                  </w:r>
                </w:p>
                <w:p w14:paraId="1FFDAC3B">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执行要素重点单元总体准入要求</w:t>
                  </w:r>
                </w:p>
                <w:p w14:paraId="53FAC680">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新增源排放标准限值</w:t>
                  </w:r>
                </w:p>
                <w:p w14:paraId="25F45FB2">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污染物排放绩效水平准入要求</w:t>
                  </w:r>
                </w:p>
                <w:p w14:paraId="4C2E9397">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到2025年底，80%以上的行政村农村生活污水得到有效治理。</w:t>
                  </w:r>
                </w:p>
                <w:p w14:paraId="70A3713C">
                  <w:pPr>
                    <w:pStyle w:val="54"/>
                    <w:widowControl/>
                    <w:shd w:val="clear" w:color="auto" w:fill="FFFFFF"/>
                    <w:spacing w:line="240" w:lineRule="auto"/>
                    <w:ind w:firstLine="0" w:firstLineChars="0"/>
                    <w:jc w:val="left"/>
                    <w:rPr>
                      <w:rFonts w:hint="default" w:ascii="Times New Roman" w:hAnsi="Times New Roman" w:eastAsia="宋体" w:cs="Times New Roman"/>
                      <w:color w:val="auto"/>
                    </w:rPr>
                  </w:pPr>
                  <w:r>
                    <w:rPr>
                      <w:rStyle w:val="34"/>
                      <w:rFonts w:hint="default" w:ascii="Times New Roman" w:hAnsi="Times New Roman" w:eastAsia="宋体" w:cs="Times New Roman"/>
                      <w:color w:val="auto"/>
                      <w:kern w:val="2"/>
                      <w:sz w:val="21"/>
                      <w:szCs w:val="21"/>
                      <w:lang w:val="en-US" w:eastAsia="zh-CN" w:bidi="ar-SA"/>
                    </w:rPr>
                    <w:t>其他污染物排放管控要求</w:t>
                  </w:r>
                </w:p>
              </w:tc>
              <w:tc>
                <w:tcPr>
                  <w:tcW w:w="967" w:type="pct"/>
                  <w:tcBorders>
                    <w:tl2br w:val="nil"/>
                    <w:tr2bl w:val="nil"/>
                  </w:tcBorders>
                  <w:vAlign w:val="center"/>
                </w:tcPr>
                <w:p w14:paraId="7F28478B">
                  <w:pPr>
                    <w:jc w:val="center"/>
                    <w:rPr>
                      <w:rFonts w:hint="default" w:ascii="Times New Roman" w:hAnsi="Times New Roman" w:eastAsia="宋体" w:cs="Times New Roman"/>
                      <w:color w:val="auto"/>
                      <w:lang w:eastAsia="zh-CN"/>
                    </w:rPr>
                  </w:pPr>
                  <w:r>
                    <w:rPr>
                      <w:rFonts w:hint="default" w:ascii="Times New Roman" w:hAnsi="Times New Roman" w:eastAsia="宋体" w:cs="Times New Roman"/>
                      <w:color w:val="auto"/>
                    </w:rPr>
                    <w:t>本项目</w:t>
                  </w:r>
                  <w:r>
                    <w:rPr>
                      <w:rFonts w:hint="default" w:ascii="Times New Roman" w:hAnsi="Times New Roman" w:eastAsia="宋体" w:cs="Times New Roman"/>
                      <w:color w:val="auto"/>
                      <w:lang w:eastAsia="zh-CN"/>
                    </w:rPr>
                    <w:t>生活污水经预处理后用作农肥不外排</w:t>
                  </w:r>
                  <w:r>
                    <w:rPr>
                      <w:rFonts w:hint="default" w:ascii="Times New Roman" w:hAnsi="Times New Roman" w:eastAsia="宋体" w:cs="Times New Roman"/>
                      <w:color w:val="auto"/>
                    </w:rPr>
                    <w:t>，</w:t>
                  </w:r>
                  <w:r>
                    <w:rPr>
                      <w:rFonts w:hint="default" w:ascii="Times New Roman" w:hAnsi="Times New Roman" w:eastAsia="宋体" w:cs="Times New Roman"/>
                      <w:color w:val="auto"/>
                      <w:lang w:eastAsia="zh-CN"/>
                    </w:rPr>
                    <w:t>雨水实行雨污分流符合管控要求。</w:t>
                  </w:r>
                </w:p>
              </w:tc>
              <w:tc>
                <w:tcPr>
                  <w:tcW w:w="210" w:type="pct"/>
                  <w:tcBorders>
                    <w:tl2br w:val="nil"/>
                    <w:tr2bl w:val="nil"/>
                  </w:tcBorders>
                  <w:vAlign w:val="center"/>
                </w:tcPr>
                <w:p w14:paraId="504DE6E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符合</w:t>
                  </w:r>
                </w:p>
              </w:tc>
            </w:tr>
            <w:tr w14:paraId="1C75A85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7549C56C">
                  <w:pPr>
                    <w:jc w:val="center"/>
                    <w:rPr>
                      <w:rFonts w:hint="default" w:ascii="Times New Roman" w:hAnsi="Times New Roman" w:eastAsia="宋体" w:cs="Times New Roman"/>
                      <w:color w:val="auto"/>
                    </w:rPr>
                  </w:pPr>
                </w:p>
              </w:tc>
              <w:tc>
                <w:tcPr>
                  <w:tcW w:w="420" w:type="pct"/>
                  <w:vMerge w:val="continue"/>
                  <w:tcBorders>
                    <w:tl2br w:val="nil"/>
                    <w:tr2bl w:val="nil"/>
                  </w:tcBorders>
                  <w:vAlign w:val="center"/>
                </w:tcPr>
                <w:p w14:paraId="220510DB">
                  <w:pPr>
                    <w:jc w:val="center"/>
                    <w:rPr>
                      <w:rFonts w:hint="default" w:ascii="Times New Roman" w:hAnsi="Times New Roman" w:eastAsia="宋体" w:cs="Times New Roman"/>
                      <w:color w:val="auto"/>
                    </w:rPr>
                  </w:pPr>
                </w:p>
              </w:tc>
              <w:tc>
                <w:tcPr>
                  <w:tcW w:w="635" w:type="pct"/>
                  <w:tcBorders>
                    <w:tl2br w:val="nil"/>
                    <w:tr2bl w:val="nil"/>
                  </w:tcBorders>
                  <w:vAlign w:val="center"/>
                </w:tcPr>
                <w:p w14:paraId="44634E6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环境风险防控</w:t>
                  </w:r>
                </w:p>
              </w:tc>
              <w:tc>
                <w:tcPr>
                  <w:tcW w:w="2104" w:type="pct"/>
                  <w:tcBorders>
                    <w:tl2br w:val="nil"/>
                    <w:tr2bl w:val="nil"/>
                  </w:tcBorders>
                  <w:vAlign w:val="center"/>
                </w:tcPr>
                <w:p w14:paraId="2BB9EEDC">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严格管控类农用地管控要求</w:t>
                  </w:r>
                </w:p>
                <w:p w14:paraId="74FD0676">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执行要素重点单元总体准入要求</w:t>
                  </w:r>
                </w:p>
                <w:p w14:paraId="13E67050">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安全利用类农用地管控要求</w:t>
                  </w:r>
                </w:p>
                <w:p w14:paraId="24B1BC93">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执行要素重点单元总体准入要求</w:t>
                  </w:r>
                </w:p>
                <w:p w14:paraId="2E04A6F1">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污染地块管控要求</w:t>
                  </w:r>
                </w:p>
                <w:p w14:paraId="613AC720">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执行要素重点单元总体准入要求</w:t>
                  </w:r>
                </w:p>
                <w:p w14:paraId="430E3E52">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园区环境风险防控要求</w:t>
                  </w:r>
                </w:p>
                <w:p w14:paraId="48F8F845">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企业环境风险防控要求</w:t>
                  </w:r>
                </w:p>
                <w:p w14:paraId="445262B3">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执行要素重点单元总体准入要求</w:t>
                  </w:r>
                </w:p>
                <w:p w14:paraId="03621B60">
                  <w:pPr>
                    <w:pStyle w:val="54"/>
                    <w:widowControl/>
                    <w:shd w:val="clear" w:color="auto" w:fill="FFFFFF"/>
                    <w:spacing w:line="240" w:lineRule="auto"/>
                    <w:ind w:firstLine="0" w:firstLineChars="0"/>
                    <w:jc w:val="left"/>
                    <w:rPr>
                      <w:rFonts w:hint="default" w:ascii="Times New Roman" w:hAnsi="Times New Roman" w:eastAsia="宋体" w:cs="Times New Roman"/>
                      <w:color w:val="auto"/>
                    </w:rPr>
                  </w:pPr>
                  <w:r>
                    <w:rPr>
                      <w:rStyle w:val="34"/>
                      <w:rFonts w:hint="default" w:ascii="Times New Roman" w:hAnsi="Times New Roman" w:eastAsia="宋体" w:cs="Times New Roman"/>
                      <w:color w:val="auto"/>
                      <w:kern w:val="2"/>
                      <w:sz w:val="21"/>
                      <w:szCs w:val="21"/>
                      <w:lang w:val="en-US" w:eastAsia="zh-CN" w:bidi="ar-SA"/>
                    </w:rPr>
                    <w:t>其他环境风险防控要求</w:t>
                  </w:r>
                </w:p>
              </w:tc>
              <w:tc>
                <w:tcPr>
                  <w:tcW w:w="967" w:type="pct"/>
                  <w:tcBorders>
                    <w:tl2br w:val="nil"/>
                    <w:tr2bl w:val="nil"/>
                  </w:tcBorders>
                  <w:vAlign w:val="center"/>
                </w:tcPr>
                <w:p w14:paraId="2BBCDFD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本项目为国家储备林建设及森林质量项目，项目的实施不会提高环境风险等级。</w:t>
                  </w:r>
                </w:p>
              </w:tc>
              <w:tc>
                <w:tcPr>
                  <w:tcW w:w="210" w:type="pct"/>
                  <w:tcBorders>
                    <w:tl2br w:val="nil"/>
                    <w:tr2bl w:val="nil"/>
                  </w:tcBorders>
                  <w:vAlign w:val="center"/>
                </w:tcPr>
                <w:p w14:paraId="4FDB840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符合</w:t>
                  </w:r>
                </w:p>
              </w:tc>
            </w:tr>
            <w:tr w14:paraId="5C1DD60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0E37C771">
                  <w:pPr>
                    <w:jc w:val="center"/>
                    <w:rPr>
                      <w:rFonts w:hint="default" w:ascii="Times New Roman" w:hAnsi="Times New Roman" w:eastAsia="宋体" w:cs="Times New Roman"/>
                      <w:color w:val="auto"/>
                    </w:rPr>
                  </w:pPr>
                </w:p>
              </w:tc>
              <w:tc>
                <w:tcPr>
                  <w:tcW w:w="420" w:type="pct"/>
                  <w:vMerge w:val="continue"/>
                  <w:tcBorders>
                    <w:tl2br w:val="nil"/>
                    <w:tr2bl w:val="nil"/>
                  </w:tcBorders>
                  <w:vAlign w:val="center"/>
                </w:tcPr>
                <w:p w14:paraId="1567EFEA">
                  <w:pPr>
                    <w:jc w:val="center"/>
                    <w:rPr>
                      <w:rFonts w:hint="default" w:ascii="Times New Roman" w:hAnsi="Times New Roman" w:eastAsia="宋体" w:cs="Times New Roman"/>
                      <w:color w:val="auto"/>
                    </w:rPr>
                  </w:pPr>
                </w:p>
              </w:tc>
              <w:tc>
                <w:tcPr>
                  <w:tcW w:w="635" w:type="pct"/>
                  <w:tcBorders>
                    <w:tl2br w:val="nil"/>
                    <w:tr2bl w:val="nil"/>
                  </w:tcBorders>
                  <w:vAlign w:val="center"/>
                </w:tcPr>
                <w:p w14:paraId="2EC2F2C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资源开发效率要求</w:t>
                  </w:r>
                </w:p>
              </w:tc>
              <w:tc>
                <w:tcPr>
                  <w:tcW w:w="2104" w:type="pct"/>
                  <w:tcBorders>
                    <w:tl2br w:val="nil"/>
                    <w:tr2bl w:val="nil"/>
                  </w:tcBorders>
                  <w:vAlign w:val="center"/>
                </w:tcPr>
                <w:p w14:paraId="1C2A51EC">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水资源利用效率要求</w:t>
                  </w:r>
                </w:p>
                <w:p w14:paraId="052287A3">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执行要素重点单元总体准入要求</w:t>
                  </w:r>
                </w:p>
                <w:p w14:paraId="30A8294E">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地下水开采要求</w:t>
                  </w:r>
                </w:p>
                <w:p w14:paraId="484FE6E4">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能源利用效率要求</w:t>
                  </w:r>
                </w:p>
                <w:p w14:paraId="342FF182">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执行要素重点单元总体准入要求</w:t>
                  </w:r>
                </w:p>
                <w:p w14:paraId="26AF5F71">
                  <w:pPr>
                    <w:pStyle w:val="54"/>
                    <w:widowControl/>
                    <w:shd w:val="clear" w:color="auto" w:fill="FFFFFF"/>
                    <w:spacing w:line="240" w:lineRule="auto"/>
                    <w:ind w:firstLine="0" w:firstLineChars="0"/>
                    <w:jc w:val="left"/>
                    <w:rPr>
                      <w:rFonts w:hint="default" w:ascii="Times New Roman" w:hAnsi="Times New Roman" w:eastAsia="宋体" w:cs="Times New Roman"/>
                      <w:color w:val="auto"/>
                    </w:rPr>
                  </w:pPr>
                  <w:r>
                    <w:rPr>
                      <w:rStyle w:val="34"/>
                      <w:rFonts w:hint="default" w:ascii="Times New Roman" w:hAnsi="Times New Roman" w:eastAsia="宋体" w:cs="Times New Roman"/>
                      <w:color w:val="auto"/>
                      <w:kern w:val="2"/>
                      <w:sz w:val="21"/>
                      <w:szCs w:val="21"/>
                      <w:lang w:val="en-US" w:eastAsia="zh-CN" w:bidi="ar-SA"/>
                    </w:rPr>
                    <w:t>其他资源利用效率要求</w:t>
                  </w:r>
                </w:p>
              </w:tc>
              <w:tc>
                <w:tcPr>
                  <w:tcW w:w="967" w:type="pct"/>
                  <w:tcBorders>
                    <w:tl2br w:val="nil"/>
                    <w:tr2bl w:val="nil"/>
                  </w:tcBorders>
                  <w:vAlign w:val="center"/>
                </w:tcPr>
                <w:p w14:paraId="0318007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本项目建设消防水池，用于储存水。</w:t>
                  </w:r>
                </w:p>
              </w:tc>
              <w:tc>
                <w:tcPr>
                  <w:tcW w:w="210" w:type="pct"/>
                  <w:tcBorders>
                    <w:tl2br w:val="nil"/>
                    <w:tr2bl w:val="nil"/>
                  </w:tcBorders>
                  <w:vAlign w:val="center"/>
                </w:tcPr>
                <w:p w14:paraId="5FA24AD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符合</w:t>
                  </w:r>
                </w:p>
              </w:tc>
            </w:tr>
            <w:tr w14:paraId="1CF5275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restart"/>
                  <w:tcBorders>
                    <w:tl2br w:val="nil"/>
                    <w:tr2bl w:val="nil"/>
                  </w:tcBorders>
                  <w:vAlign w:val="center"/>
                </w:tcPr>
                <w:p w14:paraId="698540B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YS5120222230003</w:t>
                  </w:r>
                  <w:r>
                    <w:rPr>
                      <w:rFonts w:hint="default" w:ascii="Times New Roman" w:hAnsi="Times New Roman" w:eastAsia="宋体" w:cs="Times New Roman"/>
                      <w:color w:val="auto"/>
                    </w:rPr>
                    <w:tab/>
                  </w:r>
                  <w:r>
                    <w:rPr>
                      <w:rFonts w:hint="default" w:ascii="Times New Roman" w:hAnsi="Times New Roman" w:eastAsia="宋体" w:cs="Times New Roman"/>
                      <w:color w:val="auto"/>
                    </w:rPr>
                    <w:t>索溪河乐至县谢家桥控制单元</w:t>
                  </w:r>
                  <w:r>
                    <w:rPr>
                      <w:rFonts w:hint="default" w:ascii="Times New Roman" w:hAnsi="Times New Roman" w:eastAsia="宋体" w:cs="Times New Roman"/>
                      <w:color w:val="auto"/>
                    </w:rPr>
                    <w:tab/>
                  </w:r>
                  <w:r>
                    <w:rPr>
                      <w:rFonts w:hint="default" w:ascii="Times New Roman" w:hAnsi="Times New Roman" w:eastAsia="宋体" w:cs="Times New Roman"/>
                      <w:color w:val="auto"/>
                    </w:rPr>
                    <w:t>水环境管控分区</w:t>
                  </w:r>
                  <w:r>
                    <w:rPr>
                      <w:rFonts w:hint="default" w:ascii="Times New Roman" w:hAnsi="Times New Roman" w:eastAsia="宋体" w:cs="Times New Roman"/>
                      <w:color w:val="auto"/>
                    </w:rPr>
                    <w:tab/>
                  </w:r>
                  <w:r>
                    <w:rPr>
                      <w:rFonts w:hint="default" w:ascii="Times New Roman" w:hAnsi="Times New Roman" w:eastAsia="宋体" w:cs="Times New Roman"/>
                      <w:color w:val="auto"/>
                    </w:rPr>
                    <w:t>水环境农业污染重点管控区</w:t>
                  </w:r>
                </w:p>
              </w:tc>
              <w:tc>
                <w:tcPr>
                  <w:tcW w:w="420" w:type="pct"/>
                  <w:vMerge w:val="restart"/>
                  <w:tcBorders>
                    <w:tl2br w:val="nil"/>
                    <w:tr2bl w:val="nil"/>
                  </w:tcBorders>
                  <w:vAlign w:val="center"/>
                </w:tcPr>
                <w:p w14:paraId="26C2174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普适性清单管控要求</w:t>
                  </w:r>
                </w:p>
              </w:tc>
              <w:tc>
                <w:tcPr>
                  <w:tcW w:w="635" w:type="pct"/>
                  <w:tcBorders>
                    <w:tl2br w:val="nil"/>
                    <w:tr2bl w:val="nil"/>
                  </w:tcBorders>
                  <w:vAlign w:val="center"/>
                </w:tcPr>
                <w:p w14:paraId="2499EBF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空间布局约束</w:t>
                  </w:r>
                </w:p>
              </w:tc>
              <w:tc>
                <w:tcPr>
                  <w:tcW w:w="2104" w:type="pct"/>
                  <w:tcBorders>
                    <w:tl2br w:val="nil"/>
                    <w:tr2bl w:val="nil"/>
                  </w:tcBorders>
                  <w:vAlign w:val="center"/>
                </w:tcPr>
                <w:p w14:paraId="4161B7F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967" w:type="pct"/>
                  <w:tcBorders>
                    <w:tl2br w:val="nil"/>
                    <w:tr2bl w:val="nil"/>
                  </w:tcBorders>
                  <w:vAlign w:val="center"/>
                </w:tcPr>
                <w:p w14:paraId="7998E0E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210" w:type="pct"/>
                  <w:tcBorders>
                    <w:tl2br w:val="nil"/>
                    <w:tr2bl w:val="nil"/>
                  </w:tcBorders>
                  <w:vAlign w:val="center"/>
                </w:tcPr>
                <w:p w14:paraId="6FD2D35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r>
            <w:tr w14:paraId="1A5D3C4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59B04E9A">
                  <w:pPr>
                    <w:jc w:val="center"/>
                    <w:rPr>
                      <w:rFonts w:hint="default" w:ascii="Times New Roman" w:hAnsi="Times New Roman" w:eastAsia="宋体" w:cs="Times New Roman"/>
                      <w:color w:val="auto"/>
                    </w:rPr>
                  </w:pPr>
                </w:p>
              </w:tc>
              <w:tc>
                <w:tcPr>
                  <w:tcW w:w="420" w:type="pct"/>
                  <w:vMerge w:val="continue"/>
                  <w:tcBorders>
                    <w:tl2br w:val="nil"/>
                    <w:tr2bl w:val="nil"/>
                  </w:tcBorders>
                  <w:vAlign w:val="center"/>
                </w:tcPr>
                <w:p w14:paraId="0F3E432D">
                  <w:pPr>
                    <w:jc w:val="center"/>
                    <w:rPr>
                      <w:rFonts w:hint="default" w:ascii="Times New Roman" w:hAnsi="Times New Roman" w:eastAsia="宋体" w:cs="Times New Roman"/>
                      <w:color w:val="auto"/>
                    </w:rPr>
                  </w:pPr>
                </w:p>
              </w:tc>
              <w:tc>
                <w:tcPr>
                  <w:tcW w:w="635" w:type="pct"/>
                  <w:tcBorders>
                    <w:tl2br w:val="nil"/>
                    <w:tr2bl w:val="nil"/>
                  </w:tcBorders>
                  <w:vAlign w:val="center"/>
                </w:tcPr>
                <w:p w14:paraId="6FBF059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污染物排放管控</w:t>
                  </w:r>
                </w:p>
              </w:tc>
              <w:tc>
                <w:tcPr>
                  <w:tcW w:w="2104" w:type="pct"/>
                  <w:tcBorders>
                    <w:tl2br w:val="nil"/>
                    <w:tr2bl w:val="nil"/>
                  </w:tcBorders>
                  <w:vAlign w:val="center"/>
                </w:tcPr>
                <w:p w14:paraId="3A14E1B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967" w:type="pct"/>
                  <w:tcBorders>
                    <w:tl2br w:val="nil"/>
                    <w:tr2bl w:val="nil"/>
                  </w:tcBorders>
                  <w:vAlign w:val="center"/>
                </w:tcPr>
                <w:p w14:paraId="12599F9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210" w:type="pct"/>
                  <w:tcBorders>
                    <w:tl2br w:val="nil"/>
                    <w:tr2bl w:val="nil"/>
                  </w:tcBorders>
                  <w:vAlign w:val="center"/>
                </w:tcPr>
                <w:p w14:paraId="251D751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r>
            <w:tr w14:paraId="7B97E7C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5FEBBF8B">
                  <w:pPr>
                    <w:jc w:val="center"/>
                    <w:rPr>
                      <w:rFonts w:hint="default" w:ascii="Times New Roman" w:hAnsi="Times New Roman" w:eastAsia="宋体" w:cs="Times New Roman"/>
                      <w:color w:val="auto"/>
                    </w:rPr>
                  </w:pPr>
                </w:p>
              </w:tc>
              <w:tc>
                <w:tcPr>
                  <w:tcW w:w="420" w:type="pct"/>
                  <w:vMerge w:val="continue"/>
                  <w:tcBorders>
                    <w:tl2br w:val="nil"/>
                    <w:tr2bl w:val="nil"/>
                  </w:tcBorders>
                  <w:vAlign w:val="center"/>
                </w:tcPr>
                <w:p w14:paraId="5DAF460C">
                  <w:pPr>
                    <w:jc w:val="center"/>
                    <w:rPr>
                      <w:rFonts w:hint="default" w:ascii="Times New Roman" w:hAnsi="Times New Roman" w:eastAsia="宋体" w:cs="Times New Roman"/>
                      <w:color w:val="auto"/>
                    </w:rPr>
                  </w:pPr>
                </w:p>
              </w:tc>
              <w:tc>
                <w:tcPr>
                  <w:tcW w:w="635" w:type="pct"/>
                  <w:tcBorders>
                    <w:tl2br w:val="nil"/>
                    <w:tr2bl w:val="nil"/>
                  </w:tcBorders>
                  <w:vAlign w:val="center"/>
                </w:tcPr>
                <w:p w14:paraId="5DB098A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环境风险防控</w:t>
                  </w:r>
                </w:p>
              </w:tc>
              <w:tc>
                <w:tcPr>
                  <w:tcW w:w="2104" w:type="pct"/>
                  <w:tcBorders>
                    <w:tl2br w:val="nil"/>
                    <w:tr2bl w:val="nil"/>
                  </w:tcBorders>
                  <w:vAlign w:val="center"/>
                </w:tcPr>
                <w:p w14:paraId="25274E6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967" w:type="pct"/>
                  <w:tcBorders>
                    <w:tl2br w:val="nil"/>
                    <w:tr2bl w:val="nil"/>
                  </w:tcBorders>
                  <w:vAlign w:val="center"/>
                </w:tcPr>
                <w:p w14:paraId="733E59A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210" w:type="pct"/>
                  <w:tcBorders>
                    <w:tl2br w:val="nil"/>
                    <w:tr2bl w:val="nil"/>
                  </w:tcBorders>
                  <w:vAlign w:val="center"/>
                </w:tcPr>
                <w:p w14:paraId="75FC9BA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r>
            <w:tr w14:paraId="4C3638A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4E3741DE">
                  <w:pPr>
                    <w:jc w:val="center"/>
                    <w:rPr>
                      <w:rFonts w:hint="default" w:ascii="Times New Roman" w:hAnsi="Times New Roman" w:eastAsia="宋体" w:cs="Times New Roman"/>
                      <w:color w:val="auto"/>
                    </w:rPr>
                  </w:pPr>
                </w:p>
              </w:tc>
              <w:tc>
                <w:tcPr>
                  <w:tcW w:w="420" w:type="pct"/>
                  <w:vMerge w:val="continue"/>
                  <w:tcBorders>
                    <w:tl2br w:val="nil"/>
                    <w:tr2bl w:val="nil"/>
                  </w:tcBorders>
                  <w:vAlign w:val="center"/>
                </w:tcPr>
                <w:p w14:paraId="1146BCDA">
                  <w:pPr>
                    <w:jc w:val="center"/>
                    <w:rPr>
                      <w:rFonts w:hint="default" w:ascii="Times New Roman" w:hAnsi="Times New Roman" w:eastAsia="宋体" w:cs="Times New Roman"/>
                      <w:color w:val="auto"/>
                    </w:rPr>
                  </w:pPr>
                </w:p>
              </w:tc>
              <w:tc>
                <w:tcPr>
                  <w:tcW w:w="635" w:type="pct"/>
                  <w:tcBorders>
                    <w:tl2br w:val="nil"/>
                    <w:tr2bl w:val="nil"/>
                  </w:tcBorders>
                  <w:vAlign w:val="center"/>
                </w:tcPr>
                <w:p w14:paraId="1CD7050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资源开发效率要求</w:t>
                  </w:r>
                </w:p>
              </w:tc>
              <w:tc>
                <w:tcPr>
                  <w:tcW w:w="2104" w:type="pct"/>
                  <w:tcBorders>
                    <w:tl2br w:val="nil"/>
                    <w:tr2bl w:val="nil"/>
                  </w:tcBorders>
                  <w:vAlign w:val="center"/>
                </w:tcPr>
                <w:p w14:paraId="040B228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967" w:type="pct"/>
                  <w:tcBorders>
                    <w:tl2br w:val="nil"/>
                    <w:tr2bl w:val="nil"/>
                  </w:tcBorders>
                  <w:vAlign w:val="center"/>
                </w:tcPr>
                <w:p w14:paraId="33419FD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210" w:type="pct"/>
                  <w:tcBorders>
                    <w:tl2br w:val="nil"/>
                    <w:tr2bl w:val="nil"/>
                  </w:tcBorders>
                  <w:vAlign w:val="center"/>
                </w:tcPr>
                <w:p w14:paraId="7251C28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r>
            <w:tr w14:paraId="0131C16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77E93D58">
                  <w:pPr>
                    <w:jc w:val="center"/>
                    <w:rPr>
                      <w:rFonts w:hint="default" w:ascii="Times New Roman" w:hAnsi="Times New Roman" w:eastAsia="宋体" w:cs="Times New Roman"/>
                      <w:color w:val="auto"/>
                    </w:rPr>
                  </w:pPr>
                </w:p>
              </w:tc>
              <w:tc>
                <w:tcPr>
                  <w:tcW w:w="420" w:type="pct"/>
                  <w:vMerge w:val="restart"/>
                  <w:tcBorders>
                    <w:tl2br w:val="nil"/>
                    <w:tr2bl w:val="nil"/>
                  </w:tcBorders>
                  <w:vAlign w:val="center"/>
                </w:tcPr>
                <w:p w14:paraId="6E9951C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单元级清单管控要求</w:t>
                  </w:r>
                </w:p>
              </w:tc>
              <w:tc>
                <w:tcPr>
                  <w:tcW w:w="635" w:type="pct"/>
                  <w:tcBorders>
                    <w:tl2br w:val="nil"/>
                    <w:tr2bl w:val="nil"/>
                  </w:tcBorders>
                  <w:vAlign w:val="center"/>
                </w:tcPr>
                <w:p w14:paraId="13A7BBB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空间布局约束</w:t>
                  </w:r>
                </w:p>
              </w:tc>
              <w:tc>
                <w:tcPr>
                  <w:tcW w:w="2104" w:type="pct"/>
                  <w:tcBorders>
                    <w:tl2br w:val="nil"/>
                    <w:tr2bl w:val="nil"/>
                  </w:tcBorders>
                  <w:vAlign w:val="center"/>
                </w:tcPr>
                <w:p w14:paraId="53ABCCEB">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禁止开发建设活动的要求</w:t>
                  </w:r>
                </w:p>
                <w:p w14:paraId="102DE520">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限制开发建设活动的要求</w:t>
                  </w:r>
                </w:p>
                <w:p w14:paraId="50E00D4F">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允许开发建设活动的要求</w:t>
                  </w:r>
                </w:p>
                <w:p w14:paraId="7E7A5361">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不符合空间布局要求活动的退出要求</w:t>
                  </w:r>
                </w:p>
                <w:p w14:paraId="19D0CE7E">
                  <w:pPr>
                    <w:pStyle w:val="54"/>
                    <w:widowControl/>
                    <w:shd w:val="clear" w:color="auto" w:fill="FFFFFF"/>
                    <w:spacing w:line="240" w:lineRule="auto"/>
                    <w:ind w:firstLine="0" w:firstLineChars="0"/>
                    <w:jc w:val="left"/>
                    <w:rPr>
                      <w:rFonts w:hint="default" w:ascii="Times New Roman" w:hAnsi="Times New Roman" w:eastAsia="宋体" w:cs="Times New Roman"/>
                      <w:color w:val="auto"/>
                    </w:rPr>
                  </w:pPr>
                  <w:r>
                    <w:rPr>
                      <w:rStyle w:val="34"/>
                      <w:rFonts w:hint="default" w:ascii="Times New Roman" w:hAnsi="Times New Roman" w:eastAsia="宋体" w:cs="Times New Roman"/>
                      <w:color w:val="auto"/>
                      <w:kern w:val="2"/>
                      <w:sz w:val="21"/>
                      <w:szCs w:val="21"/>
                      <w:lang w:val="en-US" w:eastAsia="zh-CN" w:bidi="ar-SA"/>
                    </w:rPr>
                    <w:t>其他空间布局约束要求</w:t>
                  </w:r>
                </w:p>
              </w:tc>
              <w:tc>
                <w:tcPr>
                  <w:tcW w:w="967" w:type="pct"/>
                  <w:tcBorders>
                    <w:tl2br w:val="nil"/>
                    <w:tr2bl w:val="nil"/>
                  </w:tcBorders>
                  <w:vAlign w:val="center"/>
                </w:tcPr>
                <w:p w14:paraId="6F3736F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本项目不属于禁止开发活动，限制开发建设活动。</w:t>
                  </w:r>
                </w:p>
              </w:tc>
              <w:tc>
                <w:tcPr>
                  <w:tcW w:w="210" w:type="pct"/>
                  <w:tcBorders>
                    <w:tl2br w:val="nil"/>
                    <w:tr2bl w:val="nil"/>
                  </w:tcBorders>
                  <w:vAlign w:val="center"/>
                </w:tcPr>
                <w:p w14:paraId="5F53EE5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符合</w:t>
                  </w:r>
                </w:p>
              </w:tc>
            </w:tr>
            <w:tr w14:paraId="6DBFEF9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287DFB7C">
                  <w:pPr>
                    <w:jc w:val="center"/>
                    <w:rPr>
                      <w:rFonts w:hint="default" w:ascii="Times New Roman" w:hAnsi="Times New Roman" w:eastAsia="宋体" w:cs="Times New Roman"/>
                      <w:color w:val="auto"/>
                    </w:rPr>
                  </w:pPr>
                </w:p>
              </w:tc>
              <w:tc>
                <w:tcPr>
                  <w:tcW w:w="420" w:type="pct"/>
                  <w:vMerge w:val="continue"/>
                  <w:tcBorders>
                    <w:tl2br w:val="nil"/>
                    <w:tr2bl w:val="nil"/>
                  </w:tcBorders>
                  <w:vAlign w:val="center"/>
                </w:tcPr>
                <w:p w14:paraId="6090572D">
                  <w:pPr>
                    <w:jc w:val="center"/>
                    <w:rPr>
                      <w:rFonts w:hint="default" w:ascii="Times New Roman" w:hAnsi="Times New Roman" w:eastAsia="宋体" w:cs="Times New Roman"/>
                      <w:color w:val="auto"/>
                    </w:rPr>
                  </w:pPr>
                </w:p>
              </w:tc>
              <w:tc>
                <w:tcPr>
                  <w:tcW w:w="635" w:type="pct"/>
                  <w:tcBorders>
                    <w:tl2br w:val="nil"/>
                    <w:tr2bl w:val="nil"/>
                  </w:tcBorders>
                  <w:vAlign w:val="center"/>
                </w:tcPr>
                <w:p w14:paraId="1EB8946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污染物排放管控</w:t>
                  </w:r>
                </w:p>
              </w:tc>
              <w:tc>
                <w:tcPr>
                  <w:tcW w:w="2104" w:type="pct"/>
                  <w:tcBorders>
                    <w:tl2br w:val="nil"/>
                    <w:tr2bl w:val="nil"/>
                  </w:tcBorders>
                  <w:vAlign w:val="center"/>
                </w:tcPr>
                <w:p w14:paraId="6284654D">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城镇污水污染控制措施要求</w:t>
                  </w:r>
                </w:p>
                <w:p w14:paraId="52BBCCC4">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工业废水污染控制措施要求</w:t>
                  </w:r>
                </w:p>
                <w:p w14:paraId="3CCD79E2">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农业面源水污染控制措施要求</w:t>
                  </w:r>
                </w:p>
                <w:p w14:paraId="42A2EB6C">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1、推进化肥、农药使用量“减量化”，逐步推进农田径流拦截及治理；2、合理控制畜禽养殖规模，单位面积耕地的畜禽承载力不突破《四川省畜禽养殖污染防治技术指南》要求，提高畜禽养殖废物资源化利用水平；3、合理控制水产养殖规模，加强水产养殖废水治理及资源化利用，禁止直接排放。4、因地制宜加强乡镇场镇、农村集聚点生活污水收集处理。</w:t>
                  </w:r>
                </w:p>
                <w:p w14:paraId="42EEE11F">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船舶港口水污染控制措施要求</w:t>
                  </w:r>
                </w:p>
                <w:p w14:paraId="063BE7BC">
                  <w:pPr>
                    <w:pStyle w:val="54"/>
                    <w:widowControl/>
                    <w:shd w:val="clear" w:color="auto" w:fill="FFFFFF"/>
                    <w:spacing w:line="240" w:lineRule="auto"/>
                    <w:ind w:firstLine="0" w:firstLineChars="0"/>
                    <w:jc w:val="left"/>
                    <w:rPr>
                      <w:rFonts w:hint="default" w:ascii="Times New Roman" w:hAnsi="Times New Roman" w:eastAsia="宋体" w:cs="Times New Roman"/>
                      <w:color w:val="auto"/>
                    </w:rPr>
                  </w:pPr>
                  <w:r>
                    <w:rPr>
                      <w:rStyle w:val="34"/>
                      <w:rFonts w:hint="default" w:ascii="Times New Roman" w:hAnsi="Times New Roman" w:eastAsia="宋体" w:cs="Times New Roman"/>
                      <w:color w:val="auto"/>
                      <w:kern w:val="2"/>
                      <w:sz w:val="21"/>
                      <w:szCs w:val="21"/>
                      <w:lang w:val="en-US" w:eastAsia="zh-CN" w:bidi="ar-SA"/>
                    </w:rPr>
                    <w:t>饮用水水源和其它特殊水体保护要求</w:t>
                  </w:r>
                </w:p>
              </w:tc>
              <w:tc>
                <w:tcPr>
                  <w:tcW w:w="967" w:type="pct"/>
                  <w:tcBorders>
                    <w:tl2br w:val="nil"/>
                    <w:tr2bl w:val="nil"/>
                  </w:tcBorders>
                  <w:vAlign w:val="center"/>
                </w:tcPr>
                <w:p w14:paraId="3BB6F71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本项目</w:t>
                  </w:r>
                  <w:r>
                    <w:rPr>
                      <w:rFonts w:hint="default" w:ascii="Times New Roman" w:hAnsi="Times New Roman" w:eastAsia="宋体" w:cs="Times New Roman"/>
                      <w:color w:val="auto"/>
                      <w:lang w:eastAsia="zh-CN"/>
                    </w:rPr>
                    <w:t>生活污水经预处理后用作农肥不外排</w:t>
                  </w:r>
                  <w:r>
                    <w:rPr>
                      <w:rFonts w:hint="default" w:ascii="Times New Roman" w:hAnsi="Times New Roman" w:eastAsia="宋体" w:cs="Times New Roman"/>
                      <w:color w:val="auto"/>
                    </w:rPr>
                    <w:t>。</w:t>
                  </w:r>
                </w:p>
              </w:tc>
              <w:tc>
                <w:tcPr>
                  <w:tcW w:w="210" w:type="pct"/>
                  <w:tcBorders>
                    <w:tl2br w:val="nil"/>
                    <w:tr2bl w:val="nil"/>
                  </w:tcBorders>
                  <w:vAlign w:val="center"/>
                </w:tcPr>
                <w:p w14:paraId="59B0F13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符合</w:t>
                  </w:r>
                </w:p>
              </w:tc>
            </w:tr>
            <w:tr w14:paraId="575CB80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2A1BC1E3">
                  <w:pPr>
                    <w:jc w:val="center"/>
                    <w:rPr>
                      <w:rFonts w:hint="default" w:ascii="Times New Roman" w:hAnsi="Times New Roman" w:eastAsia="宋体" w:cs="Times New Roman"/>
                      <w:color w:val="auto"/>
                    </w:rPr>
                  </w:pPr>
                </w:p>
              </w:tc>
              <w:tc>
                <w:tcPr>
                  <w:tcW w:w="420" w:type="pct"/>
                  <w:vMerge w:val="continue"/>
                  <w:tcBorders>
                    <w:tl2br w:val="nil"/>
                    <w:tr2bl w:val="nil"/>
                  </w:tcBorders>
                  <w:vAlign w:val="center"/>
                </w:tcPr>
                <w:p w14:paraId="7E8416AA">
                  <w:pPr>
                    <w:jc w:val="center"/>
                    <w:rPr>
                      <w:rFonts w:hint="default" w:ascii="Times New Roman" w:hAnsi="Times New Roman" w:eastAsia="宋体" w:cs="Times New Roman"/>
                      <w:color w:val="auto"/>
                    </w:rPr>
                  </w:pPr>
                </w:p>
              </w:tc>
              <w:tc>
                <w:tcPr>
                  <w:tcW w:w="635" w:type="pct"/>
                  <w:tcBorders>
                    <w:tl2br w:val="nil"/>
                    <w:tr2bl w:val="nil"/>
                  </w:tcBorders>
                  <w:vAlign w:val="center"/>
                </w:tcPr>
                <w:p w14:paraId="412513B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环境风险防控</w:t>
                  </w:r>
                </w:p>
              </w:tc>
              <w:tc>
                <w:tcPr>
                  <w:tcW w:w="2104" w:type="pct"/>
                  <w:tcBorders>
                    <w:tl2br w:val="nil"/>
                    <w:tr2bl w:val="nil"/>
                  </w:tcBorders>
                  <w:vAlign w:val="center"/>
                </w:tcPr>
                <w:p w14:paraId="6A38BA3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967" w:type="pct"/>
                  <w:tcBorders>
                    <w:tl2br w:val="nil"/>
                    <w:tr2bl w:val="nil"/>
                  </w:tcBorders>
                  <w:vAlign w:val="center"/>
                </w:tcPr>
                <w:p w14:paraId="70337D2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210" w:type="pct"/>
                  <w:tcBorders>
                    <w:tl2br w:val="nil"/>
                    <w:tr2bl w:val="nil"/>
                  </w:tcBorders>
                  <w:vAlign w:val="center"/>
                </w:tcPr>
                <w:p w14:paraId="14F398A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r>
            <w:tr w14:paraId="08C265E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29B34668">
                  <w:pPr>
                    <w:jc w:val="center"/>
                    <w:rPr>
                      <w:rFonts w:hint="default" w:ascii="Times New Roman" w:hAnsi="Times New Roman" w:eastAsia="宋体" w:cs="Times New Roman"/>
                      <w:color w:val="auto"/>
                    </w:rPr>
                  </w:pPr>
                </w:p>
              </w:tc>
              <w:tc>
                <w:tcPr>
                  <w:tcW w:w="420" w:type="pct"/>
                  <w:vMerge w:val="continue"/>
                  <w:tcBorders>
                    <w:tl2br w:val="nil"/>
                    <w:tr2bl w:val="nil"/>
                  </w:tcBorders>
                  <w:vAlign w:val="center"/>
                </w:tcPr>
                <w:p w14:paraId="06E3E328">
                  <w:pPr>
                    <w:jc w:val="center"/>
                    <w:rPr>
                      <w:rFonts w:hint="default" w:ascii="Times New Roman" w:hAnsi="Times New Roman" w:eastAsia="宋体" w:cs="Times New Roman"/>
                      <w:color w:val="auto"/>
                    </w:rPr>
                  </w:pPr>
                </w:p>
              </w:tc>
              <w:tc>
                <w:tcPr>
                  <w:tcW w:w="635" w:type="pct"/>
                  <w:tcBorders>
                    <w:tl2br w:val="nil"/>
                    <w:tr2bl w:val="nil"/>
                  </w:tcBorders>
                  <w:vAlign w:val="center"/>
                </w:tcPr>
                <w:p w14:paraId="7624FD1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资源开发效率要求</w:t>
                  </w:r>
                </w:p>
              </w:tc>
              <w:tc>
                <w:tcPr>
                  <w:tcW w:w="2104" w:type="pct"/>
                  <w:tcBorders>
                    <w:tl2br w:val="nil"/>
                    <w:tr2bl w:val="nil"/>
                  </w:tcBorders>
                  <w:vAlign w:val="center"/>
                </w:tcPr>
                <w:p w14:paraId="68FD95B9">
                  <w:pPr>
                    <w:pStyle w:val="54"/>
                    <w:widowControl/>
                    <w:shd w:val="clear" w:color="auto" w:fill="FFFFFF"/>
                    <w:spacing w:line="240" w:lineRule="auto"/>
                    <w:ind w:firstLine="0" w:firstLineChars="0"/>
                    <w:jc w:val="left"/>
                    <w:rPr>
                      <w:rFonts w:hint="default" w:ascii="Times New Roman" w:hAnsi="Times New Roman" w:eastAsia="宋体" w:cs="Times New Roman"/>
                      <w:color w:val="auto"/>
                    </w:rPr>
                  </w:pPr>
                  <w:r>
                    <w:rPr>
                      <w:rStyle w:val="34"/>
                      <w:rFonts w:hint="default" w:ascii="Times New Roman" w:hAnsi="Times New Roman" w:eastAsia="宋体" w:cs="Times New Roman"/>
                      <w:color w:val="auto"/>
                      <w:kern w:val="2"/>
                      <w:sz w:val="21"/>
                      <w:szCs w:val="21"/>
                      <w:lang w:val="en-US" w:eastAsia="zh-CN" w:bidi="ar-SA"/>
                    </w:rPr>
                    <w:t>强化种植业节水</w:t>
                  </w:r>
                </w:p>
              </w:tc>
              <w:tc>
                <w:tcPr>
                  <w:tcW w:w="967" w:type="pct"/>
                  <w:tcBorders>
                    <w:tl2br w:val="nil"/>
                    <w:tr2bl w:val="nil"/>
                  </w:tcBorders>
                  <w:vAlign w:val="center"/>
                </w:tcPr>
                <w:p w14:paraId="2EA177E1">
                  <w:pPr>
                    <w:jc w:val="center"/>
                    <w:rPr>
                      <w:rFonts w:hint="default" w:ascii="Times New Roman" w:hAnsi="Times New Roman" w:eastAsia="宋体" w:cs="Times New Roman"/>
                      <w:color w:val="auto"/>
                    </w:rPr>
                  </w:pPr>
                  <w:r>
                    <w:rPr>
                      <w:rFonts w:hint="default" w:ascii="Times New Roman" w:hAnsi="Times New Roman" w:eastAsia="宋体" w:cs="Times New Roman"/>
                      <w:color w:val="auto"/>
                      <w:sz w:val="21"/>
                      <w:szCs w:val="21"/>
                    </w:rPr>
                    <w:t>本项目建设消防水池，用于储存水。</w:t>
                  </w:r>
                </w:p>
              </w:tc>
              <w:tc>
                <w:tcPr>
                  <w:tcW w:w="210" w:type="pct"/>
                  <w:tcBorders>
                    <w:tl2br w:val="nil"/>
                    <w:tr2bl w:val="nil"/>
                  </w:tcBorders>
                  <w:vAlign w:val="center"/>
                </w:tcPr>
                <w:p w14:paraId="1CF32FCF">
                  <w:pPr>
                    <w:jc w:val="center"/>
                    <w:rPr>
                      <w:rFonts w:hint="default" w:ascii="Times New Roman" w:hAnsi="Times New Roman" w:eastAsia="宋体" w:cs="Times New Roman"/>
                      <w:color w:val="auto"/>
                    </w:rPr>
                  </w:pPr>
                  <w:r>
                    <w:rPr>
                      <w:rFonts w:hint="default" w:ascii="Times New Roman" w:hAnsi="Times New Roman" w:eastAsia="宋体" w:cs="Times New Roman"/>
                      <w:color w:val="auto"/>
                      <w:sz w:val="21"/>
                      <w:szCs w:val="21"/>
                    </w:rPr>
                    <w:t>符合</w:t>
                  </w:r>
                </w:p>
              </w:tc>
            </w:tr>
            <w:tr w14:paraId="0331569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restart"/>
                  <w:tcBorders>
                    <w:tl2br w:val="nil"/>
                    <w:tr2bl w:val="nil"/>
                  </w:tcBorders>
                  <w:vAlign w:val="center"/>
                </w:tcPr>
                <w:p w14:paraId="46C9C3B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YS5120223310001</w:t>
                  </w:r>
                  <w:r>
                    <w:rPr>
                      <w:rFonts w:hint="default" w:ascii="Times New Roman" w:hAnsi="Times New Roman" w:eastAsia="宋体" w:cs="Times New Roman"/>
                      <w:color w:val="auto"/>
                    </w:rPr>
                    <w:tab/>
                  </w:r>
                  <w:r>
                    <w:rPr>
                      <w:rFonts w:hint="default" w:ascii="Times New Roman" w:hAnsi="Times New Roman" w:eastAsia="宋体" w:cs="Times New Roman"/>
                      <w:color w:val="auto"/>
                    </w:rPr>
                    <w:t>乐至县大气环境一般管控区</w:t>
                  </w:r>
                  <w:r>
                    <w:rPr>
                      <w:rFonts w:hint="default" w:ascii="Times New Roman" w:hAnsi="Times New Roman" w:eastAsia="宋体" w:cs="Times New Roman"/>
                      <w:color w:val="auto"/>
                    </w:rPr>
                    <w:tab/>
                  </w:r>
                  <w:r>
                    <w:rPr>
                      <w:rFonts w:hint="default" w:ascii="Times New Roman" w:hAnsi="Times New Roman" w:eastAsia="宋体" w:cs="Times New Roman"/>
                      <w:color w:val="auto"/>
                    </w:rPr>
                    <w:t>大气环境管控分区</w:t>
                  </w:r>
                  <w:r>
                    <w:rPr>
                      <w:rFonts w:hint="default" w:ascii="Times New Roman" w:hAnsi="Times New Roman" w:eastAsia="宋体" w:cs="Times New Roman"/>
                      <w:color w:val="auto"/>
                    </w:rPr>
                    <w:tab/>
                  </w:r>
                  <w:r>
                    <w:rPr>
                      <w:rFonts w:hint="default" w:ascii="Times New Roman" w:hAnsi="Times New Roman" w:eastAsia="宋体" w:cs="Times New Roman"/>
                      <w:color w:val="auto"/>
                    </w:rPr>
                    <w:t>大气环境一般管控区</w:t>
                  </w:r>
                </w:p>
              </w:tc>
              <w:tc>
                <w:tcPr>
                  <w:tcW w:w="420" w:type="pct"/>
                  <w:vMerge w:val="restart"/>
                  <w:tcBorders>
                    <w:tl2br w:val="nil"/>
                    <w:tr2bl w:val="nil"/>
                  </w:tcBorders>
                  <w:vAlign w:val="center"/>
                </w:tcPr>
                <w:p w14:paraId="7913EFA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普适性清单管控要求</w:t>
                  </w:r>
                </w:p>
              </w:tc>
              <w:tc>
                <w:tcPr>
                  <w:tcW w:w="635" w:type="pct"/>
                  <w:tcBorders>
                    <w:tl2br w:val="nil"/>
                    <w:tr2bl w:val="nil"/>
                  </w:tcBorders>
                  <w:vAlign w:val="center"/>
                </w:tcPr>
                <w:p w14:paraId="1AC31D6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空间布局约束</w:t>
                  </w:r>
                </w:p>
              </w:tc>
              <w:tc>
                <w:tcPr>
                  <w:tcW w:w="2104" w:type="pct"/>
                  <w:tcBorders>
                    <w:tl2br w:val="nil"/>
                    <w:tr2bl w:val="nil"/>
                  </w:tcBorders>
                  <w:vAlign w:val="center"/>
                </w:tcPr>
                <w:p w14:paraId="11F2067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967" w:type="pct"/>
                  <w:tcBorders>
                    <w:tl2br w:val="nil"/>
                    <w:tr2bl w:val="nil"/>
                  </w:tcBorders>
                  <w:vAlign w:val="center"/>
                </w:tcPr>
                <w:p w14:paraId="300AE76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210" w:type="pct"/>
                  <w:tcBorders>
                    <w:tl2br w:val="nil"/>
                    <w:tr2bl w:val="nil"/>
                  </w:tcBorders>
                  <w:vAlign w:val="center"/>
                </w:tcPr>
                <w:p w14:paraId="11C99CA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r>
            <w:tr w14:paraId="346A877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23767134">
                  <w:pPr>
                    <w:jc w:val="center"/>
                    <w:rPr>
                      <w:rFonts w:hint="default" w:ascii="Times New Roman" w:hAnsi="Times New Roman" w:eastAsia="宋体" w:cs="Times New Roman"/>
                      <w:color w:val="auto"/>
                    </w:rPr>
                  </w:pPr>
                </w:p>
              </w:tc>
              <w:tc>
                <w:tcPr>
                  <w:tcW w:w="420" w:type="pct"/>
                  <w:vMerge w:val="continue"/>
                  <w:tcBorders>
                    <w:tl2br w:val="nil"/>
                    <w:tr2bl w:val="nil"/>
                  </w:tcBorders>
                  <w:vAlign w:val="center"/>
                </w:tcPr>
                <w:p w14:paraId="348079FB">
                  <w:pPr>
                    <w:jc w:val="center"/>
                    <w:rPr>
                      <w:rFonts w:hint="default" w:ascii="Times New Roman" w:hAnsi="Times New Roman" w:eastAsia="宋体" w:cs="Times New Roman"/>
                      <w:color w:val="auto"/>
                    </w:rPr>
                  </w:pPr>
                </w:p>
              </w:tc>
              <w:tc>
                <w:tcPr>
                  <w:tcW w:w="635" w:type="pct"/>
                  <w:tcBorders>
                    <w:tl2br w:val="nil"/>
                    <w:tr2bl w:val="nil"/>
                  </w:tcBorders>
                  <w:vAlign w:val="center"/>
                </w:tcPr>
                <w:p w14:paraId="6845306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污染物排放管控</w:t>
                  </w:r>
                </w:p>
              </w:tc>
              <w:tc>
                <w:tcPr>
                  <w:tcW w:w="2104" w:type="pct"/>
                  <w:tcBorders>
                    <w:tl2br w:val="nil"/>
                    <w:tr2bl w:val="nil"/>
                  </w:tcBorders>
                  <w:vAlign w:val="center"/>
                </w:tcPr>
                <w:p w14:paraId="56984F0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967" w:type="pct"/>
                  <w:tcBorders>
                    <w:tl2br w:val="nil"/>
                    <w:tr2bl w:val="nil"/>
                  </w:tcBorders>
                  <w:vAlign w:val="center"/>
                </w:tcPr>
                <w:p w14:paraId="576194A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210" w:type="pct"/>
                  <w:tcBorders>
                    <w:tl2br w:val="nil"/>
                    <w:tr2bl w:val="nil"/>
                  </w:tcBorders>
                  <w:vAlign w:val="center"/>
                </w:tcPr>
                <w:p w14:paraId="57E6E37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r>
            <w:tr w14:paraId="4C02279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24BAFF21">
                  <w:pPr>
                    <w:jc w:val="center"/>
                    <w:rPr>
                      <w:rFonts w:hint="default" w:ascii="Times New Roman" w:hAnsi="Times New Roman" w:eastAsia="宋体" w:cs="Times New Roman"/>
                      <w:color w:val="auto"/>
                    </w:rPr>
                  </w:pPr>
                </w:p>
              </w:tc>
              <w:tc>
                <w:tcPr>
                  <w:tcW w:w="420" w:type="pct"/>
                  <w:vMerge w:val="continue"/>
                  <w:tcBorders>
                    <w:tl2br w:val="nil"/>
                    <w:tr2bl w:val="nil"/>
                  </w:tcBorders>
                  <w:vAlign w:val="center"/>
                </w:tcPr>
                <w:p w14:paraId="53B1FB91">
                  <w:pPr>
                    <w:jc w:val="center"/>
                    <w:rPr>
                      <w:rFonts w:hint="default" w:ascii="Times New Roman" w:hAnsi="Times New Roman" w:eastAsia="宋体" w:cs="Times New Roman"/>
                      <w:color w:val="auto"/>
                    </w:rPr>
                  </w:pPr>
                </w:p>
              </w:tc>
              <w:tc>
                <w:tcPr>
                  <w:tcW w:w="635" w:type="pct"/>
                  <w:tcBorders>
                    <w:tl2br w:val="nil"/>
                    <w:tr2bl w:val="nil"/>
                  </w:tcBorders>
                  <w:vAlign w:val="center"/>
                </w:tcPr>
                <w:p w14:paraId="043033E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环境风险防控</w:t>
                  </w:r>
                </w:p>
              </w:tc>
              <w:tc>
                <w:tcPr>
                  <w:tcW w:w="2104" w:type="pct"/>
                  <w:tcBorders>
                    <w:tl2br w:val="nil"/>
                    <w:tr2bl w:val="nil"/>
                  </w:tcBorders>
                  <w:vAlign w:val="center"/>
                </w:tcPr>
                <w:p w14:paraId="40A3EDC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967" w:type="pct"/>
                  <w:tcBorders>
                    <w:tl2br w:val="nil"/>
                    <w:tr2bl w:val="nil"/>
                  </w:tcBorders>
                  <w:vAlign w:val="center"/>
                </w:tcPr>
                <w:p w14:paraId="727B234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210" w:type="pct"/>
                  <w:tcBorders>
                    <w:tl2br w:val="nil"/>
                    <w:tr2bl w:val="nil"/>
                  </w:tcBorders>
                  <w:vAlign w:val="center"/>
                </w:tcPr>
                <w:p w14:paraId="76B2BCC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r>
            <w:tr w14:paraId="6278F44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670E5A49">
                  <w:pPr>
                    <w:jc w:val="center"/>
                    <w:rPr>
                      <w:rFonts w:hint="default" w:ascii="Times New Roman" w:hAnsi="Times New Roman" w:eastAsia="宋体" w:cs="Times New Roman"/>
                      <w:color w:val="auto"/>
                    </w:rPr>
                  </w:pPr>
                </w:p>
              </w:tc>
              <w:tc>
                <w:tcPr>
                  <w:tcW w:w="420" w:type="pct"/>
                  <w:vMerge w:val="continue"/>
                  <w:tcBorders>
                    <w:tl2br w:val="nil"/>
                    <w:tr2bl w:val="nil"/>
                  </w:tcBorders>
                  <w:vAlign w:val="center"/>
                </w:tcPr>
                <w:p w14:paraId="6B0FC9B8">
                  <w:pPr>
                    <w:jc w:val="center"/>
                    <w:rPr>
                      <w:rFonts w:hint="default" w:ascii="Times New Roman" w:hAnsi="Times New Roman" w:eastAsia="宋体" w:cs="Times New Roman"/>
                      <w:color w:val="auto"/>
                    </w:rPr>
                  </w:pPr>
                </w:p>
              </w:tc>
              <w:tc>
                <w:tcPr>
                  <w:tcW w:w="635" w:type="pct"/>
                  <w:tcBorders>
                    <w:tl2br w:val="nil"/>
                    <w:tr2bl w:val="nil"/>
                  </w:tcBorders>
                  <w:vAlign w:val="center"/>
                </w:tcPr>
                <w:p w14:paraId="0AD0B72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资源开发效率要求</w:t>
                  </w:r>
                </w:p>
              </w:tc>
              <w:tc>
                <w:tcPr>
                  <w:tcW w:w="2104" w:type="pct"/>
                  <w:tcBorders>
                    <w:tl2br w:val="nil"/>
                    <w:tr2bl w:val="nil"/>
                  </w:tcBorders>
                  <w:vAlign w:val="center"/>
                </w:tcPr>
                <w:p w14:paraId="5BA9219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967" w:type="pct"/>
                  <w:tcBorders>
                    <w:tl2br w:val="nil"/>
                    <w:tr2bl w:val="nil"/>
                  </w:tcBorders>
                  <w:vAlign w:val="center"/>
                </w:tcPr>
                <w:p w14:paraId="4219FC8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210" w:type="pct"/>
                  <w:tcBorders>
                    <w:tl2br w:val="nil"/>
                    <w:tr2bl w:val="nil"/>
                  </w:tcBorders>
                  <w:vAlign w:val="center"/>
                </w:tcPr>
                <w:p w14:paraId="42B5741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r>
            <w:tr w14:paraId="0A32FB6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6B521224">
                  <w:pPr>
                    <w:jc w:val="center"/>
                    <w:rPr>
                      <w:rFonts w:hint="default" w:ascii="Times New Roman" w:hAnsi="Times New Roman" w:eastAsia="宋体" w:cs="Times New Roman"/>
                      <w:color w:val="auto"/>
                    </w:rPr>
                  </w:pPr>
                </w:p>
              </w:tc>
              <w:tc>
                <w:tcPr>
                  <w:tcW w:w="420" w:type="pct"/>
                  <w:vMerge w:val="restart"/>
                  <w:tcBorders>
                    <w:tl2br w:val="nil"/>
                    <w:tr2bl w:val="nil"/>
                  </w:tcBorders>
                  <w:vAlign w:val="center"/>
                </w:tcPr>
                <w:p w14:paraId="3C194B3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单元级清单管控要求</w:t>
                  </w:r>
                </w:p>
              </w:tc>
              <w:tc>
                <w:tcPr>
                  <w:tcW w:w="635" w:type="pct"/>
                  <w:tcBorders>
                    <w:tl2br w:val="nil"/>
                    <w:tr2bl w:val="nil"/>
                  </w:tcBorders>
                  <w:vAlign w:val="center"/>
                </w:tcPr>
                <w:p w14:paraId="4826664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空间布局约束</w:t>
                  </w:r>
                </w:p>
              </w:tc>
              <w:tc>
                <w:tcPr>
                  <w:tcW w:w="2104" w:type="pct"/>
                  <w:tcBorders>
                    <w:tl2br w:val="nil"/>
                    <w:tr2bl w:val="nil"/>
                  </w:tcBorders>
                  <w:vAlign w:val="center"/>
                </w:tcPr>
                <w:p w14:paraId="40C5C2B6">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禁止开发建设活动的要求</w:t>
                  </w:r>
                </w:p>
                <w:p w14:paraId="44F00721">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限制开发建设活动的要求</w:t>
                  </w:r>
                </w:p>
                <w:p w14:paraId="7547A071">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允许开发建设活动的要求</w:t>
                  </w:r>
                </w:p>
                <w:p w14:paraId="6AF47684">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不符合空间布局要求活动的退出要求</w:t>
                  </w:r>
                </w:p>
                <w:p w14:paraId="4ADA077D">
                  <w:pPr>
                    <w:pStyle w:val="54"/>
                    <w:widowControl/>
                    <w:shd w:val="clear" w:color="auto" w:fill="FFFFFF"/>
                    <w:spacing w:line="240" w:lineRule="auto"/>
                    <w:ind w:firstLine="0" w:firstLineChars="0"/>
                    <w:jc w:val="left"/>
                    <w:rPr>
                      <w:rFonts w:hint="default" w:ascii="Times New Roman" w:hAnsi="Times New Roman" w:eastAsia="宋体" w:cs="Times New Roman"/>
                      <w:color w:val="auto"/>
                    </w:rPr>
                  </w:pPr>
                  <w:r>
                    <w:rPr>
                      <w:rStyle w:val="34"/>
                      <w:rFonts w:hint="default" w:ascii="Times New Roman" w:hAnsi="Times New Roman" w:eastAsia="宋体" w:cs="Times New Roman"/>
                      <w:color w:val="auto"/>
                      <w:kern w:val="2"/>
                      <w:sz w:val="21"/>
                      <w:szCs w:val="21"/>
                      <w:lang w:val="en-US" w:eastAsia="zh-CN" w:bidi="ar-SA"/>
                    </w:rPr>
                    <w:t>其他空间布局约束要求</w:t>
                  </w:r>
                </w:p>
              </w:tc>
              <w:tc>
                <w:tcPr>
                  <w:tcW w:w="967" w:type="pct"/>
                  <w:tcBorders>
                    <w:tl2br w:val="nil"/>
                    <w:tr2bl w:val="nil"/>
                  </w:tcBorders>
                  <w:vAlign w:val="center"/>
                </w:tcPr>
                <w:p w14:paraId="292E39C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本项目为国家储备林建设及森林质量项目，空间布局合理。</w:t>
                  </w:r>
                </w:p>
              </w:tc>
              <w:tc>
                <w:tcPr>
                  <w:tcW w:w="210" w:type="pct"/>
                  <w:tcBorders>
                    <w:tl2br w:val="nil"/>
                    <w:tr2bl w:val="nil"/>
                  </w:tcBorders>
                  <w:vAlign w:val="center"/>
                </w:tcPr>
                <w:p w14:paraId="04959BD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符合</w:t>
                  </w:r>
                </w:p>
              </w:tc>
            </w:tr>
            <w:tr w14:paraId="27578BC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661" w:type="pct"/>
                  <w:vMerge w:val="continue"/>
                  <w:tcBorders>
                    <w:tl2br w:val="nil"/>
                    <w:tr2bl w:val="nil"/>
                  </w:tcBorders>
                  <w:vAlign w:val="center"/>
                </w:tcPr>
                <w:p w14:paraId="62F3544C">
                  <w:pPr>
                    <w:jc w:val="center"/>
                    <w:rPr>
                      <w:rFonts w:hint="default" w:ascii="Times New Roman" w:hAnsi="Times New Roman" w:eastAsia="宋体" w:cs="Times New Roman"/>
                      <w:color w:val="auto"/>
                    </w:rPr>
                  </w:pPr>
                </w:p>
              </w:tc>
              <w:tc>
                <w:tcPr>
                  <w:tcW w:w="420" w:type="pct"/>
                  <w:vMerge w:val="continue"/>
                  <w:tcBorders>
                    <w:tl2br w:val="nil"/>
                    <w:tr2bl w:val="nil"/>
                  </w:tcBorders>
                  <w:vAlign w:val="center"/>
                </w:tcPr>
                <w:p w14:paraId="293F48C4">
                  <w:pPr>
                    <w:jc w:val="center"/>
                    <w:rPr>
                      <w:rFonts w:hint="default" w:ascii="Times New Roman" w:hAnsi="Times New Roman" w:eastAsia="宋体" w:cs="Times New Roman"/>
                      <w:color w:val="auto"/>
                    </w:rPr>
                  </w:pPr>
                </w:p>
              </w:tc>
              <w:tc>
                <w:tcPr>
                  <w:tcW w:w="635" w:type="pct"/>
                  <w:tcBorders>
                    <w:tl2br w:val="nil"/>
                    <w:tr2bl w:val="nil"/>
                  </w:tcBorders>
                  <w:vAlign w:val="center"/>
                </w:tcPr>
                <w:p w14:paraId="0E524BE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污染物排放管控</w:t>
                  </w:r>
                </w:p>
              </w:tc>
              <w:tc>
                <w:tcPr>
                  <w:tcW w:w="2104" w:type="pct"/>
                  <w:tcBorders>
                    <w:tl2br w:val="nil"/>
                    <w:tr2bl w:val="nil"/>
                  </w:tcBorders>
                  <w:vAlign w:val="center"/>
                </w:tcPr>
                <w:p w14:paraId="084388B5">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大气环境质量执行标准</w:t>
                  </w:r>
                </w:p>
                <w:p w14:paraId="4C6146A6">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《环境空气质量标准》（GB3095-2012）：二级</w:t>
                  </w:r>
                </w:p>
                <w:p w14:paraId="672C63E8">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区域大气污染物削减/替代要求</w:t>
                  </w:r>
                </w:p>
                <w:p w14:paraId="6A6FF784">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燃煤和其他能源大气污染控制要求</w:t>
                  </w:r>
                </w:p>
                <w:p w14:paraId="5FC5E6EC">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工业废气污染控制要求</w:t>
                  </w:r>
                </w:p>
                <w:p w14:paraId="2459A825">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机动车船大气污染控制要求</w:t>
                  </w:r>
                </w:p>
                <w:p w14:paraId="0C288B98">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扬尘污染控制要求</w:t>
                  </w:r>
                </w:p>
                <w:p w14:paraId="1BF757A7">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农业生产经营活动大气污染控制要求</w:t>
                  </w:r>
                </w:p>
                <w:p w14:paraId="10D7B144">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重点行业企业专项治理要求</w:t>
                  </w:r>
                </w:p>
                <w:p w14:paraId="5DF42F0B">
                  <w:pPr>
                    <w:pStyle w:val="54"/>
                    <w:widowControl/>
                    <w:shd w:val="clear" w:color="auto" w:fill="FFFFFF"/>
                    <w:spacing w:line="240" w:lineRule="auto"/>
                    <w:ind w:firstLine="0" w:firstLineChars="0"/>
                    <w:jc w:val="left"/>
                    <w:rPr>
                      <w:rFonts w:hint="default" w:ascii="Times New Roman" w:hAnsi="Times New Roman" w:eastAsia="宋体" w:cs="Times New Roman"/>
                      <w:color w:val="auto"/>
                    </w:rPr>
                  </w:pPr>
                  <w:r>
                    <w:rPr>
                      <w:rStyle w:val="34"/>
                      <w:rFonts w:hint="default" w:ascii="Times New Roman" w:hAnsi="Times New Roman" w:eastAsia="宋体" w:cs="Times New Roman"/>
                      <w:color w:val="auto"/>
                      <w:kern w:val="2"/>
                      <w:sz w:val="21"/>
                      <w:szCs w:val="21"/>
                      <w:lang w:val="en-US" w:eastAsia="zh-CN" w:bidi="ar-SA"/>
                    </w:rPr>
                    <w:t>其他大气污染物排放管控要求</w:t>
                  </w:r>
                </w:p>
              </w:tc>
              <w:tc>
                <w:tcPr>
                  <w:tcW w:w="967" w:type="pct"/>
                  <w:tcBorders>
                    <w:tl2br w:val="nil"/>
                    <w:tr2bl w:val="nil"/>
                  </w:tcBorders>
                  <w:vAlign w:val="center"/>
                </w:tcPr>
                <w:p w14:paraId="4FA3D0A7">
                  <w:pPr>
                    <w:spacing w:line="240" w:lineRule="auto"/>
                    <w:jc w:val="center"/>
                    <w:rPr>
                      <w:rFonts w:hint="default" w:ascii="Times New Roman" w:hAnsi="Times New Roman" w:eastAsia="宋体" w:cs="Times New Roman"/>
                      <w:color w:val="auto"/>
                    </w:rPr>
                  </w:pPr>
                  <w:r>
                    <w:rPr>
                      <w:rFonts w:hint="default" w:ascii="Times New Roman" w:hAnsi="Times New Roman" w:eastAsia="宋体" w:cs="Times New Roman"/>
                      <w:color w:val="auto"/>
                      <w:sz w:val="21"/>
                      <w:szCs w:val="21"/>
                    </w:rPr>
                    <w:t>项目为国家储备林建设及森林质量项目，不属于工业企业。</w:t>
                  </w:r>
                  <w:r>
                    <w:rPr>
                      <w:rFonts w:hint="default" w:ascii="Times New Roman" w:hAnsi="Times New Roman" w:eastAsia="宋体" w:cs="Times New Roman"/>
                      <w:color w:val="auto"/>
                      <w:sz w:val="21"/>
                      <w:szCs w:val="21"/>
                      <w:lang w:val="en-US" w:eastAsia="zh-CN"/>
                    </w:rPr>
                    <w:t>项目大气污染物排放主要为施工扬尘</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对环境影响较小。</w:t>
                  </w:r>
                </w:p>
              </w:tc>
              <w:tc>
                <w:tcPr>
                  <w:tcW w:w="210" w:type="pct"/>
                  <w:tcBorders>
                    <w:tl2br w:val="nil"/>
                    <w:tr2bl w:val="nil"/>
                  </w:tcBorders>
                  <w:vAlign w:val="center"/>
                </w:tcPr>
                <w:p w14:paraId="2CFBE96C">
                  <w:pPr>
                    <w:spacing w:line="240" w:lineRule="auto"/>
                    <w:jc w:val="center"/>
                    <w:rPr>
                      <w:rFonts w:hint="default" w:ascii="Times New Roman" w:hAnsi="Times New Roman" w:eastAsia="宋体" w:cs="Times New Roman"/>
                      <w:color w:val="auto"/>
                    </w:rPr>
                  </w:pPr>
                  <w:r>
                    <w:rPr>
                      <w:rFonts w:hint="default" w:ascii="Times New Roman" w:hAnsi="Times New Roman" w:eastAsia="宋体" w:cs="Times New Roman"/>
                      <w:color w:val="auto"/>
                      <w:sz w:val="21"/>
                      <w:szCs w:val="21"/>
                      <w:lang w:val="en-US" w:eastAsia="zh-CN"/>
                    </w:rPr>
                    <w:t>符合</w:t>
                  </w:r>
                </w:p>
              </w:tc>
            </w:tr>
            <w:tr w14:paraId="00141BF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372D525C">
                  <w:pPr>
                    <w:jc w:val="center"/>
                    <w:rPr>
                      <w:rFonts w:hint="default" w:ascii="Times New Roman" w:hAnsi="Times New Roman" w:eastAsia="宋体" w:cs="Times New Roman"/>
                      <w:color w:val="auto"/>
                    </w:rPr>
                  </w:pPr>
                </w:p>
              </w:tc>
              <w:tc>
                <w:tcPr>
                  <w:tcW w:w="420" w:type="pct"/>
                  <w:vMerge w:val="continue"/>
                  <w:tcBorders>
                    <w:tl2br w:val="nil"/>
                    <w:tr2bl w:val="nil"/>
                  </w:tcBorders>
                  <w:vAlign w:val="center"/>
                </w:tcPr>
                <w:p w14:paraId="10DA858E">
                  <w:pPr>
                    <w:jc w:val="center"/>
                    <w:rPr>
                      <w:rFonts w:hint="default" w:ascii="Times New Roman" w:hAnsi="Times New Roman" w:eastAsia="宋体" w:cs="Times New Roman"/>
                      <w:color w:val="auto"/>
                    </w:rPr>
                  </w:pPr>
                </w:p>
              </w:tc>
              <w:tc>
                <w:tcPr>
                  <w:tcW w:w="635" w:type="pct"/>
                  <w:tcBorders>
                    <w:tl2br w:val="nil"/>
                    <w:tr2bl w:val="nil"/>
                  </w:tcBorders>
                  <w:vAlign w:val="center"/>
                </w:tcPr>
                <w:p w14:paraId="2A57D2E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环境风险防控</w:t>
                  </w:r>
                </w:p>
              </w:tc>
              <w:tc>
                <w:tcPr>
                  <w:tcW w:w="2104" w:type="pct"/>
                  <w:tcBorders>
                    <w:tl2br w:val="nil"/>
                    <w:tr2bl w:val="nil"/>
                  </w:tcBorders>
                  <w:vAlign w:val="center"/>
                </w:tcPr>
                <w:p w14:paraId="0424E8C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967" w:type="pct"/>
                  <w:tcBorders>
                    <w:tl2br w:val="nil"/>
                    <w:tr2bl w:val="nil"/>
                  </w:tcBorders>
                  <w:vAlign w:val="center"/>
                </w:tcPr>
                <w:p w14:paraId="6828DCB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210" w:type="pct"/>
                  <w:tcBorders>
                    <w:tl2br w:val="nil"/>
                    <w:tr2bl w:val="nil"/>
                  </w:tcBorders>
                  <w:vAlign w:val="center"/>
                </w:tcPr>
                <w:p w14:paraId="086508B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r>
            <w:tr w14:paraId="07F2E15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65B63A28">
                  <w:pPr>
                    <w:jc w:val="center"/>
                    <w:rPr>
                      <w:rFonts w:hint="default" w:ascii="Times New Roman" w:hAnsi="Times New Roman" w:eastAsia="宋体" w:cs="Times New Roman"/>
                      <w:color w:val="auto"/>
                    </w:rPr>
                  </w:pPr>
                </w:p>
              </w:tc>
              <w:tc>
                <w:tcPr>
                  <w:tcW w:w="420" w:type="pct"/>
                  <w:vMerge w:val="continue"/>
                  <w:tcBorders>
                    <w:tl2br w:val="nil"/>
                    <w:tr2bl w:val="nil"/>
                  </w:tcBorders>
                  <w:vAlign w:val="center"/>
                </w:tcPr>
                <w:p w14:paraId="4312091A">
                  <w:pPr>
                    <w:jc w:val="center"/>
                    <w:rPr>
                      <w:rFonts w:hint="default" w:ascii="Times New Roman" w:hAnsi="Times New Roman" w:eastAsia="宋体" w:cs="Times New Roman"/>
                      <w:color w:val="auto"/>
                    </w:rPr>
                  </w:pPr>
                </w:p>
              </w:tc>
              <w:tc>
                <w:tcPr>
                  <w:tcW w:w="635" w:type="pct"/>
                  <w:tcBorders>
                    <w:tl2br w:val="nil"/>
                    <w:tr2bl w:val="nil"/>
                  </w:tcBorders>
                  <w:vAlign w:val="center"/>
                </w:tcPr>
                <w:p w14:paraId="6080635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资源开发效率要求</w:t>
                  </w:r>
                </w:p>
              </w:tc>
              <w:tc>
                <w:tcPr>
                  <w:tcW w:w="2104" w:type="pct"/>
                  <w:tcBorders>
                    <w:tl2br w:val="nil"/>
                    <w:tr2bl w:val="nil"/>
                  </w:tcBorders>
                  <w:vAlign w:val="center"/>
                </w:tcPr>
                <w:p w14:paraId="07EF0CB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967" w:type="pct"/>
                  <w:tcBorders>
                    <w:tl2br w:val="nil"/>
                    <w:tr2bl w:val="nil"/>
                  </w:tcBorders>
                  <w:vAlign w:val="center"/>
                </w:tcPr>
                <w:p w14:paraId="465C811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210" w:type="pct"/>
                  <w:tcBorders>
                    <w:tl2br w:val="nil"/>
                    <w:tr2bl w:val="nil"/>
                  </w:tcBorders>
                  <w:vAlign w:val="center"/>
                </w:tcPr>
                <w:p w14:paraId="49ED3EF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r>
            <w:tr w14:paraId="59BA019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restart"/>
                  <w:tcBorders>
                    <w:tl2br w:val="nil"/>
                    <w:tr2bl w:val="nil"/>
                  </w:tcBorders>
                  <w:vAlign w:val="center"/>
                </w:tcPr>
                <w:p w14:paraId="138C48F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YS5120222550001</w:t>
                  </w:r>
                  <w:r>
                    <w:rPr>
                      <w:rFonts w:hint="default" w:ascii="Times New Roman" w:hAnsi="Times New Roman" w:eastAsia="宋体" w:cs="Times New Roman"/>
                      <w:color w:val="auto"/>
                    </w:rPr>
                    <w:tab/>
                  </w:r>
                  <w:r>
                    <w:rPr>
                      <w:rFonts w:hint="default" w:ascii="Times New Roman" w:hAnsi="Times New Roman" w:eastAsia="宋体" w:cs="Times New Roman"/>
                      <w:color w:val="auto"/>
                    </w:rPr>
                    <w:t>乐至县自然资源重点管控区</w:t>
                  </w:r>
                  <w:r>
                    <w:rPr>
                      <w:rFonts w:hint="default" w:ascii="Times New Roman" w:hAnsi="Times New Roman" w:eastAsia="宋体" w:cs="Times New Roman"/>
                      <w:color w:val="auto"/>
                    </w:rPr>
                    <w:tab/>
                  </w:r>
                  <w:r>
                    <w:rPr>
                      <w:rFonts w:hint="default" w:ascii="Times New Roman" w:hAnsi="Times New Roman" w:eastAsia="宋体" w:cs="Times New Roman"/>
                      <w:color w:val="auto"/>
                    </w:rPr>
                    <w:t>自然资源管控分区</w:t>
                  </w:r>
                  <w:r>
                    <w:rPr>
                      <w:rFonts w:hint="default" w:ascii="Times New Roman" w:hAnsi="Times New Roman" w:eastAsia="宋体" w:cs="Times New Roman"/>
                      <w:color w:val="auto"/>
                    </w:rPr>
                    <w:tab/>
                  </w:r>
                  <w:r>
                    <w:rPr>
                      <w:rFonts w:hint="default" w:ascii="Times New Roman" w:hAnsi="Times New Roman" w:eastAsia="宋体" w:cs="Times New Roman"/>
                      <w:color w:val="auto"/>
                    </w:rPr>
                    <w:t>自然资源重点管控区</w:t>
                  </w:r>
                </w:p>
              </w:tc>
              <w:tc>
                <w:tcPr>
                  <w:tcW w:w="420" w:type="pct"/>
                  <w:vMerge w:val="restart"/>
                  <w:tcBorders>
                    <w:tl2br w:val="nil"/>
                    <w:tr2bl w:val="nil"/>
                  </w:tcBorders>
                  <w:vAlign w:val="center"/>
                </w:tcPr>
                <w:p w14:paraId="131316C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普适性清单管控要求</w:t>
                  </w:r>
                </w:p>
              </w:tc>
              <w:tc>
                <w:tcPr>
                  <w:tcW w:w="635" w:type="pct"/>
                  <w:tcBorders>
                    <w:tl2br w:val="nil"/>
                    <w:tr2bl w:val="nil"/>
                  </w:tcBorders>
                  <w:vAlign w:val="center"/>
                </w:tcPr>
                <w:p w14:paraId="1B1F00C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空间布局约束</w:t>
                  </w:r>
                </w:p>
              </w:tc>
              <w:tc>
                <w:tcPr>
                  <w:tcW w:w="2104" w:type="pct"/>
                  <w:tcBorders>
                    <w:tl2br w:val="nil"/>
                    <w:tr2bl w:val="nil"/>
                  </w:tcBorders>
                  <w:vAlign w:val="center"/>
                </w:tcPr>
                <w:p w14:paraId="33A867B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967" w:type="pct"/>
                  <w:tcBorders>
                    <w:tl2br w:val="nil"/>
                    <w:tr2bl w:val="nil"/>
                  </w:tcBorders>
                  <w:vAlign w:val="center"/>
                </w:tcPr>
                <w:p w14:paraId="313B9DA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210" w:type="pct"/>
                  <w:tcBorders>
                    <w:tl2br w:val="nil"/>
                    <w:tr2bl w:val="nil"/>
                  </w:tcBorders>
                  <w:vAlign w:val="center"/>
                </w:tcPr>
                <w:p w14:paraId="57A93BB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r>
            <w:tr w14:paraId="0964CC0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25DE742F">
                  <w:pPr>
                    <w:jc w:val="center"/>
                    <w:rPr>
                      <w:rFonts w:hint="default" w:ascii="Times New Roman" w:hAnsi="Times New Roman" w:eastAsia="宋体" w:cs="Times New Roman"/>
                      <w:color w:val="auto"/>
                    </w:rPr>
                  </w:pPr>
                </w:p>
              </w:tc>
              <w:tc>
                <w:tcPr>
                  <w:tcW w:w="420" w:type="pct"/>
                  <w:vMerge w:val="continue"/>
                  <w:tcBorders>
                    <w:tl2br w:val="nil"/>
                    <w:tr2bl w:val="nil"/>
                  </w:tcBorders>
                  <w:vAlign w:val="center"/>
                </w:tcPr>
                <w:p w14:paraId="42558183">
                  <w:pPr>
                    <w:jc w:val="center"/>
                    <w:rPr>
                      <w:rFonts w:hint="default" w:ascii="Times New Roman" w:hAnsi="Times New Roman" w:eastAsia="宋体" w:cs="Times New Roman"/>
                      <w:color w:val="auto"/>
                    </w:rPr>
                  </w:pPr>
                </w:p>
              </w:tc>
              <w:tc>
                <w:tcPr>
                  <w:tcW w:w="635" w:type="pct"/>
                  <w:tcBorders>
                    <w:tl2br w:val="nil"/>
                    <w:tr2bl w:val="nil"/>
                  </w:tcBorders>
                  <w:vAlign w:val="center"/>
                </w:tcPr>
                <w:p w14:paraId="4318DBE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污染物排放管控</w:t>
                  </w:r>
                </w:p>
              </w:tc>
              <w:tc>
                <w:tcPr>
                  <w:tcW w:w="2104" w:type="pct"/>
                  <w:tcBorders>
                    <w:tl2br w:val="nil"/>
                    <w:tr2bl w:val="nil"/>
                  </w:tcBorders>
                  <w:vAlign w:val="center"/>
                </w:tcPr>
                <w:p w14:paraId="2E63A8D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967" w:type="pct"/>
                  <w:tcBorders>
                    <w:tl2br w:val="nil"/>
                    <w:tr2bl w:val="nil"/>
                  </w:tcBorders>
                  <w:vAlign w:val="center"/>
                </w:tcPr>
                <w:p w14:paraId="5086913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210" w:type="pct"/>
                  <w:tcBorders>
                    <w:tl2br w:val="nil"/>
                    <w:tr2bl w:val="nil"/>
                  </w:tcBorders>
                  <w:vAlign w:val="center"/>
                </w:tcPr>
                <w:p w14:paraId="5595498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r>
            <w:tr w14:paraId="2862D23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44B3AF34">
                  <w:pPr>
                    <w:jc w:val="center"/>
                    <w:rPr>
                      <w:rFonts w:hint="default" w:ascii="Times New Roman" w:hAnsi="Times New Roman" w:eastAsia="宋体" w:cs="Times New Roman"/>
                      <w:color w:val="auto"/>
                    </w:rPr>
                  </w:pPr>
                </w:p>
              </w:tc>
              <w:tc>
                <w:tcPr>
                  <w:tcW w:w="420" w:type="pct"/>
                  <w:vMerge w:val="continue"/>
                  <w:tcBorders>
                    <w:tl2br w:val="nil"/>
                    <w:tr2bl w:val="nil"/>
                  </w:tcBorders>
                  <w:vAlign w:val="center"/>
                </w:tcPr>
                <w:p w14:paraId="53F77BBA">
                  <w:pPr>
                    <w:jc w:val="center"/>
                    <w:rPr>
                      <w:rFonts w:hint="default" w:ascii="Times New Roman" w:hAnsi="Times New Roman" w:eastAsia="宋体" w:cs="Times New Roman"/>
                      <w:color w:val="auto"/>
                    </w:rPr>
                  </w:pPr>
                </w:p>
              </w:tc>
              <w:tc>
                <w:tcPr>
                  <w:tcW w:w="635" w:type="pct"/>
                  <w:tcBorders>
                    <w:tl2br w:val="nil"/>
                    <w:tr2bl w:val="nil"/>
                  </w:tcBorders>
                  <w:vAlign w:val="center"/>
                </w:tcPr>
                <w:p w14:paraId="3B94D9D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环境风险防控</w:t>
                  </w:r>
                </w:p>
              </w:tc>
              <w:tc>
                <w:tcPr>
                  <w:tcW w:w="2104" w:type="pct"/>
                  <w:tcBorders>
                    <w:tl2br w:val="nil"/>
                    <w:tr2bl w:val="nil"/>
                  </w:tcBorders>
                  <w:vAlign w:val="center"/>
                </w:tcPr>
                <w:p w14:paraId="1DC054B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967" w:type="pct"/>
                  <w:tcBorders>
                    <w:tl2br w:val="nil"/>
                    <w:tr2bl w:val="nil"/>
                  </w:tcBorders>
                  <w:vAlign w:val="center"/>
                </w:tcPr>
                <w:p w14:paraId="5D7B24D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210" w:type="pct"/>
                  <w:tcBorders>
                    <w:tl2br w:val="nil"/>
                    <w:tr2bl w:val="nil"/>
                  </w:tcBorders>
                  <w:vAlign w:val="center"/>
                </w:tcPr>
                <w:p w14:paraId="0A52FC3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r>
            <w:tr w14:paraId="556B3CA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6CDEA7A7">
                  <w:pPr>
                    <w:jc w:val="center"/>
                    <w:rPr>
                      <w:rFonts w:hint="default" w:ascii="Times New Roman" w:hAnsi="Times New Roman" w:eastAsia="宋体" w:cs="Times New Roman"/>
                      <w:color w:val="auto"/>
                    </w:rPr>
                  </w:pPr>
                </w:p>
              </w:tc>
              <w:tc>
                <w:tcPr>
                  <w:tcW w:w="420" w:type="pct"/>
                  <w:vMerge w:val="continue"/>
                  <w:tcBorders>
                    <w:tl2br w:val="nil"/>
                    <w:tr2bl w:val="nil"/>
                  </w:tcBorders>
                  <w:vAlign w:val="center"/>
                </w:tcPr>
                <w:p w14:paraId="67B5B1AB">
                  <w:pPr>
                    <w:jc w:val="center"/>
                    <w:rPr>
                      <w:rFonts w:hint="default" w:ascii="Times New Roman" w:hAnsi="Times New Roman" w:eastAsia="宋体" w:cs="Times New Roman"/>
                      <w:color w:val="auto"/>
                    </w:rPr>
                  </w:pPr>
                </w:p>
              </w:tc>
              <w:tc>
                <w:tcPr>
                  <w:tcW w:w="635" w:type="pct"/>
                  <w:tcBorders>
                    <w:tl2br w:val="nil"/>
                    <w:tr2bl w:val="nil"/>
                  </w:tcBorders>
                  <w:vAlign w:val="center"/>
                </w:tcPr>
                <w:p w14:paraId="7EBE896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资源开发效率要求</w:t>
                  </w:r>
                </w:p>
              </w:tc>
              <w:tc>
                <w:tcPr>
                  <w:tcW w:w="2104" w:type="pct"/>
                  <w:tcBorders>
                    <w:tl2br w:val="nil"/>
                    <w:tr2bl w:val="nil"/>
                  </w:tcBorders>
                  <w:vAlign w:val="center"/>
                </w:tcPr>
                <w:p w14:paraId="24D7DBC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967" w:type="pct"/>
                  <w:tcBorders>
                    <w:tl2br w:val="nil"/>
                    <w:tr2bl w:val="nil"/>
                  </w:tcBorders>
                  <w:vAlign w:val="center"/>
                </w:tcPr>
                <w:p w14:paraId="6B48DFD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210" w:type="pct"/>
                  <w:tcBorders>
                    <w:tl2br w:val="nil"/>
                    <w:tr2bl w:val="nil"/>
                  </w:tcBorders>
                  <w:vAlign w:val="center"/>
                </w:tcPr>
                <w:p w14:paraId="724199E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r>
            <w:tr w14:paraId="0A51747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08689974">
                  <w:pPr>
                    <w:jc w:val="center"/>
                    <w:rPr>
                      <w:rFonts w:hint="default" w:ascii="Times New Roman" w:hAnsi="Times New Roman" w:eastAsia="宋体" w:cs="Times New Roman"/>
                      <w:color w:val="auto"/>
                    </w:rPr>
                  </w:pPr>
                </w:p>
              </w:tc>
              <w:tc>
                <w:tcPr>
                  <w:tcW w:w="420" w:type="pct"/>
                  <w:vMerge w:val="restart"/>
                  <w:tcBorders>
                    <w:tl2br w:val="nil"/>
                    <w:tr2bl w:val="nil"/>
                  </w:tcBorders>
                  <w:vAlign w:val="center"/>
                </w:tcPr>
                <w:p w14:paraId="0885091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单元级清单管控要求</w:t>
                  </w:r>
                </w:p>
              </w:tc>
              <w:tc>
                <w:tcPr>
                  <w:tcW w:w="635" w:type="pct"/>
                  <w:tcBorders>
                    <w:tl2br w:val="nil"/>
                    <w:tr2bl w:val="nil"/>
                  </w:tcBorders>
                  <w:vAlign w:val="center"/>
                </w:tcPr>
                <w:p w14:paraId="01FBF17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空间布局约束</w:t>
                  </w:r>
                </w:p>
              </w:tc>
              <w:tc>
                <w:tcPr>
                  <w:tcW w:w="2104" w:type="pct"/>
                  <w:tcBorders>
                    <w:tl2br w:val="nil"/>
                    <w:tr2bl w:val="nil"/>
                  </w:tcBorders>
                  <w:vAlign w:val="center"/>
                </w:tcPr>
                <w:p w14:paraId="5E7843AA">
                  <w:pPr>
                    <w:jc w:val="left"/>
                    <w:rPr>
                      <w:rFonts w:hint="default" w:ascii="Times New Roman" w:hAnsi="Times New Roman" w:eastAsia="宋体" w:cs="Times New Roman"/>
                      <w:color w:val="auto"/>
                    </w:rPr>
                  </w:pPr>
                  <w:r>
                    <w:rPr>
                      <w:rFonts w:hint="default" w:ascii="Times New Roman" w:hAnsi="Times New Roman" w:eastAsia="宋体" w:cs="Times New Roman"/>
                      <w:color w:val="auto"/>
                    </w:rPr>
                    <w:t>合理开发高效利用水资源，建设节水型社会；优化土地利用布局与结构；优化产业空间布局，构建清洁能源体系</w:t>
                  </w:r>
                </w:p>
              </w:tc>
              <w:tc>
                <w:tcPr>
                  <w:tcW w:w="967" w:type="pct"/>
                  <w:tcBorders>
                    <w:tl2br w:val="nil"/>
                    <w:tr2bl w:val="nil"/>
                  </w:tcBorders>
                  <w:vAlign w:val="center"/>
                </w:tcPr>
                <w:p w14:paraId="14B822C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本项目不属于禁止开发活动，限制开发建设活动。</w:t>
                  </w:r>
                </w:p>
              </w:tc>
              <w:tc>
                <w:tcPr>
                  <w:tcW w:w="210" w:type="pct"/>
                  <w:tcBorders>
                    <w:tl2br w:val="nil"/>
                    <w:tr2bl w:val="nil"/>
                  </w:tcBorders>
                  <w:vAlign w:val="center"/>
                </w:tcPr>
                <w:p w14:paraId="4FC4412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符合</w:t>
                  </w:r>
                </w:p>
              </w:tc>
            </w:tr>
            <w:tr w14:paraId="01B786E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15FD3BCE">
                  <w:pPr>
                    <w:jc w:val="center"/>
                    <w:rPr>
                      <w:rFonts w:hint="default" w:ascii="Times New Roman" w:hAnsi="Times New Roman" w:eastAsia="宋体" w:cs="Times New Roman"/>
                      <w:color w:val="auto"/>
                    </w:rPr>
                  </w:pPr>
                </w:p>
              </w:tc>
              <w:tc>
                <w:tcPr>
                  <w:tcW w:w="420" w:type="pct"/>
                  <w:vMerge w:val="continue"/>
                  <w:tcBorders>
                    <w:tl2br w:val="nil"/>
                    <w:tr2bl w:val="nil"/>
                  </w:tcBorders>
                  <w:vAlign w:val="center"/>
                </w:tcPr>
                <w:p w14:paraId="1EC96610">
                  <w:pPr>
                    <w:jc w:val="center"/>
                    <w:rPr>
                      <w:rFonts w:hint="default" w:ascii="Times New Roman" w:hAnsi="Times New Roman" w:eastAsia="宋体" w:cs="Times New Roman"/>
                      <w:color w:val="auto"/>
                    </w:rPr>
                  </w:pPr>
                </w:p>
              </w:tc>
              <w:tc>
                <w:tcPr>
                  <w:tcW w:w="635" w:type="pct"/>
                  <w:tcBorders>
                    <w:tl2br w:val="nil"/>
                    <w:tr2bl w:val="nil"/>
                  </w:tcBorders>
                  <w:vAlign w:val="center"/>
                </w:tcPr>
                <w:p w14:paraId="7A70EB9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污染物排放管控</w:t>
                  </w:r>
                </w:p>
              </w:tc>
              <w:tc>
                <w:tcPr>
                  <w:tcW w:w="2104" w:type="pct"/>
                  <w:tcBorders>
                    <w:tl2br w:val="nil"/>
                    <w:tr2bl w:val="nil"/>
                  </w:tcBorders>
                  <w:vAlign w:val="center"/>
                </w:tcPr>
                <w:p w14:paraId="175574C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967" w:type="pct"/>
                  <w:tcBorders>
                    <w:tl2br w:val="nil"/>
                    <w:tr2bl w:val="nil"/>
                  </w:tcBorders>
                  <w:vAlign w:val="center"/>
                </w:tcPr>
                <w:p w14:paraId="4D7431B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210" w:type="pct"/>
                  <w:tcBorders>
                    <w:tl2br w:val="nil"/>
                    <w:tr2bl w:val="nil"/>
                  </w:tcBorders>
                  <w:vAlign w:val="center"/>
                </w:tcPr>
                <w:p w14:paraId="337A7C6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r>
            <w:tr w14:paraId="107874C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129E451C">
                  <w:pPr>
                    <w:jc w:val="center"/>
                    <w:rPr>
                      <w:rFonts w:hint="default" w:ascii="Times New Roman" w:hAnsi="Times New Roman" w:eastAsia="宋体" w:cs="Times New Roman"/>
                      <w:color w:val="auto"/>
                    </w:rPr>
                  </w:pPr>
                </w:p>
              </w:tc>
              <w:tc>
                <w:tcPr>
                  <w:tcW w:w="420" w:type="pct"/>
                  <w:vMerge w:val="continue"/>
                  <w:tcBorders>
                    <w:tl2br w:val="nil"/>
                    <w:tr2bl w:val="nil"/>
                  </w:tcBorders>
                  <w:vAlign w:val="center"/>
                </w:tcPr>
                <w:p w14:paraId="53C1EA89">
                  <w:pPr>
                    <w:jc w:val="center"/>
                    <w:rPr>
                      <w:rFonts w:hint="default" w:ascii="Times New Roman" w:hAnsi="Times New Roman" w:eastAsia="宋体" w:cs="Times New Roman"/>
                      <w:color w:val="auto"/>
                    </w:rPr>
                  </w:pPr>
                </w:p>
              </w:tc>
              <w:tc>
                <w:tcPr>
                  <w:tcW w:w="635" w:type="pct"/>
                  <w:tcBorders>
                    <w:tl2br w:val="nil"/>
                    <w:tr2bl w:val="nil"/>
                  </w:tcBorders>
                  <w:vAlign w:val="center"/>
                </w:tcPr>
                <w:p w14:paraId="173EB96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环境风险防控</w:t>
                  </w:r>
                </w:p>
              </w:tc>
              <w:tc>
                <w:tcPr>
                  <w:tcW w:w="2104" w:type="pct"/>
                  <w:tcBorders>
                    <w:tl2br w:val="nil"/>
                    <w:tr2bl w:val="nil"/>
                  </w:tcBorders>
                  <w:vAlign w:val="center"/>
                </w:tcPr>
                <w:p w14:paraId="2DBE529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967" w:type="pct"/>
                  <w:tcBorders>
                    <w:tl2br w:val="nil"/>
                    <w:tr2bl w:val="nil"/>
                  </w:tcBorders>
                  <w:vAlign w:val="center"/>
                </w:tcPr>
                <w:p w14:paraId="69F8EB9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210" w:type="pct"/>
                  <w:tcBorders>
                    <w:tl2br w:val="nil"/>
                    <w:tr2bl w:val="nil"/>
                  </w:tcBorders>
                  <w:vAlign w:val="center"/>
                </w:tcPr>
                <w:p w14:paraId="1E0BC27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r>
            <w:tr w14:paraId="6343309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448173D0">
                  <w:pPr>
                    <w:jc w:val="center"/>
                    <w:rPr>
                      <w:rFonts w:hint="default" w:ascii="Times New Roman" w:hAnsi="Times New Roman" w:eastAsia="宋体" w:cs="Times New Roman"/>
                      <w:color w:val="auto"/>
                    </w:rPr>
                  </w:pPr>
                </w:p>
              </w:tc>
              <w:tc>
                <w:tcPr>
                  <w:tcW w:w="420" w:type="pct"/>
                  <w:vMerge w:val="continue"/>
                  <w:tcBorders>
                    <w:tl2br w:val="nil"/>
                    <w:tr2bl w:val="nil"/>
                  </w:tcBorders>
                  <w:vAlign w:val="center"/>
                </w:tcPr>
                <w:p w14:paraId="562F58BF">
                  <w:pPr>
                    <w:jc w:val="center"/>
                    <w:rPr>
                      <w:rFonts w:hint="default" w:ascii="Times New Roman" w:hAnsi="Times New Roman" w:eastAsia="宋体" w:cs="Times New Roman"/>
                      <w:color w:val="auto"/>
                    </w:rPr>
                  </w:pPr>
                </w:p>
              </w:tc>
              <w:tc>
                <w:tcPr>
                  <w:tcW w:w="635" w:type="pct"/>
                  <w:tcBorders>
                    <w:tl2br w:val="nil"/>
                    <w:tr2bl w:val="nil"/>
                  </w:tcBorders>
                  <w:vAlign w:val="center"/>
                </w:tcPr>
                <w:p w14:paraId="1FA785E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资源开发效率要求</w:t>
                  </w:r>
                </w:p>
              </w:tc>
              <w:tc>
                <w:tcPr>
                  <w:tcW w:w="2104" w:type="pct"/>
                  <w:tcBorders>
                    <w:tl2br w:val="nil"/>
                    <w:tr2bl w:val="nil"/>
                  </w:tcBorders>
                  <w:vAlign w:val="center"/>
                </w:tcPr>
                <w:p w14:paraId="5669E1CC">
                  <w:pPr>
                    <w:rPr>
                      <w:rFonts w:hint="default" w:ascii="Times New Roman" w:hAnsi="Times New Roman" w:eastAsia="宋体" w:cs="Times New Roman"/>
                      <w:color w:val="auto"/>
                    </w:rPr>
                  </w:pPr>
                  <w:r>
                    <w:rPr>
                      <w:rFonts w:hint="default" w:ascii="Times New Roman" w:hAnsi="Times New Roman" w:eastAsia="宋体" w:cs="Times New Roman"/>
                      <w:color w:val="auto"/>
                    </w:rPr>
                    <w:t>土地资源开发效率要求</w:t>
                  </w:r>
                </w:p>
                <w:p w14:paraId="61CD7BEB">
                  <w:pPr>
                    <w:rPr>
                      <w:rFonts w:hint="default" w:ascii="Times New Roman" w:hAnsi="Times New Roman" w:eastAsia="宋体" w:cs="Times New Roman"/>
                      <w:color w:val="auto"/>
                    </w:rPr>
                  </w:pPr>
                  <w:r>
                    <w:rPr>
                      <w:rFonts w:hint="default" w:ascii="Times New Roman" w:hAnsi="Times New Roman" w:eastAsia="宋体" w:cs="Times New Roman"/>
                      <w:color w:val="auto"/>
                    </w:rPr>
                    <w:t>能源资源开发效率要求</w:t>
                  </w:r>
                </w:p>
                <w:p w14:paraId="04708125">
                  <w:pPr>
                    <w:rPr>
                      <w:rFonts w:hint="default" w:ascii="Times New Roman" w:hAnsi="Times New Roman" w:eastAsia="宋体" w:cs="Times New Roman"/>
                      <w:color w:val="auto"/>
                    </w:rPr>
                  </w:pPr>
                  <w:r>
                    <w:rPr>
                      <w:rFonts w:hint="default" w:ascii="Times New Roman" w:hAnsi="Times New Roman" w:eastAsia="宋体" w:cs="Times New Roman"/>
                      <w:color w:val="auto"/>
                    </w:rPr>
                    <w:t>其他资源开发效率要求</w:t>
                  </w:r>
                </w:p>
              </w:tc>
              <w:tc>
                <w:tcPr>
                  <w:tcW w:w="967" w:type="pct"/>
                  <w:tcBorders>
                    <w:tl2br w:val="nil"/>
                    <w:tr2bl w:val="nil"/>
                  </w:tcBorders>
                  <w:vAlign w:val="center"/>
                </w:tcPr>
                <w:p w14:paraId="5889046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本项目资源需求小，符合资源开发效率要求。</w:t>
                  </w:r>
                </w:p>
              </w:tc>
              <w:tc>
                <w:tcPr>
                  <w:tcW w:w="210" w:type="pct"/>
                  <w:tcBorders>
                    <w:tl2br w:val="nil"/>
                    <w:tr2bl w:val="nil"/>
                  </w:tcBorders>
                  <w:vAlign w:val="center"/>
                </w:tcPr>
                <w:p w14:paraId="6CDB8FB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符合</w:t>
                  </w:r>
                </w:p>
              </w:tc>
            </w:tr>
            <w:tr w14:paraId="3E71D30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restart"/>
                  <w:tcBorders>
                    <w:tl2br w:val="nil"/>
                    <w:tr2bl w:val="nil"/>
                  </w:tcBorders>
                  <w:vAlign w:val="center"/>
                </w:tcPr>
                <w:p w14:paraId="42D88B6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YS5120222510003</w:t>
                  </w:r>
                  <w:r>
                    <w:rPr>
                      <w:rFonts w:hint="default" w:ascii="Times New Roman" w:hAnsi="Times New Roman" w:eastAsia="宋体" w:cs="Times New Roman"/>
                      <w:color w:val="auto"/>
                    </w:rPr>
                    <w:tab/>
                  </w:r>
                  <w:r>
                    <w:rPr>
                      <w:rFonts w:hint="default" w:ascii="Times New Roman" w:hAnsi="Times New Roman" w:eastAsia="宋体" w:cs="Times New Roman"/>
                      <w:color w:val="auto"/>
                    </w:rPr>
                    <w:t>乐至县水资源重点管控区</w:t>
                  </w:r>
                  <w:r>
                    <w:rPr>
                      <w:rFonts w:hint="default" w:ascii="Times New Roman" w:hAnsi="Times New Roman" w:eastAsia="宋体" w:cs="Times New Roman"/>
                      <w:color w:val="auto"/>
                    </w:rPr>
                    <w:tab/>
                  </w:r>
                  <w:r>
                    <w:rPr>
                      <w:rFonts w:hint="default" w:ascii="Times New Roman" w:hAnsi="Times New Roman" w:eastAsia="宋体" w:cs="Times New Roman"/>
                      <w:color w:val="auto"/>
                    </w:rPr>
                    <w:t>自然资源管控分区</w:t>
                  </w:r>
                  <w:r>
                    <w:rPr>
                      <w:rFonts w:hint="default" w:ascii="Times New Roman" w:hAnsi="Times New Roman" w:eastAsia="宋体" w:cs="Times New Roman"/>
                      <w:color w:val="auto"/>
                    </w:rPr>
                    <w:tab/>
                  </w:r>
                  <w:r>
                    <w:rPr>
                      <w:rFonts w:hint="default" w:ascii="Times New Roman" w:hAnsi="Times New Roman" w:eastAsia="宋体" w:cs="Times New Roman"/>
                      <w:color w:val="auto"/>
                    </w:rPr>
                    <w:t>水资源重点管控区</w:t>
                  </w:r>
                </w:p>
              </w:tc>
              <w:tc>
                <w:tcPr>
                  <w:tcW w:w="420" w:type="pct"/>
                  <w:vMerge w:val="restart"/>
                  <w:tcBorders>
                    <w:tl2br w:val="nil"/>
                    <w:tr2bl w:val="nil"/>
                  </w:tcBorders>
                  <w:vAlign w:val="center"/>
                </w:tcPr>
                <w:p w14:paraId="6DF7A53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普适性清单管控要求</w:t>
                  </w:r>
                </w:p>
              </w:tc>
              <w:tc>
                <w:tcPr>
                  <w:tcW w:w="635" w:type="pct"/>
                  <w:tcBorders>
                    <w:tl2br w:val="nil"/>
                    <w:tr2bl w:val="nil"/>
                  </w:tcBorders>
                  <w:vAlign w:val="center"/>
                </w:tcPr>
                <w:p w14:paraId="11E15FF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空间布局约束</w:t>
                  </w:r>
                </w:p>
              </w:tc>
              <w:tc>
                <w:tcPr>
                  <w:tcW w:w="2104" w:type="pct"/>
                  <w:tcBorders>
                    <w:tl2br w:val="nil"/>
                    <w:tr2bl w:val="nil"/>
                  </w:tcBorders>
                  <w:vAlign w:val="center"/>
                </w:tcPr>
                <w:p w14:paraId="6D6F282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967" w:type="pct"/>
                  <w:tcBorders>
                    <w:tl2br w:val="nil"/>
                    <w:tr2bl w:val="nil"/>
                  </w:tcBorders>
                  <w:vAlign w:val="center"/>
                </w:tcPr>
                <w:p w14:paraId="05E55B8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210" w:type="pct"/>
                  <w:tcBorders>
                    <w:tl2br w:val="nil"/>
                    <w:tr2bl w:val="nil"/>
                  </w:tcBorders>
                  <w:vAlign w:val="center"/>
                </w:tcPr>
                <w:p w14:paraId="1CC206D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r>
            <w:tr w14:paraId="0DE679A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171C6A4B">
                  <w:pPr>
                    <w:jc w:val="center"/>
                    <w:rPr>
                      <w:rFonts w:hint="default" w:ascii="Times New Roman" w:hAnsi="Times New Roman" w:eastAsia="宋体" w:cs="Times New Roman"/>
                      <w:color w:val="auto"/>
                    </w:rPr>
                  </w:pPr>
                </w:p>
              </w:tc>
              <w:tc>
                <w:tcPr>
                  <w:tcW w:w="420" w:type="pct"/>
                  <w:vMerge w:val="continue"/>
                  <w:tcBorders>
                    <w:tl2br w:val="nil"/>
                    <w:tr2bl w:val="nil"/>
                  </w:tcBorders>
                  <w:vAlign w:val="center"/>
                </w:tcPr>
                <w:p w14:paraId="43EC9AAE">
                  <w:pPr>
                    <w:jc w:val="center"/>
                    <w:rPr>
                      <w:rFonts w:hint="default" w:ascii="Times New Roman" w:hAnsi="Times New Roman" w:eastAsia="宋体" w:cs="Times New Roman"/>
                      <w:color w:val="auto"/>
                    </w:rPr>
                  </w:pPr>
                </w:p>
              </w:tc>
              <w:tc>
                <w:tcPr>
                  <w:tcW w:w="635" w:type="pct"/>
                  <w:tcBorders>
                    <w:tl2br w:val="nil"/>
                    <w:tr2bl w:val="nil"/>
                  </w:tcBorders>
                  <w:vAlign w:val="center"/>
                </w:tcPr>
                <w:p w14:paraId="7950B5D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污染物排放管控</w:t>
                  </w:r>
                </w:p>
              </w:tc>
              <w:tc>
                <w:tcPr>
                  <w:tcW w:w="2104" w:type="pct"/>
                  <w:tcBorders>
                    <w:tl2br w:val="nil"/>
                    <w:tr2bl w:val="nil"/>
                  </w:tcBorders>
                  <w:vAlign w:val="center"/>
                </w:tcPr>
                <w:p w14:paraId="678765C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967" w:type="pct"/>
                  <w:tcBorders>
                    <w:tl2br w:val="nil"/>
                    <w:tr2bl w:val="nil"/>
                  </w:tcBorders>
                  <w:vAlign w:val="center"/>
                </w:tcPr>
                <w:p w14:paraId="2D25024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210" w:type="pct"/>
                  <w:tcBorders>
                    <w:tl2br w:val="nil"/>
                    <w:tr2bl w:val="nil"/>
                  </w:tcBorders>
                  <w:vAlign w:val="center"/>
                </w:tcPr>
                <w:p w14:paraId="6DDF593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r>
            <w:tr w14:paraId="1D4C963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6F0E85E9">
                  <w:pPr>
                    <w:jc w:val="center"/>
                    <w:rPr>
                      <w:rFonts w:hint="default" w:ascii="Times New Roman" w:hAnsi="Times New Roman" w:eastAsia="宋体" w:cs="Times New Roman"/>
                      <w:color w:val="auto"/>
                    </w:rPr>
                  </w:pPr>
                </w:p>
              </w:tc>
              <w:tc>
                <w:tcPr>
                  <w:tcW w:w="420" w:type="pct"/>
                  <w:vMerge w:val="continue"/>
                  <w:tcBorders>
                    <w:tl2br w:val="nil"/>
                    <w:tr2bl w:val="nil"/>
                  </w:tcBorders>
                  <w:vAlign w:val="center"/>
                </w:tcPr>
                <w:p w14:paraId="143FA567">
                  <w:pPr>
                    <w:jc w:val="center"/>
                    <w:rPr>
                      <w:rFonts w:hint="default" w:ascii="Times New Roman" w:hAnsi="Times New Roman" w:eastAsia="宋体" w:cs="Times New Roman"/>
                      <w:color w:val="auto"/>
                    </w:rPr>
                  </w:pPr>
                </w:p>
              </w:tc>
              <w:tc>
                <w:tcPr>
                  <w:tcW w:w="635" w:type="pct"/>
                  <w:tcBorders>
                    <w:tl2br w:val="nil"/>
                    <w:tr2bl w:val="nil"/>
                  </w:tcBorders>
                  <w:vAlign w:val="center"/>
                </w:tcPr>
                <w:p w14:paraId="2357266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环境风险防控</w:t>
                  </w:r>
                </w:p>
              </w:tc>
              <w:tc>
                <w:tcPr>
                  <w:tcW w:w="2104" w:type="pct"/>
                  <w:tcBorders>
                    <w:tl2br w:val="nil"/>
                    <w:tr2bl w:val="nil"/>
                  </w:tcBorders>
                  <w:vAlign w:val="center"/>
                </w:tcPr>
                <w:p w14:paraId="677D257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967" w:type="pct"/>
                  <w:tcBorders>
                    <w:tl2br w:val="nil"/>
                    <w:tr2bl w:val="nil"/>
                  </w:tcBorders>
                  <w:vAlign w:val="center"/>
                </w:tcPr>
                <w:p w14:paraId="7A91AF2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210" w:type="pct"/>
                  <w:tcBorders>
                    <w:tl2br w:val="nil"/>
                    <w:tr2bl w:val="nil"/>
                  </w:tcBorders>
                  <w:vAlign w:val="center"/>
                </w:tcPr>
                <w:p w14:paraId="362C407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r>
            <w:tr w14:paraId="0BAD1A1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5F36E9E5">
                  <w:pPr>
                    <w:jc w:val="center"/>
                    <w:rPr>
                      <w:rFonts w:hint="default" w:ascii="Times New Roman" w:hAnsi="Times New Roman" w:eastAsia="宋体" w:cs="Times New Roman"/>
                      <w:color w:val="auto"/>
                    </w:rPr>
                  </w:pPr>
                </w:p>
              </w:tc>
              <w:tc>
                <w:tcPr>
                  <w:tcW w:w="420" w:type="pct"/>
                  <w:vMerge w:val="continue"/>
                  <w:tcBorders>
                    <w:tl2br w:val="nil"/>
                    <w:tr2bl w:val="nil"/>
                  </w:tcBorders>
                  <w:vAlign w:val="center"/>
                </w:tcPr>
                <w:p w14:paraId="60D7A4F3">
                  <w:pPr>
                    <w:jc w:val="center"/>
                    <w:rPr>
                      <w:rFonts w:hint="default" w:ascii="Times New Roman" w:hAnsi="Times New Roman" w:eastAsia="宋体" w:cs="Times New Roman"/>
                      <w:color w:val="auto"/>
                    </w:rPr>
                  </w:pPr>
                </w:p>
              </w:tc>
              <w:tc>
                <w:tcPr>
                  <w:tcW w:w="635" w:type="pct"/>
                  <w:tcBorders>
                    <w:tl2br w:val="nil"/>
                    <w:tr2bl w:val="nil"/>
                  </w:tcBorders>
                  <w:vAlign w:val="center"/>
                </w:tcPr>
                <w:p w14:paraId="5C1B7AA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资源开发效率要求</w:t>
                  </w:r>
                </w:p>
              </w:tc>
              <w:tc>
                <w:tcPr>
                  <w:tcW w:w="2104" w:type="pct"/>
                  <w:tcBorders>
                    <w:tl2br w:val="nil"/>
                    <w:tr2bl w:val="nil"/>
                  </w:tcBorders>
                  <w:vAlign w:val="center"/>
                </w:tcPr>
                <w:p w14:paraId="4D8EA2E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967" w:type="pct"/>
                  <w:tcBorders>
                    <w:tl2br w:val="nil"/>
                    <w:tr2bl w:val="nil"/>
                  </w:tcBorders>
                  <w:vAlign w:val="center"/>
                </w:tcPr>
                <w:p w14:paraId="57235E2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210" w:type="pct"/>
                  <w:tcBorders>
                    <w:tl2br w:val="nil"/>
                    <w:tr2bl w:val="nil"/>
                  </w:tcBorders>
                  <w:vAlign w:val="center"/>
                </w:tcPr>
                <w:p w14:paraId="7436AA1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r>
            <w:tr w14:paraId="22E2477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02C62314">
                  <w:pPr>
                    <w:jc w:val="center"/>
                    <w:rPr>
                      <w:rFonts w:hint="default" w:ascii="Times New Roman" w:hAnsi="Times New Roman" w:eastAsia="宋体" w:cs="Times New Roman"/>
                      <w:color w:val="auto"/>
                    </w:rPr>
                  </w:pPr>
                </w:p>
              </w:tc>
              <w:tc>
                <w:tcPr>
                  <w:tcW w:w="420" w:type="pct"/>
                  <w:vMerge w:val="restart"/>
                  <w:tcBorders>
                    <w:tl2br w:val="nil"/>
                    <w:tr2bl w:val="nil"/>
                  </w:tcBorders>
                  <w:vAlign w:val="center"/>
                </w:tcPr>
                <w:p w14:paraId="26B395E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单元级清单管控要求</w:t>
                  </w:r>
                </w:p>
              </w:tc>
              <w:tc>
                <w:tcPr>
                  <w:tcW w:w="635" w:type="pct"/>
                  <w:tcBorders>
                    <w:tl2br w:val="nil"/>
                    <w:tr2bl w:val="nil"/>
                  </w:tcBorders>
                  <w:vAlign w:val="center"/>
                </w:tcPr>
                <w:p w14:paraId="7E0145C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空间布局约束</w:t>
                  </w:r>
                </w:p>
              </w:tc>
              <w:tc>
                <w:tcPr>
                  <w:tcW w:w="2104" w:type="pct"/>
                  <w:tcBorders>
                    <w:tl2br w:val="nil"/>
                    <w:tr2bl w:val="nil"/>
                  </w:tcBorders>
                  <w:vAlign w:val="center"/>
                </w:tcPr>
                <w:p w14:paraId="056E61E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967" w:type="pct"/>
                  <w:tcBorders>
                    <w:tl2br w:val="nil"/>
                    <w:tr2bl w:val="nil"/>
                  </w:tcBorders>
                  <w:vAlign w:val="center"/>
                </w:tcPr>
                <w:p w14:paraId="50F32A8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210" w:type="pct"/>
                  <w:tcBorders>
                    <w:tl2br w:val="nil"/>
                    <w:tr2bl w:val="nil"/>
                  </w:tcBorders>
                  <w:vAlign w:val="center"/>
                </w:tcPr>
                <w:p w14:paraId="472168F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r>
            <w:tr w14:paraId="107991C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4DFEFA19">
                  <w:pPr>
                    <w:jc w:val="center"/>
                    <w:rPr>
                      <w:rFonts w:hint="default" w:ascii="Times New Roman" w:hAnsi="Times New Roman" w:eastAsia="宋体" w:cs="Times New Roman"/>
                      <w:color w:val="auto"/>
                    </w:rPr>
                  </w:pPr>
                </w:p>
              </w:tc>
              <w:tc>
                <w:tcPr>
                  <w:tcW w:w="420" w:type="pct"/>
                  <w:vMerge w:val="continue"/>
                  <w:tcBorders>
                    <w:tl2br w:val="nil"/>
                    <w:tr2bl w:val="nil"/>
                  </w:tcBorders>
                  <w:vAlign w:val="center"/>
                </w:tcPr>
                <w:p w14:paraId="421C551E">
                  <w:pPr>
                    <w:jc w:val="center"/>
                    <w:rPr>
                      <w:rFonts w:hint="default" w:ascii="Times New Roman" w:hAnsi="Times New Roman" w:eastAsia="宋体" w:cs="Times New Roman"/>
                      <w:color w:val="auto"/>
                    </w:rPr>
                  </w:pPr>
                </w:p>
              </w:tc>
              <w:tc>
                <w:tcPr>
                  <w:tcW w:w="635" w:type="pct"/>
                  <w:tcBorders>
                    <w:tl2br w:val="nil"/>
                    <w:tr2bl w:val="nil"/>
                  </w:tcBorders>
                  <w:vAlign w:val="center"/>
                </w:tcPr>
                <w:p w14:paraId="37132B9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污染物排放管控</w:t>
                  </w:r>
                </w:p>
              </w:tc>
              <w:tc>
                <w:tcPr>
                  <w:tcW w:w="2104" w:type="pct"/>
                  <w:tcBorders>
                    <w:tl2br w:val="nil"/>
                    <w:tr2bl w:val="nil"/>
                  </w:tcBorders>
                  <w:vAlign w:val="center"/>
                </w:tcPr>
                <w:p w14:paraId="319F9A0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967" w:type="pct"/>
                  <w:tcBorders>
                    <w:tl2br w:val="nil"/>
                    <w:tr2bl w:val="nil"/>
                  </w:tcBorders>
                  <w:vAlign w:val="center"/>
                </w:tcPr>
                <w:p w14:paraId="75DB968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210" w:type="pct"/>
                  <w:tcBorders>
                    <w:tl2br w:val="nil"/>
                    <w:tr2bl w:val="nil"/>
                  </w:tcBorders>
                  <w:vAlign w:val="center"/>
                </w:tcPr>
                <w:p w14:paraId="31BE588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r>
            <w:tr w14:paraId="19AB99F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0635289A">
                  <w:pPr>
                    <w:jc w:val="center"/>
                    <w:rPr>
                      <w:rFonts w:hint="default" w:ascii="Times New Roman" w:hAnsi="Times New Roman" w:eastAsia="宋体" w:cs="Times New Roman"/>
                      <w:color w:val="auto"/>
                    </w:rPr>
                  </w:pPr>
                </w:p>
              </w:tc>
              <w:tc>
                <w:tcPr>
                  <w:tcW w:w="420" w:type="pct"/>
                  <w:vMerge w:val="continue"/>
                  <w:tcBorders>
                    <w:tl2br w:val="nil"/>
                    <w:tr2bl w:val="nil"/>
                  </w:tcBorders>
                  <w:vAlign w:val="center"/>
                </w:tcPr>
                <w:p w14:paraId="313EAC3A">
                  <w:pPr>
                    <w:jc w:val="center"/>
                    <w:rPr>
                      <w:rFonts w:hint="default" w:ascii="Times New Roman" w:hAnsi="Times New Roman" w:eastAsia="宋体" w:cs="Times New Roman"/>
                      <w:color w:val="auto"/>
                    </w:rPr>
                  </w:pPr>
                </w:p>
              </w:tc>
              <w:tc>
                <w:tcPr>
                  <w:tcW w:w="635" w:type="pct"/>
                  <w:tcBorders>
                    <w:tl2br w:val="nil"/>
                    <w:tr2bl w:val="nil"/>
                  </w:tcBorders>
                  <w:vAlign w:val="center"/>
                </w:tcPr>
                <w:p w14:paraId="347F0D0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环境风险防控</w:t>
                  </w:r>
                </w:p>
              </w:tc>
              <w:tc>
                <w:tcPr>
                  <w:tcW w:w="2104" w:type="pct"/>
                  <w:tcBorders>
                    <w:tl2br w:val="nil"/>
                    <w:tr2bl w:val="nil"/>
                  </w:tcBorders>
                  <w:vAlign w:val="center"/>
                </w:tcPr>
                <w:p w14:paraId="1A97422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967" w:type="pct"/>
                  <w:tcBorders>
                    <w:tl2br w:val="nil"/>
                    <w:tr2bl w:val="nil"/>
                  </w:tcBorders>
                  <w:vAlign w:val="center"/>
                </w:tcPr>
                <w:p w14:paraId="574955A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210" w:type="pct"/>
                  <w:tcBorders>
                    <w:tl2br w:val="nil"/>
                    <w:tr2bl w:val="nil"/>
                  </w:tcBorders>
                  <w:vAlign w:val="center"/>
                </w:tcPr>
                <w:p w14:paraId="1CD5D10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r>
            <w:tr w14:paraId="297E3E1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7E4DCD4E">
                  <w:pPr>
                    <w:jc w:val="center"/>
                    <w:rPr>
                      <w:rFonts w:hint="default" w:ascii="Times New Roman" w:hAnsi="Times New Roman" w:eastAsia="宋体" w:cs="Times New Roman"/>
                      <w:color w:val="auto"/>
                    </w:rPr>
                  </w:pPr>
                </w:p>
              </w:tc>
              <w:tc>
                <w:tcPr>
                  <w:tcW w:w="420" w:type="pct"/>
                  <w:vMerge w:val="continue"/>
                  <w:tcBorders>
                    <w:tl2br w:val="nil"/>
                    <w:tr2bl w:val="nil"/>
                  </w:tcBorders>
                  <w:vAlign w:val="center"/>
                </w:tcPr>
                <w:p w14:paraId="7C08060B">
                  <w:pPr>
                    <w:jc w:val="center"/>
                    <w:rPr>
                      <w:rFonts w:hint="default" w:ascii="Times New Roman" w:hAnsi="Times New Roman" w:eastAsia="宋体" w:cs="Times New Roman"/>
                      <w:color w:val="auto"/>
                    </w:rPr>
                  </w:pPr>
                </w:p>
              </w:tc>
              <w:tc>
                <w:tcPr>
                  <w:tcW w:w="635" w:type="pct"/>
                  <w:tcBorders>
                    <w:tl2br w:val="nil"/>
                    <w:tr2bl w:val="nil"/>
                  </w:tcBorders>
                  <w:vAlign w:val="center"/>
                </w:tcPr>
                <w:p w14:paraId="745AE94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资源开发效率要求</w:t>
                  </w:r>
                </w:p>
              </w:tc>
              <w:tc>
                <w:tcPr>
                  <w:tcW w:w="2104" w:type="pct"/>
                  <w:tcBorders>
                    <w:tl2br w:val="nil"/>
                    <w:tr2bl w:val="nil"/>
                  </w:tcBorders>
                  <w:vAlign w:val="center"/>
                </w:tcPr>
                <w:p w14:paraId="4215D8D7">
                  <w:pPr>
                    <w:jc w:val="left"/>
                    <w:rPr>
                      <w:rFonts w:hint="default" w:ascii="Times New Roman" w:hAnsi="Times New Roman" w:eastAsia="宋体" w:cs="Times New Roman"/>
                      <w:color w:val="auto"/>
                    </w:rPr>
                  </w:pPr>
                  <w:r>
                    <w:rPr>
                      <w:rFonts w:hint="default" w:ascii="Times New Roman" w:hAnsi="Times New Roman" w:eastAsia="宋体" w:cs="Times New Roman"/>
                      <w:color w:val="auto"/>
                    </w:rPr>
                    <w:t>土地资源开发效率要求</w:t>
                  </w:r>
                </w:p>
                <w:p w14:paraId="361D5DCC">
                  <w:pPr>
                    <w:jc w:val="left"/>
                    <w:rPr>
                      <w:rFonts w:hint="default" w:ascii="Times New Roman" w:hAnsi="Times New Roman" w:eastAsia="宋体" w:cs="Times New Roman"/>
                      <w:color w:val="auto"/>
                    </w:rPr>
                  </w:pPr>
                  <w:r>
                    <w:rPr>
                      <w:rFonts w:hint="default" w:ascii="Times New Roman" w:hAnsi="Times New Roman" w:eastAsia="宋体" w:cs="Times New Roman"/>
                      <w:color w:val="auto"/>
                    </w:rPr>
                    <w:t>能源资源开发效率要求</w:t>
                  </w:r>
                </w:p>
                <w:p w14:paraId="19C70BA3">
                  <w:pPr>
                    <w:jc w:val="left"/>
                    <w:rPr>
                      <w:rFonts w:hint="default" w:ascii="Times New Roman" w:hAnsi="Times New Roman" w:eastAsia="宋体" w:cs="Times New Roman"/>
                      <w:color w:val="auto"/>
                    </w:rPr>
                  </w:pPr>
                  <w:r>
                    <w:rPr>
                      <w:rFonts w:hint="default" w:ascii="Times New Roman" w:hAnsi="Times New Roman" w:eastAsia="宋体" w:cs="Times New Roman"/>
                      <w:color w:val="auto"/>
                    </w:rPr>
                    <w:t>其他资源开发效率要求</w:t>
                  </w:r>
                </w:p>
              </w:tc>
              <w:tc>
                <w:tcPr>
                  <w:tcW w:w="967" w:type="pct"/>
                  <w:tcBorders>
                    <w:tl2br w:val="nil"/>
                    <w:tr2bl w:val="nil"/>
                  </w:tcBorders>
                  <w:vAlign w:val="center"/>
                </w:tcPr>
                <w:p w14:paraId="04CD7EA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本项目资源需求小，符合资源开发效率要求。</w:t>
                  </w:r>
                </w:p>
              </w:tc>
              <w:tc>
                <w:tcPr>
                  <w:tcW w:w="210" w:type="pct"/>
                  <w:tcBorders>
                    <w:tl2br w:val="nil"/>
                    <w:tr2bl w:val="nil"/>
                  </w:tcBorders>
                  <w:vAlign w:val="center"/>
                </w:tcPr>
                <w:p w14:paraId="3793EE3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符合</w:t>
                  </w:r>
                </w:p>
              </w:tc>
            </w:tr>
            <w:tr w14:paraId="39A4073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restart"/>
                  <w:tcBorders>
                    <w:tl2br w:val="nil"/>
                    <w:tr2bl w:val="nil"/>
                  </w:tcBorders>
                  <w:vAlign w:val="center"/>
                </w:tcPr>
                <w:p w14:paraId="7208B33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YS5120221410003</w:t>
                  </w:r>
                  <w:r>
                    <w:rPr>
                      <w:rFonts w:hint="default" w:ascii="Times New Roman" w:hAnsi="Times New Roman" w:eastAsia="宋体" w:cs="Times New Roman"/>
                      <w:color w:val="auto"/>
                    </w:rPr>
                    <w:tab/>
                  </w:r>
                  <w:r>
                    <w:rPr>
                      <w:rFonts w:hint="default" w:ascii="Times New Roman" w:hAnsi="Times New Roman" w:eastAsia="宋体" w:cs="Times New Roman"/>
                      <w:color w:val="auto"/>
                    </w:rPr>
                    <w:t>乐至县土壤优先保护区</w:t>
                  </w:r>
                  <w:r>
                    <w:rPr>
                      <w:rFonts w:hint="default" w:ascii="Times New Roman" w:hAnsi="Times New Roman" w:eastAsia="宋体" w:cs="Times New Roman"/>
                      <w:color w:val="auto"/>
                    </w:rPr>
                    <w:tab/>
                  </w:r>
                  <w:r>
                    <w:rPr>
                      <w:rFonts w:hint="default" w:ascii="Times New Roman" w:hAnsi="Times New Roman" w:eastAsia="宋体" w:cs="Times New Roman"/>
                      <w:color w:val="auto"/>
                    </w:rPr>
                    <w:t>土壤污染风险管控分区</w:t>
                  </w:r>
                  <w:r>
                    <w:rPr>
                      <w:rFonts w:hint="default" w:ascii="Times New Roman" w:hAnsi="Times New Roman" w:eastAsia="宋体" w:cs="Times New Roman"/>
                      <w:color w:val="auto"/>
                    </w:rPr>
                    <w:tab/>
                  </w:r>
                  <w:r>
                    <w:rPr>
                      <w:rFonts w:hint="default" w:ascii="Times New Roman" w:hAnsi="Times New Roman" w:eastAsia="宋体" w:cs="Times New Roman"/>
                      <w:color w:val="auto"/>
                    </w:rPr>
                    <w:t>农用地优先保护区</w:t>
                  </w:r>
                </w:p>
              </w:tc>
              <w:tc>
                <w:tcPr>
                  <w:tcW w:w="420" w:type="pct"/>
                  <w:vMerge w:val="restart"/>
                  <w:tcBorders>
                    <w:tl2br w:val="nil"/>
                    <w:tr2bl w:val="nil"/>
                  </w:tcBorders>
                  <w:vAlign w:val="center"/>
                </w:tcPr>
                <w:p w14:paraId="6B3C8AC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普适性清单管控要求</w:t>
                  </w:r>
                </w:p>
              </w:tc>
              <w:tc>
                <w:tcPr>
                  <w:tcW w:w="635" w:type="pct"/>
                  <w:tcBorders>
                    <w:tl2br w:val="nil"/>
                    <w:tr2bl w:val="nil"/>
                  </w:tcBorders>
                  <w:vAlign w:val="center"/>
                </w:tcPr>
                <w:p w14:paraId="6226870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空间布局约束</w:t>
                  </w:r>
                </w:p>
              </w:tc>
              <w:tc>
                <w:tcPr>
                  <w:tcW w:w="2104" w:type="pct"/>
                  <w:tcBorders>
                    <w:tl2br w:val="nil"/>
                    <w:tr2bl w:val="nil"/>
                  </w:tcBorders>
                  <w:vAlign w:val="center"/>
                </w:tcPr>
                <w:p w14:paraId="78D5BCF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967" w:type="pct"/>
                  <w:tcBorders>
                    <w:tl2br w:val="nil"/>
                    <w:tr2bl w:val="nil"/>
                  </w:tcBorders>
                  <w:vAlign w:val="center"/>
                </w:tcPr>
                <w:p w14:paraId="11D1E71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210" w:type="pct"/>
                  <w:tcBorders>
                    <w:tl2br w:val="nil"/>
                    <w:tr2bl w:val="nil"/>
                  </w:tcBorders>
                  <w:vAlign w:val="center"/>
                </w:tcPr>
                <w:p w14:paraId="28D6046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r>
            <w:tr w14:paraId="1EC07CC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3D58020D">
                  <w:pPr>
                    <w:jc w:val="center"/>
                    <w:rPr>
                      <w:rFonts w:hint="default" w:ascii="Times New Roman" w:hAnsi="Times New Roman" w:eastAsia="宋体" w:cs="Times New Roman"/>
                      <w:color w:val="auto"/>
                    </w:rPr>
                  </w:pPr>
                </w:p>
              </w:tc>
              <w:tc>
                <w:tcPr>
                  <w:tcW w:w="420" w:type="pct"/>
                  <w:vMerge w:val="continue"/>
                  <w:tcBorders>
                    <w:tl2br w:val="nil"/>
                    <w:tr2bl w:val="nil"/>
                  </w:tcBorders>
                  <w:vAlign w:val="center"/>
                </w:tcPr>
                <w:p w14:paraId="68CEB500">
                  <w:pPr>
                    <w:jc w:val="center"/>
                    <w:rPr>
                      <w:rFonts w:hint="default" w:ascii="Times New Roman" w:hAnsi="Times New Roman" w:eastAsia="宋体" w:cs="Times New Roman"/>
                      <w:color w:val="auto"/>
                    </w:rPr>
                  </w:pPr>
                </w:p>
              </w:tc>
              <w:tc>
                <w:tcPr>
                  <w:tcW w:w="635" w:type="pct"/>
                  <w:tcBorders>
                    <w:tl2br w:val="nil"/>
                    <w:tr2bl w:val="nil"/>
                  </w:tcBorders>
                  <w:vAlign w:val="center"/>
                </w:tcPr>
                <w:p w14:paraId="6675765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污染物排放管控</w:t>
                  </w:r>
                </w:p>
              </w:tc>
              <w:tc>
                <w:tcPr>
                  <w:tcW w:w="2104" w:type="pct"/>
                  <w:tcBorders>
                    <w:tl2br w:val="nil"/>
                    <w:tr2bl w:val="nil"/>
                  </w:tcBorders>
                  <w:vAlign w:val="center"/>
                </w:tcPr>
                <w:p w14:paraId="308F772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967" w:type="pct"/>
                  <w:tcBorders>
                    <w:tl2br w:val="nil"/>
                    <w:tr2bl w:val="nil"/>
                  </w:tcBorders>
                  <w:vAlign w:val="center"/>
                </w:tcPr>
                <w:p w14:paraId="336F187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210" w:type="pct"/>
                  <w:tcBorders>
                    <w:tl2br w:val="nil"/>
                    <w:tr2bl w:val="nil"/>
                  </w:tcBorders>
                  <w:vAlign w:val="center"/>
                </w:tcPr>
                <w:p w14:paraId="3DCB7EC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r>
            <w:tr w14:paraId="2D01022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6D17F19A">
                  <w:pPr>
                    <w:jc w:val="center"/>
                    <w:rPr>
                      <w:rFonts w:hint="default" w:ascii="Times New Roman" w:hAnsi="Times New Roman" w:eastAsia="宋体" w:cs="Times New Roman"/>
                      <w:color w:val="auto"/>
                    </w:rPr>
                  </w:pPr>
                </w:p>
              </w:tc>
              <w:tc>
                <w:tcPr>
                  <w:tcW w:w="420" w:type="pct"/>
                  <w:vMerge w:val="continue"/>
                  <w:tcBorders>
                    <w:tl2br w:val="nil"/>
                    <w:tr2bl w:val="nil"/>
                  </w:tcBorders>
                  <w:vAlign w:val="center"/>
                </w:tcPr>
                <w:p w14:paraId="1967258B">
                  <w:pPr>
                    <w:jc w:val="center"/>
                    <w:rPr>
                      <w:rFonts w:hint="default" w:ascii="Times New Roman" w:hAnsi="Times New Roman" w:eastAsia="宋体" w:cs="Times New Roman"/>
                      <w:color w:val="auto"/>
                    </w:rPr>
                  </w:pPr>
                </w:p>
              </w:tc>
              <w:tc>
                <w:tcPr>
                  <w:tcW w:w="635" w:type="pct"/>
                  <w:tcBorders>
                    <w:tl2br w:val="nil"/>
                    <w:tr2bl w:val="nil"/>
                  </w:tcBorders>
                  <w:vAlign w:val="center"/>
                </w:tcPr>
                <w:p w14:paraId="23B1666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环境风险防控</w:t>
                  </w:r>
                </w:p>
              </w:tc>
              <w:tc>
                <w:tcPr>
                  <w:tcW w:w="2104" w:type="pct"/>
                  <w:tcBorders>
                    <w:tl2br w:val="nil"/>
                    <w:tr2bl w:val="nil"/>
                  </w:tcBorders>
                  <w:vAlign w:val="center"/>
                </w:tcPr>
                <w:p w14:paraId="72FECF3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967" w:type="pct"/>
                  <w:tcBorders>
                    <w:tl2br w:val="nil"/>
                    <w:tr2bl w:val="nil"/>
                  </w:tcBorders>
                  <w:vAlign w:val="center"/>
                </w:tcPr>
                <w:p w14:paraId="00A12A0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210" w:type="pct"/>
                  <w:tcBorders>
                    <w:tl2br w:val="nil"/>
                    <w:tr2bl w:val="nil"/>
                  </w:tcBorders>
                  <w:vAlign w:val="center"/>
                </w:tcPr>
                <w:p w14:paraId="3CD1503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r>
            <w:tr w14:paraId="7E1D1AE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7AB74ED8">
                  <w:pPr>
                    <w:jc w:val="center"/>
                    <w:rPr>
                      <w:rFonts w:hint="default" w:ascii="Times New Roman" w:hAnsi="Times New Roman" w:eastAsia="宋体" w:cs="Times New Roman"/>
                      <w:color w:val="auto"/>
                    </w:rPr>
                  </w:pPr>
                </w:p>
              </w:tc>
              <w:tc>
                <w:tcPr>
                  <w:tcW w:w="420" w:type="pct"/>
                  <w:vMerge w:val="continue"/>
                  <w:tcBorders>
                    <w:tl2br w:val="nil"/>
                    <w:tr2bl w:val="nil"/>
                  </w:tcBorders>
                  <w:vAlign w:val="center"/>
                </w:tcPr>
                <w:p w14:paraId="7EEDB898">
                  <w:pPr>
                    <w:jc w:val="center"/>
                    <w:rPr>
                      <w:rFonts w:hint="default" w:ascii="Times New Roman" w:hAnsi="Times New Roman" w:eastAsia="宋体" w:cs="Times New Roman"/>
                      <w:color w:val="auto"/>
                    </w:rPr>
                  </w:pPr>
                </w:p>
              </w:tc>
              <w:tc>
                <w:tcPr>
                  <w:tcW w:w="635" w:type="pct"/>
                  <w:tcBorders>
                    <w:tl2br w:val="nil"/>
                    <w:tr2bl w:val="nil"/>
                  </w:tcBorders>
                  <w:vAlign w:val="center"/>
                </w:tcPr>
                <w:p w14:paraId="3EAF4AA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资源开发效率要求</w:t>
                  </w:r>
                </w:p>
              </w:tc>
              <w:tc>
                <w:tcPr>
                  <w:tcW w:w="2104" w:type="pct"/>
                  <w:tcBorders>
                    <w:tl2br w:val="nil"/>
                    <w:tr2bl w:val="nil"/>
                  </w:tcBorders>
                  <w:vAlign w:val="center"/>
                </w:tcPr>
                <w:p w14:paraId="311D51D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967" w:type="pct"/>
                  <w:tcBorders>
                    <w:tl2br w:val="nil"/>
                    <w:tr2bl w:val="nil"/>
                  </w:tcBorders>
                  <w:vAlign w:val="center"/>
                </w:tcPr>
                <w:p w14:paraId="16C653A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210" w:type="pct"/>
                  <w:tcBorders>
                    <w:tl2br w:val="nil"/>
                    <w:tr2bl w:val="nil"/>
                  </w:tcBorders>
                  <w:vAlign w:val="center"/>
                </w:tcPr>
                <w:p w14:paraId="7ABDBCA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r>
            <w:tr w14:paraId="734D179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328EF1A5">
                  <w:pPr>
                    <w:jc w:val="center"/>
                    <w:rPr>
                      <w:rFonts w:hint="default" w:ascii="Times New Roman" w:hAnsi="Times New Roman" w:eastAsia="宋体" w:cs="Times New Roman"/>
                      <w:color w:val="auto"/>
                    </w:rPr>
                  </w:pPr>
                </w:p>
              </w:tc>
              <w:tc>
                <w:tcPr>
                  <w:tcW w:w="420" w:type="pct"/>
                  <w:vMerge w:val="restart"/>
                  <w:tcBorders>
                    <w:tl2br w:val="nil"/>
                    <w:tr2bl w:val="nil"/>
                  </w:tcBorders>
                  <w:vAlign w:val="center"/>
                </w:tcPr>
                <w:p w14:paraId="7412937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单元级清单管控要求</w:t>
                  </w:r>
                </w:p>
              </w:tc>
              <w:tc>
                <w:tcPr>
                  <w:tcW w:w="635" w:type="pct"/>
                  <w:tcBorders>
                    <w:tl2br w:val="nil"/>
                    <w:tr2bl w:val="nil"/>
                  </w:tcBorders>
                  <w:vAlign w:val="center"/>
                </w:tcPr>
                <w:p w14:paraId="25EA05F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空间布局约束</w:t>
                  </w:r>
                </w:p>
              </w:tc>
              <w:tc>
                <w:tcPr>
                  <w:tcW w:w="2104" w:type="pct"/>
                  <w:tcBorders>
                    <w:tl2br w:val="nil"/>
                    <w:tr2bl w:val="nil"/>
                  </w:tcBorders>
                  <w:vAlign w:val="center"/>
                </w:tcPr>
                <w:p w14:paraId="4C77EB0C">
                  <w:pPr>
                    <w:rPr>
                      <w:rFonts w:hint="default" w:ascii="Times New Roman" w:hAnsi="Times New Roman" w:eastAsia="宋体" w:cs="Times New Roman"/>
                      <w:color w:val="auto"/>
                    </w:rPr>
                  </w:pPr>
                  <w:r>
                    <w:rPr>
                      <w:rFonts w:hint="default" w:ascii="Times New Roman" w:hAnsi="Times New Roman" w:eastAsia="宋体" w:cs="Times New Roman"/>
                      <w:color w:val="auto"/>
                    </w:rPr>
                    <w:t>禁止开发建设活动的要求</w:t>
                  </w:r>
                </w:p>
                <w:p w14:paraId="725C6FD5">
                  <w:pPr>
                    <w:rPr>
                      <w:rFonts w:hint="default" w:ascii="Times New Roman" w:hAnsi="Times New Roman" w:eastAsia="宋体" w:cs="Times New Roman"/>
                      <w:color w:val="auto"/>
                    </w:rPr>
                  </w:pPr>
                  <w:r>
                    <w:rPr>
                      <w:rFonts w:hint="default" w:ascii="Times New Roman" w:hAnsi="Times New Roman" w:eastAsia="宋体" w:cs="Times New Roman"/>
                      <w:color w:val="auto"/>
                    </w:rPr>
                    <w:t>限制开发建设活动的要求</w:t>
                  </w:r>
                </w:p>
                <w:p w14:paraId="58936F5A">
                  <w:pPr>
                    <w:rPr>
                      <w:rFonts w:hint="default" w:ascii="Times New Roman" w:hAnsi="Times New Roman" w:eastAsia="宋体" w:cs="Times New Roman"/>
                      <w:color w:val="auto"/>
                    </w:rPr>
                  </w:pPr>
                  <w:r>
                    <w:rPr>
                      <w:rFonts w:hint="default" w:ascii="Times New Roman" w:hAnsi="Times New Roman" w:eastAsia="宋体" w:cs="Times New Roman"/>
                      <w:color w:val="auto"/>
                    </w:rPr>
                    <w:t>允许开发建设活动的要求</w:t>
                  </w:r>
                </w:p>
                <w:p w14:paraId="3B625C9F">
                  <w:pPr>
                    <w:rPr>
                      <w:rFonts w:hint="default" w:ascii="Times New Roman" w:hAnsi="Times New Roman" w:eastAsia="宋体" w:cs="Times New Roman"/>
                      <w:color w:val="auto"/>
                    </w:rPr>
                  </w:pPr>
                  <w:r>
                    <w:rPr>
                      <w:rFonts w:hint="default" w:ascii="Times New Roman" w:hAnsi="Times New Roman" w:eastAsia="宋体" w:cs="Times New Roman"/>
                      <w:color w:val="auto"/>
                    </w:rPr>
                    <w:t>不符合空间布局要求活动的退出要求</w:t>
                  </w:r>
                </w:p>
                <w:p w14:paraId="7358EE2A">
                  <w:pPr>
                    <w:rPr>
                      <w:rFonts w:hint="default" w:ascii="Times New Roman" w:hAnsi="Times New Roman" w:eastAsia="宋体" w:cs="Times New Roman"/>
                      <w:color w:val="auto"/>
                    </w:rPr>
                  </w:pPr>
                  <w:r>
                    <w:rPr>
                      <w:rFonts w:hint="default" w:ascii="Times New Roman" w:hAnsi="Times New Roman" w:eastAsia="宋体" w:cs="Times New Roman"/>
                      <w:color w:val="auto"/>
                    </w:rPr>
                    <w:t>其他空间布局约束要求</w:t>
                  </w:r>
                </w:p>
              </w:tc>
              <w:tc>
                <w:tcPr>
                  <w:tcW w:w="967" w:type="pct"/>
                  <w:tcBorders>
                    <w:tl2br w:val="nil"/>
                    <w:tr2bl w:val="nil"/>
                  </w:tcBorders>
                  <w:vAlign w:val="center"/>
                </w:tcPr>
                <w:p w14:paraId="69CB8BB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本项目不属于禁止开发活动，限制开发建设活动。</w:t>
                  </w:r>
                </w:p>
              </w:tc>
              <w:tc>
                <w:tcPr>
                  <w:tcW w:w="210" w:type="pct"/>
                  <w:tcBorders>
                    <w:tl2br w:val="nil"/>
                    <w:tr2bl w:val="nil"/>
                  </w:tcBorders>
                  <w:vAlign w:val="center"/>
                </w:tcPr>
                <w:p w14:paraId="1520893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符合</w:t>
                  </w:r>
                </w:p>
              </w:tc>
            </w:tr>
            <w:tr w14:paraId="6895A4F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45B99552">
                  <w:pPr>
                    <w:jc w:val="center"/>
                    <w:rPr>
                      <w:rFonts w:hint="default" w:ascii="Times New Roman" w:hAnsi="Times New Roman" w:eastAsia="宋体" w:cs="Times New Roman"/>
                      <w:color w:val="auto"/>
                    </w:rPr>
                  </w:pPr>
                </w:p>
              </w:tc>
              <w:tc>
                <w:tcPr>
                  <w:tcW w:w="420" w:type="pct"/>
                  <w:vMerge w:val="continue"/>
                  <w:tcBorders>
                    <w:tl2br w:val="nil"/>
                    <w:tr2bl w:val="nil"/>
                  </w:tcBorders>
                  <w:vAlign w:val="center"/>
                </w:tcPr>
                <w:p w14:paraId="2A41A0D6">
                  <w:pPr>
                    <w:jc w:val="center"/>
                    <w:rPr>
                      <w:rFonts w:hint="default" w:ascii="Times New Roman" w:hAnsi="Times New Roman" w:eastAsia="宋体" w:cs="Times New Roman"/>
                      <w:color w:val="auto"/>
                    </w:rPr>
                  </w:pPr>
                </w:p>
              </w:tc>
              <w:tc>
                <w:tcPr>
                  <w:tcW w:w="635" w:type="pct"/>
                  <w:tcBorders>
                    <w:tl2br w:val="nil"/>
                    <w:tr2bl w:val="nil"/>
                  </w:tcBorders>
                  <w:vAlign w:val="center"/>
                </w:tcPr>
                <w:p w14:paraId="308470B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污染物排放管控</w:t>
                  </w:r>
                </w:p>
              </w:tc>
              <w:tc>
                <w:tcPr>
                  <w:tcW w:w="2104" w:type="pct"/>
                  <w:tcBorders>
                    <w:tl2br w:val="nil"/>
                    <w:tr2bl w:val="nil"/>
                  </w:tcBorders>
                  <w:vAlign w:val="center"/>
                </w:tcPr>
                <w:p w14:paraId="768F37C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967" w:type="pct"/>
                  <w:tcBorders>
                    <w:tl2br w:val="nil"/>
                    <w:tr2bl w:val="nil"/>
                  </w:tcBorders>
                  <w:vAlign w:val="center"/>
                </w:tcPr>
                <w:p w14:paraId="7696327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210" w:type="pct"/>
                  <w:tcBorders>
                    <w:tl2br w:val="nil"/>
                    <w:tr2bl w:val="nil"/>
                  </w:tcBorders>
                  <w:vAlign w:val="center"/>
                </w:tcPr>
                <w:p w14:paraId="11441C2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r>
            <w:tr w14:paraId="0CE9A8D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41832F7C">
                  <w:pPr>
                    <w:jc w:val="center"/>
                    <w:rPr>
                      <w:rFonts w:hint="default" w:ascii="Times New Roman" w:hAnsi="Times New Roman" w:eastAsia="宋体" w:cs="Times New Roman"/>
                      <w:color w:val="auto"/>
                    </w:rPr>
                  </w:pPr>
                </w:p>
              </w:tc>
              <w:tc>
                <w:tcPr>
                  <w:tcW w:w="420" w:type="pct"/>
                  <w:vMerge w:val="continue"/>
                  <w:tcBorders>
                    <w:tl2br w:val="nil"/>
                    <w:tr2bl w:val="nil"/>
                  </w:tcBorders>
                  <w:vAlign w:val="center"/>
                </w:tcPr>
                <w:p w14:paraId="2F21825F">
                  <w:pPr>
                    <w:jc w:val="center"/>
                    <w:rPr>
                      <w:rFonts w:hint="default" w:ascii="Times New Roman" w:hAnsi="Times New Roman" w:eastAsia="宋体" w:cs="Times New Roman"/>
                      <w:color w:val="auto"/>
                    </w:rPr>
                  </w:pPr>
                </w:p>
              </w:tc>
              <w:tc>
                <w:tcPr>
                  <w:tcW w:w="635" w:type="pct"/>
                  <w:tcBorders>
                    <w:tl2br w:val="nil"/>
                    <w:tr2bl w:val="nil"/>
                  </w:tcBorders>
                  <w:vAlign w:val="center"/>
                </w:tcPr>
                <w:p w14:paraId="19AA7F2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环境风险防控</w:t>
                  </w:r>
                </w:p>
              </w:tc>
              <w:tc>
                <w:tcPr>
                  <w:tcW w:w="2104" w:type="pct"/>
                  <w:tcBorders>
                    <w:tl2br w:val="nil"/>
                    <w:tr2bl w:val="nil"/>
                  </w:tcBorders>
                  <w:vAlign w:val="center"/>
                </w:tcPr>
                <w:p w14:paraId="1BBC1FE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967" w:type="pct"/>
                  <w:tcBorders>
                    <w:tl2br w:val="nil"/>
                    <w:tr2bl w:val="nil"/>
                  </w:tcBorders>
                  <w:vAlign w:val="center"/>
                </w:tcPr>
                <w:p w14:paraId="5E801B7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210" w:type="pct"/>
                  <w:tcBorders>
                    <w:tl2br w:val="nil"/>
                    <w:tr2bl w:val="nil"/>
                  </w:tcBorders>
                  <w:vAlign w:val="center"/>
                </w:tcPr>
                <w:p w14:paraId="3D96262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r>
            <w:tr w14:paraId="135DAB9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0ADC3D68">
                  <w:pPr>
                    <w:jc w:val="center"/>
                    <w:rPr>
                      <w:rFonts w:hint="default" w:ascii="Times New Roman" w:hAnsi="Times New Roman" w:eastAsia="宋体" w:cs="Times New Roman"/>
                      <w:color w:val="auto"/>
                    </w:rPr>
                  </w:pPr>
                </w:p>
              </w:tc>
              <w:tc>
                <w:tcPr>
                  <w:tcW w:w="420" w:type="pct"/>
                  <w:vMerge w:val="continue"/>
                  <w:tcBorders>
                    <w:tl2br w:val="nil"/>
                    <w:tr2bl w:val="nil"/>
                  </w:tcBorders>
                  <w:vAlign w:val="center"/>
                </w:tcPr>
                <w:p w14:paraId="38076E25">
                  <w:pPr>
                    <w:jc w:val="center"/>
                    <w:rPr>
                      <w:rFonts w:hint="default" w:ascii="Times New Roman" w:hAnsi="Times New Roman" w:eastAsia="宋体" w:cs="Times New Roman"/>
                      <w:color w:val="auto"/>
                    </w:rPr>
                  </w:pPr>
                </w:p>
              </w:tc>
              <w:tc>
                <w:tcPr>
                  <w:tcW w:w="635" w:type="pct"/>
                  <w:tcBorders>
                    <w:tl2br w:val="nil"/>
                    <w:tr2bl w:val="nil"/>
                  </w:tcBorders>
                  <w:vAlign w:val="center"/>
                </w:tcPr>
                <w:p w14:paraId="4FBA52F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资源开发效率要求</w:t>
                  </w:r>
                </w:p>
              </w:tc>
              <w:tc>
                <w:tcPr>
                  <w:tcW w:w="2104" w:type="pct"/>
                  <w:tcBorders>
                    <w:tl2br w:val="nil"/>
                    <w:tr2bl w:val="nil"/>
                  </w:tcBorders>
                  <w:vAlign w:val="center"/>
                </w:tcPr>
                <w:p w14:paraId="695785D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967" w:type="pct"/>
                  <w:tcBorders>
                    <w:tl2br w:val="nil"/>
                    <w:tr2bl w:val="nil"/>
                  </w:tcBorders>
                  <w:vAlign w:val="center"/>
                </w:tcPr>
                <w:p w14:paraId="59DFE70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210" w:type="pct"/>
                  <w:tcBorders>
                    <w:tl2br w:val="nil"/>
                    <w:tr2bl w:val="nil"/>
                  </w:tcBorders>
                  <w:vAlign w:val="center"/>
                </w:tcPr>
                <w:p w14:paraId="7C398EA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r>
          </w:tbl>
          <w:p w14:paraId="33F0D0AC">
            <w:pPr>
              <w:pStyle w:val="21"/>
              <w:widowControl w:val="0"/>
              <w:kinsoku/>
              <w:autoSpaceDE/>
              <w:autoSpaceDN/>
              <w:adjustRightInd/>
              <w:snapToGrid/>
              <w:spacing w:line="360" w:lineRule="auto"/>
              <w:ind w:firstLine="480"/>
              <w:textAlignment w:val="auto"/>
              <w:rPr>
                <w:rFonts w:hint="default" w:ascii="Times New Roman" w:hAnsi="Times New Roman" w:eastAsia="宋体" w:cs="Times New Roman"/>
                <w:color w:val="auto"/>
                <w:lang w:val="en-US" w:eastAsia="zh-CN"/>
              </w:rPr>
            </w:pPr>
          </w:p>
          <w:p w14:paraId="1884B774">
            <w:pPr>
              <w:pStyle w:val="21"/>
              <w:widowControl w:val="0"/>
              <w:kinsoku/>
              <w:autoSpaceDE/>
              <w:autoSpaceDN/>
              <w:adjustRightInd/>
              <w:snapToGrid/>
              <w:spacing w:line="360" w:lineRule="auto"/>
              <w:ind w:firstLine="48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4)良安镇</w:t>
            </w:r>
          </w:p>
          <w:p w14:paraId="2335ABD2">
            <w:pPr>
              <w:pStyle w:val="21"/>
              <w:widowControl w:val="0"/>
              <w:kinsoku/>
              <w:autoSpaceDE/>
              <w:autoSpaceDN/>
              <w:adjustRightInd/>
              <w:snapToGrid/>
              <w:spacing w:line="360" w:lineRule="auto"/>
              <w:ind w:firstLine="48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（1）项目拟建区域管控单元识别</w:t>
            </w:r>
          </w:p>
          <w:p w14:paraId="6E812FF2">
            <w:pPr>
              <w:pStyle w:val="21"/>
              <w:widowControl w:val="0"/>
              <w:kinsoku/>
              <w:autoSpaceDE/>
              <w:autoSpaceDN/>
              <w:adjustRightInd/>
              <w:snapToGrid/>
              <w:spacing w:line="360" w:lineRule="auto"/>
              <w:ind w:firstLine="48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根据四川省生态环境厅“三线一单”符合性分析系统识别系统结果，本项目</w:t>
            </w:r>
            <w:r>
              <w:rPr>
                <w:rFonts w:hint="default" w:ascii="Times New Roman" w:hAnsi="Times New Roman" w:eastAsia="宋体" w:cs="Times New Roman"/>
                <w:b/>
                <w:bCs/>
                <w:color w:val="auto"/>
              </w:rPr>
              <w:t>良安镇</w:t>
            </w:r>
            <w:r>
              <w:rPr>
                <w:rFonts w:hint="default" w:ascii="Times New Roman" w:hAnsi="Times New Roman" w:eastAsia="宋体" w:cs="Times New Roman"/>
                <w:color w:val="auto"/>
              </w:rPr>
              <w:t>拟建区域共涉及</w:t>
            </w:r>
            <w:r>
              <w:rPr>
                <w:rFonts w:hint="default" w:ascii="Times New Roman" w:hAnsi="Times New Roman" w:eastAsia="宋体" w:cs="Times New Roman"/>
                <w:color w:val="auto"/>
                <w:lang w:val="en-US" w:eastAsia="zh-CN"/>
              </w:rPr>
              <w:t>6</w:t>
            </w:r>
            <w:r>
              <w:rPr>
                <w:rFonts w:hint="default" w:ascii="Times New Roman" w:hAnsi="Times New Roman" w:eastAsia="宋体" w:cs="Times New Roman"/>
                <w:color w:val="auto"/>
              </w:rPr>
              <w:t>个管控单元，具体情况见下图。</w:t>
            </w:r>
          </w:p>
          <w:p w14:paraId="2D7789C5">
            <w:pPr>
              <w:spacing w:line="360" w:lineRule="auto"/>
              <w:ind w:firstLine="480" w:firstLineChars="200"/>
              <w:rPr>
                <w:rFonts w:hint="default" w:ascii="Times New Roman" w:hAnsi="Times New Roman" w:eastAsia="宋体" w:cs="Times New Roman"/>
                <w:color w:val="auto"/>
                <w:sz w:val="24"/>
                <w:szCs w:val="24"/>
              </w:rPr>
            </w:pPr>
          </w:p>
          <w:p w14:paraId="6EFF3A3B">
            <w:pPr>
              <w:spacing w:line="360" w:lineRule="auto"/>
              <w:ind w:firstLine="480" w:firstLineChars="200"/>
              <w:rPr>
                <w:rFonts w:hint="default" w:ascii="Times New Roman" w:hAnsi="Times New Roman" w:eastAsia="宋体" w:cs="Times New Roman"/>
                <w:color w:val="auto"/>
                <w:sz w:val="24"/>
                <w:szCs w:val="24"/>
              </w:rPr>
            </w:pPr>
          </w:p>
          <w:p w14:paraId="0F12A478">
            <w:pPr>
              <w:spacing w:line="240" w:lineRule="auto"/>
              <w:jc w:val="center"/>
              <w:rPr>
                <w:rFonts w:hint="default" w:ascii="Times New Roman" w:hAnsi="Times New Roman" w:eastAsia="宋体" w:cs="Times New Roman"/>
                <w:b/>
                <w:bCs/>
                <w:color w:val="auto"/>
                <w:sz w:val="24"/>
                <w:szCs w:val="24"/>
              </w:rPr>
            </w:pPr>
          </w:p>
          <w:p w14:paraId="55D013AE">
            <w:pPr>
              <w:jc w:val="center"/>
              <w:rPr>
                <w:rFonts w:hint="default" w:ascii="Times New Roman" w:hAnsi="Times New Roman" w:eastAsia="宋体" w:cs="Times New Roman"/>
                <w:b/>
                <w:bCs/>
                <w:color w:val="auto"/>
                <w:sz w:val="24"/>
                <w:szCs w:val="24"/>
              </w:rPr>
            </w:pPr>
          </w:p>
          <w:p w14:paraId="23AE1CCF">
            <w:pPr>
              <w:jc w:val="center"/>
              <w:rPr>
                <w:rFonts w:hint="default" w:ascii="Times New Roman" w:hAnsi="Times New Roman" w:eastAsia="宋体" w:cs="Times New Roman"/>
                <w:b w:val="0"/>
                <w:bCs w:val="0"/>
                <w:color w:val="auto"/>
                <w:sz w:val="24"/>
                <w:szCs w:val="24"/>
                <w:lang w:eastAsia="zh-CN"/>
              </w:rPr>
            </w:pPr>
            <w:r>
              <w:rPr>
                <w:rFonts w:hint="default" w:ascii="Times New Roman" w:hAnsi="Times New Roman" w:eastAsia="宋体" w:cs="Times New Roman"/>
                <w:b w:val="0"/>
                <w:bCs w:val="0"/>
                <w:color w:val="auto"/>
                <w:sz w:val="24"/>
                <w:szCs w:val="24"/>
                <w:lang w:eastAsia="zh-CN"/>
              </w:rPr>
              <w:drawing>
                <wp:inline distT="0" distB="0" distL="114300" distR="114300">
                  <wp:extent cx="6971030" cy="5271135"/>
                  <wp:effectExtent l="0" t="0" r="1270" b="5715"/>
                  <wp:docPr id="27" name="图片 27" descr="2000f15e68e1c06ffe31f67b16ea7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2000f15e68e1c06ffe31f67b16ea7f9"/>
                          <pic:cNvPicPr>
                            <a:picLocks noChangeAspect="1"/>
                          </pic:cNvPicPr>
                        </pic:nvPicPr>
                        <pic:blipFill>
                          <a:blip r:embed="rId22"/>
                          <a:stretch>
                            <a:fillRect/>
                          </a:stretch>
                        </pic:blipFill>
                        <pic:spPr>
                          <a:xfrm>
                            <a:off x="0" y="0"/>
                            <a:ext cx="6971030" cy="5271135"/>
                          </a:xfrm>
                          <a:prstGeom prst="rect">
                            <a:avLst/>
                          </a:prstGeom>
                        </pic:spPr>
                      </pic:pic>
                    </a:graphicData>
                  </a:graphic>
                </wp:inline>
              </w:drawing>
            </w:r>
          </w:p>
          <w:p w14:paraId="7D9C8809">
            <w:pPr>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图1-</w:t>
            </w:r>
            <w:r>
              <w:rPr>
                <w:rFonts w:hint="default" w:ascii="Times New Roman" w:hAnsi="Times New Roman" w:eastAsia="宋体" w:cs="Times New Roman"/>
                <w:b/>
                <w:bCs/>
                <w:color w:val="auto"/>
                <w:sz w:val="24"/>
                <w:szCs w:val="24"/>
                <w:lang w:val="en-US" w:eastAsia="zh-CN"/>
              </w:rPr>
              <w:t>7</w:t>
            </w:r>
            <w:r>
              <w:rPr>
                <w:rFonts w:hint="default" w:ascii="Times New Roman" w:hAnsi="Times New Roman" w:eastAsia="宋体" w:cs="Times New Roman"/>
                <w:b/>
                <w:bCs/>
                <w:color w:val="auto"/>
                <w:sz w:val="24"/>
                <w:szCs w:val="24"/>
              </w:rPr>
              <w:t xml:space="preserve">  项目与管控分区截图</w:t>
            </w:r>
          </w:p>
          <w:p w14:paraId="388C78F7">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同时利用“四川省政务网---四川省生态环境厅数据库”可查询本建设项目与“四川省三线一单”符合性分析情况，经查询后可导出分析报告，分析报告明确本项目位于资阳市乐至县环境综合管控单元要素重点管控单元（管控单元名称：乐至县要素重点管控单元1，管控单元编号：ZH51202220007）</w:t>
            </w:r>
          </w:p>
          <w:p w14:paraId="0F465FCA">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本项目与管控单元相对位置如下所示：</w:t>
            </w:r>
          </w:p>
          <w:p w14:paraId="146A169B">
            <w:pPr>
              <w:pStyle w:val="21"/>
              <w:widowControl w:val="0"/>
              <w:kinsoku/>
              <w:autoSpaceDE/>
              <w:autoSpaceDN/>
              <w:adjustRightInd/>
              <w:snapToGrid/>
              <w:spacing w:line="336" w:lineRule="auto"/>
              <w:ind w:firstLine="0" w:firstLineChars="0"/>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sz w:val="28"/>
                <w:szCs w:val="24"/>
              </w:rPr>
              <w:drawing>
                <wp:inline distT="0" distB="0" distL="114300" distR="114300">
                  <wp:extent cx="6350000" cy="3810000"/>
                  <wp:effectExtent l="0" t="0" r="12700" b="0"/>
                  <wp:docPr id="2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
                          <pic:cNvPicPr>
                            <a:picLocks noChangeAspect="1"/>
                          </pic:cNvPicPr>
                        </pic:nvPicPr>
                        <pic:blipFill>
                          <a:blip r:embed="rId23"/>
                          <a:stretch>
                            <a:fillRect/>
                          </a:stretch>
                        </pic:blipFill>
                        <pic:spPr>
                          <a:xfrm>
                            <a:off x="0" y="0"/>
                            <a:ext cx="6350000" cy="3810000"/>
                          </a:xfrm>
                          <a:prstGeom prst="rect">
                            <a:avLst/>
                          </a:prstGeom>
                          <a:noFill/>
                          <a:ln>
                            <a:noFill/>
                          </a:ln>
                        </pic:spPr>
                      </pic:pic>
                    </a:graphicData>
                  </a:graphic>
                </wp:inline>
              </w:drawing>
            </w:r>
          </w:p>
          <w:p w14:paraId="641E32CB">
            <w:pPr>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图1-</w:t>
            </w:r>
            <w:r>
              <w:rPr>
                <w:rFonts w:hint="default" w:ascii="Times New Roman" w:hAnsi="Times New Roman" w:eastAsia="宋体" w:cs="Times New Roman"/>
                <w:b/>
                <w:bCs/>
                <w:color w:val="auto"/>
                <w:sz w:val="24"/>
                <w:szCs w:val="24"/>
                <w:lang w:val="en-US" w:eastAsia="zh-CN"/>
              </w:rPr>
              <w:t>8</w:t>
            </w:r>
            <w:r>
              <w:rPr>
                <w:rFonts w:hint="default" w:ascii="Times New Roman" w:hAnsi="Times New Roman" w:eastAsia="宋体" w:cs="Times New Roman"/>
                <w:b/>
                <w:bCs/>
                <w:color w:val="auto"/>
                <w:sz w:val="24"/>
                <w:szCs w:val="24"/>
              </w:rPr>
              <w:t xml:space="preserve"> 本项目与管控单元相对位置图</w:t>
            </w:r>
          </w:p>
          <w:p w14:paraId="12DAD6E2">
            <w:pPr>
              <w:pStyle w:val="21"/>
              <w:widowControl w:val="0"/>
              <w:kinsoku/>
              <w:autoSpaceDE/>
              <w:autoSpaceDN/>
              <w:adjustRightInd/>
              <w:snapToGrid/>
              <w:spacing w:line="336" w:lineRule="auto"/>
              <w:ind w:firstLine="420"/>
              <w:textAlignment w:val="auto"/>
              <w:rPr>
                <w:rFonts w:hint="default" w:ascii="Times New Roman" w:hAnsi="Times New Roman" w:eastAsia="宋体" w:cs="Times New Roman"/>
                <w:color w:val="auto"/>
              </w:rPr>
            </w:pPr>
          </w:p>
          <w:p w14:paraId="6099656F">
            <w:pPr>
              <w:pStyle w:val="21"/>
              <w:widowControl w:val="0"/>
              <w:kinsoku/>
              <w:autoSpaceDE/>
              <w:autoSpaceDN/>
              <w:adjustRightInd/>
              <w:snapToGrid/>
              <w:spacing w:line="360" w:lineRule="auto"/>
              <w:ind w:firstLine="48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（2）生态环境准入清单符合性分析</w:t>
            </w:r>
          </w:p>
          <w:p w14:paraId="7B7B6B83">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本项目与各个管控单元要求符合性分析见下表：</w:t>
            </w:r>
          </w:p>
          <w:p w14:paraId="53C0E443">
            <w:pPr>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表1-</w:t>
            </w:r>
            <w:r>
              <w:rPr>
                <w:rFonts w:hint="default" w:ascii="Times New Roman" w:hAnsi="Times New Roman" w:eastAsia="宋体" w:cs="Times New Roman"/>
                <w:b/>
                <w:bCs/>
                <w:color w:val="auto"/>
                <w:sz w:val="24"/>
                <w:szCs w:val="24"/>
                <w:lang w:val="en-US" w:eastAsia="zh-CN"/>
              </w:rPr>
              <w:t>6</w:t>
            </w:r>
            <w:r>
              <w:rPr>
                <w:rFonts w:hint="default" w:ascii="Times New Roman" w:hAnsi="Times New Roman" w:eastAsia="宋体" w:cs="Times New Roman"/>
                <w:b/>
                <w:bCs/>
                <w:color w:val="auto"/>
                <w:sz w:val="24"/>
                <w:szCs w:val="24"/>
              </w:rPr>
              <w:t xml:space="preserve">  本项目与管控单元符合性分析一览表</w:t>
            </w:r>
          </w:p>
          <w:tbl>
            <w:tblPr>
              <w:tblStyle w:val="43"/>
              <w:tblW w:w="4997"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881"/>
              <w:gridCol w:w="1195"/>
              <w:gridCol w:w="1807"/>
              <w:gridCol w:w="5986"/>
              <w:gridCol w:w="2752"/>
              <w:gridCol w:w="599"/>
            </w:tblGrid>
            <w:tr w14:paraId="0365277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1716" w:type="pct"/>
                  <w:gridSpan w:val="3"/>
                  <w:tcBorders>
                    <w:tl2br w:val="nil"/>
                    <w:tr2bl w:val="nil"/>
                  </w:tcBorders>
                  <w:vAlign w:val="center"/>
                </w:tcPr>
                <w:p w14:paraId="2182349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类别</w:t>
                  </w:r>
                </w:p>
              </w:tc>
              <w:tc>
                <w:tcPr>
                  <w:tcW w:w="2103" w:type="pct"/>
                  <w:tcBorders>
                    <w:tl2br w:val="nil"/>
                    <w:tr2bl w:val="nil"/>
                  </w:tcBorders>
                  <w:vAlign w:val="center"/>
                </w:tcPr>
                <w:p w14:paraId="6CC7707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对应管控要求</w:t>
                  </w:r>
                </w:p>
              </w:tc>
              <w:tc>
                <w:tcPr>
                  <w:tcW w:w="967" w:type="pct"/>
                  <w:tcBorders>
                    <w:tl2br w:val="nil"/>
                    <w:tr2bl w:val="nil"/>
                  </w:tcBorders>
                  <w:vAlign w:val="center"/>
                </w:tcPr>
                <w:p w14:paraId="60831597">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项目对应情况介绍</w:t>
                  </w:r>
                </w:p>
              </w:tc>
              <w:tc>
                <w:tcPr>
                  <w:tcW w:w="210" w:type="pct"/>
                  <w:tcBorders>
                    <w:tl2br w:val="nil"/>
                    <w:tr2bl w:val="nil"/>
                  </w:tcBorders>
                  <w:vAlign w:val="center"/>
                </w:tcPr>
                <w:p w14:paraId="6AEDBAB4">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符合性分析</w:t>
                  </w:r>
                </w:p>
              </w:tc>
            </w:tr>
            <w:tr w14:paraId="10050AB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9" w:hRule="atLeast"/>
                <w:jc w:val="center"/>
              </w:trPr>
              <w:tc>
                <w:tcPr>
                  <w:tcW w:w="661" w:type="pct"/>
                  <w:vMerge w:val="restart"/>
                  <w:tcBorders>
                    <w:tl2br w:val="nil"/>
                    <w:tr2bl w:val="nil"/>
                  </w:tcBorders>
                  <w:vAlign w:val="center"/>
                </w:tcPr>
                <w:p w14:paraId="089CDD5E">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ZH51202220007</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乐至县要素重点管控单元1</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环境管控单元</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环境综合管控单元要素重点管控单元</w:t>
                  </w:r>
                </w:p>
              </w:tc>
              <w:tc>
                <w:tcPr>
                  <w:tcW w:w="420" w:type="pct"/>
                  <w:vMerge w:val="restart"/>
                  <w:tcBorders>
                    <w:tl2br w:val="nil"/>
                    <w:tr2bl w:val="nil"/>
                  </w:tcBorders>
                  <w:vAlign w:val="center"/>
                </w:tcPr>
                <w:p w14:paraId="600AB353">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普适性清单管控要求</w:t>
                  </w:r>
                </w:p>
              </w:tc>
              <w:tc>
                <w:tcPr>
                  <w:tcW w:w="635" w:type="pct"/>
                  <w:tcBorders>
                    <w:tl2br w:val="nil"/>
                    <w:tr2bl w:val="nil"/>
                  </w:tcBorders>
                  <w:vAlign w:val="center"/>
                </w:tcPr>
                <w:p w14:paraId="65939C80">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2103" w:type="pct"/>
                  <w:tcBorders>
                    <w:tl2br w:val="nil"/>
                    <w:tr2bl w:val="nil"/>
                  </w:tcBorders>
                  <w:vAlign w:val="center"/>
                </w:tcPr>
                <w:p w14:paraId="6877F081">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p w14:paraId="6EB7E49B">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禁止开发建设活动的要求</w:t>
                  </w:r>
                </w:p>
                <w:p w14:paraId="32C2ED26">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（1）禁止在长江干支流岸线一公里范围内新建、扩建化工园区和化工项目。（2）禁止在法律法规规定的禁采区内开采矿产；禁止</w:t>
                  </w:r>
                  <w:r>
                    <w:rPr>
                      <w:rFonts w:hint="default" w:ascii="Times New Roman" w:hAnsi="Times New Roman" w:eastAsia="宋体" w:cs="Times New Roman"/>
                      <w:color w:val="auto"/>
                      <w:sz w:val="21"/>
                      <w:szCs w:val="21"/>
                      <w:lang w:eastAsia="zh-CN"/>
                    </w:rPr>
                    <w:t>非法</w:t>
                  </w:r>
                  <w:r>
                    <w:rPr>
                      <w:rFonts w:hint="default" w:ascii="Times New Roman" w:hAnsi="Times New Roman" w:eastAsia="宋体" w:cs="Times New Roman"/>
                      <w:color w:val="auto"/>
                      <w:sz w:val="21"/>
                      <w:szCs w:val="21"/>
                    </w:rPr>
                    <w:t>采、选、冶严重污染环境的矿产资源。（3）对于基本农田，除法律规定的重点建设项目选址确实无法避让外，其他任何建设不得占用。（4）禁止新引入工业企业（（砖瓦制造、农副产品加工、混凝土及砂石制品制造、矿产资源采选、可再生能源等除外）。（5）现有区外工业企业应逐步向工业园区集中。（6）严控新增建设用地规模和非农建设占用耕地。（7）禁止在畜禽养殖和水产养殖禁养区内新建不符合要求的畜禽养殖和水产养殖项目。</w:t>
                  </w:r>
                </w:p>
                <w:p w14:paraId="6C53523E">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限制开发建设活动的要求</w:t>
                  </w:r>
                </w:p>
                <w:p w14:paraId="2A36B7EF">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单元内新布局工业园区，应结合区域环境特点、三线成果、园区产业类别，充分论证选址的环境合理性。（2）大气布局敏感区、弱扩散区应严格限制布设以钢铁、建材、石化、化工（低污染绿色化工除外）、有色等高污染行业为主导产业的园区；（3）水环境城镇生活污染、农业污染重点管控区应严格限制布设以电力、钢铁、造纸、石化、化工（低耗水绿色化工除外）、印染、化纤等高耗水行业为主导产业的园区。（4）严控在沱江岸线1公里范围内新建涉磷、造纸、印染、制革等项目。</w:t>
                  </w:r>
                </w:p>
                <w:p w14:paraId="3BCAF16F">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不符合空间布局要求活动的退出要求</w:t>
                  </w:r>
                </w:p>
                <w:p w14:paraId="1CBFA32F">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全面取缔蓄禽养殖禁养区内规模化畜禽养殖场，水产养殖禁养区内水产养殖项目。（2）现有白酒企业，用地性质不符合及达不到《发酵酒精和白酒工业水污染物排放标准》的企业应限期整治或适时搬迁。（3）强化监管，防止“散乱污”企业反弹。重点清理整治与成德眉交界区域的“散乱污”企业，实现 “散乱污”企业动态清零。（4）强化现有化工企业监管，存在违法违规行企业限期整改，整改后仍不能达到要求的依法关闭，鼓励企业搬入合规园区。</w:t>
                  </w:r>
                </w:p>
                <w:p w14:paraId="6CBCFB3A">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其他空间布局约束要求</w:t>
                  </w:r>
                </w:p>
                <w:p w14:paraId="3E4113CC">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暂无</w:t>
                  </w:r>
                </w:p>
              </w:tc>
              <w:tc>
                <w:tcPr>
                  <w:tcW w:w="967" w:type="pct"/>
                  <w:tcBorders>
                    <w:tl2br w:val="nil"/>
                    <w:tr2bl w:val="nil"/>
                  </w:tcBorders>
                  <w:vAlign w:val="center"/>
                </w:tcPr>
                <w:p w14:paraId="2049ACA2">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本项目位于资阳市乐至城区及乡镇，为国家储备林建设及森林质量项目，不属于工业企业。</w:t>
                  </w:r>
                </w:p>
              </w:tc>
              <w:tc>
                <w:tcPr>
                  <w:tcW w:w="210" w:type="pct"/>
                  <w:tcBorders>
                    <w:tl2br w:val="nil"/>
                    <w:tr2bl w:val="nil"/>
                  </w:tcBorders>
                  <w:vAlign w:val="center"/>
                </w:tcPr>
                <w:p w14:paraId="2ADD4A0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12B336C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2F2070EA">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7376A349">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1D7C987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2103" w:type="pct"/>
                  <w:tcBorders>
                    <w:tl2br w:val="nil"/>
                    <w:tr2bl w:val="nil"/>
                  </w:tcBorders>
                  <w:vAlign w:val="center"/>
                </w:tcPr>
                <w:p w14:paraId="478EEA80">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p w14:paraId="79FBD702">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允许排放量要求</w:t>
                  </w:r>
                </w:p>
                <w:p w14:paraId="6714A0C5">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暂无</w:t>
                  </w:r>
                </w:p>
                <w:p w14:paraId="656D4553">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现有源提标升级改造</w:t>
                  </w:r>
                </w:p>
                <w:p w14:paraId="1B08E16A">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推进乡镇现有污水处理设施升级改造，完善污水收集管网，沱江流域处理能力达到1000吨日以上的污水处理厂执行《四川省岷江、沱江流域水污染物排放标准》。（2）加强与改厕工作相衔接，推进农村生活污水资源化利用。梯次推进农村生活污水治理，农村生活污水处理设施执行《四川省农村生活污水处理设施水污染物排放标准》（DB51 2626—2019）。到2025年，85%以上的行政村农村污水得到有效治理。（3）加强畜禽养殖污染治理，规模养殖场全部配套粪污处置设施，推进粪污资源化利用。沱江流域规模化畜禽养殖场废水排放应执行《四川省岷江、沱江流域水污染物排放标准》。（4）加强水产养殖污染治理，依法拆除禁养区内的网箱养殖设施，推进水产养殖尾水治理和排放申报。（5）砖瓦行业实施脱硫、除尘升级改造，污染物排放达到《砖瓦工业大气污染物排放标准》相关要求。</w:t>
                  </w:r>
                </w:p>
                <w:p w14:paraId="04666C98">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其他污染物排放管控要求</w:t>
                  </w:r>
                </w:p>
                <w:p w14:paraId="6C82E0E4">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新增源排放标准限制：雁江区新、改、扩建工业项目全面执行大气污染物特别排放限值。2、新增源等量或倍量替代：对主要污染物排放超过总量控制要求且环境质量不达标的地区，暂停审批新增污染物排放量的建设项目。3、污染物排放绩效水平准入要求：（1）至2025年底，基本实现乡镇污水处理设施全覆盖，配套建设污水收集管网，乡镇污水处理率力争达到85%。（2）新、改扩建规模化畜禽养殖场（小区）要实施雨污分流，配套粪污处置设施，推进粪便污水资源化利用，至2025年，规模化畜禽养殖场（小区）粪污处理设施装备配套率达到100%，粪污综合利用率达到90%以上；散养密集区要实行畜禽粪便污水分户收集、集中处理利用。（3）屠宰项目必须配套污水处理设施或进入城市污水管网。（4）强化农药、化肥减量工作，积极推广配方肥和商品有机肥，配方施肥覆盖面不低于50%，减少化肥施用和流失，提高化肥利用率。 （5）乡镇及行政村生活垃圾收转运处置体系基本实现全覆盖；（6）推进农业废弃农膜的回收、转运综合利用。到2025年秸秆综合利用率达到95%以上。</w:t>
                  </w:r>
                </w:p>
              </w:tc>
              <w:tc>
                <w:tcPr>
                  <w:tcW w:w="967" w:type="pct"/>
                  <w:tcBorders>
                    <w:tl2br w:val="nil"/>
                    <w:tr2bl w:val="nil"/>
                  </w:tcBorders>
                  <w:vAlign w:val="center"/>
                </w:tcPr>
                <w:p w14:paraId="760146A9">
                  <w:pPr>
                    <w:spacing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本项目为国家储备林建设及森林质量项目，</w:t>
                  </w:r>
                  <w:r>
                    <w:rPr>
                      <w:rFonts w:hint="default" w:ascii="Times New Roman" w:hAnsi="Times New Roman" w:eastAsia="宋体" w:cs="Times New Roman"/>
                      <w:color w:val="auto"/>
                      <w:sz w:val="21"/>
                      <w:szCs w:val="21"/>
                      <w:lang w:eastAsia="zh-CN"/>
                    </w:rPr>
                    <w:t>生活污水经预处理后用作农肥不外排</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eastAsia="zh-CN"/>
                    </w:rPr>
                    <w:t>雨水实行雨污分流符合管控要求</w:t>
                  </w:r>
                  <w:r>
                    <w:rPr>
                      <w:rFonts w:hint="eastAsia" w:ascii="Times New Roman" w:hAnsi="Times New Roman" w:eastAsia="宋体" w:cs="Times New Roman"/>
                      <w:color w:val="auto"/>
                      <w:sz w:val="21"/>
                      <w:szCs w:val="21"/>
                      <w:lang w:eastAsia="zh-CN"/>
                    </w:rPr>
                    <w:t>，施用有机生物肥和复合有机无机配方肥，避免地表撒施，尽量采用低毒、残留期短的农药和生物制剂，既保障栽植苗木生长，也减少化肥农药污染</w:t>
                  </w:r>
                  <w:r>
                    <w:rPr>
                      <w:rFonts w:hint="default" w:ascii="Times New Roman" w:hAnsi="Times New Roman" w:eastAsia="宋体" w:cs="Times New Roman"/>
                      <w:color w:val="auto"/>
                      <w:sz w:val="21"/>
                      <w:szCs w:val="21"/>
                      <w:lang w:eastAsia="zh-CN"/>
                    </w:rPr>
                    <w:t>。</w:t>
                  </w:r>
                </w:p>
              </w:tc>
              <w:tc>
                <w:tcPr>
                  <w:tcW w:w="210" w:type="pct"/>
                  <w:tcBorders>
                    <w:tl2br w:val="nil"/>
                    <w:tr2bl w:val="nil"/>
                  </w:tcBorders>
                  <w:vAlign w:val="center"/>
                </w:tcPr>
                <w:p w14:paraId="1B216DA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55CF906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666A958D">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1687D2D9">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3F0BB5B7">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2103" w:type="pct"/>
                  <w:tcBorders>
                    <w:tl2br w:val="nil"/>
                    <w:tr2bl w:val="nil"/>
                  </w:tcBorders>
                  <w:vAlign w:val="center"/>
                </w:tcPr>
                <w:p w14:paraId="3DCADC4A">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p w14:paraId="39BCD3DA">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联防联控要求</w:t>
                  </w:r>
                </w:p>
                <w:p w14:paraId="5BC5AD5B">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暂无</w:t>
                  </w:r>
                </w:p>
                <w:p w14:paraId="47FB47A2">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其他环境风险防控要求</w:t>
                  </w:r>
                </w:p>
                <w:p w14:paraId="02D0A87F">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用地环境风险防控要求：（1）工业企业退出用地，须经评估、修复满足相应用地功能后，方可改变用途。（2）严禁将城镇生活垃圾、污泥、工业废物直接用作肥料，禁止处理不达标的污泥进入耕地；禁止在农用地排放、倾倒、使用污泥、清淤底泥、尾矿（渣）等可能对土壤造成污染的固体废物。</w:t>
                  </w:r>
                </w:p>
              </w:tc>
              <w:tc>
                <w:tcPr>
                  <w:tcW w:w="967" w:type="pct"/>
                  <w:tcBorders>
                    <w:tl2br w:val="nil"/>
                    <w:tr2bl w:val="nil"/>
                  </w:tcBorders>
                  <w:vAlign w:val="center"/>
                </w:tcPr>
                <w:p w14:paraId="0AFE3840">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乐至县兴茂林业开发有限公司已与项目所在地村民签订林地流转协议，用于储备林项目建设，符合规划。</w:t>
                  </w:r>
                </w:p>
              </w:tc>
              <w:tc>
                <w:tcPr>
                  <w:tcW w:w="210" w:type="pct"/>
                  <w:tcBorders>
                    <w:tl2br w:val="nil"/>
                    <w:tr2bl w:val="nil"/>
                  </w:tcBorders>
                  <w:vAlign w:val="center"/>
                </w:tcPr>
                <w:p w14:paraId="2628F292">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60A87FD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2BB91C14">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3B2802D4">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1468CBF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2103" w:type="pct"/>
                  <w:tcBorders>
                    <w:tl2br w:val="nil"/>
                    <w:tr2bl w:val="nil"/>
                  </w:tcBorders>
                  <w:vAlign w:val="center"/>
                </w:tcPr>
                <w:p w14:paraId="5438479D">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资源开发利用效率要求：</w:t>
                  </w:r>
                </w:p>
                <w:p w14:paraId="31C8497C">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水资源利用总量要求</w:t>
                  </w:r>
                </w:p>
                <w:p w14:paraId="46E4AF5C">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（1）九曲河流域加强再生水利用，有条件的优先使用再用水，减少新鲜水取水量。（2）到2030年，农田灌溉水有效利用系数提高到0.62。</w:t>
                  </w:r>
                </w:p>
                <w:p w14:paraId="5D4B13B6">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地下水开采要求</w:t>
                  </w:r>
                </w:p>
                <w:p w14:paraId="0FE0A64A">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暂无</w:t>
                  </w:r>
                </w:p>
                <w:p w14:paraId="47CCABF0">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能源利用总量及效率要求</w:t>
                  </w:r>
                </w:p>
                <w:p w14:paraId="14D738EB">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（1）严控使用燃煤等高污染燃料，禁止焚烧垃圾。（2）推进清洁能源的推广使用，全面推进散煤清洁化整治。</w:t>
                  </w:r>
                </w:p>
                <w:p w14:paraId="33FD430C">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禁燃区要求</w:t>
                  </w:r>
                </w:p>
                <w:p w14:paraId="4CE4C1D5">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暂无</w:t>
                  </w:r>
                </w:p>
                <w:p w14:paraId="0A3ED52C">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其他资源利用效率要求</w:t>
                  </w:r>
                </w:p>
                <w:p w14:paraId="158D7BB6">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暂无</w:t>
                  </w:r>
                </w:p>
              </w:tc>
              <w:tc>
                <w:tcPr>
                  <w:tcW w:w="967" w:type="pct"/>
                  <w:tcBorders>
                    <w:tl2br w:val="nil"/>
                    <w:tr2bl w:val="nil"/>
                  </w:tcBorders>
                  <w:vAlign w:val="center"/>
                </w:tcPr>
                <w:p w14:paraId="74E9D772">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本项目为国家储备林建设及森林质量项目，不属于使用高污染燃料项目，不属于禁止开发活动，不涉及上述限制开发建设活动。</w:t>
                  </w:r>
                </w:p>
              </w:tc>
              <w:tc>
                <w:tcPr>
                  <w:tcW w:w="210" w:type="pct"/>
                  <w:tcBorders>
                    <w:tl2br w:val="nil"/>
                    <w:tr2bl w:val="nil"/>
                  </w:tcBorders>
                  <w:vAlign w:val="center"/>
                </w:tcPr>
                <w:p w14:paraId="4B8CCC1B">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53297E1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3B201147">
                  <w:pPr>
                    <w:spacing w:line="240" w:lineRule="auto"/>
                    <w:jc w:val="center"/>
                    <w:rPr>
                      <w:rFonts w:hint="default" w:ascii="Times New Roman" w:hAnsi="Times New Roman" w:eastAsia="宋体" w:cs="Times New Roman"/>
                      <w:color w:val="auto"/>
                      <w:sz w:val="21"/>
                      <w:szCs w:val="21"/>
                    </w:rPr>
                  </w:pPr>
                </w:p>
              </w:tc>
              <w:tc>
                <w:tcPr>
                  <w:tcW w:w="420" w:type="pct"/>
                  <w:vMerge w:val="restart"/>
                  <w:tcBorders>
                    <w:tl2br w:val="nil"/>
                    <w:tr2bl w:val="nil"/>
                  </w:tcBorders>
                  <w:vAlign w:val="center"/>
                </w:tcPr>
                <w:p w14:paraId="44AB16C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单元级清单管控要求</w:t>
                  </w:r>
                </w:p>
              </w:tc>
              <w:tc>
                <w:tcPr>
                  <w:tcW w:w="635" w:type="pct"/>
                  <w:tcBorders>
                    <w:tl2br w:val="nil"/>
                    <w:tr2bl w:val="nil"/>
                  </w:tcBorders>
                  <w:vAlign w:val="center"/>
                </w:tcPr>
                <w:p w14:paraId="18FAD497">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5871" w:type="dxa"/>
                  <w:tcBorders>
                    <w:tl2br w:val="nil"/>
                    <w:tr2bl w:val="nil"/>
                  </w:tcBorders>
                  <w:vAlign w:val="center"/>
                </w:tcPr>
                <w:p w14:paraId="4EE72F32">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禁止开发建设活动的要求</w:t>
                  </w:r>
                </w:p>
                <w:p w14:paraId="059A1845">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执行要素重点单元总体准入要求</w:t>
                  </w:r>
                </w:p>
                <w:p w14:paraId="48D933E8">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限制开发建设活动的要求</w:t>
                  </w:r>
                </w:p>
                <w:p w14:paraId="72282D26">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允许开发建设活动的要求</w:t>
                  </w:r>
                </w:p>
                <w:p w14:paraId="51C296E4">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不符合空间布局要求活动的退出要求</w:t>
                  </w:r>
                </w:p>
                <w:p w14:paraId="42DFD996">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执行要素重点单元总体准入要求</w:t>
                  </w:r>
                </w:p>
                <w:p w14:paraId="7165D3EB">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其他空间布局约束要求</w:t>
                  </w:r>
                </w:p>
              </w:tc>
              <w:tc>
                <w:tcPr>
                  <w:tcW w:w="967" w:type="pct"/>
                  <w:tcBorders>
                    <w:tl2br w:val="nil"/>
                    <w:tr2bl w:val="nil"/>
                  </w:tcBorders>
                  <w:vAlign w:val="center"/>
                </w:tcPr>
                <w:p w14:paraId="2AFC0E86">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本项目不属于禁止开发活动，限制开发建设活动。</w:t>
                  </w:r>
                </w:p>
              </w:tc>
              <w:tc>
                <w:tcPr>
                  <w:tcW w:w="210" w:type="pct"/>
                  <w:tcBorders>
                    <w:tl2br w:val="nil"/>
                    <w:tr2bl w:val="nil"/>
                  </w:tcBorders>
                  <w:vAlign w:val="center"/>
                </w:tcPr>
                <w:p w14:paraId="46BA5DB7">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78BC8CD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099F16F0">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4F17485F">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02AC961B">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5871" w:type="dxa"/>
                  <w:tcBorders>
                    <w:tl2br w:val="nil"/>
                    <w:tr2bl w:val="nil"/>
                  </w:tcBorders>
                  <w:vAlign w:val="center"/>
                </w:tcPr>
                <w:p w14:paraId="358638B8">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现有源提标升级改造</w:t>
                  </w:r>
                </w:p>
                <w:p w14:paraId="57C61900">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（1）以水生态修复为基本思路，从水质生态净化、景观提升和水生态环境保护等多方面对饮用水源地进行内源治理。（2）加快索溪河进行河道清淤、河道两岸生态护岸、生态修复及附属雨污截污设施建设</w:t>
                  </w:r>
                </w:p>
                <w:p w14:paraId="164D7DE3">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新增源等量或倍量替代</w:t>
                  </w:r>
                </w:p>
                <w:p w14:paraId="7A1C1B22">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执行要素重点单元总体准入要求</w:t>
                  </w:r>
                </w:p>
                <w:p w14:paraId="42AA4541">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新增源排放标准限值</w:t>
                  </w:r>
                </w:p>
                <w:p w14:paraId="4905E458">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污染物排放绩效水平准入要求</w:t>
                  </w:r>
                </w:p>
                <w:p w14:paraId="209C4D7B">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到2025年底，80%以上的行政村农村生活污水得到有效治理。</w:t>
                  </w:r>
                </w:p>
                <w:p w14:paraId="29E5E95C">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其他污染物排放管控要求</w:t>
                  </w:r>
                </w:p>
              </w:tc>
              <w:tc>
                <w:tcPr>
                  <w:tcW w:w="967" w:type="pct"/>
                  <w:tcBorders>
                    <w:tl2br w:val="nil"/>
                    <w:tr2bl w:val="nil"/>
                  </w:tcBorders>
                  <w:vAlign w:val="center"/>
                </w:tcPr>
                <w:p w14:paraId="0CF743E9">
                  <w:pPr>
                    <w:spacing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本项目</w:t>
                  </w:r>
                  <w:r>
                    <w:rPr>
                      <w:rFonts w:hint="default" w:ascii="Times New Roman" w:hAnsi="Times New Roman" w:eastAsia="宋体" w:cs="Times New Roman"/>
                      <w:color w:val="auto"/>
                      <w:sz w:val="21"/>
                      <w:szCs w:val="21"/>
                      <w:lang w:eastAsia="zh-CN"/>
                    </w:rPr>
                    <w:t>生活污水经预处理后用作农肥不外排</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eastAsia="zh-CN"/>
                    </w:rPr>
                    <w:t>雨水实行雨污分流符合管控要求。</w:t>
                  </w:r>
                </w:p>
              </w:tc>
              <w:tc>
                <w:tcPr>
                  <w:tcW w:w="210" w:type="pct"/>
                  <w:tcBorders>
                    <w:tl2br w:val="nil"/>
                    <w:tr2bl w:val="nil"/>
                  </w:tcBorders>
                  <w:vAlign w:val="center"/>
                </w:tcPr>
                <w:p w14:paraId="0E76511D">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0F27523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7025A90E">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40EC9D38">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57BD551E">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5871" w:type="dxa"/>
                  <w:tcBorders>
                    <w:tl2br w:val="nil"/>
                    <w:tr2bl w:val="nil"/>
                  </w:tcBorders>
                  <w:vAlign w:val="center"/>
                </w:tcPr>
                <w:p w14:paraId="0A656866">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严格管控类农用地管控要求</w:t>
                  </w:r>
                </w:p>
                <w:p w14:paraId="34583E58">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执行要素重点单元总体准入要求</w:t>
                  </w:r>
                </w:p>
                <w:p w14:paraId="02DAC86E">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安全利用类农用地管控要求</w:t>
                  </w:r>
                </w:p>
                <w:p w14:paraId="40DDACB5">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执行要素重点单元总体准入要求</w:t>
                  </w:r>
                </w:p>
                <w:p w14:paraId="03985D43">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污染地块管控要求</w:t>
                  </w:r>
                </w:p>
                <w:p w14:paraId="49F5E523">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执行要素重点单元总体准入要求</w:t>
                  </w:r>
                </w:p>
                <w:p w14:paraId="51775420">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园区环境风险防控要求</w:t>
                  </w:r>
                </w:p>
                <w:p w14:paraId="31ECCAB2">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企业环境风险防控要求</w:t>
                  </w:r>
                </w:p>
                <w:p w14:paraId="27B0887D">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执行要素重点单元总体准入要求</w:t>
                  </w:r>
                </w:p>
                <w:p w14:paraId="5E3B3F7D">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其他环境风险防控要求</w:t>
                  </w:r>
                </w:p>
              </w:tc>
              <w:tc>
                <w:tcPr>
                  <w:tcW w:w="967" w:type="pct"/>
                  <w:tcBorders>
                    <w:tl2br w:val="nil"/>
                    <w:tr2bl w:val="nil"/>
                  </w:tcBorders>
                  <w:vAlign w:val="center"/>
                </w:tcPr>
                <w:p w14:paraId="2B277B30">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本项目为国家储备林建设及森林质量项目，项目的实施不会提高环境风险等级。</w:t>
                  </w:r>
                </w:p>
              </w:tc>
              <w:tc>
                <w:tcPr>
                  <w:tcW w:w="210" w:type="pct"/>
                  <w:tcBorders>
                    <w:tl2br w:val="nil"/>
                    <w:tr2bl w:val="nil"/>
                  </w:tcBorders>
                  <w:vAlign w:val="center"/>
                </w:tcPr>
                <w:p w14:paraId="62708E8E">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776D920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4240BB19">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3AD5A192">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05E8701B">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5871" w:type="dxa"/>
                  <w:tcBorders>
                    <w:tl2br w:val="nil"/>
                    <w:tr2bl w:val="nil"/>
                  </w:tcBorders>
                  <w:vAlign w:val="center"/>
                </w:tcPr>
                <w:p w14:paraId="56B7F4FF">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水资源利用效率要求</w:t>
                  </w:r>
                </w:p>
                <w:p w14:paraId="53FEDE76">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执行要素重点单元总体准入要求</w:t>
                  </w:r>
                </w:p>
                <w:p w14:paraId="02F04A43">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地下水开采要求</w:t>
                  </w:r>
                </w:p>
                <w:p w14:paraId="72080719">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能源利用效率要求</w:t>
                  </w:r>
                </w:p>
                <w:p w14:paraId="3DDF5EB2">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执行要素重点单元总体准入要求</w:t>
                  </w:r>
                </w:p>
                <w:p w14:paraId="7AAF0F45">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其他资源利用效率要求</w:t>
                  </w:r>
                </w:p>
              </w:tc>
              <w:tc>
                <w:tcPr>
                  <w:tcW w:w="967" w:type="pct"/>
                  <w:tcBorders>
                    <w:tl2br w:val="nil"/>
                    <w:tr2bl w:val="nil"/>
                  </w:tcBorders>
                  <w:vAlign w:val="center"/>
                </w:tcPr>
                <w:p w14:paraId="51388FB3">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本项目建设消防水池，用于储存水。</w:t>
                  </w:r>
                </w:p>
              </w:tc>
              <w:tc>
                <w:tcPr>
                  <w:tcW w:w="210" w:type="pct"/>
                  <w:tcBorders>
                    <w:tl2br w:val="nil"/>
                    <w:tr2bl w:val="nil"/>
                  </w:tcBorders>
                  <w:vAlign w:val="center"/>
                </w:tcPr>
                <w:p w14:paraId="1E3EFA48">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408E527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restart"/>
                  <w:tcBorders>
                    <w:tl2br w:val="nil"/>
                    <w:tr2bl w:val="nil"/>
                  </w:tcBorders>
                  <w:vAlign w:val="center"/>
                </w:tcPr>
                <w:p w14:paraId="766CA740">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YS5120222230003</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索溪河乐至县谢家桥控制单元</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水环境管控分区</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水环境农业污染重点管控区</w:t>
                  </w:r>
                </w:p>
              </w:tc>
              <w:tc>
                <w:tcPr>
                  <w:tcW w:w="420" w:type="pct"/>
                  <w:vMerge w:val="restart"/>
                  <w:tcBorders>
                    <w:tl2br w:val="nil"/>
                    <w:tr2bl w:val="nil"/>
                  </w:tcBorders>
                  <w:vAlign w:val="center"/>
                </w:tcPr>
                <w:p w14:paraId="0F3DA434">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普适性清单管控要求</w:t>
                  </w:r>
                </w:p>
              </w:tc>
              <w:tc>
                <w:tcPr>
                  <w:tcW w:w="635" w:type="pct"/>
                  <w:tcBorders>
                    <w:tl2br w:val="nil"/>
                    <w:tr2bl w:val="nil"/>
                  </w:tcBorders>
                  <w:vAlign w:val="center"/>
                </w:tcPr>
                <w:p w14:paraId="4D26793B">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2103" w:type="pct"/>
                  <w:tcBorders>
                    <w:tl2br w:val="nil"/>
                    <w:tr2bl w:val="nil"/>
                  </w:tcBorders>
                  <w:vAlign w:val="center"/>
                </w:tcPr>
                <w:p w14:paraId="113E72C6">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0FDA89F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513C7C6B">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7EE86C1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17526B03">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3D154AD1">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75F3A06B">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2103" w:type="pct"/>
                  <w:tcBorders>
                    <w:tl2br w:val="nil"/>
                    <w:tr2bl w:val="nil"/>
                  </w:tcBorders>
                  <w:vAlign w:val="center"/>
                </w:tcPr>
                <w:p w14:paraId="3B4F6CE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54D6B0D3">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0B222F88">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3642798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2B8A3E37">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1E514C90">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718644E3">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2103" w:type="pct"/>
                  <w:tcBorders>
                    <w:tl2br w:val="nil"/>
                    <w:tr2bl w:val="nil"/>
                  </w:tcBorders>
                  <w:vAlign w:val="center"/>
                </w:tcPr>
                <w:p w14:paraId="563BC97D">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22AEB47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3AEC87C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785F68C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19678DF3">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3663439D">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4022E033">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2103" w:type="pct"/>
                  <w:tcBorders>
                    <w:tl2br w:val="nil"/>
                    <w:tr2bl w:val="nil"/>
                  </w:tcBorders>
                  <w:vAlign w:val="center"/>
                </w:tcPr>
                <w:p w14:paraId="41B339A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275186F4">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1CE96EC4">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2BE016B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21946333">
                  <w:pPr>
                    <w:spacing w:line="240" w:lineRule="auto"/>
                    <w:jc w:val="center"/>
                    <w:rPr>
                      <w:rFonts w:hint="default" w:ascii="Times New Roman" w:hAnsi="Times New Roman" w:eastAsia="宋体" w:cs="Times New Roman"/>
                      <w:color w:val="auto"/>
                      <w:sz w:val="21"/>
                      <w:szCs w:val="21"/>
                    </w:rPr>
                  </w:pPr>
                </w:p>
              </w:tc>
              <w:tc>
                <w:tcPr>
                  <w:tcW w:w="420" w:type="pct"/>
                  <w:vMerge w:val="restart"/>
                  <w:tcBorders>
                    <w:tl2br w:val="nil"/>
                    <w:tr2bl w:val="nil"/>
                  </w:tcBorders>
                  <w:vAlign w:val="center"/>
                </w:tcPr>
                <w:p w14:paraId="2107E43D">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单元级清单管控要求</w:t>
                  </w:r>
                </w:p>
              </w:tc>
              <w:tc>
                <w:tcPr>
                  <w:tcW w:w="635" w:type="pct"/>
                  <w:tcBorders>
                    <w:tl2br w:val="nil"/>
                    <w:tr2bl w:val="nil"/>
                  </w:tcBorders>
                  <w:vAlign w:val="center"/>
                </w:tcPr>
                <w:p w14:paraId="43581CE6">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5871" w:type="dxa"/>
                  <w:tcBorders>
                    <w:tl2br w:val="nil"/>
                    <w:tr2bl w:val="nil"/>
                  </w:tcBorders>
                  <w:vAlign w:val="center"/>
                </w:tcPr>
                <w:p w14:paraId="23EA6714">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禁止开发建设活动的要求</w:t>
                  </w:r>
                </w:p>
                <w:p w14:paraId="1E1E4146">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限制开发建设活动的要求</w:t>
                  </w:r>
                </w:p>
                <w:p w14:paraId="7707920E">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允许开发建设活动的要求</w:t>
                  </w:r>
                </w:p>
                <w:p w14:paraId="7D823B27">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不符合空间布局要求活动的退出要求</w:t>
                  </w:r>
                </w:p>
                <w:p w14:paraId="0662032D">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其他空间布局约束要求</w:t>
                  </w:r>
                </w:p>
              </w:tc>
              <w:tc>
                <w:tcPr>
                  <w:tcW w:w="967" w:type="pct"/>
                  <w:tcBorders>
                    <w:tl2br w:val="nil"/>
                    <w:tr2bl w:val="nil"/>
                  </w:tcBorders>
                  <w:vAlign w:val="center"/>
                </w:tcPr>
                <w:p w14:paraId="562DB15E">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本项目不属于禁止开发活动，限制开发建设活动。</w:t>
                  </w:r>
                </w:p>
              </w:tc>
              <w:tc>
                <w:tcPr>
                  <w:tcW w:w="210" w:type="pct"/>
                  <w:tcBorders>
                    <w:tl2br w:val="nil"/>
                    <w:tr2bl w:val="nil"/>
                  </w:tcBorders>
                  <w:vAlign w:val="center"/>
                </w:tcPr>
                <w:p w14:paraId="29635914">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23652F4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034666F8">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3D605412">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70B46B82">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5871" w:type="dxa"/>
                  <w:tcBorders>
                    <w:tl2br w:val="nil"/>
                    <w:tr2bl w:val="nil"/>
                  </w:tcBorders>
                  <w:vAlign w:val="center"/>
                </w:tcPr>
                <w:p w14:paraId="554951B0">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城镇污水污染控制措施要求</w:t>
                  </w:r>
                </w:p>
                <w:p w14:paraId="6FA01481">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工业废水污染控制措施要求</w:t>
                  </w:r>
                </w:p>
                <w:p w14:paraId="36121CE1">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农业面源水污染控制措施要求</w:t>
                  </w:r>
                </w:p>
                <w:p w14:paraId="17A2B522">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1、推进化肥、农药使用量“减量化”，逐步推进农田径流拦截及治理；2、合理控制畜禽养殖规模，单位面积耕地的畜禽承载力不突破《四川省畜禽养殖污染防治技术指南》要求，提高畜禽养殖废物资源化利用水平；3、合理控制水产养殖规模，加强水产养殖废水治理及资源化利用，禁止直接排放。4、因地制宜加强乡镇场镇、农村集聚点生活污水收集处理。</w:t>
                  </w:r>
                </w:p>
                <w:p w14:paraId="4673612C">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船舶港口水污染控制措施要求</w:t>
                  </w:r>
                </w:p>
                <w:p w14:paraId="3966187C">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饮用水水源和其它特殊水体保护要求</w:t>
                  </w:r>
                </w:p>
              </w:tc>
              <w:tc>
                <w:tcPr>
                  <w:tcW w:w="967" w:type="pct"/>
                  <w:tcBorders>
                    <w:tl2br w:val="nil"/>
                    <w:tr2bl w:val="nil"/>
                  </w:tcBorders>
                  <w:vAlign w:val="center"/>
                </w:tcPr>
                <w:p w14:paraId="2E6A65A6">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w:t>
                  </w:r>
                  <w:r>
                    <w:rPr>
                      <w:rFonts w:hint="default" w:ascii="Times New Roman" w:hAnsi="Times New Roman" w:eastAsia="宋体" w:cs="Times New Roman"/>
                      <w:color w:val="auto"/>
                      <w:sz w:val="21"/>
                      <w:szCs w:val="21"/>
                      <w:lang w:eastAsia="zh-CN"/>
                    </w:rPr>
                    <w:t>生活污水经预处理后用作农肥不外排</w:t>
                  </w: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65282AA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6AFD8DF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1B715061">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1632BF99">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0FD6442B">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5871" w:type="dxa"/>
                  <w:tcBorders>
                    <w:tl2br w:val="nil"/>
                    <w:tr2bl w:val="nil"/>
                  </w:tcBorders>
                  <w:vAlign w:val="center"/>
                </w:tcPr>
                <w:p w14:paraId="269DCA6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700" w:type="dxa"/>
                  <w:tcBorders>
                    <w:tl2br w:val="nil"/>
                    <w:tr2bl w:val="nil"/>
                  </w:tcBorders>
                  <w:vAlign w:val="center"/>
                </w:tcPr>
                <w:p w14:paraId="5B367642">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86" w:type="dxa"/>
                  <w:tcBorders>
                    <w:tl2br w:val="nil"/>
                    <w:tr2bl w:val="nil"/>
                  </w:tcBorders>
                  <w:vAlign w:val="center"/>
                </w:tcPr>
                <w:p w14:paraId="167EEE1D">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7F71669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30A2050A">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17319763">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61062C3D">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5871" w:type="dxa"/>
                  <w:tcBorders>
                    <w:tl2br w:val="nil"/>
                    <w:tr2bl w:val="nil"/>
                  </w:tcBorders>
                  <w:vAlign w:val="center"/>
                </w:tcPr>
                <w:p w14:paraId="1A2DFCA6">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强化种植业节水</w:t>
                  </w:r>
                </w:p>
              </w:tc>
              <w:tc>
                <w:tcPr>
                  <w:tcW w:w="2752" w:type="dxa"/>
                  <w:tcBorders>
                    <w:tl2br w:val="nil"/>
                    <w:tr2bl w:val="nil"/>
                  </w:tcBorders>
                  <w:vAlign w:val="center"/>
                </w:tcPr>
                <w:p w14:paraId="536A2EAF">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本项目建设消防水池，用于储存水。</w:t>
                  </w:r>
                </w:p>
              </w:tc>
              <w:tc>
                <w:tcPr>
                  <w:tcW w:w="599" w:type="dxa"/>
                  <w:tcBorders>
                    <w:tl2br w:val="nil"/>
                    <w:tr2bl w:val="nil"/>
                  </w:tcBorders>
                  <w:vAlign w:val="center"/>
                </w:tcPr>
                <w:p w14:paraId="7C1DEF95">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022230F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restart"/>
                  <w:tcBorders>
                    <w:tl2br w:val="nil"/>
                    <w:tr2bl w:val="nil"/>
                  </w:tcBorders>
                  <w:vAlign w:val="center"/>
                </w:tcPr>
                <w:p w14:paraId="5437B4C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YS5120223310001</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乐至县大气环境一般管控区</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大气环境管控分区</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大气环境一般管控区</w:t>
                  </w:r>
                </w:p>
              </w:tc>
              <w:tc>
                <w:tcPr>
                  <w:tcW w:w="420" w:type="pct"/>
                  <w:vMerge w:val="restart"/>
                  <w:tcBorders>
                    <w:tl2br w:val="nil"/>
                    <w:tr2bl w:val="nil"/>
                  </w:tcBorders>
                  <w:vAlign w:val="center"/>
                </w:tcPr>
                <w:p w14:paraId="721D9AA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普适性清单管控要求</w:t>
                  </w:r>
                </w:p>
              </w:tc>
              <w:tc>
                <w:tcPr>
                  <w:tcW w:w="635" w:type="pct"/>
                  <w:tcBorders>
                    <w:tl2br w:val="nil"/>
                    <w:tr2bl w:val="nil"/>
                  </w:tcBorders>
                  <w:vAlign w:val="center"/>
                </w:tcPr>
                <w:p w14:paraId="102DC00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2103" w:type="pct"/>
                  <w:tcBorders>
                    <w:tl2br w:val="nil"/>
                    <w:tr2bl w:val="nil"/>
                  </w:tcBorders>
                  <w:vAlign w:val="center"/>
                </w:tcPr>
                <w:p w14:paraId="213BB9D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2C3FE5C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4BDCD56B">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65FCCAB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3424BCFD">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2E274920">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376D1A57">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2103" w:type="pct"/>
                  <w:tcBorders>
                    <w:tl2br w:val="nil"/>
                    <w:tr2bl w:val="nil"/>
                  </w:tcBorders>
                  <w:vAlign w:val="center"/>
                </w:tcPr>
                <w:p w14:paraId="0ADADD7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43D88275">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0F9018E2">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5B327A1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3FEC686E">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7B28C279">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63F79DE2">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2103" w:type="pct"/>
                  <w:tcBorders>
                    <w:tl2br w:val="nil"/>
                    <w:tr2bl w:val="nil"/>
                  </w:tcBorders>
                  <w:vAlign w:val="center"/>
                </w:tcPr>
                <w:p w14:paraId="770BE7A0">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2FC9A0D4">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0678BFE3">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0561AD4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27D4B31D">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39B68FA2">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2F00F6A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2103" w:type="pct"/>
                  <w:tcBorders>
                    <w:tl2br w:val="nil"/>
                    <w:tr2bl w:val="nil"/>
                  </w:tcBorders>
                  <w:vAlign w:val="center"/>
                </w:tcPr>
                <w:p w14:paraId="1E993063">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74A3CAB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713DA772">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23174D9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47D84281">
                  <w:pPr>
                    <w:spacing w:line="240" w:lineRule="auto"/>
                    <w:jc w:val="center"/>
                    <w:rPr>
                      <w:rFonts w:hint="default" w:ascii="Times New Roman" w:hAnsi="Times New Roman" w:eastAsia="宋体" w:cs="Times New Roman"/>
                      <w:color w:val="auto"/>
                      <w:sz w:val="21"/>
                      <w:szCs w:val="21"/>
                    </w:rPr>
                  </w:pPr>
                </w:p>
              </w:tc>
              <w:tc>
                <w:tcPr>
                  <w:tcW w:w="420" w:type="pct"/>
                  <w:vMerge w:val="restart"/>
                  <w:tcBorders>
                    <w:tl2br w:val="nil"/>
                    <w:tr2bl w:val="nil"/>
                  </w:tcBorders>
                  <w:vAlign w:val="center"/>
                </w:tcPr>
                <w:p w14:paraId="27F84AE7">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单元级清单管控要求</w:t>
                  </w:r>
                </w:p>
              </w:tc>
              <w:tc>
                <w:tcPr>
                  <w:tcW w:w="635" w:type="pct"/>
                  <w:tcBorders>
                    <w:tl2br w:val="nil"/>
                    <w:tr2bl w:val="nil"/>
                  </w:tcBorders>
                  <w:vAlign w:val="center"/>
                </w:tcPr>
                <w:p w14:paraId="44C89987">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5872" w:type="dxa"/>
                  <w:tcBorders>
                    <w:tl2br w:val="nil"/>
                    <w:tr2bl w:val="nil"/>
                  </w:tcBorders>
                  <w:vAlign w:val="center"/>
                </w:tcPr>
                <w:p w14:paraId="1111B2DE">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禁止开发建设活动的要求</w:t>
                  </w:r>
                </w:p>
                <w:p w14:paraId="19AE8C14">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限制开发建设活动的要求</w:t>
                  </w:r>
                </w:p>
                <w:p w14:paraId="0CF867A8">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允许开发建设活动的要求</w:t>
                  </w:r>
                </w:p>
                <w:p w14:paraId="7FD940AA">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不符合空间布局要求活动的退出要求</w:t>
                  </w:r>
                </w:p>
                <w:p w14:paraId="7E154C26">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其他空间布局约束要求</w:t>
                  </w:r>
                </w:p>
              </w:tc>
              <w:tc>
                <w:tcPr>
                  <w:tcW w:w="967" w:type="pct"/>
                  <w:tcBorders>
                    <w:tl2br w:val="nil"/>
                    <w:tr2bl w:val="nil"/>
                  </w:tcBorders>
                  <w:vAlign w:val="center"/>
                </w:tcPr>
                <w:p w14:paraId="30A3602E">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本项目为国家储备林建设及森林质量项目，空间布局合理。</w:t>
                  </w:r>
                </w:p>
              </w:tc>
              <w:tc>
                <w:tcPr>
                  <w:tcW w:w="210" w:type="pct"/>
                  <w:tcBorders>
                    <w:tl2br w:val="nil"/>
                    <w:tr2bl w:val="nil"/>
                  </w:tcBorders>
                  <w:vAlign w:val="center"/>
                </w:tcPr>
                <w:p w14:paraId="6C31FC7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54C0780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661" w:type="pct"/>
                  <w:vMerge w:val="continue"/>
                  <w:tcBorders>
                    <w:tl2br w:val="nil"/>
                    <w:tr2bl w:val="nil"/>
                  </w:tcBorders>
                  <w:vAlign w:val="center"/>
                </w:tcPr>
                <w:p w14:paraId="5BECB78B">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644E2BB9">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0961CB2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5872" w:type="dxa"/>
                  <w:tcBorders>
                    <w:tl2br w:val="nil"/>
                    <w:tr2bl w:val="nil"/>
                  </w:tcBorders>
                  <w:vAlign w:val="center"/>
                </w:tcPr>
                <w:p w14:paraId="4BE697DB">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大气环境质量执行标准</w:t>
                  </w:r>
                </w:p>
                <w:p w14:paraId="516FACF8">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《环境空气质量标准》（GB3095-2012）：二级</w:t>
                  </w:r>
                </w:p>
                <w:p w14:paraId="377A9374">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区域大气污染物削减/替代要求</w:t>
                  </w:r>
                </w:p>
                <w:p w14:paraId="6F9FA7D2">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燃煤和其他能源大气污染控制要求</w:t>
                  </w:r>
                </w:p>
                <w:p w14:paraId="249FE599">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工业废气污染控制要求</w:t>
                  </w:r>
                </w:p>
                <w:p w14:paraId="1C7D4979">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机动车船大气污染控制要求</w:t>
                  </w:r>
                </w:p>
                <w:p w14:paraId="34AFC527">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扬尘污染控制要求</w:t>
                  </w:r>
                </w:p>
                <w:p w14:paraId="6C58F219">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农业生产经营活动大气污染控制要求</w:t>
                  </w:r>
                </w:p>
                <w:p w14:paraId="64067C10">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重点行业企业专项治理要求</w:t>
                  </w:r>
                </w:p>
                <w:p w14:paraId="255E3C5C">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其他大气污染物排放管控要求</w:t>
                  </w:r>
                </w:p>
              </w:tc>
              <w:tc>
                <w:tcPr>
                  <w:tcW w:w="2752" w:type="dxa"/>
                  <w:tcBorders>
                    <w:tl2br w:val="nil"/>
                    <w:tr2bl w:val="nil"/>
                  </w:tcBorders>
                  <w:vAlign w:val="center"/>
                </w:tcPr>
                <w:p w14:paraId="72544206">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项目为国家储备林建设及森林质量项目，不属于工业企业。</w:t>
                  </w:r>
                  <w:r>
                    <w:rPr>
                      <w:rFonts w:hint="default" w:ascii="Times New Roman" w:hAnsi="Times New Roman" w:eastAsia="宋体" w:cs="Times New Roman"/>
                      <w:color w:val="auto"/>
                      <w:sz w:val="21"/>
                      <w:szCs w:val="21"/>
                      <w:lang w:val="en-US" w:eastAsia="zh-CN"/>
                    </w:rPr>
                    <w:t>项目大气污染物排放主要为施工扬尘</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对环境影响较小。</w:t>
                  </w:r>
                </w:p>
              </w:tc>
              <w:tc>
                <w:tcPr>
                  <w:tcW w:w="599" w:type="dxa"/>
                  <w:tcBorders>
                    <w:tl2br w:val="nil"/>
                    <w:tr2bl w:val="nil"/>
                  </w:tcBorders>
                  <w:vAlign w:val="center"/>
                </w:tcPr>
                <w:p w14:paraId="31ECAEA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符合</w:t>
                  </w:r>
                </w:p>
              </w:tc>
            </w:tr>
            <w:tr w14:paraId="0F323F8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314714FB">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5EA86964">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70BFCEF8">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2103" w:type="pct"/>
                  <w:tcBorders>
                    <w:tl2br w:val="nil"/>
                    <w:tr2bl w:val="nil"/>
                  </w:tcBorders>
                  <w:vAlign w:val="center"/>
                </w:tcPr>
                <w:p w14:paraId="3019FE52">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4AC141A3">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785E0ED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18716F0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57704E25">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47F9C65F">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7D51881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5872" w:type="dxa"/>
                  <w:tcBorders>
                    <w:tl2br w:val="nil"/>
                    <w:tr2bl w:val="nil"/>
                  </w:tcBorders>
                  <w:vAlign w:val="center"/>
                </w:tcPr>
                <w:p w14:paraId="2E36D462">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700" w:type="dxa"/>
                  <w:tcBorders>
                    <w:tl2br w:val="nil"/>
                    <w:tr2bl w:val="nil"/>
                  </w:tcBorders>
                  <w:vAlign w:val="center"/>
                </w:tcPr>
                <w:p w14:paraId="1ED27B0B">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86" w:type="dxa"/>
                  <w:tcBorders>
                    <w:tl2br w:val="nil"/>
                    <w:tr2bl w:val="nil"/>
                  </w:tcBorders>
                  <w:vAlign w:val="center"/>
                </w:tcPr>
                <w:p w14:paraId="1226910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7BFFDB8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restart"/>
                  <w:tcBorders>
                    <w:tl2br w:val="nil"/>
                    <w:tr2bl w:val="nil"/>
                  </w:tcBorders>
                  <w:vAlign w:val="center"/>
                </w:tcPr>
                <w:p w14:paraId="2CF600F5">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YS5120222550001</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乐至县自然资源重点管控区</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自然资源管控分区</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自然资源重点管控区</w:t>
                  </w:r>
                </w:p>
              </w:tc>
              <w:tc>
                <w:tcPr>
                  <w:tcW w:w="420" w:type="pct"/>
                  <w:vMerge w:val="restart"/>
                  <w:tcBorders>
                    <w:tl2br w:val="nil"/>
                    <w:tr2bl w:val="nil"/>
                  </w:tcBorders>
                  <w:vAlign w:val="center"/>
                </w:tcPr>
                <w:p w14:paraId="00D955CE">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普适性清单管控要求</w:t>
                  </w:r>
                </w:p>
              </w:tc>
              <w:tc>
                <w:tcPr>
                  <w:tcW w:w="635" w:type="pct"/>
                  <w:tcBorders>
                    <w:tl2br w:val="nil"/>
                    <w:tr2bl w:val="nil"/>
                  </w:tcBorders>
                  <w:vAlign w:val="center"/>
                </w:tcPr>
                <w:p w14:paraId="13D1B5D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2103" w:type="pct"/>
                  <w:tcBorders>
                    <w:tl2br w:val="nil"/>
                    <w:tr2bl w:val="nil"/>
                  </w:tcBorders>
                  <w:vAlign w:val="center"/>
                </w:tcPr>
                <w:p w14:paraId="128D5FF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72DD086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5870FBE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6CA9E07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44CDAC1D">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6DF263FF">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3ABDAB38">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2103" w:type="pct"/>
                  <w:tcBorders>
                    <w:tl2br w:val="nil"/>
                    <w:tr2bl w:val="nil"/>
                  </w:tcBorders>
                  <w:vAlign w:val="center"/>
                </w:tcPr>
                <w:p w14:paraId="75685D77">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463ED552">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711FB4E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771FEA0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6B8BF13C">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78A01759">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473675C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2103" w:type="pct"/>
                  <w:tcBorders>
                    <w:tl2br w:val="nil"/>
                    <w:tr2bl w:val="nil"/>
                  </w:tcBorders>
                  <w:vAlign w:val="center"/>
                </w:tcPr>
                <w:p w14:paraId="1C34BE4B">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071C7B86">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64AF22D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560EBF8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0E3ED40D">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2E1934FB">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2112B5F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2103" w:type="pct"/>
                  <w:tcBorders>
                    <w:tl2br w:val="nil"/>
                    <w:tr2bl w:val="nil"/>
                  </w:tcBorders>
                  <w:vAlign w:val="center"/>
                </w:tcPr>
                <w:p w14:paraId="3B9F7654">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5E2DDF9E">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3F53A3D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1096703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6E1986BC">
                  <w:pPr>
                    <w:spacing w:line="240" w:lineRule="auto"/>
                    <w:jc w:val="center"/>
                    <w:rPr>
                      <w:rFonts w:hint="default" w:ascii="Times New Roman" w:hAnsi="Times New Roman" w:eastAsia="宋体" w:cs="Times New Roman"/>
                      <w:color w:val="auto"/>
                      <w:sz w:val="21"/>
                      <w:szCs w:val="21"/>
                    </w:rPr>
                  </w:pPr>
                </w:p>
              </w:tc>
              <w:tc>
                <w:tcPr>
                  <w:tcW w:w="420" w:type="pct"/>
                  <w:vMerge w:val="restart"/>
                  <w:tcBorders>
                    <w:tl2br w:val="nil"/>
                    <w:tr2bl w:val="nil"/>
                  </w:tcBorders>
                  <w:vAlign w:val="center"/>
                </w:tcPr>
                <w:p w14:paraId="52F3C8B0">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单元级清单管控要求</w:t>
                  </w:r>
                </w:p>
              </w:tc>
              <w:tc>
                <w:tcPr>
                  <w:tcW w:w="635" w:type="pct"/>
                  <w:tcBorders>
                    <w:tl2br w:val="nil"/>
                    <w:tr2bl w:val="nil"/>
                  </w:tcBorders>
                  <w:vAlign w:val="center"/>
                </w:tcPr>
                <w:p w14:paraId="47AA328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2103" w:type="pct"/>
                  <w:tcBorders>
                    <w:tl2br w:val="nil"/>
                    <w:tr2bl w:val="nil"/>
                  </w:tcBorders>
                  <w:vAlign w:val="center"/>
                </w:tcPr>
                <w:p w14:paraId="39D1672E">
                  <w:pPr>
                    <w:spacing w:line="240" w:lineRule="auto"/>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合理开发高效利用水资源，建设节水型社会；优化土地利用布局与结构；优化产业空间布局，构建清洁能源体系</w:t>
                  </w:r>
                </w:p>
              </w:tc>
              <w:tc>
                <w:tcPr>
                  <w:tcW w:w="2752" w:type="dxa"/>
                  <w:tcBorders>
                    <w:tl2br w:val="nil"/>
                    <w:tr2bl w:val="nil"/>
                  </w:tcBorders>
                  <w:vAlign w:val="center"/>
                </w:tcPr>
                <w:p w14:paraId="6011B707">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本项目不属于禁止开发活动，限制开发建设活动。</w:t>
                  </w:r>
                </w:p>
              </w:tc>
              <w:tc>
                <w:tcPr>
                  <w:tcW w:w="599" w:type="dxa"/>
                  <w:tcBorders>
                    <w:tl2br w:val="nil"/>
                    <w:tr2bl w:val="nil"/>
                  </w:tcBorders>
                  <w:vAlign w:val="center"/>
                </w:tcPr>
                <w:p w14:paraId="49BAAF74">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6AACA8E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3BCF5923">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62600F06">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6CDD6803">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2103" w:type="pct"/>
                  <w:tcBorders>
                    <w:tl2br w:val="nil"/>
                    <w:tr2bl w:val="nil"/>
                  </w:tcBorders>
                  <w:vAlign w:val="center"/>
                </w:tcPr>
                <w:p w14:paraId="3D2A42C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0A321F9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1CCB11F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72CB867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64E8518E">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5F75E477">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415032BB">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2103" w:type="pct"/>
                  <w:tcBorders>
                    <w:tl2br w:val="nil"/>
                    <w:tr2bl w:val="nil"/>
                  </w:tcBorders>
                  <w:vAlign w:val="center"/>
                </w:tcPr>
                <w:p w14:paraId="6D4B5DE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2D12FC84">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386D5FF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44704F7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60862408">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18E3E67D">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1254B2FE">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2103" w:type="pct"/>
                  <w:tcBorders>
                    <w:tl2br w:val="nil"/>
                    <w:tr2bl w:val="nil"/>
                  </w:tcBorders>
                  <w:vAlign w:val="center"/>
                </w:tcPr>
                <w:p w14:paraId="3FB2CA3E">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土地资源开发效率要求</w:t>
                  </w:r>
                </w:p>
                <w:p w14:paraId="6988BC71">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能源资源开发效率要求</w:t>
                  </w:r>
                </w:p>
                <w:p w14:paraId="66FAE04C">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其他资源开发效率要求</w:t>
                  </w:r>
                </w:p>
              </w:tc>
              <w:tc>
                <w:tcPr>
                  <w:tcW w:w="967" w:type="pct"/>
                  <w:tcBorders>
                    <w:tl2br w:val="nil"/>
                    <w:tr2bl w:val="nil"/>
                  </w:tcBorders>
                  <w:vAlign w:val="center"/>
                </w:tcPr>
                <w:p w14:paraId="41E31152">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本项目资源需求小，符合资源开发效率要求。</w:t>
                  </w:r>
                </w:p>
              </w:tc>
              <w:tc>
                <w:tcPr>
                  <w:tcW w:w="210" w:type="pct"/>
                  <w:tcBorders>
                    <w:tl2br w:val="nil"/>
                    <w:tr2bl w:val="nil"/>
                  </w:tcBorders>
                  <w:vAlign w:val="center"/>
                </w:tcPr>
                <w:p w14:paraId="455381D7">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7ADF44D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restart"/>
                  <w:tcBorders>
                    <w:tl2br w:val="nil"/>
                    <w:tr2bl w:val="nil"/>
                  </w:tcBorders>
                  <w:vAlign w:val="center"/>
                </w:tcPr>
                <w:p w14:paraId="21816950">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YS5120222510003</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乐至县水资源重点管控区</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自然资源管控分区</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水资源重点管控区</w:t>
                  </w:r>
                </w:p>
              </w:tc>
              <w:tc>
                <w:tcPr>
                  <w:tcW w:w="420" w:type="pct"/>
                  <w:vMerge w:val="restart"/>
                  <w:tcBorders>
                    <w:tl2br w:val="nil"/>
                    <w:tr2bl w:val="nil"/>
                  </w:tcBorders>
                  <w:vAlign w:val="center"/>
                </w:tcPr>
                <w:p w14:paraId="176C8E2D">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普适性清单管控要求</w:t>
                  </w:r>
                </w:p>
              </w:tc>
              <w:tc>
                <w:tcPr>
                  <w:tcW w:w="635" w:type="pct"/>
                  <w:tcBorders>
                    <w:tl2br w:val="nil"/>
                    <w:tr2bl w:val="nil"/>
                  </w:tcBorders>
                  <w:vAlign w:val="center"/>
                </w:tcPr>
                <w:p w14:paraId="1B38B38D">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2103" w:type="pct"/>
                  <w:tcBorders>
                    <w:tl2br w:val="nil"/>
                    <w:tr2bl w:val="nil"/>
                  </w:tcBorders>
                  <w:vAlign w:val="center"/>
                </w:tcPr>
                <w:p w14:paraId="07613DC2">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4FB9B040">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6D1FA376">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67E8327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0600B2C1">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385C1903">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3A297CBD">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2103" w:type="pct"/>
                  <w:tcBorders>
                    <w:tl2br w:val="nil"/>
                    <w:tr2bl w:val="nil"/>
                  </w:tcBorders>
                  <w:vAlign w:val="center"/>
                </w:tcPr>
                <w:p w14:paraId="53D6ECE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427454A0">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028B61F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26C1D9A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42B1D205">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190A4CF4">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7BD9BBD5">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2103" w:type="pct"/>
                  <w:tcBorders>
                    <w:tl2br w:val="nil"/>
                    <w:tr2bl w:val="nil"/>
                  </w:tcBorders>
                  <w:vAlign w:val="center"/>
                </w:tcPr>
                <w:p w14:paraId="1D114704">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124291AE">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2A1E7B67">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616920E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16D5C6F8">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7D580E40">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47637D7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2103" w:type="pct"/>
                  <w:tcBorders>
                    <w:tl2br w:val="nil"/>
                    <w:tr2bl w:val="nil"/>
                  </w:tcBorders>
                  <w:vAlign w:val="center"/>
                </w:tcPr>
                <w:p w14:paraId="1307551D">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3B1A11E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16E620D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0E1F376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2859FD0C">
                  <w:pPr>
                    <w:spacing w:line="240" w:lineRule="auto"/>
                    <w:jc w:val="center"/>
                    <w:rPr>
                      <w:rFonts w:hint="default" w:ascii="Times New Roman" w:hAnsi="Times New Roman" w:eastAsia="宋体" w:cs="Times New Roman"/>
                      <w:color w:val="auto"/>
                      <w:sz w:val="21"/>
                      <w:szCs w:val="21"/>
                    </w:rPr>
                  </w:pPr>
                </w:p>
              </w:tc>
              <w:tc>
                <w:tcPr>
                  <w:tcW w:w="420" w:type="pct"/>
                  <w:vMerge w:val="restart"/>
                  <w:tcBorders>
                    <w:tl2br w:val="nil"/>
                    <w:tr2bl w:val="nil"/>
                  </w:tcBorders>
                  <w:vAlign w:val="center"/>
                </w:tcPr>
                <w:p w14:paraId="320F22E3">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单元级清单管控要求</w:t>
                  </w:r>
                </w:p>
              </w:tc>
              <w:tc>
                <w:tcPr>
                  <w:tcW w:w="635" w:type="pct"/>
                  <w:tcBorders>
                    <w:tl2br w:val="nil"/>
                    <w:tr2bl w:val="nil"/>
                  </w:tcBorders>
                  <w:vAlign w:val="center"/>
                </w:tcPr>
                <w:p w14:paraId="3FAD9D27">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5872" w:type="dxa"/>
                  <w:tcBorders>
                    <w:tl2br w:val="nil"/>
                    <w:tr2bl w:val="nil"/>
                  </w:tcBorders>
                  <w:vAlign w:val="center"/>
                </w:tcPr>
                <w:p w14:paraId="4FBF6066">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700" w:type="dxa"/>
                  <w:tcBorders>
                    <w:tl2br w:val="nil"/>
                    <w:tr2bl w:val="nil"/>
                  </w:tcBorders>
                  <w:vAlign w:val="center"/>
                </w:tcPr>
                <w:p w14:paraId="3E1DC9F0">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86" w:type="dxa"/>
                  <w:tcBorders>
                    <w:tl2br w:val="nil"/>
                    <w:tr2bl w:val="nil"/>
                  </w:tcBorders>
                  <w:vAlign w:val="center"/>
                </w:tcPr>
                <w:p w14:paraId="64B26F8B">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649CE20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7E4D4C4D">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04DEA346">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1A5C9F1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5872" w:type="dxa"/>
                  <w:tcBorders>
                    <w:tl2br w:val="nil"/>
                    <w:tr2bl w:val="nil"/>
                  </w:tcBorders>
                  <w:vAlign w:val="center"/>
                </w:tcPr>
                <w:p w14:paraId="62748C0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700" w:type="dxa"/>
                  <w:tcBorders>
                    <w:tl2br w:val="nil"/>
                    <w:tr2bl w:val="nil"/>
                  </w:tcBorders>
                  <w:vAlign w:val="center"/>
                </w:tcPr>
                <w:p w14:paraId="6DAC7CD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86" w:type="dxa"/>
                  <w:tcBorders>
                    <w:tl2br w:val="nil"/>
                    <w:tr2bl w:val="nil"/>
                  </w:tcBorders>
                  <w:vAlign w:val="center"/>
                </w:tcPr>
                <w:p w14:paraId="2D72819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26E9861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04496D8B">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57FAC18E">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4719E2A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5872" w:type="dxa"/>
                  <w:tcBorders>
                    <w:tl2br w:val="nil"/>
                    <w:tr2bl w:val="nil"/>
                  </w:tcBorders>
                  <w:vAlign w:val="center"/>
                </w:tcPr>
                <w:p w14:paraId="4AB5E8DE">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700" w:type="dxa"/>
                  <w:tcBorders>
                    <w:tl2br w:val="nil"/>
                    <w:tr2bl w:val="nil"/>
                  </w:tcBorders>
                  <w:vAlign w:val="center"/>
                </w:tcPr>
                <w:p w14:paraId="69DD7268">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86" w:type="dxa"/>
                  <w:tcBorders>
                    <w:tl2br w:val="nil"/>
                    <w:tr2bl w:val="nil"/>
                  </w:tcBorders>
                  <w:vAlign w:val="center"/>
                </w:tcPr>
                <w:p w14:paraId="74CFFCC7">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67D83EC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42E072D5">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09A05838">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6A0EF358">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2103" w:type="pct"/>
                  <w:tcBorders>
                    <w:tl2br w:val="nil"/>
                    <w:tr2bl w:val="nil"/>
                  </w:tcBorders>
                  <w:vAlign w:val="center"/>
                </w:tcPr>
                <w:p w14:paraId="6262E5E0">
                  <w:pPr>
                    <w:spacing w:line="240" w:lineRule="auto"/>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土地资源开发效率要求</w:t>
                  </w:r>
                </w:p>
                <w:p w14:paraId="10743895">
                  <w:pPr>
                    <w:spacing w:line="240" w:lineRule="auto"/>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能源资源开发效率要求</w:t>
                  </w:r>
                </w:p>
                <w:p w14:paraId="1244DBA0">
                  <w:pPr>
                    <w:spacing w:line="240" w:lineRule="auto"/>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其他资源开发效率要求</w:t>
                  </w:r>
                </w:p>
              </w:tc>
              <w:tc>
                <w:tcPr>
                  <w:tcW w:w="2752" w:type="dxa"/>
                  <w:tcBorders>
                    <w:tl2br w:val="nil"/>
                    <w:tr2bl w:val="nil"/>
                  </w:tcBorders>
                  <w:vAlign w:val="center"/>
                </w:tcPr>
                <w:p w14:paraId="3D8D0CAD">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本项目资源需求小，符合资源开发效率要求。</w:t>
                  </w:r>
                </w:p>
              </w:tc>
              <w:tc>
                <w:tcPr>
                  <w:tcW w:w="599" w:type="dxa"/>
                  <w:tcBorders>
                    <w:tl2br w:val="nil"/>
                    <w:tr2bl w:val="nil"/>
                  </w:tcBorders>
                  <w:vAlign w:val="center"/>
                </w:tcPr>
                <w:p w14:paraId="487F1C24">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符合</w:t>
                  </w:r>
                </w:p>
              </w:tc>
            </w:tr>
            <w:tr w14:paraId="598F987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restart"/>
                  <w:tcBorders>
                    <w:tl2br w:val="nil"/>
                    <w:tr2bl w:val="nil"/>
                  </w:tcBorders>
                  <w:vAlign w:val="center"/>
                </w:tcPr>
                <w:p w14:paraId="0EA9621D">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YS5120221410003</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乐至县土壤优先保护区</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土壤污染风险管控分区</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农用地优先保护区</w:t>
                  </w:r>
                </w:p>
              </w:tc>
              <w:tc>
                <w:tcPr>
                  <w:tcW w:w="420" w:type="pct"/>
                  <w:vMerge w:val="restart"/>
                  <w:tcBorders>
                    <w:tl2br w:val="nil"/>
                    <w:tr2bl w:val="nil"/>
                  </w:tcBorders>
                  <w:vAlign w:val="center"/>
                </w:tcPr>
                <w:p w14:paraId="29BD983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普适性清单管控要求</w:t>
                  </w:r>
                </w:p>
              </w:tc>
              <w:tc>
                <w:tcPr>
                  <w:tcW w:w="635" w:type="pct"/>
                  <w:tcBorders>
                    <w:tl2br w:val="nil"/>
                    <w:tr2bl w:val="nil"/>
                  </w:tcBorders>
                  <w:vAlign w:val="center"/>
                </w:tcPr>
                <w:p w14:paraId="076FBB95">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2103" w:type="pct"/>
                  <w:tcBorders>
                    <w:tl2br w:val="nil"/>
                    <w:tr2bl w:val="nil"/>
                  </w:tcBorders>
                  <w:vAlign w:val="center"/>
                </w:tcPr>
                <w:p w14:paraId="1BBF356B">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3294210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3761A187">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0E08DA8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775C87C4">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2BFFBC59">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4C1DDC7D">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2103" w:type="pct"/>
                  <w:tcBorders>
                    <w:tl2br w:val="nil"/>
                    <w:tr2bl w:val="nil"/>
                  </w:tcBorders>
                  <w:vAlign w:val="center"/>
                </w:tcPr>
                <w:p w14:paraId="6C41208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712DC9A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15437460">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7DF2447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7FF1A902">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60593BC7">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1847584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2103" w:type="pct"/>
                  <w:tcBorders>
                    <w:tl2br w:val="nil"/>
                    <w:tr2bl w:val="nil"/>
                  </w:tcBorders>
                  <w:vAlign w:val="center"/>
                </w:tcPr>
                <w:p w14:paraId="534335E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44D3AD2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0ABD8FF3">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08FF0BF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2487F1FF">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37E11DDE">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46844FBB">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2103" w:type="pct"/>
                  <w:tcBorders>
                    <w:tl2br w:val="nil"/>
                    <w:tr2bl w:val="nil"/>
                  </w:tcBorders>
                  <w:vAlign w:val="center"/>
                </w:tcPr>
                <w:p w14:paraId="7370182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5FAB10ED">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280EC08E">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309E38D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62AB7065">
                  <w:pPr>
                    <w:spacing w:line="240" w:lineRule="auto"/>
                    <w:jc w:val="center"/>
                    <w:rPr>
                      <w:rFonts w:hint="default" w:ascii="Times New Roman" w:hAnsi="Times New Roman" w:eastAsia="宋体" w:cs="Times New Roman"/>
                      <w:color w:val="auto"/>
                      <w:sz w:val="21"/>
                      <w:szCs w:val="21"/>
                    </w:rPr>
                  </w:pPr>
                </w:p>
              </w:tc>
              <w:tc>
                <w:tcPr>
                  <w:tcW w:w="420" w:type="pct"/>
                  <w:vMerge w:val="restart"/>
                  <w:tcBorders>
                    <w:tl2br w:val="nil"/>
                    <w:tr2bl w:val="nil"/>
                  </w:tcBorders>
                  <w:vAlign w:val="center"/>
                </w:tcPr>
                <w:p w14:paraId="760D8D4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单元级清单管控要求</w:t>
                  </w:r>
                </w:p>
              </w:tc>
              <w:tc>
                <w:tcPr>
                  <w:tcW w:w="635" w:type="pct"/>
                  <w:tcBorders>
                    <w:tl2br w:val="nil"/>
                    <w:tr2bl w:val="nil"/>
                  </w:tcBorders>
                  <w:vAlign w:val="center"/>
                </w:tcPr>
                <w:p w14:paraId="6A8FA9A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2103" w:type="pct"/>
                  <w:tcBorders>
                    <w:tl2br w:val="nil"/>
                    <w:tr2bl w:val="nil"/>
                  </w:tcBorders>
                  <w:vAlign w:val="center"/>
                </w:tcPr>
                <w:p w14:paraId="44089B28">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禁止开发建设活动的要求</w:t>
                  </w:r>
                </w:p>
                <w:p w14:paraId="7ABA7D49">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限制开发建设活动的要求</w:t>
                  </w:r>
                </w:p>
                <w:p w14:paraId="2A0E4C65">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允许开发建设活动的要求</w:t>
                  </w:r>
                </w:p>
                <w:p w14:paraId="3A937C35">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不符合空间布局要求活动的退出要求</w:t>
                  </w:r>
                </w:p>
                <w:p w14:paraId="5055AC98">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其他空间布局约束要求</w:t>
                  </w:r>
                </w:p>
              </w:tc>
              <w:tc>
                <w:tcPr>
                  <w:tcW w:w="967" w:type="pct"/>
                  <w:tcBorders>
                    <w:tl2br w:val="nil"/>
                    <w:tr2bl w:val="nil"/>
                  </w:tcBorders>
                  <w:vAlign w:val="center"/>
                </w:tcPr>
                <w:p w14:paraId="66794560">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本项目不属于禁止开发活动，限制开发建设活动。</w:t>
                  </w:r>
                </w:p>
              </w:tc>
              <w:tc>
                <w:tcPr>
                  <w:tcW w:w="210" w:type="pct"/>
                  <w:tcBorders>
                    <w:tl2br w:val="nil"/>
                    <w:tr2bl w:val="nil"/>
                  </w:tcBorders>
                  <w:vAlign w:val="center"/>
                </w:tcPr>
                <w:p w14:paraId="077CF7D4">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5CB0BB8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261073A1">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64FBB825">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74B4D117">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5872" w:type="dxa"/>
                  <w:tcBorders>
                    <w:tl2br w:val="nil"/>
                    <w:tr2bl w:val="nil"/>
                  </w:tcBorders>
                  <w:vAlign w:val="center"/>
                </w:tcPr>
                <w:p w14:paraId="1D739F0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700" w:type="dxa"/>
                  <w:tcBorders>
                    <w:tl2br w:val="nil"/>
                    <w:tr2bl w:val="nil"/>
                  </w:tcBorders>
                  <w:vAlign w:val="center"/>
                </w:tcPr>
                <w:p w14:paraId="277C8F3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86" w:type="dxa"/>
                  <w:tcBorders>
                    <w:tl2br w:val="nil"/>
                    <w:tr2bl w:val="nil"/>
                  </w:tcBorders>
                  <w:vAlign w:val="center"/>
                </w:tcPr>
                <w:p w14:paraId="4168C2DE">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29C1CA6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0DAC7479">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7B8023F1">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5DDC0378">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5872" w:type="dxa"/>
                  <w:tcBorders>
                    <w:tl2br w:val="nil"/>
                    <w:tr2bl w:val="nil"/>
                  </w:tcBorders>
                  <w:vAlign w:val="center"/>
                </w:tcPr>
                <w:p w14:paraId="575C2E04">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700" w:type="dxa"/>
                  <w:tcBorders>
                    <w:tl2br w:val="nil"/>
                    <w:tr2bl w:val="nil"/>
                  </w:tcBorders>
                  <w:vAlign w:val="center"/>
                </w:tcPr>
                <w:p w14:paraId="7DC5695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86" w:type="dxa"/>
                  <w:tcBorders>
                    <w:tl2br w:val="nil"/>
                    <w:tr2bl w:val="nil"/>
                  </w:tcBorders>
                  <w:vAlign w:val="center"/>
                </w:tcPr>
                <w:p w14:paraId="6AA7680B">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2013B62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23A7C908">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5085532C">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0C8B07E5">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5872" w:type="dxa"/>
                  <w:tcBorders>
                    <w:tl2br w:val="nil"/>
                    <w:tr2bl w:val="nil"/>
                  </w:tcBorders>
                  <w:vAlign w:val="center"/>
                </w:tcPr>
                <w:p w14:paraId="2D10FC1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700" w:type="dxa"/>
                  <w:tcBorders>
                    <w:tl2br w:val="nil"/>
                    <w:tr2bl w:val="nil"/>
                  </w:tcBorders>
                  <w:vAlign w:val="center"/>
                </w:tcPr>
                <w:p w14:paraId="6E5D82AB">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86" w:type="dxa"/>
                  <w:tcBorders>
                    <w:tl2br w:val="nil"/>
                    <w:tr2bl w:val="nil"/>
                  </w:tcBorders>
                  <w:vAlign w:val="center"/>
                </w:tcPr>
                <w:p w14:paraId="4F0F2FC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bl>
          <w:p w14:paraId="00AF1A95">
            <w:pPr>
              <w:pStyle w:val="21"/>
              <w:widowControl w:val="0"/>
              <w:kinsoku/>
              <w:autoSpaceDE/>
              <w:autoSpaceDN/>
              <w:adjustRightInd/>
              <w:snapToGrid/>
              <w:spacing w:line="360" w:lineRule="auto"/>
              <w:ind w:firstLine="480"/>
              <w:textAlignment w:val="auto"/>
              <w:rPr>
                <w:rFonts w:hint="default" w:ascii="Times New Roman" w:hAnsi="Times New Roman" w:eastAsia="宋体" w:cs="Times New Roman"/>
                <w:color w:val="auto"/>
                <w:lang w:val="en-US" w:eastAsia="zh-CN"/>
              </w:rPr>
            </w:pPr>
          </w:p>
          <w:p w14:paraId="674450AF">
            <w:pPr>
              <w:pStyle w:val="21"/>
              <w:widowControl w:val="0"/>
              <w:kinsoku/>
              <w:autoSpaceDE/>
              <w:autoSpaceDN/>
              <w:adjustRightInd/>
              <w:snapToGrid/>
              <w:spacing w:line="360" w:lineRule="auto"/>
              <w:ind w:firstLine="48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5)高寺镇</w:t>
            </w:r>
          </w:p>
          <w:p w14:paraId="56DF0810">
            <w:pPr>
              <w:pStyle w:val="21"/>
              <w:widowControl w:val="0"/>
              <w:kinsoku/>
              <w:autoSpaceDE/>
              <w:autoSpaceDN/>
              <w:adjustRightInd/>
              <w:snapToGrid/>
              <w:spacing w:line="360" w:lineRule="auto"/>
              <w:ind w:firstLine="48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（1）项目拟建区域管控单元识别</w:t>
            </w:r>
          </w:p>
          <w:p w14:paraId="00B817D3">
            <w:pPr>
              <w:pStyle w:val="21"/>
              <w:widowControl w:val="0"/>
              <w:kinsoku/>
              <w:autoSpaceDE/>
              <w:autoSpaceDN/>
              <w:adjustRightInd/>
              <w:snapToGrid/>
              <w:spacing w:line="360" w:lineRule="auto"/>
              <w:ind w:firstLine="48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根据四川省生态环境厅“三线一单”符合性分析系统识别系统结果，本项目</w:t>
            </w:r>
            <w:r>
              <w:rPr>
                <w:rFonts w:hint="default" w:ascii="Times New Roman" w:hAnsi="Times New Roman" w:eastAsia="宋体" w:cs="Times New Roman"/>
                <w:b/>
                <w:bCs/>
                <w:color w:val="auto"/>
              </w:rPr>
              <w:t>高寺镇</w:t>
            </w:r>
            <w:r>
              <w:rPr>
                <w:rFonts w:hint="default" w:ascii="Times New Roman" w:hAnsi="Times New Roman" w:eastAsia="宋体" w:cs="Times New Roman"/>
                <w:color w:val="auto"/>
              </w:rPr>
              <w:t>拟建区域共涉及</w:t>
            </w:r>
            <w:r>
              <w:rPr>
                <w:rFonts w:hint="default" w:ascii="Times New Roman" w:hAnsi="Times New Roman" w:eastAsia="宋体" w:cs="Times New Roman"/>
                <w:color w:val="auto"/>
                <w:lang w:val="en-US" w:eastAsia="zh-CN"/>
              </w:rPr>
              <w:t>6</w:t>
            </w:r>
            <w:r>
              <w:rPr>
                <w:rFonts w:hint="default" w:ascii="Times New Roman" w:hAnsi="Times New Roman" w:eastAsia="宋体" w:cs="Times New Roman"/>
                <w:color w:val="auto"/>
              </w:rPr>
              <w:t>个管控单元，具体情况见下图。</w:t>
            </w:r>
          </w:p>
          <w:p w14:paraId="79EE0E57">
            <w:pPr>
              <w:spacing w:line="360" w:lineRule="auto"/>
              <w:ind w:firstLine="480" w:firstLineChars="200"/>
              <w:rPr>
                <w:rFonts w:hint="default" w:ascii="Times New Roman" w:hAnsi="Times New Roman" w:eastAsia="宋体" w:cs="Times New Roman"/>
                <w:color w:val="auto"/>
                <w:sz w:val="24"/>
                <w:szCs w:val="24"/>
              </w:rPr>
            </w:pPr>
          </w:p>
          <w:p w14:paraId="3338187D">
            <w:pPr>
              <w:spacing w:line="360" w:lineRule="auto"/>
              <w:ind w:firstLine="480" w:firstLineChars="200"/>
              <w:rPr>
                <w:rFonts w:hint="default" w:ascii="Times New Roman" w:hAnsi="Times New Roman" w:eastAsia="宋体" w:cs="Times New Roman"/>
                <w:color w:val="auto"/>
                <w:sz w:val="24"/>
                <w:szCs w:val="24"/>
              </w:rPr>
            </w:pPr>
          </w:p>
          <w:p w14:paraId="0D3D1AC7">
            <w:pPr>
              <w:spacing w:line="360" w:lineRule="auto"/>
              <w:jc w:val="center"/>
              <w:rPr>
                <w:rFonts w:hint="default" w:ascii="Times New Roman" w:hAnsi="Times New Roman" w:eastAsia="宋体" w:cs="Times New Roman"/>
                <w:b/>
                <w:bCs/>
                <w:color w:val="auto"/>
                <w:sz w:val="24"/>
                <w:szCs w:val="24"/>
              </w:rPr>
            </w:pPr>
          </w:p>
          <w:p w14:paraId="40B3C0BF">
            <w:pPr>
              <w:jc w:val="center"/>
              <w:rPr>
                <w:rFonts w:hint="default" w:ascii="Times New Roman" w:hAnsi="Times New Roman" w:eastAsia="宋体" w:cs="Times New Roman"/>
                <w:b/>
                <w:bCs/>
                <w:color w:val="auto"/>
                <w:sz w:val="24"/>
                <w:szCs w:val="24"/>
              </w:rPr>
            </w:pPr>
          </w:p>
          <w:p w14:paraId="4AA22B94">
            <w:pPr>
              <w:jc w:val="center"/>
              <w:rPr>
                <w:rFonts w:hint="default" w:ascii="Times New Roman" w:hAnsi="Times New Roman" w:eastAsia="宋体" w:cs="Times New Roman"/>
                <w:b/>
                <w:bCs/>
                <w:color w:val="auto"/>
                <w:sz w:val="24"/>
                <w:szCs w:val="24"/>
                <w:lang w:eastAsia="zh-CN"/>
              </w:rPr>
            </w:pPr>
            <w:r>
              <w:rPr>
                <w:rFonts w:hint="default" w:ascii="Times New Roman" w:hAnsi="Times New Roman" w:eastAsia="宋体" w:cs="Times New Roman"/>
                <w:b/>
                <w:bCs/>
                <w:color w:val="auto"/>
                <w:sz w:val="24"/>
                <w:szCs w:val="24"/>
                <w:lang w:eastAsia="zh-CN"/>
              </w:rPr>
              <w:drawing>
                <wp:inline distT="0" distB="0" distL="114300" distR="114300">
                  <wp:extent cx="6930390" cy="5273040"/>
                  <wp:effectExtent l="0" t="0" r="3810" b="3810"/>
                  <wp:docPr id="29" name="图片 29" descr="a035945f5d3ae9e6f1dcbb531ee95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a035945f5d3ae9e6f1dcbb531ee95b5"/>
                          <pic:cNvPicPr>
                            <a:picLocks noChangeAspect="1"/>
                          </pic:cNvPicPr>
                        </pic:nvPicPr>
                        <pic:blipFill>
                          <a:blip r:embed="rId24"/>
                          <a:stretch>
                            <a:fillRect/>
                          </a:stretch>
                        </pic:blipFill>
                        <pic:spPr>
                          <a:xfrm>
                            <a:off x="0" y="0"/>
                            <a:ext cx="6930390" cy="5273040"/>
                          </a:xfrm>
                          <a:prstGeom prst="rect">
                            <a:avLst/>
                          </a:prstGeom>
                        </pic:spPr>
                      </pic:pic>
                    </a:graphicData>
                  </a:graphic>
                </wp:inline>
              </w:drawing>
            </w:r>
          </w:p>
          <w:p w14:paraId="16CF2645">
            <w:pPr>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图1-</w:t>
            </w:r>
            <w:r>
              <w:rPr>
                <w:rFonts w:hint="default" w:ascii="Times New Roman" w:hAnsi="Times New Roman" w:eastAsia="宋体" w:cs="Times New Roman"/>
                <w:b/>
                <w:bCs/>
                <w:color w:val="auto"/>
                <w:sz w:val="24"/>
                <w:szCs w:val="24"/>
                <w:lang w:val="en-US" w:eastAsia="zh-CN"/>
              </w:rPr>
              <w:t>9</w:t>
            </w:r>
            <w:r>
              <w:rPr>
                <w:rFonts w:hint="default" w:ascii="Times New Roman" w:hAnsi="Times New Roman" w:eastAsia="宋体" w:cs="Times New Roman"/>
                <w:b/>
                <w:bCs/>
                <w:color w:val="auto"/>
                <w:sz w:val="24"/>
                <w:szCs w:val="24"/>
              </w:rPr>
              <w:t xml:space="preserve">  项目与管控分区截图</w:t>
            </w:r>
          </w:p>
          <w:p w14:paraId="0C604955">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同时利用“四川省政务网---四川省生态环境厅数据库”可查询本建设项目与“四川省三线一单”符合性分析情况，经查询后可导出分析报告，分析报告明确本项目位于资阳市乐至县环境综合管控单元要素重点管控单元（管控单元名称：乐至县要素重点管控单元1，管控单元编号：ZH51202220007）</w:t>
            </w:r>
          </w:p>
          <w:p w14:paraId="11E094C4">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本项目与管控单元相对位置如下所示：</w:t>
            </w:r>
          </w:p>
          <w:p w14:paraId="352BDA07">
            <w:pPr>
              <w:pStyle w:val="21"/>
              <w:widowControl w:val="0"/>
              <w:kinsoku/>
              <w:autoSpaceDE/>
              <w:autoSpaceDN/>
              <w:adjustRightInd/>
              <w:snapToGrid/>
              <w:spacing w:line="336" w:lineRule="auto"/>
              <w:ind w:firstLine="0" w:firstLineChars="0"/>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sz w:val="28"/>
                <w:szCs w:val="24"/>
              </w:rPr>
              <w:drawing>
                <wp:inline distT="0" distB="0" distL="114300" distR="114300">
                  <wp:extent cx="6350000" cy="3810000"/>
                  <wp:effectExtent l="0" t="0" r="12700" b="0"/>
                  <wp:docPr id="3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4"/>
                          <pic:cNvPicPr>
                            <a:picLocks noChangeAspect="1"/>
                          </pic:cNvPicPr>
                        </pic:nvPicPr>
                        <pic:blipFill>
                          <a:blip r:embed="rId25"/>
                          <a:stretch>
                            <a:fillRect/>
                          </a:stretch>
                        </pic:blipFill>
                        <pic:spPr>
                          <a:xfrm>
                            <a:off x="0" y="0"/>
                            <a:ext cx="6350000" cy="3810000"/>
                          </a:xfrm>
                          <a:prstGeom prst="rect">
                            <a:avLst/>
                          </a:prstGeom>
                          <a:noFill/>
                          <a:ln>
                            <a:noFill/>
                          </a:ln>
                        </pic:spPr>
                      </pic:pic>
                    </a:graphicData>
                  </a:graphic>
                </wp:inline>
              </w:drawing>
            </w:r>
          </w:p>
          <w:p w14:paraId="13820F1B">
            <w:pPr>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图1-</w:t>
            </w:r>
            <w:r>
              <w:rPr>
                <w:rFonts w:hint="default" w:ascii="Times New Roman" w:hAnsi="Times New Roman" w:eastAsia="宋体" w:cs="Times New Roman"/>
                <w:b/>
                <w:bCs/>
                <w:color w:val="auto"/>
                <w:sz w:val="24"/>
                <w:szCs w:val="24"/>
                <w:lang w:val="en-US" w:eastAsia="zh-CN"/>
              </w:rPr>
              <w:t>10</w:t>
            </w:r>
            <w:r>
              <w:rPr>
                <w:rFonts w:hint="default" w:ascii="Times New Roman" w:hAnsi="Times New Roman" w:eastAsia="宋体" w:cs="Times New Roman"/>
                <w:b/>
                <w:bCs/>
                <w:color w:val="auto"/>
                <w:sz w:val="24"/>
                <w:szCs w:val="24"/>
              </w:rPr>
              <w:t xml:space="preserve"> 本项目与管控单元相对位置图</w:t>
            </w:r>
          </w:p>
          <w:p w14:paraId="499D4D72">
            <w:pPr>
              <w:pStyle w:val="21"/>
              <w:widowControl w:val="0"/>
              <w:kinsoku/>
              <w:autoSpaceDE/>
              <w:autoSpaceDN/>
              <w:adjustRightInd/>
              <w:snapToGrid/>
              <w:spacing w:line="336" w:lineRule="auto"/>
              <w:ind w:firstLine="420"/>
              <w:textAlignment w:val="auto"/>
              <w:rPr>
                <w:rFonts w:hint="default" w:ascii="Times New Roman" w:hAnsi="Times New Roman" w:eastAsia="宋体" w:cs="Times New Roman"/>
                <w:color w:val="auto"/>
              </w:rPr>
            </w:pPr>
          </w:p>
          <w:p w14:paraId="40706B1C">
            <w:pPr>
              <w:pStyle w:val="21"/>
              <w:widowControl w:val="0"/>
              <w:kinsoku/>
              <w:autoSpaceDE/>
              <w:autoSpaceDN/>
              <w:adjustRightInd/>
              <w:snapToGrid/>
              <w:spacing w:line="360" w:lineRule="auto"/>
              <w:ind w:firstLine="48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（2）生态环境准入清单符合性分析</w:t>
            </w:r>
          </w:p>
          <w:p w14:paraId="1610C644">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本项目与各个管控单元要求符合性分析见下表：</w:t>
            </w:r>
          </w:p>
          <w:p w14:paraId="3AB2D607">
            <w:pPr>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表1-</w:t>
            </w:r>
            <w:r>
              <w:rPr>
                <w:rFonts w:hint="default" w:ascii="Times New Roman" w:hAnsi="Times New Roman" w:eastAsia="宋体" w:cs="Times New Roman"/>
                <w:b/>
                <w:bCs/>
                <w:color w:val="auto"/>
                <w:sz w:val="24"/>
                <w:szCs w:val="24"/>
                <w:lang w:val="en-US" w:eastAsia="zh-CN"/>
              </w:rPr>
              <w:t>7</w:t>
            </w:r>
            <w:r>
              <w:rPr>
                <w:rFonts w:hint="default" w:ascii="Times New Roman" w:hAnsi="Times New Roman" w:eastAsia="宋体" w:cs="Times New Roman"/>
                <w:b/>
                <w:bCs/>
                <w:color w:val="auto"/>
                <w:sz w:val="24"/>
                <w:szCs w:val="24"/>
              </w:rPr>
              <w:t xml:space="preserve">  本项目与管控单元符合性分析一览表</w:t>
            </w:r>
          </w:p>
          <w:tbl>
            <w:tblPr>
              <w:tblStyle w:val="43"/>
              <w:tblW w:w="4997"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881"/>
              <w:gridCol w:w="1195"/>
              <w:gridCol w:w="1807"/>
              <w:gridCol w:w="5986"/>
              <w:gridCol w:w="2752"/>
              <w:gridCol w:w="599"/>
            </w:tblGrid>
            <w:tr w14:paraId="292B983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1716" w:type="pct"/>
                  <w:gridSpan w:val="3"/>
                  <w:tcBorders>
                    <w:tl2br w:val="nil"/>
                    <w:tr2bl w:val="nil"/>
                  </w:tcBorders>
                  <w:vAlign w:val="center"/>
                </w:tcPr>
                <w:p w14:paraId="49B74347">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类别</w:t>
                  </w:r>
                </w:p>
              </w:tc>
              <w:tc>
                <w:tcPr>
                  <w:tcW w:w="2103" w:type="pct"/>
                  <w:tcBorders>
                    <w:tl2br w:val="nil"/>
                    <w:tr2bl w:val="nil"/>
                  </w:tcBorders>
                  <w:vAlign w:val="center"/>
                </w:tcPr>
                <w:p w14:paraId="03E3484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对应管控要求</w:t>
                  </w:r>
                </w:p>
              </w:tc>
              <w:tc>
                <w:tcPr>
                  <w:tcW w:w="967" w:type="pct"/>
                  <w:tcBorders>
                    <w:tl2br w:val="nil"/>
                    <w:tr2bl w:val="nil"/>
                  </w:tcBorders>
                  <w:vAlign w:val="center"/>
                </w:tcPr>
                <w:p w14:paraId="670181F4">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项目对应情况介绍</w:t>
                  </w:r>
                </w:p>
              </w:tc>
              <w:tc>
                <w:tcPr>
                  <w:tcW w:w="210" w:type="pct"/>
                  <w:tcBorders>
                    <w:tl2br w:val="nil"/>
                    <w:tr2bl w:val="nil"/>
                  </w:tcBorders>
                  <w:vAlign w:val="center"/>
                </w:tcPr>
                <w:p w14:paraId="575F6EF6">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符合性分析</w:t>
                  </w:r>
                </w:p>
              </w:tc>
            </w:tr>
            <w:tr w14:paraId="49A838B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9" w:hRule="atLeast"/>
                <w:jc w:val="center"/>
              </w:trPr>
              <w:tc>
                <w:tcPr>
                  <w:tcW w:w="661" w:type="pct"/>
                  <w:vMerge w:val="restart"/>
                  <w:tcBorders>
                    <w:tl2br w:val="nil"/>
                    <w:tr2bl w:val="nil"/>
                  </w:tcBorders>
                  <w:vAlign w:val="center"/>
                </w:tcPr>
                <w:p w14:paraId="5F0A552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ZH51202220007</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乐至县要素重点管控单元1</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环境管控单元</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环境综合管控单元要素重点管控单元</w:t>
                  </w:r>
                </w:p>
              </w:tc>
              <w:tc>
                <w:tcPr>
                  <w:tcW w:w="420" w:type="pct"/>
                  <w:vMerge w:val="restart"/>
                  <w:tcBorders>
                    <w:tl2br w:val="nil"/>
                    <w:tr2bl w:val="nil"/>
                  </w:tcBorders>
                  <w:vAlign w:val="center"/>
                </w:tcPr>
                <w:p w14:paraId="016FCFE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普适性清单管控要求</w:t>
                  </w:r>
                </w:p>
              </w:tc>
              <w:tc>
                <w:tcPr>
                  <w:tcW w:w="635" w:type="pct"/>
                  <w:tcBorders>
                    <w:tl2br w:val="nil"/>
                    <w:tr2bl w:val="nil"/>
                  </w:tcBorders>
                  <w:vAlign w:val="center"/>
                </w:tcPr>
                <w:p w14:paraId="4C708755">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2103" w:type="pct"/>
                  <w:tcBorders>
                    <w:tl2br w:val="nil"/>
                    <w:tr2bl w:val="nil"/>
                  </w:tcBorders>
                  <w:vAlign w:val="center"/>
                </w:tcPr>
                <w:p w14:paraId="4C58A830">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p w14:paraId="15623C7D">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禁止开发建设活动的要求</w:t>
                  </w:r>
                </w:p>
                <w:p w14:paraId="791A11D9">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（1）禁止在长江干支流岸线一公里范围内新建、扩建化工园区和化工项目。（2）禁止在法律法规规定的禁采区内开采矿产；禁止</w:t>
                  </w:r>
                  <w:r>
                    <w:rPr>
                      <w:rFonts w:hint="default" w:ascii="Times New Roman" w:hAnsi="Times New Roman" w:eastAsia="宋体" w:cs="Times New Roman"/>
                      <w:color w:val="auto"/>
                      <w:sz w:val="21"/>
                      <w:szCs w:val="21"/>
                      <w:lang w:eastAsia="zh-CN"/>
                    </w:rPr>
                    <w:t>非法</w:t>
                  </w:r>
                  <w:r>
                    <w:rPr>
                      <w:rFonts w:hint="default" w:ascii="Times New Roman" w:hAnsi="Times New Roman" w:eastAsia="宋体" w:cs="Times New Roman"/>
                      <w:color w:val="auto"/>
                      <w:sz w:val="21"/>
                      <w:szCs w:val="21"/>
                    </w:rPr>
                    <w:t>采、选、冶严重污染环境的矿产资源。（3）对于基本农田，除法律规定的重点建设项目选址确实无法避让外，其他任何建设不得占用。（4）禁止新引入工业企业（（砖瓦制造、农副产品加工、混凝土及砂石制品制造、矿产资源采选、可再生能源等除外）。（5）现有区外工业企业应逐步向工业园区集中。（6）严控新增建设用地规模和非农建设占用耕地。（7）禁止在畜禽养殖和水产养殖禁养区内新建不符合要求的畜禽养殖和水产养殖项目。</w:t>
                  </w:r>
                </w:p>
                <w:p w14:paraId="316A02B9">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限制开发建设活动的要求</w:t>
                  </w:r>
                </w:p>
                <w:p w14:paraId="7811B9A5">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单元内新布局工业园区，应结合区域环境特点、三线成果、园区产业类别，充分论证选址的环境合理性。（2）大气布局敏感区、弱扩散区应严格限制布设以钢铁、建材、石化、化工（低污染绿色化工除外）、有色等高污染行业为主导产业的园区；（3）水环境城镇生活污染、农业污染重点管控区应严格限制布设以电力、钢铁、造纸、石化、化工（低耗水绿色化工除外）、印染、化纤等高耗水行业为主导产业的园区。（4）严控在沱江岸线1公里范围内新建涉磷、造纸、印染、制革等项目。</w:t>
                  </w:r>
                </w:p>
                <w:p w14:paraId="30DA2189">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不符合空间布局要求活动的退出要求</w:t>
                  </w:r>
                </w:p>
                <w:p w14:paraId="2B6ED3C7">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全面取缔蓄禽养殖禁养区内规模化畜禽养殖场，水产养殖禁养区内水产养殖项目。（2）现有白酒企业，用地性质不符合及达不到《发酵酒精和白酒工业水污染物排放标准》的企业应限期整治或适时搬迁。（3）强化监管，防止“散乱污”企业反弹。重点清理整治与成德眉交界区域的“散乱污”企业，实现 “散乱污”企业动态清零。（4）强化现有化工企业监管，存在违法违规行企业限期整改，整改后仍不能达到要求的依法关闭，鼓励企业搬入合规园区。</w:t>
                  </w:r>
                </w:p>
                <w:p w14:paraId="753A0864">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其他空间布局约束要求</w:t>
                  </w:r>
                </w:p>
                <w:p w14:paraId="6CCF809C">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暂无</w:t>
                  </w:r>
                </w:p>
              </w:tc>
              <w:tc>
                <w:tcPr>
                  <w:tcW w:w="967" w:type="pct"/>
                  <w:tcBorders>
                    <w:tl2br w:val="nil"/>
                    <w:tr2bl w:val="nil"/>
                  </w:tcBorders>
                  <w:vAlign w:val="center"/>
                </w:tcPr>
                <w:p w14:paraId="7967B74E">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本项目位于资阳市乐至城区及乡镇，为国家储备林建设及森林质量项目，不属于工业企业。</w:t>
                  </w:r>
                </w:p>
              </w:tc>
              <w:tc>
                <w:tcPr>
                  <w:tcW w:w="210" w:type="pct"/>
                  <w:tcBorders>
                    <w:tl2br w:val="nil"/>
                    <w:tr2bl w:val="nil"/>
                  </w:tcBorders>
                  <w:vAlign w:val="center"/>
                </w:tcPr>
                <w:p w14:paraId="32A7F4D5">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5C2D9D8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61754426">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0EC7A23B">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10EBA182">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2103" w:type="pct"/>
                  <w:tcBorders>
                    <w:tl2br w:val="nil"/>
                    <w:tr2bl w:val="nil"/>
                  </w:tcBorders>
                  <w:vAlign w:val="center"/>
                </w:tcPr>
                <w:p w14:paraId="7F730CB4">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p w14:paraId="598C32F9">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允许排放量要求</w:t>
                  </w:r>
                </w:p>
                <w:p w14:paraId="36EEDAF5">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暂无</w:t>
                  </w:r>
                </w:p>
                <w:p w14:paraId="16D1F194">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现有源提标升级改造</w:t>
                  </w:r>
                </w:p>
                <w:p w14:paraId="35413794">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推进乡镇现有污水处理设施升级改造，完善污水收集管网，沱江流域处理能力达到1000吨日以上的污水处理厂执行《四川省岷江、沱江流域水污染物排放标准》。（2）加强与改厕工作相衔接，推进农村生活污水资源化利用。梯次推进农村生活污水治理，农村生活污水处理设施执行《四川省农村生活污水处理设施水污染物排放标准》（DB51 2626—2019）。到2025年，85%以上的行政村农村污水得到有效治理。（3）加强畜禽养殖污染治理，规模养殖场全部配套粪污处置设施，推进粪污资源化利用。沱江流域规模化畜禽养殖场废水排放应执行《四川省岷江、沱江流域水污染物排放标准》。（4）加强水产养殖污染治理，依法拆除禁养区内的网箱养殖设施，推进水产养殖尾水治理和排放申报。（5）砖瓦行业实施脱硫、除尘升级改造，污染物排放达到《砖瓦工业大气污染物排放标准》相关要求。</w:t>
                  </w:r>
                </w:p>
                <w:p w14:paraId="755CCEB9">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其他污染物排放管控要求</w:t>
                  </w:r>
                </w:p>
                <w:p w14:paraId="6F857BA9">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新增源排放标准限制：雁江区新、改、扩建工业项目全面执行大气污染物特别排放限值。2、新增源等量或倍量替代：对主要污染物排放超过总量控制要求且环境质量不达标的地区，暂停审批新增污染物排放量的建设项目。3、污染物排放绩效水平准入要求：（1）至2025年底，基本实现乡镇污水处理设施全覆盖，配套建设污水收集管网，乡镇污水处理率力争达到85%。（2）新、改扩建规模化畜禽养殖场（小区）要实施雨污分流，配套粪污处置设施，推进粪便污水资源化利用，至2025年，规模化畜禽养殖场（小区）粪污处理设施装备配套率达到100%，粪污综合利用率达到90%以上；散养密集区要实行畜禽粪便污水分户收集、集中处理利用。（3）屠宰项目必须配套污水处理设施或进入城市污水管网。（4）强化农药、化肥减量工作，积极推广配方肥和商品有机肥，配方施肥覆盖面不低于50%，减少化肥施用和流失，提高化肥利用率。 （5）乡镇及行政村生活垃圾收转运处置体系基本实现全覆盖；（6）推进农业废弃农膜的回收、转运综合利用。到2025年秸秆综合利用率达到95%以上。</w:t>
                  </w:r>
                </w:p>
              </w:tc>
              <w:tc>
                <w:tcPr>
                  <w:tcW w:w="967" w:type="pct"/>
                  <w:tcBorders>
                    <w:tl2br w:val="nil"/>
                    <w:tr2bl w:val="nil"/>
                  </w:tcBorders>
                  <w:vAlign w:val="center"/>
                </w:tcPr>
                <w:p w14:paraId="36153AE7">
                  <w:pPr>
                    <w:spacing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本项目为国家储备林建设及森林质量项目，</w:t>
                  </w:r>
                  <w:r>
                    <w:rPr>
                      <w:rFonts w:hint="default" w:ascii="Times New Roman" w:hAnsi="Times New Roman" w:eastAsia="宋体" w:cs="Times New Roman"/>
                      <w:color w:val="auto"/>
                      <w:sz w:val="21"/>
                      <w:szCs w:val="21"/>
                      <w:lang w:eastAsia="zh-CN"/>
                    </w:rPr>
                    <w:t>生活污水经预处理后用作农肥不外排</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eastAsia="zh-CN"/>
                    </w:rPr>
                    <w:t>雨水实行雨污分流符合管控要求</w:t>
                  </w:r>
                  <w:r>
                    <w:rPr>
                      <w:rFonts w:hint="eastAsia" w:ascii="Times New Roman" w:hAnsi="Times New Roman" w:eastAsia="宋体" w:cs="Times New Roman"/>
                      <w:color w:val="auto"/>
                      <w:sz w:val="21"/>
                      <w:szCs w:val="21"/>
                      <w:lang w:eastAsia="zh-CN"/>
                    </w:rPr>
                    <w:t>，施用有机生物肥和复合有机无机配方肥，避免地表撒施，尽量采用低毒、残留期短的农药和生物制剂，既保障栽植苗木生长，也减少化肥农药污染</w:t>
                  </w:r>
                  <w:r>
                    <w:rPr>
                      <w:rFonts w:hint="default" w:ascii="Times New Roman" w:hAnsi="Times New Roman" w:eastAsia="宋体" w:cs="Times New Roman"/>
                      <w:color w:val="auto"/>
                      <w:sz w:val="21"/>
                      <w:szCs w:val="21"/>
                      <w:lang w:eastAsia="zh-CN"/>
                    </w:rPr>
                    <w:t>。</w:t>
                  </w:r>
                </w:p>
              </w:tc>
              <w:tc>
                <w:tcPr>
                  <w:tcW w:w="210" w:type="pct"/>
                  <w:tcBorders>
                    <w:tl2br w:val="nil"/>
                    <w:tr2bl w:val="nil"/>
                  </w:tcBorders>
                  <w:vAlign w:val="center"/>
                </w:tcPr>
                <w:p w14:paraId="45C38DF2">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22B9FD0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5EFDB527">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46B4938A">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7880BE88">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2103" w:type="pct"/>
                  <w:tcBorders>
                    <w:tl2br w:val="nil"/>
                    <w:tr2bl w:val="nil"/>
                  </w:tcBorders>
                  <w:vAlign w:val="center"/>
                </w:tcPr>
                <w:p w14:paraId="62A83DB5">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p w14:paraId="5DE6B13A">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联防联控要求</w:t>
                  </w:r>
                </w:p>
                <w:p w14:paraId="25B06EC9">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暂无</w:t>
                  </w:r>
                </w:p>
                <w:p w14:paraId="3B8912F0">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其他环境风险防控要求</w:t>
                  </w:r>
                </w:p>
                <w:p w14:paraId="075F77D2">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用地环境风险防控要求：（1）工业企业退出用地，须经评估、修复满足相应用地功能后，方可改变用途。（2）严禁将城镇生活垃圾、污泥、工业废物直接用作肥料，禁止处理不达标的污泥进入耕地；禁止在农用地排放、倾倒、使用污泥、清淤底泥、尾矿（渣）等可能对土壤造成污染的固体废物。</w:t>
                  </w:r>
                </w:p>
              </w:tc>
              <w:tc>
                <w:tcPr>
                  <w:tcW w:w="967" w:type="pct"/>
                  <w:tcBorders>
                    <w:tl2br w:val="nil"/>
                    <w:tr2bl w:val="nil"/>
                  </w:tcBorders>
                  <w:vAlign w:val="center"/>
                </w:tcPr>
                <w:p w14:paraId="3134D20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乐至县兴茂林业开发有限公司已与项目所在地村民签订林地流转协议，用于储备林项目建设，符合规划。</w:t>
                  </w:r>
                </w:p>
              </w:tc>
              <w:tc>
                <w:tcPr>
                  <w:tcW w:w="210" w:type="pct"/>
                  <w:tcBorders>
                    <w:tl2br w:val="nil"/>
                    <w:tr2bl w:val="nil"/>
                  </w:tcBorders>
                  <w:vAlign w:val="center"/>
                </w:tcPr>
                <w:p w14:paraId="4E42F25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1279113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10DCD325">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07F423A6">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2C8F43C8">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2103" w:type="pct"/>
                  <w:tcBorders>
                    <w:tl2br w:val="nil"/>
                    <w:tr2bl w:val="nil"/>
                  </w:tcBorders>
                  <w:vAlign w:val="center"/>
                </w:tcPr>
                <w:p w14:paraId="25AC5071">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资源开发利用效率要求：</w:t>
                  </w:r>
                </w:p>
                <w:p w14:paraId="57C85CFE">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水资源利用总量要求</w:t>
                  </w:r>
                </w:p>
                <w:p w14:paraId="35401420">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（1）九曲河流域加强再生水利用，有条件的优先使用再用水，减少新鲜水取水量。（2）到2030年，农田灌溉水有效利用系数提高到0.62。</w:t>
                  </w:r>
                </w:p>
                <w:p w14:paraId="7B2560BC">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地下水开采要求</w:t>
                  </w:r>
                </w:p>
                <w:p w14:paraId="2569A509">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暂无</w:t>
                  </w:r>
                </w:p>
                <w:p w14:paraId="4CE948ED">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能源利用总量及效率要求</w:t>
                  </w:r>
                </w:p>
                <w:p w14:paraId="27B9125B">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（1）严控使用燃煤等高污染燃料，禁止焚烧垃圾。（2）推进清洁能源的推广使用，全面推进散煤清洁化整治。</w:t>
                  </w:r>
                </w:p>
                <w:p w14:paraId="5BEA157A">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禁燃区要求</w:t>
                  </w:r>
                </w:p>
                <w:p w14:paraId="3F7A0AF5">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暂无</w:t>
                  </w:r>
                </w:p>
                <w:p w14:paraId="0CAA3616">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其他资源利用效率要求</w:t>
                  </w:r>
                </w:p>
                <w:p w14:paraId="08453D89">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暂无</w:t>
                  </w:r>
                </w:p>
              </w:tc>
              <w:tc>
                <w:tcPr>
                  <w:tcW w:w="967" w:type="pct"/>
                  <w:tcBorders>
                    <w:tl2br w:val="nil"/>
                    <w:tr2bl w:val="nil"/>
                  </w:tcBorders>
                  <w:vAlign w:val="center"/>
                </w:tcPr>
                <w:p w14:paraId="7F6C5127">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本项目为国家储备林建设及森林质量项目，不属于使用高污染燃料项目，不属于禁止开发活动，不涉及上述限制开发建设活动。</w:t>
                  </w:r>
                </w:p>
              </w:tc>
              <w:tc>
                <w:tcPr>
                  <w:tcW w:w="210" w:type="pct"/>
                  <w:tcBorders>
                    <w:tl2br w:val="nil"/>
                    <w:tr2bl w:val="nil"/>
                  </w:tcBorders>
                  <w:vAlign w:val="center"/>
                </w:tcPr>
                <w:p w14:paraId="75B1F74B">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42C40BC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594DB1D4">
                  <w:pPr>
                    <w:spacing w:line="240" w:lineRule="auto"/>
                    <w:jc w:val="center"/>
                    <w:rPr>
                      <w:rFonts w:hint="default" w:ascii="Times New Roman" w:hAnsi="Times New Roman" w:eastAsia="宋体" w:cs="Times New Roman"/>
                      <w:color w:val="auto"/>
                      <w:sz w:val="21"/>
                      <w:szCs w:val="21"/>
                    </w:rPr>
                  </w:pPr>
                </w:p>
              </w:tc>
              <w:tc>
                <w:tcPr>
                  <w:tcW w:w="420" w:type="pct"/>
                  <w:vMerge w:val="restart"/>
                  <w:tcBorders>
                    <w:tl2br w:val="nil"/>
                    <w:tr2bl w:val="nil"/>
                  </w:tcBorders>
                  <w:vAlign w:val="center"/>
                </w:tcPr>
                <w:p w14:paraId="1D8BE7A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单元级清单管控要求</w:t>
                  </w:r>
                </w:p>
              </w:tc>
              <w:tc>
                <w:tcPr>
                  <w:tcW w:w="635" w:type="pct"/>
                  <w:tcBorders>
                    <w:tl2br w:val="nil"/>
                    <w:tr2bl w:val="nil"/>
                  </w:tcBorders>
                  <w:vAlign w:val="center"/>
                </w:tcPr>
                <w:p w14:paraId="1660540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5871" w:type="dxa"/>
                  <w:tcBorders>
                    <w:tl2br w:val="nil"/>
                    <w:tr2bl w:val="nil"/>
                  </w:tcBorders>
                  <w:vAlign w:val="center"/>
                </w:tcPr>
                <w:p w14:paraId="76491431">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禁止开发建设活动的要求</w:t>
                  </w:r>
                </w:p>
                <w:p w14:paraId="35BC3BDA">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执行要素重点单元总体准入要求</w:t>
                  </w:r>
                </w:p>
                <w:p w14:paraId="74BBE383">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限制开发建设活动的要求</w:t>
                  </w:r>
                </w:p>
                <w:p w14:paraId="3E8881BE">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允许开发建设活动的要求</w:t>
                  </w:r>
                </w:p>
                <w:p w14:paraId="75C9C16F">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不符合空间布局要求活动的退出要求</w:t>
                  </w:r>
                </w:p>
                <w:p w14:paraId="4D671C85">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执行要素重点单元总体准入要求</w:t>
                  </w:r>
                </w:p>
                <w:p w14:paraId="4FD1E829">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其他空间布局约束要求</w:t>
                  </w:r>
                </w:p>
              </w:tc>
              <w:tc>
                <w:tcPr>
                  <w:tcW w:w="967" w:type="pct"/>
                  <w:tcBorders>
                    <w:tl2br w:val="nil"/>
                    <w:tr2bl w:val="nil"/>
                  </w:tcBorders>
                  <w:vAlign w:val="center"/>
                </w:tcPr>
                <w:p w14:paraId="1F07BE13">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本项目不属于禁止开发活动，限制开发建设活动。</w:t>
                  </w:r>
                </w:p>
              </w:tc>
              <w:tc>
                <w:tcPr>
                  <w:tcW w:w="210" w:type="pct"/>
                  <w:tcBorders>
                    <w:tl2br w:val="nil"/>
                    <w:tr2bl w:val="nil"/>
                  </w:tcBorders>
                  <w:vAlign w:val="center"/>
                </w:tcPr>
                <w:p w14:paraId="5983285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552E0E5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76DC47E2">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1AC16992">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3B6D6552">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5871" w:type="dxa"/>
                  <w:tcBorders>
                    <w:tl2br w:val="nil"/>
                    <w:tr2bl w:val="nil"/>
                  </w:tcBorders>
                  <w:vAlign w:val="center"/>
                </w:tcPr>
                <w:p w14:paraId="6E03B6DA">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现有源提标升级改造</w:t>
                  </w:r>
                </w:p>
                <w:p w14:paraId="5C625765">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（1）以水生态修复为基本思路，从水质生态净化、景观提升和水生态环境保护等多方面对饮用水源地进行内源治理。（2）加快索溪河进行河道清淤、河道两岸生态护岸、生态修复及附属雨污截污设施建设</w:t>
                  </w:r>
                </w:p>
                <w:p w14:paraId="2772B06F">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新增源等量或倍量替代</w:t>
                  </w:r>
                </w:p>
                <w:p w14:paraId="1279C385">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执行要素重点单元总体准入要求</w:t>
                  </w:r>
                </w:p>
                <w:p w14:paraId="25312591">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新增源排放标准限值</w:t>
                  </w:r>
                </w:p>
                <w:p w14:paraId="4CAA8E1C">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污染物排放绩效水平准入要求</w:t>
                  </w:r>
                </w:p>
                <w:p w14:paraId="693BCF16">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到2025年底，80%以上的行政村农村生活污水得到有效治理。</w:t>
                  </w:r>
                </w:p>
                <w:p w14:paraId="051CFB3A">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其他污染物排放管控要求</w:t>
                  </w:r>
                </w:p>
              </w:tc>
              <w:tc>
                <w:tcPr>
                  <w:tcW w:w="967" w:type="pct"/>
                  <w:tcBorders>
                    <w:tl2br w:val="nil"/>
                    <w:tr2bl w:val="nil"/>
                  </w:tcBorders>
                  <w:vAlign w:val="center"/>
                </w:tcPr>
                <w:p w14:paraId="0C59B95B">
                  <w:pPr>
                    <w:spacing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本项目</w:t>
                  </w:r>
                  <w:r>
                    <w:rPr>
                      <w:rFonts w:hint="default" w:ascii="Times New Roman" w:hAnsi="Times New Roman" w:eastAsia="宋体" w:cs="Times New Roman"/>
                      <w:color w:val="auto"/>
                      <w:sz w:val="21"/>
                      <w:szCs w:val="21"/>
                      <w:lang w:eastAsia="zh-CN"/>
                    </w:rPr>
                    <w:t>生活污水经预处理后用作农肥不外排</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eastAsia="zh-CN"/>
                    </w:rPr>
                    <w:t>雨水实行雨污分流符合管控要求。</w:t>
                  </w:r>
                </w:p>
              </w:tc>
              <w:tc>
                <w:tcPr>
                  <w:tcW w:w="210" w:type="pct"/>
                  <w:tcBorders>
                    <w:tl2br w:val="nil"/>
                    <w:tr2bl w:val="nil"/>
                  </w:tcBorders>
                  <w:vAlign w:val="center"/>
                </w:tcPr>
                <w:p w14:paraId="2F4EF076">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2A697A7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256013A3">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14A729F6">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2A4DED8D">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5871" w:type="dxa"/>
                  <w:tcBorders>
                    <w:tl2br w:val="nil"/>
                    <w:tr2bl w:val="nil"/>
                  </w:tcBorders>
                  <w:vAlign w:val="center"/>
                </w:tcPr>
                <w:p w14:paraId="529859BD">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严格管控类农用地管控要求</w:t>
                  </w:r>
                </w:p>
                <w:p w14:paraId="20BD2DF5">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执行要素重点单元总体准入要求</w:t>
                  </w:r>
                </w:p>
                <w:p w14:paraId="3E640F4F">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安全利用类农用地管控要求</w:t>
                  </w:r>
                </w:p>
                <w:p w14:paraId="69F76351">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执行要素重点单元总体准入要求</w:t>
                  </w:r>
                </w:p>
                <w:p w14:paraId="73207C31">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污染地块管控要求</w:t>
                  </w:r>
                </w:p>
                <w:p w14:paraId="20F5C322">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执行要素重点单元总体准入要求</w:t>
                  </w:r>
                </w:p>
                <w:p w14:paraId="461D1D28">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园区环境风险防控要求</w:t>
                  </w:r>
                </w:p>
                <w:p w14:paraId="07EF462C">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企业环境风险防控要求</w:t>
                  </w:r>
                </w:p>
                <w:p w14:paraId="6FFF3A87">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执行要素重点单元总体准入要求</w:t>
                  </w:r>
                </w:p>
                <w:p w14:paraId="40CB5479">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其他环境风险防控要求</w:t>
                  </w:r>
                </w:p>
              </w:tc>
              <w:tc>
                <w:tcPr>
                  <w:tcW w:w="967" w:type="pct"/>
                  <w:tcBorders>
                    <w:tl2br w:val="nil"/>
                    <w:tr2bl w:val="nil"/>
                  </w:tcBorders>
                  <w:vAlign w:val="center"/>
                </w:tcPr>
                <w:p w14:paraId="13E9963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本项目为国家储备林建设及森林质量项目，项目的实施不会提高环境风险等级。</w:t>
                  </w:r>
                </w:p>
              </w:tc>
              <w:tc>
                <w:tcPr>
                  <w:tcW w:w="210" w:type="pct"/>
                  <w:tcBorders>
                    <w:tl2br w:val="nil"/>
                    <w:tr2bl w:val="nil"/>
                  </w:tcBorders>
                  <w:vAlign w:val="center"/>
                </w:tcPr>
                <w:p w14:paraId="71927C0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248B808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7A638172">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32BA5283">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76B9CBAB">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5871" w:type="dxa"/>
                  <w:tcBorders>
                    <w:tl2br w:val="nil"/>
                    <w:tr2bl w:val="nil"/>
                  </w:tcBorders>
                  <w:vAlign w:val="center"/>
                </w:tcPr>
                <w:p w14:paraId="004063DA">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水资源利用效率要求</w:t>
                  </w:r>
                </w:p>
                <w:p w14:paraId="1D4F767D">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执行要素重点单元总体准入要求</w:t>
                  </w:r>
                </w:p>
                <w:p w14:paraId="6F04555A">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地下水开采要求</w:t>
                  </w:r>
                </w:p>
                <w:p w14:paraId="7C5F00AE">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能源利用效率要求</w:t>
                  </w:r>
                </w:p>
                <w:p w14:paraId="4D4C1DF0">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执行要素重点单元总体准入要求</w:t>
                  </w:r>
                </w:p>
                <w:p w14:paraId="66DEDABB">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其他资源利用效率要求</w:t>
                  </w:r>
                </w:p>
              </w:tc>
              <w:tc>
                <w:tcPr>
                  <w:tcW w:w="967" w:type="pct"/>
                  <w:tcBorders>
                    <w:tl2br w:val="nil"/>
                    <w:tr2bl w:val="nil"/>
                  </w:tcBorders>
                  <w:vAlign w:val="center"/>
                </w:tcPr>
                <w:p w14:paraId="7561863B">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本项目建设消防水池，用于储存水。</w:t>
                  </w:r>
                </w:p>
              </w:tc>
              <w:tc>
                <w:tcPr>
                  <w:tcW w:w="210" w:type="pct"/>
                  <w:tcBorders>
                    <w:tl2br w:val="nil"/>
                    <w:tr2bl w:val="nil"/>
                  </w:tcBorders>
                  <w:vAlign w:val="center"/>
                </w:tcPr>
                <w:p w14:paraId="1C928E55">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6A448F0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restart"/>
                  <w:tcBorders>
                    <w:tl2br w:val="nil"/>
                    <w:tr2bl w:val="nil"/>
                  </w:tcBorders>
                  <w:vAlign w:val="center"/>
                </w:tcPr>
                <w:p w14:paraId="595A4114">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YS5120222230001</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小阳化河乐至县万安桥控制单元</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水环境管控分区</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水环境农业污染重点管控区</w:t>
                  </w:r>
                </w:p>
              </w:tc>
              <w:tc>
                <w:tcPr>
                  <w:tcW w:w="420" w:type="pct"/>
                  <w:vMerge w:val="restart"/>
                  <w:tcBorders>
                    <w:tl2br w:val="nil"/>
                    <w:tr2bl w:val="nil"/>
                  </w:tcBorders>
                  <w:vAlign w:val="center"/>
                </w:tcPr>
                <w:p w14:paraId="2C87C94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普适性清单管控要求</w:t>
                  </w:r>
                </w:p>
              </w:tc>
              <w:tc>
                <w:tcPr>
                  <w:tcW w:w="635" w:type="pct"/>
                  <w:tcBorders>
                    <w:tl2br w:val="nil"/>
                    <w:tr2bl w:val="nil"/>
                  </w:tcBorders>
                  <w:vAlign w:val="center"/>
                </w:tcPr>
                <w:p w14:paraId="59F39D0D">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2103" w:type="pct"/>
                  <w:tcBorders>
                    <w:tl2br w:val="nil"/>
                    <w:tr2bl w:val="nil"/>
                  </w:tcBorders>
                  <w:vAlign w:val="center"/>
                </w:tcPr>
                <w:p w14:paraId="253D5FC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137EC06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7D0572B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251A907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4C55F5C2">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458541F8">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2C805063">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2103" w:type="pct"/>
                  <w:tcBorders>
                    <w:tl2br w:val="nil"/>
                    <w:tr2bl w:val="nil"/>
                  </w:tcBorders>
                  <w:vAlign w:val="center"/>
                </w:tcPr>
                <w:p w14:paraId="6C03C5D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282325E2">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51F9EA1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7693413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1A774B7D">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6B1CB923">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124A9F1D">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2103" w:type="pct"/>
                  <w:tcBorders>
                    <w:tl2br w:val="nil"/>
                    <w:tr2bl w:val="nil"/>
                  </w:tcBorders>
                  <w:vAlign w:val="center"/>
                </w:tcPr>
                <w:p w14:paraId="435F87C4">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436A2155">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2B862FC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56BF9EA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0C225033">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4F99A65A">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0E572644">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2103" w:type="pct"/>
                  <w:tcBorders>
                    <w:tl2br w:val="nil"/>
                    <w:tr2bl w:val="nil"/>
                  </w:tcBorders>
                  <w:vAlign w:val="center"/>
                </w:tcPr>
                <w:p w14:paraId="3ED21EB6">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6F3C2E7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6316698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6391302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7CC79E5F">
                  <w:pPr>
                    <w:spacing w:line="240" w:lineRule="auto"/>
                    <w:jc w:val="center"/>
                    <w:rPr>
                      <w:rFonts w:hint="default" w:ascii="Times New Roman" w:hAnsi="Times New Roman" w:eastAsia="宋体" w:cs="Times New Roman"/>
                      <w:color w:val="auto"/>
                      <w:sz w:val="21"/>
                      <w:szCs w:val="21"/>
                    </w:rPr>
                  </w:pPr>
                </w:p>
              </w:tc>
              <w:tc>
                <w:tcPr>
                  <w:tcW w:w="420" w:type="pct"/>
                  <w:vMerge w:val="restart"/>
                  <w:tcBorders>
                    <w:tl2br w:val="nil"/>
                    <w:tr2bl w:val="nil"/>
                  </w:tcBorders>
                  <w:vAlign w:val="center"/>
                </w:tcPr>
                <w:p w14:paraId="66A5850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单元级清单管控要求</w:t>
                  </w:r>
                </w:p>
              </w:tc>
              <w:tc>
                <w:tcPr>
                  <w:tcW w:w="635" w:type="pct"/>
                  <w:tcBorders>
                    <w:tl2br w:val="nil"/>
                    <w:tr2bl w:val="nil"/>
                  </w:tcBorders>
                  <w:vAlign w:val="center"/>
                </w:tcPr>
                <w:p w14:paraId="3428729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5871" w:type="dxa"/>
                  <w:tcBorders>
                    <w:tl2br w:val="nil"/>
                    <w:tr2bl w:val="nil"/>
                  </w:tcBorders>
                  <w:vAlign w:val="center"/>
                </w:tcPr>
                <w:p w14:paraId="76315E7D">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禁止开发建设活动的要求</w:t>
                  </w:r>
                </w:p>
                <w:p w14:paraId="682D8B3F">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限制开发建设活动的要求</w:t>
                  </w:r>
                </w:p>
                <w:p w14:paraId="41E38EFC">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允许开发建设活动的要求</w:t>
                  </w:r>
                </w:p>
                <w:p w14:paraId="136960FE">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不符合空间布局要求活动的退出要求</w:t>
                  </w:r>
                </w:p>
                <w:p w14:paraId="7C2A829B">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其他空间布局约束要求</w:t>
                  </w:r>
                </w:p>
              </w:tc>
              <w:tc>
                <w:tcPr>
                  <w:tcW w:w="967" w:type="pct"/>
                  <w:tcBorders>
                    <w:tl2br w:val="nil"/>
                    <w:tr2bl w:val="nil"/>
                  </w:tcBorders>
                  <w:vAlign w:val="center"/>
                </w:tcPr>
                <w:p w14:paraId="79EDFE1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本项目不属于禁止开发活动，限制开发建设活动。</w:t>
                  </w:r>
                </w:p>
              </w:tc>
              <w:tc>
                <w:tcPr>
                  <w:tcW w:w="210" w:type="pct"/>
                  <w:tcBorders>
                    <w:tl2br w:val="nil"/>
                    <w:tr2bl w:val="nil"/>
                  </w:tcBorders>
                  <w:vAlign w:val="center"/>
                </w:tcPr>
                <w:p w14:paraId="460809D5">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12F1AD3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111CC6F6">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721FE596">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1446CCB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5871" w:type="dxa"/>
                  <w:tcBorders>
                    <w:tl2br w:val="nil"/>
                    <w:tr2bl w:val="nil"/>
                  </w:tcBorders>
                  <w:vAlign w:val="center"/>
                </w:tcPr>
                <w:p w14:paraId="309545B7">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城镇污水污染控制措施要求</w:t>
                  </w:r>
                </w:p>
                <w:p w14:paraId="36197410">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工业废水污染控制措施要求</w:t>
                  </w:r>
                </w:p>
                <w:p w14:paraId="586D0725">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农业面源水污染控制措施要求</w:t>
                  </w:r>
                </w:p>
                <w:p w14:paraId="35490614">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1、推进化肥、农药使用量“减量化”，逐步推进农田径流拦截及治理；2、合理控制畜禽养殖规模，单位面积耕地的畜禽承载力不突破《四川省畜禽养殖污染防治技术指南》要求，提高畜禽养殖废物资源化利用水平；3、合理控制水产养殖规模，加强水产养殖废水治理及资源化利用，禁止直接排放。4、因地制宜加强乡镇场镇、农村集聚点生活污水收集处理。</w:t>
                  </w:r>
                </w:p>
                <w:p w14:paraId="757527A4">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船舶港口水污染控制措施要求</w:t>
                  </w:r>
                </w:p>
                <w:p w14:paraId="597864AB">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饮用水水源和其它特殊水体保护要求</w:t>
                  </w:r>
                </w:p>
              </w:tc>
              <w:tc>
                <w:tcPr>
                  <w:tcW w:w="967" w:type="pct"/>
                  <w:tcBorders>
                    <w:tl2br w:val="nil"/>
                    <w:tr2bl w:val="nil"/>
                  </w:tcBorders>
                  <w:vAlign w:val="center"/>
                </w:tcPr>
                <w:p w14:paraId="38DCFDE5">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w:t>
                  </w:r>
                  <w:r>
                    <w:rPr>
                      <w:rFonts w:hint="default" w:ascii="Times New Roman" w:hAnsi="Times New Roman" w:eastAsia="宋体" w:cs="Times New Roman"/>
                      <w:color w:val="auto"/>
                      <w:sz w:val="21"/>
                      <w:szCs w:val="21"/>
                      <w:lang w:eastAsia="zh-CN"/>
                    </w:rPr>
                    <w:t>生活污水经预处理后用作农肥不外排</w:t>
                  </w: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623A2320">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77F5BA2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71196AB5">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184D3765">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031B6FE2">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5871" w:type="dxa"/>
                  <w:tcBorders>
                    <w:tl2br w:val="nil"/>
                    <w:tr2bl w:val="nil"/>
                  </w:tcBorders>
                  <w:vAlign w:val="center"/>
                </w:tcPr>
                <w:p w14:paraId="137A6C6B">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w:t>
                  </w:r>
                </w:p>
              </w:tc>
              <w:tc>
                <w:tcPr>
                  <w:tcW w:w="2700" w:type="dxa"/>
                  <w:tcBorders>
                    <w:tl2br w:val="nil"/>
                    <w:tr2bl w:val="nil"/>
                  </w:tcBorders>
                  <w:vAlign w:val="center"/>
                </w:tcPr>
                <w:p w14:paraId="09AFA4A0">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86" w:type="dxa"/>
                  <w:tcBorders>
                    <w:tl2br w:val="nil"/>
                    <w:tr2bl w:val="nil"/>
                  </w:tcBorders>
                  <w:vAlign w:val="center"/>
                </w:tcPr>
                <w:p w14:paraId="3C06AFA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1ED9D2C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436693EA">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5B075B4D">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1322B804">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5871" w:type="dxa"/>
                  <w:tcBorders>
                    <w:tl2br w:val="nil"/>
                    <w:tr2bl w:val="nil"/>
                  </w:tcBorders>
                  <w:vAlign w:val="center"/>
                </w:tcPr>
                <w:p w14:paraId="7737692F">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强化种植业节水</w:t>
                  </w:r>
                </w:p>
              </w:tc>
              <w:tc>
                <w:tcPr>
                  <w:tcW w:w="2752" w:type="dxa"/>
                  <w:tcBorders>
                    <w:tl2br w:val="nil"/>
                    <w:tr2bl w:val="nil"/>
                  </w:tcBorders>
                  <w:vAlign w:val="center"/>
                </w:tcPr>
                <w:p w14:paraId="696F18A3">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本项目建设消防水池，用于储存水。</w:t>
                  </w:r>
                </w:p>
              </w:tc>
              <w:tc>
                <w:tcPr>
                  <w:tcW w:w="599" w:type="dxa"/>
                  <w:tcBorders>
                    <w:tl2br w:val="nil"/>
                    <w:tr2bl w:val="nil"/>
                  </w:tcBorders>
                  <w:vAlign w:val="center"/>
                </w:tcPr>
                <w:p w14:paraId="245E4C78">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0A7BC38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restart"/>
                  <w:tcBorders>
                    <w:tl2br w:val="nil"/>
                    <w:tr2bl w:val="nil"/>
                  </w:tcBorders>
                  <w:vAlign w:val="center"/>
                </w:tcPr>
                <w:p w14:paraId="2CD71E45">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YS5120222320001</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乐至县大气环境布局敏感重点管控区</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大气环境管控分区</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大气环境布局敏感重点管控区</w:t>
                  </w:r>
                </w:p>
              </w:tc>
              <w:tc>
                <w:tcPr>
                  <w:tcW w:w="420" w:type="pct"/>
                  <w:vMerge w:val="restart"/>
                  <w:tcBorders>
                    <w:tl2br w:val="nil"/>
                    <w:tr2bl w:val="nil"/>
                  </w:tcBorders>
                  <w:vAlign w:val="center"/>
                </w:tcPr>
                <w:p w14:paraId="6E18347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普适性清单管控要求</w:t>
                  </w:r>
                </w:p>
              </w:tc>
              <w:tc>
                <w:tcPr>
                  <w:tcW w:w="635" w:type="pct"/>
                  <w:tcBorders>
                    <w:tl2br w:val="nil"/>
                    <w:tr2bl w:val="nil"/>
                  </w:tcBorders>
                  <w:vAlign w:val="center"/>
                </w:tcPr>
                <w:p w14:paraId="1B060EB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2103" w:type="pct"/>
                  <w:tcBorders>
                    <w:tl2br w:val="nil"/>
                    <w:tr2bl w:val="nil"/>
                  </w:tcBorders>
                  <w:vAlign w:val="center"/>
                </w:tcPr>
                <w:p w14:paraId="5E61278E">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7A03D4B7">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27E9995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39C8770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42E19C23">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54C440BB">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43F104CD">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2103" w:type="pct"/>
                  <w:tcBorders>
                    <w:tl2br w:val="nil"/>
                    <w:tr2bl w:val="nil"/>
                  </w:tcBorders>
                  <w:vAlign w:val="center"/>
                </w:tcPr>
                <w:p w14:paraId="24378AA6">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30E783FD">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6A97D48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4E831E8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080F3DBA">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4A7A059B">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44E25FBD">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2103" w:type="pct"/>
                  <w:tcBorders>
                    <w:tl2br w:val="nil"/>
                    <w:tr2bl w:val="nil"/>
                  </w:tcBorders>
                  <w:vAlign w:val="center"/>
                </w:tcPr>
                <w:p w14:paraId="03310198">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2FB4C435">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30ABAEF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15F42FC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5EC94127">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64BA007D">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616EC4C5">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2103" w:type="pct"/>
                  <w:tcBorders>
                    <w:tl2br w:val="nil"/>
                    <w:tr2bl w:val="nil"/>
                  </w:tcBorders>
                  <w:vAlign w:val="center"/>
                </w:tcPr>
                <w:p w14:paraId="137B97B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345FBCCD">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5AE79DAE">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21B846C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75522904">
                  <w:pPr>
                    <w:spacing w:line="240" w:lineRule="auto"/>
                    <w:jc w:val="center"/>
                    <w:rPr>
                      <w:rFonts w:hint="default" w:ascii="Times New Roman" w:hAnsi="Times New Roman" w:eastAsia="宋体" w:cs="Times New Roman"/>
                      <w:color w:val="auto"/>
                      <w:sz w:val="21"/>
                      <w:szCs w:val="21"/>
                    </w:rPr>
                  </w:pPr>
                </w:p>
              </w:tc>
              <w:tc>
                <w:tcPr>
                  <w:tcW w:w="420" w:type="pct"/>
                  <w:vMerge w:val="restart"/>
                  <w:tcBorders>
                    <w:tl2br w:val="nil"/>
                    <w:tr2bl w:val="nil"/>
                  </w:tcBorders>
                  <w:vAlign w:val="center"/>
                </w:tcPr>
                <w:p w14:paraId="1BB6AB5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单元级清单管控要求</w:t>
                  </w:r>
                </w:p>
              </w:tc>
              <w:tc>
                <w:tcPr>
                  <w:tcW w:w="635" w:type="pct"/>
                  <w:tcBorders>
                    <w:tl2br w:val="nil"/>
                    <w:tr2bl w:val="nil"/>
                  </w:tcBorders>
                  <w:vAlign w:val="center"/>
                </w:tcPr>
                <w:p w14:paraId="27006C53">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5872" w:type="dxa"/>
                  <w:tcBorders>
                    <w:tl2br w:val="nil"/>
                    <w:tr2bl w:val="nil"/>
                  </w:tcBorders>
                  <w:vAlign w:val="center"/>
                </w:tcPr>
                <w:p w14:paraId="745C5B33">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禁止开发建设活动的要求</w:t>
                  </w:r>
                </w:p>
                <w:p w14:paraId="0B9915B7">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限制开发建设活动的要求</w:t>
                  </w:r>
                </w:p>
                <w:p w14:paraId="6F412382">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允许开发建设活动的要求</w:t>
                  </w:r>
                </w:p>
                <w:p w14:paraId="41D9E300">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不符合空间布局要求活动的退出要求</w:t>
                  </w:r>
                </w:p>
                <w:p w14:paraId="39DD5CD3">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其他空间布局约束要求</w:t>
                  </w:r>
                </w:p>
              </w:tc>
              <w:tc>
                <w:tcPr>
                  <w:tcW w:w="967" w:type="pct"/>
                  <w:tcBorders>
                    <w:tl2br w:val="nil"/>
                    <w:tr2bl w:val="nil"/>
                  </w:tcBorders>
                  <w:vAlign w:val="center"/>
                </w:tcPr>
                <w:p w14:paraId="411E8A33">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本项目为国家储备林建设及森林质量项目，空间布局合理。</w:t>
                  </w:r>
                </w:p>
              </w:tc>
              <w:tc>
                <w:tcPr>
                  <w:tcW w:w="210" w:type="pct"/>
                  <w:tcBorders>
                    <w:tl2br w:val="nil"/>
                    <w:tr2bl w:val="nil"/>
                  </w:tcBorders>
                  <w:vAlign w:val="center"/>
                </w:tcPr>
                <w:p w14:paraId="1637E95B">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211C32C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661" w:type="pct"/>
                  <w:vMerge w:val="continue"/>
                  <w:tcBorders>
                    <w:tl2br w:val="nil"/>
                    <w:tr2bl w:val="nil"/>
                  </w:tcBorders>
                  <w:vAlign w:val="center"/>
                </w:tcPr>
                <w:p w14:paraId="7B1FD375">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24277960">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7EC99B5E">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5872" w:type="dxa"/>
                  <w:tcBorders>
                    <w:tl2br w:val="nil"/>
                    <w:tr2bl w:val="nil"/>
                  </w:tcBorders>
                  <w:vAlign w:val="center"/>
                </w:tcPr>
                <w:p w14:paraId="18680140">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大气环境质量执行标准</w:t>
                  </w:r>
                </w:p>
                <w:p w14:paraId="3518FF0B">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《环境空气质量标准》（GB3095-2012）：二级</w:t>
                  </w:r>
                </w:p>
                <w:p w14:paraId="2C9B77ED">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区域大气污染物削减/替代要求</w:t>
                  </w:r>
                </w:p>
                <w:p w14:paraId="330329B8">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燃煤和其他能源大气污染控制要求</w:t>
                  </w:r>
                </w:p>
                <w:p w14:paraId="22DA501F">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工业废气污染控制要求</w:t>
                  </w:r>
                </w:p>
                <w:p w14:paraId="7F996F2E">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机动车船大气污染控制要求</w:t>
                  </w:r>
                </w:p>
                <w:p w14:paraId="09202516">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扬尘污染控制要求</w:t>
                  </w:r>
                </w:p>
                <w:p w14:paraId="5751009F">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农业生产经营活动大气污染控制要求</w:t>
                  </w:r>
                </w:p>
                <w:p w14:paraId="05C30D78">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重点行业企业专项治理要求</w:t>
                  </w:r>
                </w:p>
                <w:p w14:paraId="7BEA5BAE">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其他大气污染物排放管控要求</w:t>
                  </w:r>
                </w:p>
              </w:tc>
              <w:tc>
                <w:tcPr>
                  <w:tcW w:w="2752" w:type="dxa"/>
                  <w:tcBorders>
                    <w:tl2br w:val="nil"/>
                    <w:tr2bl w:val="nil"/>
                  </w:tcBorders>
                  <w:vAlign w:val="center"/>
                </w:tcPr>
                <w:p w14:paraId="28C83E6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项目为国家储备林建设及森林质量项目，不属于工业企业。</w:t>
                  </w:r>
                  <w:r>
                    <w:rPr>
                      <w:rFonts w:hint="default" w:ascii="Times New Roman" w:hAnsi="Times New Roman" w:eastAsia="宋体" w:cs="Times New Roman"/>
                      <w:color w:val="auto"/>
                      <w:sz w:val="21"/>
                      <w:szCs w:val="21"/>
                      <w:lang w:val="en-US" w:eastAsia="zh-CN"/>
                    </w:rPr>
                    <w:t>项目大气污染物排放主要为施工扬尘</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对环境影响较小。</w:t>
                  </w:r>
                </w:p>
              </w:tc>
              <w:tc>
                <w:tcPr>
                  <w:tcW w:w="599" w:type="dxa"/>
                  <w:tcBorders>
                    <w:tl2br w:val="nil"/>
                    <w:tr2bl w:val="nil"/>
                  </w:tcBorders>
                  <w:vAlign w:val="center"/>
                </w:tcPr>
                <w:p w14:paraId="7CC88F9E">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符合</w:t>
                  </w:r>
                </w:p>
              </w:tc>
            </w:tr>
            <w:tr w14:paraId="22178D1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64E39278">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6F3103C2">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1302A97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2103" w:type="pct"/>
                  <w:tcBorders>
                    <w:tl2br w:val="nil"/>
                    <w:tr2bl w:val="nil"/>
                  </w:tcBorders>
                  <w:vAlign w:val="center"/>
                </w:tcPr>
                <w:p w14:paraId="58602944">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617EB9B6">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6DE20FF6">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50D9C43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751EBDAC">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74FA2548">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4EF13834">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5872" w:type="dxa"/>
                  <w:tcBorders>
                    <w:tl2br w:val="nil"/>
                    <w:tr2bl w:val="nil"/>
                  </w:tcBorders>
                  <w:vAlign w:val="center"/>
                </w:tcPr>
                <w:p w14:paraId="04ABB357">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700" w:type="dxa"/>
                  <w:tcBorders>
                    <w:tl2br w:val="nil"/>
                    <w:tr2bl w:val="nil"/>
                  </w:tcBorders>
                  <w:vAlign w:val="center"/>
                </w:tcPr>
                <w:p w14:paraId="6FEFC26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86" w:type="dxa"/>
                  <w:tcBorders>
                    <w:tl2br w:val="nil"/>
                    <w:tr2bl w:val="nil"/>
                  </w:tcBorders>
                  <w:vAlign w:val="center"/>
                </w:tcPr>
                <w:p w14:paraId="4347CFFE">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3401013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restart"/>
                  <w:tcBorders>
                    <w:tl2br w:val="nil"/>
                    <w:tr2bl w:val="nil"/>
                  </w:tcBorders>
                  <w:vAlign w:val="center"/>
                </w:tcPr>
                <w:p w14:paraId="17D0B943">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YS5120222550001</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乐至县自然资源重点管控区</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自然资源管控分区</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自然资源重点管控区</w:t>
                  </w:r>
                </w:p>
              </w:tc>
              <w:tc>
                <w:tcPr>
                  <w:tcW w:w="420" w:type="pct"/>
                  <w:vMerge w:val="restart"/>
                  <w:tcBorders>
                    <w:tl2br w:val="nil"/>
                    <w:tr2bl w:val="nil"/>
                  </w:tcBorders>
                  <w:vAlign w:val="center"/>
                </w:tcPr>
                <w:p w14:paraId="5FF3ABD6">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普适性清单管控要求</w:t>
                  </w:r>
                </w:p>
              </w:tc>
              <w:tc>
                <w:tcPr>
                  <w:tcW w:w="635" w:type="pct"/>
                  <w:tcBorders>
                    <w:tl2br w:val="nil"/>
                    <w:tr2bl w:val="nil"/>
                  </w:tcBorders>
                  <w:vAlign w:val="center"/>
                </w:tcPr>
                <w:p w14:paraId="29FCF14E">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2103" w:type="pct"/>
                  <w:tcBorders>
                    <w:tl2br w:val="nil"/>
                    <w:tr2bl w:val="nil"/>
                  </w:tcBorders>
                  <w:vAlign w:val="center"/>
                </w:tcPr>
                <w:p w14:paraId="540B61F7">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324D2F77">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0EB91AA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7878896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6EA24E3B">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637F8DCA">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66F93D66">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2103" w:type="pct"/>
                  <w:tcBorders>
                    <w:tl2br w:val="nil"/>
                    <w:tr2bl w:val="nil"/>
                  </w:tcBorders>
                  <w:vAlign w:val="center"/>
                </w:tcPr>
                <w:p w14:paraId="52BD8E10">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60A01634">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4868AB6E">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5A2FA19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75945AF2">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2AE577A4">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11751EF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2103" w:type="pct"/>
                  <w:tcBorders>
                    <w:tl2br w:val="nil"/>
                    <w:tr2bl w:val="nil"/>
                  </w:tcBorders>
                  <w:vAlign w:val="center"/>
                </w:tcPr>
                <w:p w14:paraId="39642663">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305B9D8D">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628A26D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447D70C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524F5BDA">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1B85D722">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4A2391C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2103" w:type="pct"/>
                  <w:tcBorders>
                    <w:tl2br w:val="nil"/>
                    <w:tr2bl w:val="nil"/>
                  </w:tcBorders>
                  <w:vAlign w:val="center"/>
                </w:tcPr>
                <w:p w14:paraId="509267D0">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43DFE836">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5FFFC9A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6D33780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50F7184A">
                  <w:pPr>
                    <w:spacing w:line="240" w:lineRule="auto"/>
                    <w:jc w:val="center"/>
                    <w:rPr>
                      <w:rFonts w:hint="default" w:ascii="Times New Roman" w:hAnsi="Times New Roman" w:eastAsia="宋体" w:cs="Times New Roman"/>
                      <w:color w:val="auto"/>
                      <w:sz w:val="21"/>
                      <w:szCs w:val="21"/>
                    </w:rPr>
                  </w:pPr>
                </w:p>
              </w:tc>
              <w:tc>
                <w:tcPr>
                  <w:tcW w:w="420" w:type="pct"/>
                  <w:vMerge w:val="restart"/>
                  <w:tcBorders>
                    <w:tl2br w:val="nil"/>
                    <w:tr2bl w:val="nil"/>
                  </w:tcBorders>
                  <w:vAlign w:val="center"/>
                </w:tcPr>
                <w:p w14:paraId="328E3232">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单元级清单管控要求</w:t>
                  </w:r>
                </w:p>
              </w:tc>
              <w:tc>
                <w:tcPr>
                  <w:tcW w:w="635" w:type="pct"/>
                  <w:tcBorders>
                    <w:tl2br w:val="nil"/>
                    <w:tr2bl w:val="nil"/>
                  </w:tcBorders>
                  <w:vAlign w:val="center"/>
                </w:tcPr>
                <w:p w14:paraId="2A75CE45">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2103" w:type="pct"/>
                  <w:tcBorders>
                    <w:tl2br w:val="nil"/>
                    <w:tr2bl w:val="nil"/>
                  </w:tcBorders>
                  <w:vAlign w:val="center"/>
                </w:tcPr>
                <w:p w14:paraId="7B3EBBBF">
                  <w:pPr>
                    <w:spacing w:line="240" w:lineRule="auto"/>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snapToGrid/>
                      <w:color w:val="auto"/>
                      <w:kern w:val="2"/>
                      <w:sz w:val="21"/>
                      <w:szCs w:val="21"/>
                      <w:lang w:val="en-US" w:eastAsia="zh-CN" w:bidi="ar-SA"/>
                    </w:rPr>
                    <w:t>合理开发高效利用水资源，建设节水型社会；优化土地利用布局与结构；优化产业空间布局，构建清洁能源体系</w:t>
                  </w:r>
                </w:p>
              </w:tc>
              <w:tc>
                <w:tcPr>
                  <w:tcW w:w="2752" w:type="dxa"/>
                  <w:tcBorders>
                    <w:tl2br w:val="nil"/>
                    <w:tr2bl w:val="nil"/>
                  </w:tcBorders>
                  <w:vAlign w:val="center"/>
                </w:tcPr>
                <w:p w14:paraId="4D35D21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本项目为国家储备林建设及森林质量项目，空间布局合理。</w:t>
                  </w:r>
                </w:p>
              </w:tc>
              <w:tc>
                <w:tcPr>
                  <w:tcW w:w="599" w:type="dxa"/>
                  <w:tcBorders>
                    <w:tl2br w:val="nil"/>
                    <w:tr2bl w:val="nil"/>
                  </w:tcBorders>
                  <w:vAlign w:val="center"/>
                </w:tcPr>
                <w:p w14:paraId="695D7AA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73C1543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7028C178">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18AEB575">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1CCF6615">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2103" w:type="pct"/>
                  <w:tcBorders>
                    <w:tl2br w:val="nil"/>
                    <w:tr2bl w:val="nil"/>
                  </w:tcBorders>
                  <w:vAlign w:val="center"/>
                </w:tcPr>
                <w:p w14:paraId="40D2B592">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63F003C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11024B4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73786CF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3897C6A2">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7BA5ADA6">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63E4338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2103" w:type="pct"/>
                  <w:tcBorders>
                    <w:tl2br w:val="nil"/>
                    <w:tr2bl w:val="nil"/>
                  </w:tcBorders>
                  <w:vAlign w:val="center"/>
                </w:tcPr>
                <w:p w14:paraId="23310094">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6DE99C06">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2BFAB1D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134AF0C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70AAA70E">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6C9E41B6">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22D6202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2103" w:type="pct"/>
                  <w:tcBorders>
                    <w:tl2br w:val="nil"/>
                    <w:tr2bl w:val="nil"/>
                  </w:tcBorders>
                  <w:vAlign w:val="center"/>
                </w:tcPr>
                <w:p w14:paraId="67F302DA">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土地资源开发效率要求</w:t>
                  </w:r>
                </w:p>
                <w:p w14:paraId="3556E80D">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能源资源开发效率要求</w:t>
                  </w:r>
                </w:p>
                <w:p w14:paraId="43CCF3A6">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其他资源开发效率要求</w:t>
                  </w:r>
                </w:p>
              </w:tc>
              <w:tc>
                <w:tcPr>
                  <w:tcW w:w="967" w:type="pct"/>
                  <w:tcBorders>
                    <w:tl2br w:val="nil"/>
                    <w:tr2bl w:val="nil"/>
                  </w:tcBorders>
                  <w:vAlign w:val="center"/>
                </w:tcPr>
                <w:p w14:paraId="543043A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本项目资源需求小，符合资源开发效率要求。</w:t>
                  </w:r>
                </w:p>
              </w:tc>
              <w:tc>
                <w:tcPr>
                  <w:tcW w:w="210" w:type="pct"/>
                  <w:tcBorders>
                    <w:tl2br w:val="nil"/>
                    <w:tr2bl w:val="nil"/>
                  </w:tcBorders>
                  <w:vAlign w:val="center"/>
                </w:tcPr>
                <w:p w14:paraId="4057F8F7">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5CDD7D8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restart"/>
                  <w:tcBorders>
                    <w:tl2br w:val="nil"/>
                    <w:tr2bl w:val="nil"/>
                  </w:tcBorders>
                  <w:vAlign w:val="center"/>
                </w:tcPr>
                <w:p w14:paraId="55BC2434">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YS5120222510003</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乐至县水资源重点管控区</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自然资源管控分区</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水资源重点管控区</w:t>
                  </w:r>
                </w:p>
              </w:tc>
              <w:tc>
                <w:tcPr>
                  <w:tcW w:w="420" w:type="pct"/>
                  <w:vMerge w:val="restart"/>
                  <w:tcBorders>
                    <w:tl2br w:val="nil"/>
                    <w:tr2bl w:val="nil"/>
                  </w:tcBorders>
                  <w:vAlign w:val="center"/>
                </w:tcPr>
                <w:p w14:paraId="6647DBE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普适性清单管控要求</w:t>
                  </w:r>
                </w:p>
              </w:tc>
              <w:tc>
                <w:tcPr>
                  <w:tcW w:w="635" w:type="pct"/>
                  <w:tcBorders>
                    <w:tl2br w:val="nil"/>
                    <w:tr2bl w:val="nil"/>
                  </w:tcBorders>
                  <w:vAlign w:val="center"/>
                </w:tcPr>
                <w:p w14:paraId="15D504B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2103" w:type="pct"/>
                  <w:tcBorders>
                    <w:tl2br w:val="nil"/>
                    <w:tr2bl w:val="nil"/>
                  </w:tcBorders>
                  <w:vAlign w:val="center"/>
                </w:tcPr>
                <w:p w14:paraId="0BD3429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0225B45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066BCFCD">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251CC32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730A4B0A">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68D5F342">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50B205EE">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2103" w:type="pct"/>
                  <w:tcBorders>
                    <w:tl2br w:val="nil"/>
                    <w:tr2bl w:val="nil"/>
                  </w:tcBorders>
                  <w:vAlign w:val="center"/>
                </w:tcPr>
                <w:p w14:paraId="7FDBD316">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74ED0007">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01A1A390">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08E2159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58C279F4">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69FEE3A6">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07BB88C6">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2103" w:type="pct"/>
                  <w:tcBorders>
                    <w:tl2br w:val="nil"/>
                    <w:tr2bl w:val="nil"/>
                  </w:tcBorders>
                  <w:vAlign w:val="center"/>
                </w:tcPr>
                <w:p w14:paraId="02AD8C32">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6C5F562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4C305C3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3941065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18976CEA">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6C8603C5">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5E4B1A08">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2103" w:type="pct"/>
                  <w:tcBorders>
                    <w:tl2br w:val="nil"/>
                    <w:tr2bl w:val="nil"/>
                  </w:tcBorders>
                  <w:vAlign w:val="center"/>
                </w:tcPr>
                <w:p w14:paraId="4465D9D4">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4DE73DB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3518101D">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77D22B5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714FCB11">
                  <w:pPr>
                    <w:spacing w:line="240" w:lineRule="auto"/>
                    <w:jc w:val="center"/>
                    <w:rPr>
                      <w:rFonts w:hint="default" w:ascii="Times New Roman" w:hAnsi="Times New Roman" w:eastAsia="宋体" w:cs="Times New Roman"/>
                      <w:color w:val="auto"/>
                      <w:sz w:val="21"/>
                      <w:szCs w:val="21"/>
                    </w:rPr>
                  </w:pPr>
                </w:p>
              </w:tc>
              <w:tc>
                <w:tcPr>
                  <w:tcW w:w="420" w:type="pct"/>
                  <w:vMerge w:val="restart"/>
                  <w:tcBorders>
                    <w:tl2br w:val="nil"/>
                    <w:tr2bl w:val="nil"/>
                  </w:tcBorders>
                  <w:vAlign w:val="center"/>
                </w:tcPr>
                <w:p w14:paraId="012DBB03">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单元级清单管控要求</w:t>
                  </w:r>
                </w:p>
              </w:tc>
              <w:tc>
                <w:tcPr>
                  <w:tcW w:w="635" w:type="pct"/>
                  <w:tcBorders>
                    <w:tl2br w:val="nil"/>
                    <w:tr2bl w:val="nil"/>
                  </w:tcBorders>
                  <w:vAlign w:val="center"/>
                </w:tcPr>
                <w:p w14:paraId="0BC701EB">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5872" w:type="dxa"/>
                  <w:tcBorders>
                    <w:tl2br w:val="nil"/>
                    <w:tr2bl w:val="nil"/>
                  </w:tcBorders>
                  <w:vAlign w:val="center"/>
                </w:tcPr>
                <w:p w14:paraId="4FEBE212">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700" w:type="dxa"/>
                  <w:tcBorders>
                    <w:tl2br w:val="nil"/>
                    <w:tr2bl w:val="nil"/>
                  </w:tcBorders>
                  <w:vAlign w:val="center"/>
                </w:tcPr>
                <w:p w14:paraId="7D272F3E">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86" w:type="dxa"/>
                  <w:tcBorders>
                    <w:tl2br w:val="nil"/>
                    <w:tr2bl w:val="nil"/>
                  </w:tcBorders>
                  <w:vAlign w:val="center"/>
                </w:tcPr>
                <w:p w14:paraId="664A1BAB">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0BA8843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6358920B">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12AFED37">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3ACF40D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5872" w:type="dxa"/>
                  <w:tcBorders>
                    <w:tl2br w:val="nil"/>
                    <w:tr2bl w:val="nil"/>
                  </w:tcBorders>
                  <w:vAlign w:val="center"/>
                </w:tcPr>
                <w:p w14:paraId="609BDA3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700" w:type="dxa"/>
                  <w:tcBorders>
                    <w:tl2br w:val="nil"/>
                    <w:tr2bl w:val="nil"/>
                  </w:tcBorders>
                  <w:vAlign w:val="center"/>
                </w:tcPr>
                <w:p w14:paraId="4258A0E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86" w:type="dxa"/>
                  <w:tcBorders>
                    <w:tl2br w:val="nil"/>
                    <w:tr2bl w:val="nil"/>
                  </w:tcBorders>
                  <w:vAlign w:val="center"/>
                </w:tcPr>
                <w:p w14:paraId="691FDDCD">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069F19D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03291D7F">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49945FA7">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696D9C78">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5872" w:type="dxa"/>
                  <w:tcBorders>
                    <w:tl2br w:val="nil"/>
                    <w:tr2bl w:val="nil"/>
                  </w:tcBorders>
                  <w:vAlign w:val="center"/>
                </w:tcPr>
                <w:p w14:paraId="0CF773B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700" w:type="dxa"/>
                  <w:tcBorders>
                    <w:tl2br w:val="nil"/>
                    <w:tr2bl w:val="nil"/>
                  </w:tcBorders>
                  <w:vAlign w:val="center"/>
                </w:tcPr>
                <w:p w14:paraId="64299A46">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86" w:type="dxa"/>
                  <w:tcBorders>
                    <w:tl2br w:val="nil"/>
                    <w:tr2bl w:val="nil"/>
                  </w:tcBorders>
                  <w:vAlign w:val="center"/>
                </w:tcPr>
                <w:p w14:paraId="07DC1D30">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079F2B0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4B9AE5B1">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0D006D18">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7A192FE2">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2103" w:type="pct"/>
                  <w:tcBorders>
                    <w:tl2br w:val="nil"/>
                    <w:tr2bl w:val="nil"/>
                  </w:tcBorders>
                  <w:vAlign w:val="center"/>
                </w:tcPr>
                <w:p w14:paraId="1E872CCB">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土地资源开发效率要求</w:t>
                  </w:r>
                </w:p>
                <w:p w14:paraId="2ACBB67B">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能源资源开发效率要求</w:t>
                  </w:r>
                </w:p>
                <w:p w14:paraId="251B9DE4">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其他资源开发效率要求</w:t>
                  </w:r>
                </w:p>
              </w:tc>
              <w:tc>
                <w:tcPr>
                  <w:tcW w:w="2752" w:type="dxa"/>
                  <w:tcBorders>
                    <w:tl2br w:val="nil"/>
                    <w:tr2bl w:val="nil"/>
                  </w:tcBorders>
                  <w:vAlign w:val="center"/>
                </w:tcPr>
                <w:p w14:paraId="35CB66F3">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本项目资源需求小，符合资源开发效率要求。</w:t>
                  </w:r>
                </w:p>
              </w:tc>
              <w:tc>
                <w:tcPr>
                  <w:tcW w:w="599" w:type="dxa"/>
                  <w:tcBorders>
                    <w:tl2br w:val="nil"/>
                    <w:tr2bl w:val="nil"/>
                  </w:tcBorders>
                  <w:vAlign w:val="center"/>
                </w:tcPr>
                <w:p w14:paraId="22546B1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431786E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restart"/>
                  <w:tcBorders>
                    <w:tl2br w:val="nil"/>
                    <w:tr2bl w:val="nil"/>
                  </w:tcBorders>
                  <w:vAlign w:val="center"/>
                </w:tcPr>
                <w:p w14:paraId="629646D0">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YS5120221410003</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乐至县土壤优先保护区</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土壤污染风险管控分区</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农用地优先保护区</w:t>
                  </w:r>
                </w:p>
              </w:tc>
              <w:tc>
                <w:tcPr>
                  <w:tcW w:w="420" w:type="pct"/>
                  <w:vMerge w:val="restart"/>
                  <w:tcBorders>
                    <w:tl2br w:val="nil"/>
                    <w:tr2bl w:val="nil"/>
                  </w:tcBorders>
                  <w:vAlign w:val="center"/>
                </w:tcPr>
                <w:p w14:paraId="302E0F43">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普适性清单管控要求</w:t>
                  </w:r>
                </w:p>
              </w:tc>
              <w:tc>
                <w:tcPr>
                  <w:tcW w:w="635" w:type="pct"/>
                  <w:tcBorders>
                    <w:tl2br w:val="nil"/>
                    <w:tr2bl w:val="nil"/>
                  </w:tcBorders>
                  <w:vAlign w:val="center"/>
                </w:tcPr>
                <w:p w14:paraId="02CC85F8">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2103" w:type="pct"/>
                  <w:tcBorders>
                    <w:tl2br w:val="nil"/>
                    <w:tr2bl w:val="nil"/>
                  </w:tcBorders>
                  <w:vAlign w:val="center"/>
                </w:tcPr>
                <w:p w14:paraId="31184403">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70EF7514">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5534A4F8">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0F7320B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634AFC75">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1C74E579">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503BBAF4">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2103" w:type="pct"/>
                  <w:tcBorders>
                    <w:tl2br w:val="nil"/>
                    <w:tr2bl w:val="nil"/>
                  </w:tcBorders>
                  <w:vAlign w:val="center"/>
                </w:tcPr>
                <w:p w14:paraId="6D35A01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16EC52F7">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28BCF2F0">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1D2C4A5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0B6C427C">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358E8CBB">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361149D5">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2103" w:type="pct"/>
                  <w:tcBorders>
                    <w:tl2br w:val="nil"/>
                    <w:tr2bl w:val="nil"/>
                  </w:tcBorders>
                  <w:vAlign w:val="center"/>
                </w:tcPr>
                <w:p w14:paraId="3CAB9A8D">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51B6BF1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7A5F5C52">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3495E1A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375E2118">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00FA4E3F">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666BC28B">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2103" w:type="pct"/>
                  <w:tcBorders>
                    <w:tl2br w:val="nil"/>
                    <w:tr2bl w:val="nil"/>
                  </w:tcBorders>
                  <w:vAlign w:val="center"/>
                </w:tcPr>
                <w:p w14:paraId="490CB90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0660E86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7D6010E7">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14ED062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06E91372">
                  <w:pPr>
                    <w:spacing w:line="240" w:lineRule="auto"/>
                    <w:jc w:val="center"/>
                    <w:rPr>
                      <w:rFonts w:hint="default" w:ascii="Times New Roman" w:hAnsi="Times New Roman" w:eastAsia="宋体" w:cs="Times New Roman"/>
                      <w:color w:val="auto"/>
                      <w:sz w:val="21"/>
                      <w:szCs w:val="21"/>
                    </w:rPr>
                  </w:pPr>
                </w:p>
              </w:tc>
              <w:tc>
                <w:tcPr>
                  <w:tcW w:w="420" w:type="pct"/>
                  <w:vMerge w:val="restart"/>
                  <w:tcBorders>
                    <w:tl2br w:val="nil"/>
                    <w:tr2bl w:val="nil"/>
                  </w:tcBorders>
                  <w:vAlign w:val="center"/>
                </w:tcPr>
                <w:p w14:paraId="256553C0">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单元级清单管控要求</w:t>
                  </w:r>
                </w:p>
              </w:tc>
              <w:tc>
                <w:tcPr>
                  <w:tcW w:w="635" w:type="pct"/>
                  <w:tcBorders>
                    <w:tl2br w:val="nil"/>
                    <w:tr2bl w:val="nil"/>
                  </w:tcBorders>
                  <w:vAlign w:val="center"/>
                </w:tcPr>
                <w:p w14:paraId="50D4D156">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2103" w:type="pct"/>
                  <w:tcBorders>
                    <w:tl2br w:val="nil"/>
                    <w:tr2bl w:val="nil"/>
                  </w:tcBorders>
                  <w:vAlign w:val="center"/>
                </w:tcPr>
                <w:p w14:paraId="675D2099">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禁止开发建设活动的要求</w:t>
                  </w:r>
                </w:p>
                <w:p w14:paraId="01355516">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限制开发建设活动的要求</w:t>
                  </w:r>
                </w:p>
                <w:p w14:paraId="1E8E6239">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允许开发建设活动的要求</w:t>
                  </w:r>
                </w:p>
                <w:p w14:paraId="6D561A5F">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不符合空间布局要求活动的退出要求</w:t>
                  </w:r>
                </w:p>
                <w:p w14:paraId="0392140C">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其他空间布局约束要求</w:t>
                  </w:r>
                </w:p>
              </w:tc>
              <w:tc>
                <w:tcPr>
                  <w:tcW w:w="2752" w:type="dxa"/>
                  <w:tcBorders>
                    <w:tl2br w:val="nil"/>
                    <w:tr2bl w:val="nil"/>
                  </w:tcBorders>
                  <w:vAlign w:val="center"/>
                </w:tcPr>
                <w:p w14:paraId="2728763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本项目为国家储备林建设及森林质量项目，空间布局合理。</w:t>
                  </w:r>
                </w:p>
              </w:tc>
              <w:tc>
                <w:tcPr>
                  <w:tcW w:w="599" w:type="dxa"/>
                  <w:tcBorders>
                    <w:tl2br w:val="nil"/>
                    <w:tr2bl w:val="nil"/>
                  </w:tcBorders>
                  <w:vAlign w:val="center"/>
                </w:tcPr>
                <w:p w14:paraId="7AD0FDCE">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7C2A6DD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6CA43430">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43499FEE">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76E4B302">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5872" w:type="dxa"/>
                  <w:tcBorders>
                    <w:tl2br w:val="nil"/>
                    <w:tr2bl w:val="nil"/>
                  </w:tcBorders>
                  <w:vAlign w:val="center"/>
                </w:tcPr>
                <w:p w14:paraId="06A2D8D2">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700" w:type="dxa"/>
                  <w:tcBorders>
                    <w:tl2br w:val="nil"/>
                    <w:tr2bl w:val="nil"/>
                  </w:tcBorders>
                  <w:vAlign w:val="center"/>
                </w:tcPr>
                <w:p w14:paraId="72A8D1E7">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86" w:type="dxa"/>
                  <w:tcBorders>
                    <w:tl2br w:val="nil"/>
                    <w:tr2bl w:val="nil"/>
                  </w:tcBorders>
                  <w:vAlign w:val="center"/>
                </w:tcPr>
                <w:p w14:paraId="779A09A3">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5C5EBD3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6F397DFD">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754E7ADF">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3E9EF5B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5872" w:type="dxa"/>
                  <w:tcBorders>
                    <w:tl2br w:val="nil"/>
                    <w:tr2bl w:val="nil"/>
                  </w:tcBorders>
                  <w:vAlign w:val="center"/>
                </w:tcPr>
                <w:p w14:paraId="3A033D7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700" w:type="dxa"/>
                  <w:tcBorders>
                    <w:tl2br w:val="nil"/>
                    <w:tr2bl w:val="nil"/>
                  </w:tcBorders>
                  <w:vAlign w:val="center"/>
                </w:tcPr>
                <w:p w14:paraId="6BFDEF85">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86" w:type="dxa"/>
                  <w:tcBorders>
                    <w:tl2br w:val="nil"/>
                    <w:tr2bl w:val="nil"/>
                  </w:tcBorders>
                  <w:vAlign w:val="center"/>
                </w:tcPr>
                <w:p w14:paraId="309A5D2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15F9920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65AB72F6">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1B08407A">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21EF0D6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5872" w:type="dxa"/>
                  <w:tcBorders>
                    <w:tl2br w:val="nil"/>
                    <w:tr2bl w:val="nil"/>
                  </w:tcBorders>
                  <w:vAlign w:val="center"/>
                </w:tcPr>
                <w:p w14:paraId="19CF066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700" w:type="dxa"/>
                  <w:tcBorders>
                    <w:tl2br w:val="nil"/>
                    <w:tr2bl w:val="nil"/>
                  </w:tcBorders>
                  <w:vAlign w:val="center"/>
                </w:tcPr>
                <w:p w14:paraId="276DC683">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86" w:type="dxa"/>
                  <w:tcBorders>
                    <w:tl2br w:val="nil"/>
                    <w:tr2bl w:val="nil"/>
                  </w:tcBorders>
                  <w:vAlign w:val="center"/>
                </w:tcPr>
                <w:p w14:paraId="047A9684">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bl>
          <w:p w14:paraId="208DB87B">
            <w:pPr>
              <w:pStyle w:val="21"/>
              <w:widowControl w:val="0"/>
              <w:kinsoku/>
              <w:autoSpaceDE/>
              <w:autoSpaceDN/>
              <w:adjustRightInd/>
              <w:snapToGrid/>
              <w:spacing w:line="360" w:lineRule="auto"/>
              <w:textAlignment w:val="auto"/>
              <w:rPr>
                <w:rFonts w:hint="default" w:ascii="Times New Roman" w:hAnsi="Times New Roman" w:eastAsia="宋体" w:cs="Times New Roman"/>
                <w:b/>
                <w:bCs/>
                <w:color w:val="auto"/>
              </w:rPr>
            </w:pPr>
          </w:p>
          <w:p w14:paraId="3A066670">
            <w:pPr>
              <w:pStyle w:val="21"/>
              <w:widowControl w:val="0"/>
              <w:kinsoku/>
              <w:autoSpaceDE/>
              <w:autoSpaceDN/>
              <w:adjustRightInd/>
              <w:snapToGrid/>
              <w:spacing w:line="360" w:lineRule="auto"/>
              <w:ind w:firstLine="48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6）劳动镇</w:t>
            </w:r>
          </w:p>
          <w:p w14:paraId="1DE46A7D">
            <w:pPr>
              <w:pStyle w:val="21"/>
              <w:widowControl w:val="0"/>
              <w:kinsoku/>
              <w:autoSpaceDE/>
              <w:autoSpaceDN/>
              <w:adjustRightInd/>
              <w:snapToGrid/>
              <w:spacing w:line="360" w:lineRule="auto"/>
              <w:ind w:firstLine="48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（1）项目拟建区域管控单元识别</w:t>
            </w:r>
          </w:p>
          <w:p w14:paraId="6FFA95FF">
            <w:pPr>
              <w:pStyle w:val="21"/>
              <w:widowControl w:val="0"/>
              <w:kinsoku/>
              <w:autoSpaceDE/>
              <w:autoSpaceDN/>
              <w:adjustRightInd/>
              <w:snapToGrid/>
              <w:spacing w:line="360" w:lineRule="auto"/>
              <w:ind w:firstLine="48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根据四川省生态环境厅“三线一单”符合性分析系统识别系统结果，本项目</w:t>
            </w:r>
            <w:r>
              <w:rPr>
                <w:rFonts w:hint="default" w:ascii="Times New Roman" w:hAnsi="Times New Roman" w:eastAsia="宋体" w:cs="Times New Roman"/>
                <w:b/>
                <w:bCs/>
                <w:color w:val="auto"/>
              </w:rPr>
              <w:t>劳动镇</w:t>
            </w:r>
            <w:r>
              <w:rPr>
                <w:rFonts w:hint="default" w:ascii="Times New Roman" w:hAnsi="Times New Roman" w:eastAsia="宋体" w:cs="Times New Roman"/>
                <w:color w:val="auto"/>
              </w:rPr>
              <w:t>拟建区域共涉及</w:t>
            </w:r>
            <w:r>
              <w:rPr>
                <w:rFonts w:hint="default" w:ascii="Times New Roman" w:hAnsi="Times New Roman" w:eastAsia="宋体" w:cs="Times New Roman"/>
                <w:color w:val="auto"/>
                <w:lang w:val="en-US" w:eastAsia="zh-CN"/>
              </w:rPr>
              <w:t>6</w:t>
            </w:r>
            <w:r>
              <w:rPr>
                <w:rFonts w:hint="default" w:ascii="Times New Roman" w:hAnsi="Times New Roman" w:eastAsia="宋体" w:cs="Times New Roman"/>
                <w:color w:val="auto"/>
              </w:rPr>
              <w:t>个管控单元，具体情况见下图。</w:t>
            </w:r>
          </w:p>
          <w:p w14:paraId="73665CB7">
            <w:pPr>
              <w:pStyle w:val="21"/>
              <w:widowControl w:val="0"/>
              <w:kinsoku/>
              <w:autoSpaceDE/>
              <w:autoSpaceDN/>
              <w:adjustRightInd/>
              <w:snapToGrid/>
              <w:spacing w:line="360" w:lineRule="auto"/>
              <w:ind w:firstLine="480"/>
              <w:textAlignment w:val="auto"/>
              <w:rPr>
                <w:rFonts w:hint="default" w:ascii="Times New Roman" w:hAnsi="Times New Roman" w:eastAsia="宋体" w:cs="Times New Roman"/>
                <w:color w:val="auto"/>
              </w:rPr>
            </w:pPr>
          </w:p>
          <w:p w14:paraId="5BA24678">
            <w:pPr>
              <w:spacing w:line="360" w:lineRule="auto"/>
              <w:ind w:firstLine="480" w:firstLineChars="200"/>
              <w:rPr>
                <w:rFonts w:hint="default" w:ascii="Times New Roman" w:hAnsi="Times New Roman" w:eastAsia="宋体" w:cs="Times New Roman"/>
                <w:color w:val="auto"/>
                <w:sz w:val="24"/>
                <w:szCs w:val="24"/>
              </w:rPr>
            </w:pPr>
          </w:p>
          <w:p w14:paraId="557690A4">
            <w:pPr>
              <w:spacing w:line="360" w:lineRule="auto"/>
              <w:jc w:val="center"/>
              <w:rPr>
                <w:rFonts w:hint="default" w:ascii="Times New Roman" w:hAnsi="Times New Roman" w:eastAsia="宋体" w:cs="Times New Roman"/>
                <w:b/>
                <w:bCs/>
                <w:color w:val="auto"/>
                <w:sz w:val="24"/>
                <w:szCs w:val="24"/>
              </w:rPr>
            </w:pPr>
          </w:p>
          <w:p w14:paraId="52A5C304">
            <w:pPr>
              <w:jc w:val="center"/>
              <w:rPr>
                <w:rFonts w:hint="default" w:ascii="Times New Roman" w:hAnsi="Times New Roman" w:eastAsia="宋体" w:cs="Times New Roman"/>
                <w:b/>
                <w:bCs/>
                <w:color w:val="auto"/>
                <w:sz w:val="24"/>
                <w:szCs w:val="24"/>
              </w:rPr>
            </w:pPr>
          </w:p>
          <w:p w14:paraId="539940FD">
            <w:pPr>
              <w:jc w:val="center"/>
              <w:rPr>
                <w:rFonts w:hint="default" w:ascii="Times New Roman" w:hAnsi="Times New Roman" w:eastAsia="宋体" w:cs="Times New Roman"/>
                <w:b/>
                <w:bCs/>
                <w:color w:val="auto"/>
                <w:sz w:val="24"/>
                <w:szCs w:val="24"/>
                <w:lang w:eastAsia="zh-CN"/>
              </w:rPr>
            </w:pPr>
            <w:r>
              <w:rPr>
                <w:rFonts w:hint="default" w:ascii="Times New Roman" w:hAnsi="Times New Roman" w:eastAsia="宋体" w:cs="Times New Roman"/>
                <w:b/>
                <w:bCs/>
                <w:color w:val="auto"/>
                <w:sz w:val="24"/>
                <w:szCs w:val="24"/>
                <w:lang w:eastAsia="zh-CN"/>
              </w:rPr>
              <w:drawing>
                <wp:inline distT="0" distB="0" distL="114300" distR="114300">
                  <wp:extent cx="6659880" cy="5182870"/>
                  <wp:effectExtent l="0" t="0" r="7620" b="17780"/>
                  <wp:docPr id="35" name="图片 35" descr="47f0870a1f150ccef160a10870632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47f0870a1f150ccef160a10870632f8"/>
                          <pic:cNvPicPr>
                            <a:picLocks noChangeAspect="1"/>
                          </pic:cNvPicPr>
                        </pic:nvPicPr>
                        <pic:blipFill>
                          <a:blip r:embed="rId26"/>
                          <a:stretch>
                            <a:fillRect/>
                          </a:stretch>
                        </pic:blipFill>
                        <pic:spPr>
                          <a:xfrm>
                            <a:off x="0" y="0"/>
                            <a:ext cx="6659880" cy="5182870"/>
                          </a:xfrm>
                          <a:prstGeom prst="rect">
                            <a:avLst/>
                          </a:prstGeom>
                        </pic:spPr>
                      </pic:pic>
                    </a:graphicData>
                  </a:graphic>
                </wp:inline>
              </w:drawing>
            </w:r>
          </w:p>
          <w:p w14:paraId="1D2EB0B2">
            <w:pPr>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图1-1</w:t>
            </w:r>
            <w:r>
              <w:rPr>
                <w:rFonts w:hint="default" w:ascii="Times New Roman" w:hAnsi="Times New Roman" w:eastAsia="宋体" w:cs="Times New Roman"/>
                <w:b/>
                <w:bCs/>
                <w:color w:val="auto"/>
                <w:sz w:val="24"/>
                <w:szCs w:val="24"/>
                <w:lang w:val="en-US" w:eastAsia="zh-CN"/>
              </w:rPr>
              <w:t>1</w:t>
            </w:r>
            <w:r>
              <w:rPr>
                <w:rFonts w:hint="default" w:ascii="Times New Roman" w:hAnsi="Times New Roman" w:eastAsia="宋体" w:cs="Times New Roman"/>
                <w:b/>
                <w:bCs/>
                <w:color w:val="auto"/>
                <w:sz w:val="24"/>
                <w:szCs w:val="24"/>
              </w:rPr>
              <w:t xml:space="preserve">  项目与管控分区截图</w:t>
            </w:r>
          </w:p>
          <w:p w14:paraId="47D93B0C">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同时利用“四川省政务网---四川省生态环境厅数据库”可查询本建设项目与“四川省三线一单”符合性分析情况，经查询后可导出分析报告，分析报告明确本项目位于资阳市乐至县环境综合管控单元一般管控单元（管控单元名称：一般管控单元，管控单元编号：ZH51202230009）</w:t>
            </w:r>
          </w:p>
          <w:p w14:paraId="0E2C2E98">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本项目与管控单元相对位置如下所示：</w:t>
            </w:r>
          </w:p>
          <w:p w14:paraId="1947A69F">
            <w:pPr>
              <w:pStyle w:val="21"/>
              <w:widowControl w:val="0"/>
              <w:kinsoku/>
              <w:autoSpaceDE/>
              <w:autoSpaceDN/>
              <w:adjustRightInd/>
              <w:snapToGrid/>
              <w:spacing w:line="336" w:lineRule="auto"/>
              <w:ind w:firstLine="0" w:firstLineChars="0"/>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sz w:val="28"/>
                <w:szCs w:val="24"/>
              </w:rPr>
              <w:drawing>
                <wp:inline distT="0" distB="0" distL="114300" distR="114300">
                  <wp:extent cx="6350000" cy="3810000"/>
                  <wp:effectExtent l="0" t="0" r="12700" b="0"/>
                  <wp:docPr id="3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5"/>
                          <pic:cNvPicPr>
                            <a:picLocks noChangeAspect="1"/>
                          </pic:cNvPicPr>
                        </pic:nvPicPr>
                        <pic:blipFill>
                          <a:blip r:embed="rId27"/>
                          <a:stretch>
                            <a:fillRect/>
                          </a:stretch>
                        </pic:blipFill>
                        <pic:spPr>
                          <a:xfrm>
                            <a:off x="0" y="0"/>
                            <a:ext cx="6350000" cy="3810000"/>
                          </a:xfrm>
                          <a:prstGeom prst="rect">
                            <a:avLst/>
                          </a:prstGeom>
                          <a:noFill/>
                          <a:ln>
                            <a:noFill/>
                          </a:ln>
                        </pic:spPr>
                      </pic:pic>
                    </a:graphicData>
                  </a:graphic>
                </wp:inline>
              </w:drawing>
            </w:r>
          </w:p>
          <w:p w14:paraId="5C4E41DE">
            <w:pPr>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图1-</w:t>
            </w:r>
            <w:r>
              <w:rPr>
                <w:rFonts w:hint="default" w:ascii="Times New Roman" w:hAnsi="Times New Roman" w:eastAsia="宋体" w:cs="Times New Roman"/>
                <w:b/>
                <w:bCs/>
                <w:color w:val="auto"/>
                <w:sz w:val="24"/>
                <w:szCs w:val="24"/>
                <w:lang w:val="en-US" w:eastAsia="zh-CN"/>
              </w:rPr>
              <w:t>1</w:t>
            </w:r>
            <w:r>
              <w:rPr>
                <w:rFonts w:hint="default" w:ascii="Times New Roman" w:hAnsi="Times New Roman" w:eastAsia="宋体" w:cs="Times New Roman"/>
                <w:b/>
                <w:bCs/>
                <w:color w:val="auto"/>
                <w:sz w:val="24"/>
                <w:szCs w:val="24"/>
              </w:rPr>
              <w:t>2 本项目与管控单元相对位置图</w:t>
            </w:r>
          </w:p>
          <w:p w14:paraId="3FE3FBBF">
            <w:pPr>
              <w:jc w:val="center"/>
              <w:rPr>
                <w:rFonts w:hint="default" w:ascii="Times New Roman" w:hAnsi="Times New Roman" w:eastAsia="宋体" w:cs="Times New Roman"/>
                <w:b/>
                <w:bCs/>
                <w:color w:val="auto"/>
                <w:sz w:val="24"/>
                <w:szCs w:val="24"/>
              </w:rPr>
            </w:pPr>
          </w:p>
          <w:p w14:paraId="3633E4DB">
            <w:pPr>
              <w:pStyle w:val="21"/>
              <w:widowControl w:val="0"/>
              <w:kinsoku/>
              <w:autoSpaceDE/>
              <w:autoSpaceDN/>
              <w:adjustRightInd/>
              <w:snapToGrid/>
              <w:spacing w:line="360" w:lineRule="auto"/>
              <w:ind w:firstLine="48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（2）生态环境准入清单符合性分析</w:t>
            </w:r>
          </w:p>
          <w:p w14:paraId="402FD9B0">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本项目与各个管控单元要求符合性分析见下表：</w:t>
            </w:r>
          </w:p>
          <w:p w14:paraId="0888C951">
            <w:pPr>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表1-</w:t>
            </w:r>
            <w:r>
              <w:rPr>
                <w:rFonts w:hint="default" w:ascii="Times New Roman" w:hAnsi="Times New Roman" w:eastAsia="宋体" w:cs="Times New Roman"/>
                <w:b/>
                <w:bCs/>
                <w:color w:val="auto"/>
                <w:sz w:val="24"/>
                <w:szCs w:val="24"/>
                <w:lang w:val="en-US" w:eastAsia="zh-CN"/>
              </w:rPr>
              <w:t>8</w:t>
            </w:r>
            <w:r>
              <w:rPr>
                <w:rFonts w:hint="default" w:ascii="Times New Roman" w:hAnsi="Times New Roman" w:eastAsia="宋体" w:cs="Times New Roman"/>
                <w:b/>
                <w:bCs/>
                <w:color w:val="auto"/>
                <w:sz w:val="24"/>
                <w:szCs w:val="24"/>
              </w:rPr>
              <w:t xml:space="preserve">  本项目与管控单元符合性分析一览表</w:t>
            </w:r>
          </w:p>
          <w:tbl>
            <w:tblPr>
              <w:tblStyle w:val="43"/>
              <w:tblW w:w="4997"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881"/>
              <w:gridCol w:w="1195"/>
              <w:gridCol w:w="1807"/>
              <w:gridCol w:w="5986"/>
              <w:gridCol w:w="2752"/>
              <w:gridCol w:w="599"/>
            </w:tblGrid>
            <w:tr w14:paraId="4AD5B8B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1716" w:type="pct"/>
                  <w:gridSpan w:val="3"/>
                  <w:tcBorders>
                    <w:tl2br w:val="nil"/>
                    <w:tr2bl w:val="nil"/>
                  </w:tcBorders>
                  <w:vAlign w:val="center"/>
                </w:tcPr>
                <w:p w14:paraId="798F0592">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类别</w:t>
                  </w:r>
                </w:p>
              </w:tc>
              <w:tc>
                <w:tcPr>
                  <w:tcW w:w="2103" w:type="pct"/>
                  <w:tcBorders>
                    <w:tl2br w:val="nil"/>
                    <w:tr2bl w:val="nil"/>
                  </w:tcBorders>
                  <w:vAlign w:val="center"/>
                </w:tcPr>
                <w:p w14:paraId="4E93E380">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对应管控要求</w:t>
                  </w:r>
                </w:p>
              </w:tc>
              <w:tc>
                <w:tcPr>
                  <w:tcW w:w="967" w:type="pct"/>
                  <w:tcBorders>
                    <w:tl2br w:val="nil"/>
                    <w:tr2bl w:val="nil"/>
                  </w:tcBorders>
                  <w:vAlign w:val="center"/>
                </w:tcPr>
                <w:p w14:paraId="57FF8130">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项目对应情况介绍</w:t>
                  </w:r>
                </w:p>
              </w:tc>
              <w:tc>
                <w:tcPr>
                  <w:tcW w:w="210" w:type="pct"/>
                  <w:tcBorders>
                    <w:tl2br w:val="nil"/>
                    <w:tr2bl w:val="nil"/>
                  </w:tcBorders>
                  <w:vAlign w:val="center"/>
                </w:tcPr>
                <w:p w14:paraId="68E97496">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符合性分析</w:t>
                  </w:r>
                </w:p>
              </w:tc>
            </w:tr>
            <w:tr w14:paraId="0D1A44E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9" w:hRule="atLeast"/>
                <w:jc w:val="center"/>
              </w:trPr>
              <w:tc>
                <w:tcPr>
                  <w:tcW w:w="661" w:type="pct"/>
                  <w:vMerge w:val="restart"/>
                  <w:tcBorders>
                    <w:tl2br w:val="nil"/>
                    <w:tr2bl w:val="nil"/>
                  </w:tcBorders>
                  <w:vAlign w:val="center"/>
                </w:tcPr>
                <w:p w14:paraId="7E0B5473">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ZH51202230009</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一般管控单元</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环境管控单元</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环境综合管控单元一般管控单元</w:t>
                  </w:r>
                </w:p>
              </w:tc>
              <w:tc>
                <w:tcPr>
                  <w:tcW w:w="420" w:type="pct"/>
                  <w:vMerge w:val="restart"/>
                  <w:tcBorders>
                    <w:tl2br w:val="nil"/>
                    <w:tr2bl w:val="nil"/>
                  </w:tcBorders>
                  <w:vAlign w:val="center"/>
                </w:tcPr>
                <w:p w14:paraId="721CA7DF">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普适性清单管控要求</w:t>
                  </w:r>
                </w:p>
              </w:tc>
              <w:tc>
                <w:tcPr>
                  <w:tcW w:w="635" w:type="pct"/>
                  <w:tcBorders>
                    <w:tl2br w:val="nil"/>
                    <w:tr2bl w:val="nil"/>
                  </w:tcBorders>
                  <w:vAlign w:val="center"/>
                </w:tcPr>
                <w:p w14:paraId="2915C9AB">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2103" w:type="pct"/>
                  <w:tcBorders>
                    <w:tl2br w:val="nil"/>
                    <w:tr2bl w:val="nil"/>
                  </w:tcBorders>
                  <w:vAlign w:val="center"/>
                </w:tcPr>
                <w:p w14:paraId="3144CD18">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p w14:paraId="7D179E3C">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禁止开发建设活动的要求</w:t>
                  </w:r>
                </w:p>
                <w:p w14:paraId="285AF5DB">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（1）禁止在法律法规规定的禁采区内开采矿产；禁止</w:t>
                  </w:r>
                  <w:r>
                    <w:rPr>
                      <w:rFonts w:hint="default" w:ascii="Times New Roman" w:hAnsi="Times New Roman" w:eastAsia="宋体" w:cs="Times New Roman"/>
                      <w:color w:val="auto"/>
                      <w:sz w:val="21"/>
                      <w:szCs w:val="21"/>
                      <w:lang w:eastAsia="zh-CN"/>
                    </w:rPr>
                    <w:t>非法</w:t>
                  </w:r>
                  <w:r>
                    <w:rPr>
                      <w:rFonts w:hint="default" w:ascii="Times New Roman" w:hAnsi="Times New Roman" w:eastAsia="宋体" w:cs="Times New Roman"/>
                      <w:color w:val="auto"/>
                      <w:sz w:val="21"/>
                      <w:szCs w:val="21"/>
                    </w:rPr>
                    <w:t>采、选、冶严重污染环境的矿产资源。（2）禁止在长江流域河湖管理范围内倾倒、填埋、堆放、弃置、处理固体废物。（3）涉及基本农田的区域，按禁止开发的要求进行管理，除法律规定的重点建设项目选址确实无法避让外，其他任何建设不得占用。</w:t>
                  </w:r>
                </w:p>
                <w:p w14:paraId="7C0EE7C9">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限制开发建设活动的要求</w:t>
                  </w:r>
                </w:p>
                <w:p w14:paraId="1EEBAFD4">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加强乡镇及以下饮用水水源保护，严格按照法律法规、管理办法等相关要求进行控制，新、改、扩建设项目在符合规划和保护要求的前提下，应实施生态避让、减缓影响及生态恢复措施。（2）按照相关要求严控水泥新增产能。（3）单元内若新布局工业园区，应结合区域环境特点、三线成果、园区产业类别，充分论证选址的环境合理性。（4）坚持最严格的耕地保护制度，对全部耕地按限制开发的要求进行管理，严控新增建设用地规模和非农建设占用耕地.（5）园区外的现有工业企业污染物排放只降不增，现有重污染行业企业要限期搬入产业对口园区。</w:t>
                  </w:r>
                </w:p>
                <w:p w14:paraId="13716457">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不符合空间布局要求活动的退出要求</w:t>
                  </w:r>
                </w:p>
                <w:p w14:paraId="39536B93">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全面取缔蓄禽养殖禁养区内规模化畜禽养殖场，水产养殖禁养区内水产养殖项目。</w:t>
                  </w:r>
                </w:p>
                <w:p w14:paraId="644E51AC">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其他空间布局约束要求</w:t>
                  </w:r>
                </w:p>
                <w:p w14:paraId="6B18B5E6">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暂无</w:t>
                  </w:r>
                </w:p>
              </w:tc>
              <w:tc>
                <w:tcPr>
                  <w:tcW w:w="967" w:type="pct"/>
                  <w:tcBorders>
                    <w:tl2br w:val="nil"/>
                    <w:tr2bl w:val="nil"/>
                  </w:tcBorders>
                  <w:vAlign w:val="center"/>
                </w:tcPr>
                <w:p w14:paraId="6BCB7AEC">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本项目位于资阳市乐至城区及乡镇，为国家储备林建设及森林质量项目，不属于工业企业。</w:t>
                  </w:r>
                </w:p>
              </w:tc>
              <w:tc>
                <w:tcPr>
                  <w:tcW w:w="210" w:type="pct"/>
                  <w:tcBorders>
                    <w:tl2br w:val="nil"/>
                    <w:tr2bl w:val="nil"/>
                  </w:tcBorders>
                  <w:vAlign w:val="center"/>
                </w:tcPr>
                <w:p w14:paraId="417EC0CF">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0EDABBA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0F6D871E">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426376C9">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23BB833B">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2103" w:type="pct"/>
                  <w:tcBorders>
                    <w:tl2br w:val="nil"/>
                    <w:tr2bl w:val="nil"/>
                  </w:tcBorders>
                  <w:vAlign w:val="center"/>
                </w:tcPr>
                <w:p w14:paraId="1C6EDB77">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p w14:paraId="41AFF7DE">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允许排放量要求</w:t>
                  </w:r>
                </w:p>
                <w:p w14:paraId="10454923">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暂无</w:t>
                  </w:r>
                </w:p>
                <w:p w14:paraId="230781F6">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现有源提标升级改造</w:t>
                  </w:r>
                </w:p>
                <w:p w14:paraId="4F113D47">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加快现有乡镇污水处理设施升级改造，按要求达《城镇污水处理厂污染物排放标准》一级A标后排放。（2）加强与改厕工作相衔接，推进农村生活污水资源化利用。梯次推进农村生活污水治理。农村生活污水处理设施执行《四川省农村生活污水处理设施水污染物排放标准》（DB51 2626—2019）。（3）加快推进养殖节水减排，鼓励采取技术措施开展集中连片池塘养殖区域和工厂化养殖尾水处理，推动养殖尾水资源化利用或达标排放。（4）加强不达标饮用水源地治理，推进城乡一体化供水。（5）砖瓦行业实施脱硫、除尘升级改造，污染物排放达到《砖瓦工业大气污染物排放标准》相关要求。</w:t>
                  </w:r>
                </w:p>
                <w:p w14:paraId="381A957E">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其他污染物排放管控要求</w:t>
                  </w:r>
                </w:p>
                <w:p w14:paraId="502E1205">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绩效水平准入要求：（1）至2025年底，基本实现乡镇污水处理设施全覆盖，配套建设污水收集管网，乡镇污水处理率力争达到85%。（2）新、改扩建规模化畜禽养殖场（小区）要实施雨污分流、粪便污水资源化利用；至2025年，规模化畜禽养殖场（小区）粪污处理设施装备配套率达到100%，粪污综合利用率达到90%以上；散养密集区要实行畜禽粪便污水分户收集、集中处理利用。（3）屠宰项目必须配套污水处理设施或进入城市污水管网（4）强化农药、化肥减量工作，积极推广配方肥和商品有机肥，配方施肥覆盖面不低于50%，减少化肥施用和流失，提高化肥利用率。推进农业废弃农膜的回收，转运综合利用。到2025年底，秸秆综合利用率达到95%以上。（5）到2023年底，乡镇及行政村生活垃圾收转运处置体系基本实现全覆盖。</w:t>
                  </w:r>
                </w:p>
              </w:tc>
              <w:tc>
                <w:tcPr>
                  <w:tcW w:w="967" w:type="pct"/>
                  <w:tcBorders>
                    <w:tl2br w:val="nil"/>
                    <w:tr2bl w:val="nil"/>
                  </w:tcBorders>
                  <w:vAlign w:val="center"/>
                </w:tcPr>
                <w:p w14:paraId="551C978E">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本项目为国家储备林建设及森林质量项目，</w:t>
                  </w:r>
                  <w:r>
                    <w:rPr>
                      <w:rFonts w:hint="default" w:ascii="Times New Roman" w:hAnsi="Times New Roman" w:eastAsia="宋体" w:cs="Times New Roman"/>
                      <w:color w:val="auto"/>
                      <w:sz w:val="21"/>
                      <w:szCs w:val="21"/>
                      <w:lang w:eastAsia="zh-CN"/>
                    </w:rPr>
                    <w:t>生活污水经预处理后用作农肥不外排</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eastAsia="zh-CN"/>
                    </w:rPr>
                    <w:t>雨水实行雨污分流符合管控要求</w:t>
                  </w:r>
                  <w:r>
                    <w:rPr>
                      <w:rFonts w:hint="eastAsia" w:ascii="Times New Roman" w:hAnsi="Times New Roman" w:eastAsia="宋体" w:cs="Times New Roman"/>
                      <w:color w:val="auto"/>
                      <w:sz w:val="21"/>
                      <w:szCs w:val="21"/>
                      <w:lang w:eastAsia="zh-CN"/>
                    </w:rPr>
                    <w:t>，施用有机生物肥和复合有机无机配方肥，避免地表撒施，尽量采用低毒、残留期短的农药和生物制剂，既保障栽植苗木生长，也减少化肥农药污染</w:t>
                  </w:r>
                  <w:r>
                    <w:rPr>
                      <w:rFonts w:hint="default" w:ascii="Times New Roman" w:hAnsi="Times New Roman" w:eastAsia="宋体" w:cs="Times New Roman"/>
                      <w:color w:val="auto"/>
                      <w:sz w:val="21"/>
                      <w:szCs w:val="21"/>
                      <w:lang w:eastAsia="zh-CN"/>
                    </w:rPr>
                    <w:t>。</w:t>
                  </w:r>
                </w:p>
              </w:tc>
              <w:tc>
                <w:tcPr>
                  <w:tcW w:w="210" w:type="pct"/>
                  <w:tcBorders>
                    <w:tl2br w:val="nil"/>
                    <w:tr2bl w:val="nil"/>
                  </w:tcBorders>
                  <w:vAlign w:val="center"/>
                </w:tcPr>
                <w:p w14:paraId="35463768">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5A12677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0958A8B8">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52D7E4EF">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6E2D9A63">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2103" w:type="pct"/>
                  <w:tcBorders>
                    <w:tl2br w:val="nil"/>
                    <w:tr2bl w:val="nil"/>
                  </w:tcBorders>
                  <w:vAlign w:val="center"/>
                </w:tcPr>
                <w:p w14:paraId="58831771">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p w14:paraId="42C69C65">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联防联控要求</w:t>
                  </w:r>
                </w:p>
                <w:p w14:paraId="408917E1">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暂无</w:t>
                  </w:r>
                </w:p>
                <w:p w14:paraId="231B234F">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其他环境风险防控要求</w:t>
                  </w:r>
                </w:p>
                <w:p w14:paraId="007446BA">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企业环境风险防控要求：（1）工业企业退出用地，须经评估、修复满足相应用地功能后，方可改变用途。（2）加强“散乱污”企业环境风险防控。用地2、环境风险防控要求：（1）严格控制林地、草地、园地的农药使用量，禁止使用高毒、高残留农药。（2）严禁将城镇生活垃圾、污泥、工业废物直接用作肥料，禁止处理不达标的污泥进入耕地；禁止在农用地排放、倾倒、使用污泥、清淤底泥、尾矿（渣）等可能对土壤造成污染的固体废物。</w:t>
                  </w:r>
                </w:p>
              </w:tc>
              <w:tc>
                <w:tcPr>
                  <w:tcW w:w="967" w:type="pct"/>
                  <w:tcBorders>
                    <w:tl2br w:val="nil"/>
                    <w:tr2bl w:val="nil"/>
                  </w:tcBorders>
                  <w:vAlign w:val="center"/>
                </w:tcPr>
                <w:p w14:paraId="38E75907">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乐至县兴茂林业开发有限公司已与项目所在地村民签订林地流转协议，用于储备林项目建设，符合规划。</w:t>
                  </w:r>
                </w:p>
              </w:tc>
              <w:tc>
                <w:tcPr>
                  <w:tcW w:w="210" w:type="pct"/>
                  <w:tcBorders>
                    <w:tl2br w:val="nil"/>
                    <w:tr2bl w:val="nil"/>
                  </w:tcBorders>
                  <w:vAlign w:val="center"/>
                </w:tcPr>
                <w:p w14:paraId="716700CA">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620CB7A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3DC96664">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480BA2AC">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0C4A6DC3">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2103" w:type="pct"/>
                  <w:tcBorders>
                    <w:tl2br w:val="nil"/>
                    <w:tr2bl w:val="nil"/>
                  </w:tcBorders>
                  <w:vAlign w:val="center"/>
                </w:tcPr>
                <w:p w14:paraId="1CD4DE2A">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资源开发利用效率要求：</w:t>
                  </w:r>
                </w:p>
                <w:p w14:paraId="2FDDF272">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水资源利用总量要求</w:t>
                  </w:r>
                </w:p>
                <w:p w14:paraId="0E3B069D">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（1）到2030年，农田灌溉水有效利用系数提高到0.62。</w:t>
                  </w:r>
                </w:p>
                <w:p w14:paraId="0ACD81F7">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地下水开采要求</w:t>
                  </w:r>
                </w:p>
                <w:p w14:paraId="1EA1926F">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暂无</w:t>
                  </w:r>
                </w:p>
                <w:p w14:paraId="1A097F04">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能源利用总量及效率要求</w:t>
                  </w:r>
                </w:p>
                <w:p w14:paraId="0C6FEFB6">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（1）推进清洁能源的推广使用，全面推进散煤清洁化整治。</w:t>
                  </w:r>
                </w:p>
                <w:p w14:paraId="158AEA30">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禁燃区要求</w:t>
                  </w:r>
                </w:p>
                <w:p w14:paraId="4A13056D">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暂无</w:t>
                  </w:r>
                </w:p>
                <w:p w14:paraId="0C609B65">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其他资源利用效率要求</w:t>
                  </w:r>
                </w:p>
                <w:p w14:paraId="389C5DAE">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暂无</w:t>
                  </w:r>
                </w:p>
              </w:tc>
              <w:tc>
                <w:tcPr>
                  <w:tcW w:w="967" w:type="pct"/>
                  <w:tcBorders>
                    <w:tl2br w:val="nil"/>
                    <w:tr2bl w:val="nil"/>
                  </w:tcBorders>
                  <w:vAlign w:val="center"/>
                </w:tcPr>
                <w:p w14:paraId="0FB72D6D">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本项目为国家储备林建设及森林质量项目，不属于使用高污染燃料项目，不属于禁止开发活动，不涉及上述限制开发建设活动。</w:t>
                  </w:r>
                </w:p>
              </w:tc>
              <w:tc>
                <w:tcPr>
                  <w:tcW w:w="210" w:type="pct"/>
                  <w:tcBorders>
                    <w:tl2br w:val="nil"/>
                    <w:tr2bl w:val="nil"/>
                  </w:tcBorders>
                  <w:vAlign w:val="center"/>
                </w:tcPr>
                <w:p w14:paraId="1DBFC0F6">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38B6C25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36460F92">
                  <w:pPr>
                    <w:jc w:val="center"/>
                    <w:rPr>
                      <w:rFonts w:hint="default" w:ascii="Times New Roman" w:hAnsi="Times New Roman" w:eastAsia="宋体" w:cs="Times New Roman"/>
                      <w:color w:val="auto"/>
                      <w:sz w:val="21"/>
                      <w:szCs w:val="21"/>
                    </w:rPr>
                  </w:pPr>
                </w:p>
              </w:tc>
              <w:tc>
                <w:tcPr>
                  <w:tcW w:w="420" w:type="pct"/>
                  <w:vMerge w:val="restart"/>
                  <w:tcBorders>
                    <w:tl2br w:val="nil"/>
                    <w:tr2bl w:val="nil"/>
                  </w:tcBorders>
                  <w:vAlign w:val="center"/>
                </w:tcPr>
                <w:p w14:paraId="3AF761DE">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单元级清单管控要求</w:t>
                  </w:r>
                </w:p>
              </w:tc>
              <w:tc>
                <w:tcPr>
                  <w:tcW w:w="635" w:type="pct"/>
                  <w:tcBorders>
                    <w:tl2br w:val="nil"/>
                    <w:tr2bl w:val="nil"/>
                  </w:tcBorders>
                  <w:vAlign w:val="center"/>
                </w:tcPr>
                <w:p w14:paraId="5C75E25B">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5871" w:type="dxa"/>
                  <w:tcBorders>
                    <w:tl2br w:val="nil"/>
                    <w:tr2bl w:val="nil"/>
                  </w:tcBorders>
                  <w:vAlign w:val="center"/>
                </w:tcPr>
                <w:p w14:paraId="3898CAAD">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禁止开发建设活动的要求</w:t>
                  </w:r>
                </w:p>
                <w:p w14:paraId="4632E1E5">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执行一般管控单元总体准入要求</w:t>
                  </w:r>
                </w:p>
                <w:p w14:paraId="11BD1036">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限制开发建设活动的要求</w:t>
                  </w:r>
                </w:p>
                <w:p w14:paraId="0B17E6C6">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执行一般管控单元总体准入要求</w:t>
                  </w:r>
                </w:p>
                <w:p w14:paraId="43FCC534">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允许开发建设活动的要求</w:t>
                  </w:r>
                </w:p>
                <w:p w14:paraId="56210A2D">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不符合空间布局要求活动的退出要求</w:t>
                  </w:r>
                </w:p>
                <w:p w14:paraId="69BCB559">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执行一般管控单元总体准入要求</w:t>
                  </w:r>
                </w:p>
                <w:p w14:paraId="0065AEAC">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其他空间布局约束要求</w:t>
                  </w:r>
                </w:p>
              </w:tc>
              <w:tc>
                <w:tcPr>
                  <w:tcW w:w="967" w:type="pct"/>
                  <w:tcBorders>
                    <w:tl2br w:val="nil"/>
                    <w:tr2bl w:val="nil"/>
                  </w:tcBorders>
                  <w:vAlign w:val="center"/>
                </w:tcPr>
                <w:p w14:paraId="18C90EF5">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本项目不属于禁止开发活动，限制开发建设活动。</w:t>
                  </w:r>
                </w:p>
              </w:tc>
              <w:tc>
                <w:tcPr>
                  <w:tcW w:w="210" w:type="pct"/>
                  <w:tcBorders>
                    <w:tl2br w:val="nil"/>
                    <w:tr2bl w:val="nil"/>
                  </w:tcBorders>
                  <w:vAlign w:val="center"/>
                </w:tcPr>
                <w:p w14:paraId="1DDEC82F">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573B9A0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0C4C4904">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61B03D4A">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6B1DDBEF">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5871" w:type="dxa"/>
                  <w:tcBorders>
                    <w:tl2br w:val="nil"/>
                    <w:tr2bl w:val="nil"/>
                  </w:tcBorders>
                  <w:vAlign w:val="center"/>
                </w:tcPr>
                <w:p w14:paraId="7FB2BC9D">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现有源提标升级改造</w:t>
                  </w:r>
                </w:p>
                <w:p w14:paraId="491DFA65">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执行一般管控单元总体准入要求。单元内的大气、水重点管控区执行要素重点管控要求。</w:t>
                  </w:r>
                </w:p>
                <w:p w14:paraId="3E9E389F">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新增源等量或倍量替代</w:t>
                  </w:r>
                </w:p>
                <w:p w14:paraId="41A4E0F3">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执行一般管控单元总体准入要求。单元内的大气、水重点管控区执行要素重点管控要求。</w:t>
                  </w:r>
                </w:p>
                <w:p w14:paraId="5A8F0934">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新增源排放标准限值</w:t>
                  </w:r>
                </w:p>
                <w:p w14:paraId="3D3C4DF5">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污染物排放绩效水平准入要求</w:t>
                  </w:r>
                </w:p>
                <w:p w14:paraId="556E60A6">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执行一般管控单元总体准入要求。单元内的大气、水重点管控区执行要素重点管控要求。</w:t>
                  </w:r>
                </w:p>
                <w:p w14:paraId="2BD6E92D">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其他污染物排放管控要求</w:t>
                  </w:r>
                </w:p>
              </w:tc>
              <w:tc>
                <w:tcPr>
                  <w:tcW w:w="967" w:type="pct"/>
                  <w:tcBorders>
                    <w:tl2br w:val="nil"/>
                    <w:tr2bl w:val="nil"/>
                  </w:tcBorders>
                  <w:vAlign w:val="center"/>
                </w:tcPr>
                <w:p w14:paraId="33B8F7D4">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本项目</w:t>
                  </w:r>
                  <w:r>
                    <w:rPr>
                      <w:rFonts w:hint="default" w:ascii="Times New Roman" w:hAnsi="Times New Roman" w:eastAsia="宋体" w:cs="Times New Roman"/>
                      <w:color w:val="auto"/>
                      <w:sz w:val="21"/>
                      <w:szCs w:val="21"/>
                      <w:lang w:eastAsia="zh-CN"/>
                    </w:rPr>
                    <w:t>生活污水经预处理后用作农肥不外排</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eastAsia="zh-CN"/>
                    </w:rPr>
                    <w:t>雨水实行雨污分流符合管控要求。</w:t>
                  </w:r>
                </w:p>
              </w:tc>
              <w:tc>
                <w:tcPr>
                  <w:tcW w:w="210" w:type="pct"/>
                  <w:tcBorders>
                    <w:tl2br w:val="nil"/>
                    <w:tr2bl w:val="nil"/>
                  </w:tcBorders>
                  <w:vAlign w:val="center"/>
                </w:tcPr>
                <w:p w14:paraId="1274A1F6">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12C0ABC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4BAE0246">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7CB53897">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398DD53E">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5871" w:type="dxa"/>
                  <w:tcBorders>
                    <w:tl2br w:val="nil"/>
                    <w:tr2bl w:val="nil"/>
                  </w:tcBorders>
                  <w:vAlign w:val="center"/>
                </w:tcPr>
                <w:p w14:paraId="798D829E">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严格管控类农用地管控要求</w:t>
                  </w:r>
                </w:p>
                <w:p w14:paraId="26BC86CB">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安全利用类农用地管控要求</w:t>
                  </w:r>
                </w:p>
                <w:p w14:paraId="2D26C1A0">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污染地块管控要求</w:t>
                  </w:r>
                </w:p>
                <w:p w14:paraId="07EEEBAB">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执行一般管控单元总体准入要求。单元内的水重点管控区执行水要素重点管控要求，土壤优先保护区执行土壤要素优先保护管控要求。</w:t>
                  </w:r>
                </w:p>
                <w:p w14:paraId="44239140">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园区环境风险防控要求</w:t>
                  </w:r>
                </w:p>
                <w:p w14:paraId="5171F172">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企业环境风险防控要求</w:t>
                  </w:r>
                </w:p>
                <w:p w14:paraId="3E9E778B">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执行一般管控单元总体准入要求。单元内的水重点管控区执行水要素重点管控要求，土壤优先保护区执行土壤要素优先保护管控要求。</w:t>
                  </w:r>
                </w:p>
                <w:p w14:paraId="0604B605">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其他环境风险防控要求</w:t>
                  </w:r>
                </w:p>
              </w:tc>
              <w:tc>
                <w:tcPr>
                  <w:tcW w:w="967" w:type="pct"/>
                  <w:tcBorders>
                    <w:tl2br w:val="nil"/>
                    <w:tr2bl w:val="nil"/>
                  </w:tcBorders>
                  <w:vAlign w:val="center"/>
                </w:tcPr>
                <w:p w14:paraId="02D97DAA">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本项目为国家储备林建设及森林质量项目，项目的实施不会提高环境风险等级。</w:t>
                  </w:r>
                </w:p>
              </w:tc>
              <w:tc>
                <w:tcPr>
                  <w:tcW w:w="210" w:type="pct"/>
                  <w:tcBorders>
                    <w:tl2br w:val="nil"/>
                    <w:tr2bl w:val="nil"/>
                  </w:tcBorders>
                  <w:vAlign w:val="center"/>
                </w:tcPr>
                <w:p w14:paraId="6C889221">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1A3F57B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4FE99FC3">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588451C5">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65774FA6">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5871" w:type="dxa"/>
                  <w:tcBorders>
                    <w:tl2br w:val="nil"/>
                    <w:tr2bl w:val="nil"/>
                  </w:tcBorders>
                  <w:vAlign w:val="center"/>
                </w:tcPr>
                <w:p w14:paraId="4456C930">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水资源利用效率要求</w:t>
                  </w:r>
                </w:p>
                <w:p w14:paraId="74BD1739">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执行一般管控单元总体准入要求。单元内的大气、水重点管控区执行要素重点管控要求。</w:t>
                  </w:r>
                </w:p>
                <w:p w14:paraId="34A590E6">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地下水开采要求</w:t>
                  </w:r>
                </w:p>
                <w:p w14:paraId="7BEF3ECD">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能源利用效率要求</w:t>
                  </w:r>
                </w:p>
                <w:p w14:paraId="5B8F52FB">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执行一般管控单元总体准入要求。</w:t>
                  </w:r>
                </w:p>
                <w:p w14:paraId="4C2F8AD7">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其他资源利用效率要求</w:t>
                  </w:r>
                </w:p>
              </w:tc>
              <w:tc>
                <w:tcPr>
                  <w:tcW w:w="967" w:type="pct"/>
                  <w:tcBorders>
                    <w:tl2br w:val="nil"/>
                    <w:tr2bl w:val="nil"/>
                  </w:tcBorders>
                  <w:vAlign w:val="center"/>
                </w:tcPr>
                <w:p w14:paraId="2E1CD130">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本项目建设消防水池，用于储存水。</w:t>
                  </w:r>
                </w:p>
              </w:tc>
              <w:tc>
                <w:tcPr>
                  <w:tcW w:w="210" w:type="pct"/>
                  <w:tcBorders>
                    <w:tl2br w:val="nil"/>
                    <w:tr2bl w:val="nil"/>
                  </w:tcBorders>
                  <w:vAlign w:val="center"/>
                </w:tcPr>
                <w:p w14:paraId="39BA33E6">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3C278A0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restart"/>
                  <w:tcBorders>
                    <w:tl2br w:val="nil"/>
                    <w:tr2bl w:val="nil"/>
                  </w:tcBorders>
                  <w:vAlign w:val="center"/>
                </w:tcPr>
                <w:p w14:paraId="1194D18C">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YS5120222230003</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索溪河乐至县谢家桥控制单元</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水环境管控分区</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水环境农业污染重点管控区</w:t>
                  </w:r>
                </w:p>
              </w:tc>
              <w:tc>
                <w:tcPr>
                  <w:tcW w:w="420" w:type="pct"/>
                  <w:vMerge w:val="restart"/>
                  <w:tcBorders>
                    <w:tl2br w:val="nil"/>
                    <w:tr2bl w:val="nil"/>
                  </w:tcBorders>
                  <w:vAlign w:val="center"/>
                </w:tcPr>
                <w:p w14:paraId="73A9C8A2">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普适性清单管控要求</w:t>
                  </w:r>
                </w:p>
              </w:tc>
              <w:tc>
                <w:tcPr>
                  <w:tcW w:w="635" w:type="pct"/>
                  <w:tcBorders>
                    <w:tl2br w:val="nil"/>
                    <w:tr2bl w:val="nil"/>
                  </w:tcBorders>
                  <w:vAlign w:val="center"/>
                </w:tcPr>
                <w:p w14:paraId="3B30995F">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2103" w:type="pct"/>
                  <w:tcBorders>
                    <w:tl2br w:val="nil"/>
                    <w:tr2bl w:val="nil"/>
                  </w:tcBorders>
                  <w:vAlign w:val="center"/>
                </w:tcPr>
                <w:p w14:paraId="2C949188">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6F56AA8C">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0AF689DB">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3ACC68B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5C1909AC">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1AFF45A9">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3B212D5D">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2103" w:type="pct"/>
                  <w:tcBorders>
                    <w:tl2br w:val="nil"/>
                    <w:tr2bl w:val="nil"/>
                  </w:tcBorders>
                  <w:vAlign w:val="center"/>
                </w:tcPr>
                <w:p w14:paraId="5F2B17A1">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72A59EFC">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11FA50CA">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428B659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15B8FA68">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1BB68FD9">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2ED907B9">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2103" w:type="pct"/>
                  <w:tcBorders>
                    <w:tl2br w:val="nil"/>
                    <w:tr2bl w:val="nil"/>
                  </w:tcBorders>
                  <w:vAlign w:val="center"/>
                </w:tcPr>
                <w:p w14:paraId="078D8294">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246ADAAB">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65848277">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0B06BAE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5BD47B9E">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3A6D9F16">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4946408D">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2103" w:type="pct"/>
                  <w:tcBorders>
                    <w:tl2br w:val="nil"/>
                    <w:tr2bl w:val="nil"/>
                  </w:tcBorders>
                  <w:vAlign w:val="center"/>
                </w:tcPr>
                <w:p w14:paraId="76D7D82D">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17F30418">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2E00356E">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40AE31A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333725D4">
                  <w:pPr>
                    <w:jc w:val="center"/>
                    <w:rPr>
                      <w:rFonts w:hint="default" w:ascii="Times New Roman" w:hAnsi="Times New Roman" w:eastAsia="宋体" w:cs="Times New Roman"/>
                      <w:color w:val="auto"/>
                      <w:sz w:val="21"/>
                      <w:szCs w:val="21"/>
                    </w:rPr>
                  </w:pPr>
                </w:p>
              </w:tc>
              <w:tc>
                <w:tcPr>
                  <w:tcW w:w="420" w:type="pct"/>
                  <w:vMerge w:val="restart"/>
                  <w:tcBorders>
                    <w:tl2br w:val="nil"/>
                    <w:tr2bl w:val="nil"/>
                  </w:tcBorders>
                  <w:vAlign w:val="center"/>
                </w:tcPr>
                <w:p w14:paraId="4BE10641">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单元级清单管控要求</w:t>
                  </w:r>
                </w:p>
              </w:tc>
              <w:tc>
                <w:tcPr>
                  <w:tcW w:w="635" w:type="pct"/>
                  <w:tcBorders>
                    <w:tl2br w:val="nil"/>
                    <w:tr2bl w:val="nil"/>
                  </w:tcBorders>
                  <w:vAlign w:val="center"/>
                </w:tcPr>
                <w:p w14:paraId="31037706">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5871" w:type="dxa"/>
                  <w:tcBorders>
                    <w:tl2br w:val="nil"/>
                    <w:tr2bl w:val="nil"/>
                  </w:tcBorders>
                  <w:vAlign w:val="center"/>
                </w:tcPr>
                <w:p w14:paraId="1C73BA43">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禁止开发建设活动的要求</w:t>
                  </w:r>
                </w:p>
                <w:p w14:paraId="6A4E9D05">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限制开发建设活动的要求</w:t>
                  </w:r>
                </w:p>
                <w:p w14:paraId="0911D425">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允许开发建设活动的要求</w:t>
                  </w:r>
                </w:p>
                <w:p w14:paraId="1A2DC42D">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不符合空间布局要求活动的退出要求</w:t>
                  </w:r>
                </w:p>
                <w:p w14:paraId="33D350BA">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其他空间布局约束要求</w:t>
                  </w:r>
                </w:p>
              </w:tc>
              <w:tc>
                <w:tcPr>
                  <w:tcW w:w="967" w:type="pct"/>
                  <w:tcBorders>
                    <w:tl2br w:val="nil"/>
                    <w:tr2bl w:val="nil"/>
                  </w:tcBorders>
                  <w:vAlign w:val="center"/>
                </w:tcPr>
                <w:p w14:paraId="39B43406">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本项目不属于禁止开发活动，限制开发建设活动。</w:t>
                  </w:r>
                </w:p>
              </w:tc>
              <w:tc>
                <w:tcPr>
                  <w:tcW w:w="210" w:type="pct"/>
                  <w:tcBorders>
                    <w:tl2br w:val="nil"/>
                    <w:tr2bl w:val="nil"/>
                  </w:tcBorders>
                  <w:vAlign w:val="center"/>
                </w:tcPr>
                <w:p w14:paraId="2F300476">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600A6BB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5BD06650">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77CF368C">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24DE2484">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5871" w:type="dxa"/>
                  <w:tcBorders>
                    <w:tl2br w:val="nil"/>
                    <w:tr2bl w:val="nil"/>
                  </w:tcBorders>
                  <w:vAlign w:val="center"/>
                </w:tcPr>
                <w:p w14:paraId="4875E014">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城镇污水污染控制措施要求</w:t>
                  </w:r>
                </w:p>
                <w:p w14:paraId="7CBDCDEC">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工业废水污染控制措施要求</w:t>
                  </w:r>
                </w:p>
                <w:p w14:paraId="1A62CAE9">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农业面源水污染控制措施要求</w:t>
                  </w:r>
                </w:p>
                <w:p w14:paraId="4E555176">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1、推进化肥、农药使用量“减量化”，逐步推进农田径流拦截及治理；2、合理控制畜禽养殖规模，单位面积耕地的畜禽承载力不突破《四川省畜禽养殖污染防治技术指南》要求，提高畜禽养殖废物资源化利用水平；3、合理控制水产养殖规模，加强水产养殖废水治理及资源化利用，禁止直接排放。4、因地制宜加强乡镇场镇、农村集聚点生活污水收集处理。</w:t>
                  </w:r>
                </w:p>
                <w:p w14:paraId="77816439">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船舶港口水污染控制措施要求</w:t>
                  </w:r>
                </w:p>
                <w:p w14:paraId="7360E849">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饮用水水源和其它特殊水体保护要求</w:t>
                  </w:r>
                </w:p>
              </w:tc>
              <w:tc>
                <w:tcPr>
                  <w:tcW w:w="967" w:type="pct"/>
                  <w:tcBorders>
                    <w:tl2br w:val="nil"/>
                    <w:tr2bl w:val="nil"/>
                  </w:tcBorders>
                  <w:vAlign w:val="center"/>
                </w:tcPr>
                <w:p w14:paraId="79A1290D">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w:t>
                  </w:r>
                  <w:r>
                    <w:rPr>
                      <w:rFonts w:hint="default" w:ascii="Times New Roman" w:hAnsi="Times New Roman" w:eastAsia="宋体" w:cs="Times New Roman"/>
                      <w:color w:val="auto"/>
                      <w:sz w:val="21"/>
                      <w:szCs w:val="21"/>
                      <w:lang w:eastAsia="zh-CN"/>
                    </w:rPr>
                    <w:t>生活污水经预处理后用作农肥不外排</w:t>
                  </w: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72BE66DA">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38BC61A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7DD57533">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766A28A7">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49D62576">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5871" w:type="dxa"/>
                  <w:tcBorders>
                    <w:tl2br w:val="nil"/>
                    <w:tr2bl w:val="nil"/>
                  </w:tcBorders>
                  <w:vAlign w:val="center"/>
                </w:tcPr>
                <w:p w14:paraId="4D5ACE90">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700" w:type="dxa"/>
                  <w:tcBorders>
                    <w:tl2br w:val="nil"/>
                    <w:tr2bl w:val="nil"/>
                  </w:tcBorders>
                  <w:vAlign w:val="center"/>
                </w:tcPr>
                <w:p w14:paraId="526F3D8C">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86" w:type="dxa"/>
                  <w:tcBorders>
                    <w:tl2br w:val="nil"/>
                    <w:tr2bl w:val="nil"/>
                  </w:tcBorders>
                  <w:vAlign w:val="center"/>
                </w:tcPr>
                <w:p w14:paraId="327C9088">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59F7E11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160D9B8F">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62053429">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5B5C411B">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5871" w:type="dxa"/>
                  <w:tcBorders>
                    <w:tl2br w:val="nil"/>
                    <w:tr2bl w:val="nil"/>
                  </w:tcBorders>
                  <w:vAlign w:val="center"/>
                </w:tcPr>
                <w:p w14:paraId="5B433D16">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强化种植业节水</w:t>
                  </w:r>
                </w:p>
              </w:tc>
              <w:tc>
                <w:tcPr>
                  <w:tcW w:w="2752" w:type="dxa"/>
                  <w:tcBorders>
                    <w:tl2br w:val="nil"/>
                    <w:tr2bl w:val="nil"/>
                  </w:tcBorders>
                  <w:vAlign w:val="center"/>
                </w:tcPr>
                <w:p w14:paraId="62A570C8">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本项目建设消防水池，用于储存水。</w:t>
                  </w:r>
                </w:p>
              </w:tc>
              <w:tc>
                <w:tcPr>
                  <w:tcW w:w="599" w:type="dxa"/>
                  <w:tcBorders>
                    <w:tl2br w:val="nil"/>
                    <w:tr2bl w:val="nil"/>
                  </w:tcBorders>
                  <w:vAlign w:val="center"/>
                </w:tcPr>
                <w:p w14:paraId="04AFA489">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68375CC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restart"/>
                  <w:tcBorders>
                    <w:tl2br w:val="nil"/>
                    <w:tr2bl w:val="nil"/>
                  </w:tcBorders>
                  <w:vAlign w:val="center"/>
                </w:tcPr>
                <w:p w14:paraId="5C53170A">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YS5120223310001</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乐至县大气环境一般管控区</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大气环境管控分区</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大气环境一般管控区</w:t>
                  </w:r>
                </w:p>
              </w:tc>
              <w:tc>
                <w:tcPr>
                  <w:tcW w:w="420" w:type="pct"/>
                  <w:vMerge w:val="restart"/>
                  <w:tcBorders>
                    <w:tl2br w:val="nil"/>
                    <w:tr2bl w:val="nil"/>
                  </w:tcBorders>
                  <w:vAlign w:val="center"/>
                </w:tcPr>
                <w:p w14:paraId="7B3A70C2">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普适性清单管控要求</w:t>
                  </w:r>
                </w:p>
              </w:tc>
              <w:tc>
                <w:tcPr>
                  <w:tcW w:w="635" w:type="pct"/>
                  <w:tcBorders>
                    <w:tl2br w:val="nil"/>
                    <w:tr2bl w:val="nil"/>
                  </w:tcBorders>
                  <w:vAlign w:val="center"/>
                </w:tcPr>
                <w:p w14:paraId="7038AFC9">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2103" w:type="pct"/>
                  <w:tcBorders>
                    <w:tl2br w:val="nil"/>
                    <w:tr2bl w:val="nil"/>
                  </w:tcBorders>
                  <w:vAlign w:val="center"/>
                </w:tcPr>
                <w:p w14:paraId="4C7F8CA1">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11493509">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2FA43BCE">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3A006AE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1002F262">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2CDCC0CA">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71FE6AAE">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2103" w:type="pct"/>
                  <w:tcBorders>
                    <w:tl2br w:val="nil"/>
                    <w:tr2bl w:val="nil"/>
                  </w:tcBorders>
                  <w:vAlign w:val="center"/>
                </w:tcPr>
                <w:p w14:paraId="303826B5">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58E4DE5C">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6758728B">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6ABC65E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55959AC5">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25DDD481">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02F9C41A">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2103" w:type="pct"/>
                  <w:tcBorders>
                    <w:tl2br w:val="nil"/>
                    <w:tr2bl w:val="nil"/>
                  </w:tcBorders>
                  <w:vAlign w:val="center"/>
                </w:tcPr>
                <w:p w14:paraId="62C7DC31">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5E840454">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743B9069">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1816A50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5B71A09D">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365F3097">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1F632EE5">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2103" w:type="pct"/>
                  <w:tcBorders>
                    <w:tl2br w:val="nil"/>
                    <w:tr2bl w:val="nil"/>
                  </w:tcBorders>
                  <w:vAlign w:val="center"/>
                </w:tcPr>
                <w:p w14:paraId="5E931F44">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1450A4CA">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0EE1547F">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30543D7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54DE2271">
                  <w:pPr>
                    <w:jc w:val="center"/>
                    <w:rPr>
                      <w:rFonts w:hint="default" w:ascii="Times New Roman" w:hAnsi="Times New Roman" w:eastAsia="宋体" w:cs="Times New Roman"/>
                      <w:color w:val="auto"/>
                      <w:sz w:val="21"/>
                      <w:szCs w:val="21"/>
                    </w:rPr>
                  </w:pPr>
                </w:p>
              </w:tc>
              <w:tc>
                <w:tcPr>
                  <w:tcW w:w="420" w:type="pct"/>
                  <w:vMerge w:val="restart"/>
                  <w:tcBorders>
                    <w:tl2br w:val="nil"/>
                    <w:tr2bl w:val="nil"/>
                  </w:tcBorders>
                  <w:vAlign w:val="center"/>
                </w:tcPr>
                <w:p w14:paraId="04C3D77A">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单元级清单管控要求</w:t>
                  </w:r>
                </w:p>
              </w:tc>
              <w:tc>
                <w:tcPr>
                  <w:tcW w:w="635" w:type="pct"/>
                  <w:tcBorders>
                    <w:tl2br w:val="nil"/>
                    <w:tr2bl w:val="nil"/>
                  </w:tcBorders>
                  <w:vAlign w:val="center"/>
                </w:tcPr>
                <w:p w14:paraId="1BF4D19C">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5872" w:type="dxa"/>
                  <w:tcBorders>
                    <w:tl2br w:val="nil"/>
                    <w:tr2bl w:val="nil"/>
                  </w:tcBorders>
                  <w:vAlign w:val="center"/>
                </w:tcPr>
                <w:p w14:paraId="39D486BC">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禁止开发建设活动的要求</w:t>
                  </w:r>
                </w:p>
                <w:p w14:paraId="6ABE6C1C">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限制开发建设活动的要求</w:t>
                  </w:r>
                </w:p>
                <w:p w14:paraId="70ED02C2">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允许开发建设活动的要求</w:t>
                  </w:r>
                </w:p>
                <w:p w14:paraId="1224F44A">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不符合空间布局要求活动的退出要求</w:t>
                  </w:r>
                </w:p>
                <w:p w14:paraId="4733C5D0">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其他空间布局约束要求</w:t>
                  </w:r>
                </w:p>
              </w:tc>
              <w:tc>
                <w:tcPr>
                  <w:tcW w:w="967" w:type="pct"/>
                  <w:tcBorders>
                    <w:tl2br w:val="nil"/>
                    <w:tr2bl w:val="nil"/>
                  </w:tcBorders>
                  <w:vAlign w:val="center"/>
                </w:tcPr>
                <w:p w14:paraId="2D18B681">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本项目为国家储备林建设及森林质量项目，空间布局合理。</w:t>
                  </w:r>
                </w:p>
              </w:tc>
              <w:tc>
                <w:tcPr>
                  <w:tcW w:w="210" w:type="pct"/>
                  <w:tcBorders>
                    <w:tl2br w:val="nil"/>
                    <w:tr2bl w:val="nil"/>
                  </w:tcBorders>
                  <w:vAlign w:val="center"/>
                </w:tcPr>
                <w:p w14:paraId="2E777CBD">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31CF4A4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661" w:type="pct"/>
                  <w:vMerge w:val="continue"/>
                  <w:tcBorders>
                    <w:tl2br w:val="nil"/>
                    <w:tr2bl w:val="nil"/>
                  </w:tcBorders>
                  <w:vAlign w:val="center"/>
                </w:tcPr>
                <w:p w14:paraId="7F880D79">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0D2059CA">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22F0E9E8">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5872" w:type="dxa"/>
                  <w:tcBorders>
                    <w:tl2br w:val="nil"/>
                    <w:tr2bl w:val="nil"/>
                  </w:tcBorders>
                  <w:vAlign w:val="center"/>
                </w:tcPr>
                <w:p w14:paraId="525AF83B">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大气环境质量执行标准</w:t>
                  </w:r>
                </w:p>
                <w:p w14:paraId="5CB38752">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《环境空气质量标准》（GB3095-2012）：二级</w:t>
                  </w:r>
                </w:p>
                <w:p w14:paraId="257934C7">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区域大气污染物削减/替代要求</w:t>
                  </w:r>
                </w:p>
                <w:p w14:paraId="4E4A0EEE">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燃煤和其他能源大气污染控制要求</w:t>
                  </w:r>
                </w:p>
                <w:p w14:paraId="4B73451F">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工业废气污染控制要求</w:t>
                  </w:r>
                </w:p>
                <w:p w14:paraId="7B647828">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机动车船大气污染控制要求</w:t>
                  </w:r>
                </w:p>
                <w:p w14:paraId="68ECD72E">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扬尘污染控制要求</w:t>
                  </w:r>
                </w:p>
                <w:p w14:paraId="01F86EC9">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农业生产经营活动大气污染控制要求</w:t>
                  </w:r>
                </w:p>
                <w:p w14:paraId="6BEC2293">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重点行业企业专项治理要求</w:t>
                  </w:r>
                </w:p>
                <w:p w14:paraId="7C6ACC3B">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其他大气污染物排放管控要求</w:t>
                  </w:r>
                </w:p>
              </w:tc>
              <w:tc>
                <w:tcPr>
                  <w:tcW w:w="2752" w:type="dxa"/>
                  <w:tcBorders>
                    <w:tl2br w:val="nil"/>
                    <w:tr2bl w:val="nil"/>
                  </w:tcBorders>
                  <w:vAlign w:val="center"/>
                </w:tcPr>
                <w:p w14:paraId="116080FE">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项目为国家储备林建设及森林质量项目，不属于工业企业。</w:t>
                  </w:r>
                  <w:r>
                    <w:rPr>
                      <w:rFonts w:hint="default" w:ascii="Times New Roman" w:hAnsi="Times New Roman" w:eastAsia="宋体" w:cs="Times New Roman"/>
                      <w:color w:val="auto"/>
                      <w:sz w:val="21"/>
                      <w:szCs w:val="21"/>
                      <w:lang w:val="en-US" w:eastAsia="zh-CN"/>
                    </w:rPr>
                    <w:t>项目大气污染物排放主要为施工扬尘</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对环境影响较小。</w:t>
                  </w:r>
                </w:p>
              </w:tc>
              <w:tc>
                <w:tcPr>
                  <w:tcW w:w="599" w:type="dxa"/>
                  <w:tcBorders>
                    <w:tl2br w:val="nil"/>
                    <w:tr2bl w:val="nil"/>
                  </w:tcBorders>
                  <w:vAlign w:val="center"/>
                </w:tcPr>
                <w:p w14:paraId="55838305">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符合</w:t>
                  </w:r>
                </w:p>
              </w:tc>
            </w:tr>
            <w:tr w14:paraId="001BF7A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033B802B">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45DF536F">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64B167B0">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2103" w:type="pct"/>
                  <w:tcBorders>
                    <w:tl2br w:val="nil"/>
                    <w:tr2bl w:val="nil"/>
                  </w:tcBorders>
                  <w:vAlign w:val="center"/>
                </w:tcPr>
                <w:p w14:paraId="0C32B247">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3EDA45A2">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67492CF5">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6305A48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5188B3ED">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0003A365">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07B22C7C">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5872" w:type="dxa"/>
                  <w:tcBorders>
                    <w:tl2br w:val="nil"/>
                    <w:tr2bl w:val="nil"/>
                  </w:tcBorders>
                  <w:vAlign w:val="center"/>
                </w:tcPr>
                <w:p w14:paraId="5A5C42CB">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700" w:type="dxa"/>
                  <w:tcBorders>
                    <w:tl2br w:val="nil"/>
                    <w:tr2bl w:val="nil"/>
                  </w:tcBorders>
                  <w:vAlign w:val="center"/>
                </w:tcPr>
                <w:p w14:paraId="50B818AC">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86" w:type="dxa"/>
                  <w:tcBorders>
                    <w:tl2br w:val="nil"/>
                    <w:tr2bl w:val="nil"/>
                  </w:tcBorders>
                  <w:vAlign w:val="center"/>
                </w:tcPr>
                <w:p w14:paraId="7FB55773">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36786AB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restart"/>
                  <w:tcBorders>
                    <w:tl2br w:val="nil"/>
                    <w:tr2bl w:val="nil"/>
                  </w:tcBorders>
                  <w:vAlign w:val="center"/>
                </w:tcPr>
                <w:p w14:paraId="612C97F8">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YS5120222550001</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乐至县自然资源重点管控区</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自然资源管控分区</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自然资源重点管控区</w:t>
                  </w:r>
                </w:p>
              </w:tc>
              <w:tc>
                <w:tcPr>
                  <w:tcW w:w="420" w:type="pct"/>
                  <w:vMerge w:val="restart"/>
                  <w:tcBorders>
                    <w:tl2br w:val="nil"/>
                    <w:tr2bl w:val="nil"/>
                  </w:tcBorders>
                  <w:vAlign w:val="center"/>
                </w:tcPr>
                <w:p w14:paraId="71B3847C">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普适性清单管控要求</w:t>
                  </w:r>
                </w:p>
              </w:tc>
              <w:tc>
                <w:tcPr>
                  <w:tcW w:w="635" w:type="pct"/>
                  <w:tcBorders>
                    <w:tl2br w:val="nil"/>
                    <w:tr2bl w:val="nil"/>
                  </w:tcBorders>
                  <w:vAlign w:val="center"/>
                </w:tcPr>
                <w:p w14:paraId="45635B10">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2103" w:type="pct"/>
                  <w:tcBorders>
                    <w:tl2br w:val="nil"/>
                    <w:tr2bl w:val="nil"/>
                  </w:tcBorders>
                  <w:vAlign w:val="center"/>
                </w:tcPr>
                <w:p w14:paraId="4FB05E63">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13B39EF8">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03DF6BB5">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3CDE976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79B905A6">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1C04A1FC">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23E964DE">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2103" w:type="pct"/>
                  <w:tcBorders>
                    <w:tl2br w:val="nil"/>
                    <w:tr2bl w:val="nil"/>
                  </w:tcBorders>
                  <w:vAlign w:val="center"/>
                </w:tcPr>
                <w:p w14:paraId="29FD3D73">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03CF1F12">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2B8612AA">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2D8AA6E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17469211">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71AC9BE3">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1D453675">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2103" w:type="pct"/>
                  <w:tcBorders>
                    <w:tl2br w:val="nil"/>
                    <w:tr2bl w:val="nil"/>
                  </w:tcBorders>
                  <w:vAlign w:val="center"/>
                </w:tcPr>
                <w:p w14:paraId="46F70AE1">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05BA7256">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1FA0A342">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58D33B2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7D523534">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70E7A879">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6C2897F2">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2103" w:type="pct"/>
                  <w:tcBorders>
                    <w:tl2br w:val="nil"/>
                    <w:tr2bl w:val="nil"/>
                  </w:tcBorders>
                  <w:vAlign w:val="center"/>
                </w:tcPr>
                <w:p w14:paraId="6B88B035">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76DF28B7">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48CE1019">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1C8E8AA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7E7C02B1">
                  <w:pPr>
                    <w:jc w:val="center"/>
                    <w:rPr>
                      <w:rFonts w:hint="default" w:ascii="Times New Roman" w:hAnsi="Times New Roman" w:eastAsia="宋体" w:cs="Times New Roman"/>
                      <w:color w:val="auto"/>
                      <w:sz w:val="21"/>
                      <w:szCs w:val="21"/>
                    </w:rPr>
                  </w:pPr>
                </w:p>
              </w:tc>
              <w:tc>
                <w:tcPr>
                  <w:tcW w:w="420" w:type="pct"/>
                  <w:vMerge w:val="restart"/>
                  <w:tcBorders>
                    <w:tl2br w:val="nil"/>
                    <w:tr2bl w:val="nil"/>
                  </w:tcBorders>
                  <w:vAlign w:val="center"/>
                </w:tcPr>
                <w:p w14:paraId="6F226B67">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单元级清单管控要求</w:t>
                  </w:r>
                </w:p>
              </w:tc>
              <w:tc>
                <w:tcPr>
                  <w:tcW w:w="635" w:type="pct"/>
                  <w:tcBorders>
                    <w:tl2br w:val="nil"/>
                    <w:tr2bl w:val="nil"/>
                  </w:tcBorders>
                  <w:vAlign w:val="center"/>
                </w:tcPr>
                <w:p w14:paraId="50BB7D80">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2103" w:type="pct"/>
                  <w:tcBorders>
                    <w:tl2br w:val="nil"/>
                    <w:tr2bl w:val="nil"/>
                  </w:tcBorders>
                  <w:vAlign w:val="center"/>
                </w:tcPr>
                <w:p w14:paraId="79E16720">
                  <w:pPr>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合理开发高效利用水资源，建设节水型社会；优化土地利用布局与结构；优化产业空间布局，构建清洁能源体系</w:t>
                  </w:r>
                </w:p>
              </w:tc>
              <w:tc>
                <w:tcPr>
                  <w:tcW w:w="2752" w:type="dxa"/>
                  <w:tcBorders>
                    <w:tl2br w:val="nil"/>
                    <w:tr2bl w:val="nil"/>
                  </w:tcBorders>
                  <w:vAlign w:val="center"/>
                </w:tcPr>
                <w:p w14:paraId="164D7BCF">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本项目不属于禁止开发活动，限制开发建设活动。</w:t>
                  </w:r>
                </w:p>
              </w:tc>
              <w:tc>
                <w:tcPr>
                  <w:tcW w:w="599" w:type="dxa"/>
                  <w:tcBorders>
                    <w:tl2br w:val="nil"/>
                    <w:tr2bl w:val="nil"/>
                  </w:tcBorders>
                  <w:vAlign w:val="center"/>
                </w:tcPr>
                <w:p w14:paraId="324FF5A4">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5174890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36E95493">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7D56ECF4">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53A87CA6">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2103" w:type="pct"/>
                  <w:tcBorders>
                    <w:tl2br w:val="nil"/>
                    <w:tr2bl w:val="nil"/>
                  </w:tcBorders>
                  <w:vAlign w:val="center"/>
                </w:tcPr>
                <w:p w14:paraId="5687EE8C">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2D4E6C6A">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386C784B">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6B21478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2CB5CB82">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235C764E">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6ADBB915">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2103" w:type="pct"/>
                  <w:tcBorders>
                    <w:tl2br w:val="nil"/>
                    <w:tr2bl w:val="nil"/>
                  </w:tcBorders>
                  <w:vAlign w:val="center"/>
                </w:tcPr>
                <w:p w14:paraId="3F3F9AFB">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6925CD17">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52E97989">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6580301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61718834">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14445668">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052C64E8">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2103" w:type="pct"/>
                  <w:tcBorders>
                    <w:tl2br w:val="nil"/>
                    <w:tr2bl w:val="nil"/>
                  </w:tcBorders>
                  <w:vAlign w:val="center"/>
                </w:tcPr>
                <w:p w14:paraId="7B7FB35F">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土地资源开发效率要求</w:t>
                  </w:r>
                </w:p>
                <w:p w14:paraId="0B8E80FC">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能源资源开发效率要求</w:t>
                  </w:r>
                </w:p>
                <w:p w14:paraId="14DA99BD">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其他资源开发效率要求</w:t>
                  </w:r>
                </w:p>
              </w:tc>
              <w:tc>
                <w:tcPr>
                  <w:tcW w:w="967" w:type="pct"/>
                  <w:tcBorders>
                    <w:tl2br w:val="nil"/>
                    <w:tr2bl w:val="nil"/>
                  </w:tcBorders>
                  <w:vAlign w:val="center"/>
                </w:tcPr>
                <w:p w14:paraId="2A688127">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本项目资源需求小，符合资源开发效率要求。</w:t>
                  </w:r>
                </w:p>
              </w:tc>
              <w:tc>
                <w:tcPr>
                  <w:tcW w:w="210" w:type="pct"/>
                  <w:tcBorders>
                    <w:tl2br w:val="nil"/>
                    <w:tr2bl w:val="nil"/>
                  </w:tcBorders>
                  <w:vAlign w:val="center"/>
                </w:tcPr>
                <w:p w14:paraId="57846D82">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3CC3281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restart"/>
                  <w:tcBorders>
                    <w:tl2br w:val="nil"/>
                    <w:tr2bl w:val="nil"/>
                  </w:tcBorders>
                  <w:vAlign w:val="center"/>
                </w:tcPr>
                <w:p w14:paraId="6D40E2DC">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YS5120222510003</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乐至县水资源重点管控区</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自然资源管控分区</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水资源重点管控区</w:t>
                  </w:r>
                </w:p>
              </w:tc>
              <w:tc>
                <w:tcPr>
                  <w:tcW w:w="420" w:type="pct"/>
                  <w:vMerge w:val="restart"/>
                  <w:tcBorders>
                    <w:tl2br w:val="nil"/>
                    <w:tr2bl w:val="nil"/>
                  </w:tcBorders>
                  <w:vAlign w:val="center"/>
                </w:tcPr>
                <w:p w14:paraId="44D6D4FD">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普适性清单管控要求</w:t>
                  </w:r>
                </w:p>
              </w:tc>
              <w:tc>
                <w:tcPr>
                  <w:tcW w:w="635" w:type="pct"/>
                  <w:tcBorders>
                    <w:tl2br w:val="nil"/>
                    <w:tr2bl w:val="nil"/>
                  </w:tcBorders>
                  <w:vAlign w:val="center"/>
                </w:tcPr>
                <w:p w14:paraId="072827E1">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2103" w:type="pct"/>
                  <w:tcBorders>
                    <w:tl2br w:val="nil"/>
                    <w:tr2bl w:val="nil"/>
                  </w:tcBorders>
                  <w:vAlign w:val="center"/>
                </w:tcPr>
                <w:p w14:paraId="5BD63185">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5F2D3023">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2551C783">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59AEE54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493904AF">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3DC9543F">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0C3B6651">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2103" w:type="pct"/>
                  <w:tcBorders>
                    <w:tl2br w:val="nil"/>
                    <w:tr2bl w:val="nil"/>
                  </w:tcBorders>
                  <w:vAlign w:val="center"/>
                </w:tcPr>
                <w:p w14:paraId="23DD75DC">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122C5353">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7ACA810F">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5FA01AC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42BDFF57">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5042E67E">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1A2B4CF8">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2103" w:type="pct"/>
                  <w:tcBorders>
                    <w:tl2br w:val="nil"/>
                    <w:tr2bl w:val="nil"/>
                  </w:tcBorders>
                  <w:vAlign w:val="center"/>
                </w:tcPr>
                <w:p w14:paraId="6118A2F3">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6A74F1CA">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4EB5D93E">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3FAEA34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02FB93DB">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04E36893">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589E293C">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2103" w:type="pct"/>
                  <w:tcBorders>
                    <w:tl2br w:val="nil"/>
                    <w:tr2bl w:val="nil"/>
                  </w:tcBorders>
                  <w:vAlign w:val="center"/>
                </w:tcPr>
                <w:p w14:paraId="77712F00">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777A5892">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2134AFE8">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5585022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717F70A7">
                  <w:pPr>
                    <w:jc w:val="center"/>
                    <w:rPr>
                      <w:rFonts w:hint="default" w:ascii="Times New Roman" w:hAnsi="Times New Roman" w:eastAsia="宋体" w:cs="Times New Roman"/>
                      <w:color w:val="auto"/>
                      <w:sz w:val="21"/>
                      <w:szCs w:val="21"/>
                    </w:rPr>
                  </w:pPr>
                </w:p>
              </w:tc>
              <w:tc>
                <w:tcPr>
                  <w:tcW w:w="420" w:type="pct"/>
                  <w:vMerge w:val="restart"/>
                  <w:tcBorders>
                    <w:tl2br w:val="nil"/>
                    <w:tr2bl w:val="nil"/>
                  </w:tcBorders>
                  <w:vAlign w:val="center"/>
                </w:tcPr>
                <w:p w14:paraId="3A4F7713">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单元级清单管控要求</w:t>
                  </w:r>
                </w:p>
              </w:tc>
              <w:tc>
                <w:tcPr>
                  <w:tcW w:w="635" w:type="pct"/>
                  <w:tcBorders>
                    <w:tl2br w:val="nil"/>
                    <w:tr2bl w:val="nil"/>
                  </w:tcBorders>
                  <w:vAlign w:val="center"/>
                </w:tcPr>
                <w:p w14:paraId="05708881">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5872" w:type="dxa"/>
                  <w:tcBorders>
                    <w:tl2br w:val="nil"/>
                    <w:tr2bl w:val="nil"/>
                  </w:tcBorders>
                  <w:vAlign w:val="center"/>
                </w:tcPr>
                <w:p w14:paraId="7CE41523">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700" w:type="dxa"/>
                  <w:tcBorders>
                    <w:tl2br w:val="nil"/>
                    <w:tr2bl w:val="nil"/>
                  </w:tcBorders>
                  <w:vAlign w:val="center"/>
                </w:tcPr>
                <w:p w14:paraId="378782B9">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86" w:type="dxa"/>
                  <w:tcBorders>
                    <w:tl2br w:val="nil"/>
                    <w:tr2bl w:val="nil"/>
                  </w:tcBorders>
                  <w:vAlign w:val="center"/>
                </w:tcPr>
                <w:p w14:paraId="6498AA94">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1EB8FEB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2D443542">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1AD1D4C2">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52FAB947">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5872" w:type="dxa"/>
                  <w:tcBorders>
                    <w:tl2br w:val="nil"/>
                    <w:tr2bl w:val="nil"/>
                  </w:tcBorders>
                  <w:vAlign w:val="center"/>
                </w:tcPr>
                <w:p w14:paraId="53F8C106">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700" w:type="dxa"/>
                  <w:tcBorders>
                    <w:tl2br w:val="nil"/>
                    <w:tr2bl w:val="nil"/>
                  </w:tcBorders>
                  <w:vAlign w:val="center"/>
                </w:tcPr>
                <w:p w14:paraId="3DEA3A6B">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86" w:type="dxa"/>
                  <w:tcBorders>
                    <w:tl2br w:val="nil"/>
                    <w:tr2bl w:val="nil"/>
                  </w:tcBorders>
                  <w:vAlign w:val="center"/>
                </w:tcPr>
                <w:p w14:paraId="426E9F41">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7346839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0D942A46">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7E9946EC">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4BFB8A04">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5872" w:type="dxa"/>
                  <w:tcBorders>
                    <w:tl2br w:val="nil"/>
                    <w:tr2bl w:val="nil"/>
                  </w:tcBorders>
                  <w:vAlign w:val="center"/>
                </w:tcPr>
                <w:p w14:paraId="3EB148A4">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700" w:type="dxa"/>
                  <w:tcBorders>
                    <w:tl2br w:val="nil"/>
                    <w:tr2bl w:val="nil"/>
                  </w:tcBorders>
                  <w:vAlign w:val="center"/>
                </w:tcPr>
                <w:p w14:paraId="731933D7">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86" w:type="dxa"/>
                  <w:tcBorders>
                    <w:tl2br w:val="nil"/>
                    <w:tr2bl w:val="nil"/>
                  </w:tcBorders>
                  <w:vAlign w:val="center"/>
                </w:tcPr>
                <w:p w14:paraId="435F8CFB">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22C98D7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1A35C2B4">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32C44D8F">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3CFE6415">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2103" w:type="pct"/>
                  <w:tcBorders>
                    <w:tl2br w:val="nil"/>
                    <w:tr2bl w:val="nil"/>
                  </w:tcBorders>
                  <w:vAlign w:val="center"/>
                </w:tcPr>
                <w:p w14:paraId="1C5023E6">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土地资源开发效率要求</w:t>
                  </w:r>
                </w:p>
                <w:p w14:paraId="7BE67337">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能源资源开发效率要求</w:t>
                  </w:r>
                </w:p>
                <w:p w14:paraId="07D48F14">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其他资源开发效率要求</w:t>
                  </w:r>
                </w:p>
              </w:tc>
              <w:tc>
                <w:tcPr>
                  <w:tcW w:w="2752" w:type="dxa"/>
                  <w:tcBorders>
                    <w:tl2br w:val="nil"/>
                    <w:tr2bl w:val="nil"/>
                  </w:tcBorders>
                  <w:vAlign w:val="center"/>
                </w:tcPr>
                <w:p w14:paraId="40B44289">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本项目资源需求小，符合资源开发效率要求。</w:t>
                  </w:r>
                </w:p>
              </w:tc>
              <w:tc>
                <w:tcPr>
                  <w:tcW w:w="599" w:type="dxa"/>
                  <w:tcBorders>
                    <w:tl2br w:val="nil"/>
                    <w:tr2bl w:val="nil"/>
                  </w:tcBorders>
                  <w:vAlign w:val="center"/>
                </w:tcPr>
                <w:p w14:paraId="73A03A90">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6E4A73F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restart"/>
                  <w:tcBorders>
                    <w:tl2br w:val="nil"/>
                    <w:tr2bl w:val="nil"/>
                  </w:tcBorders>
                  <w:vAlign w:val="center"/>
                </w:tcPr>
                <w:p w14:paraId="6FFC93F9">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YS5120221410003</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乐至县土壤优先保护区</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土壤污染风险管控分区</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农用地优先保护区</w:t>
                  </w:r>
                </w:p>
              </w:tc>
              <w:tc>
                <w:tcPr>
                  <w:tcW w:w="420" w:type="pct"/>
                  <w:vMerge w:val="restart"/>
                  <w:tcBorders>
                    <w:tl2br w:val="nil"/>
                    <w:tr2bl w:val="nil"/>
                  </w:tcBorders>
                  <w:vAlign w:val="center"/>
                </w:tcPr>
                <w:p w14:paraId="577348DC">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普适性清单管控要求</w:t>
                  </w:r>
                </w:p>
              </w:tc>
              <w:tc>
                <w:tcPr>
                  <w:tcW w:w="635" w:type="pct"/>
                  <w:tcBorders>
                    <w:tl2br w:val="nil"/>
                    <w:tr2bl w:val="nil"/>
                  </w:tcBorders>
                  <w:vAlign w:val="center"/>
                </w:tcPr>
                <w:p w14:paraId="43921E19">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2103" w:type="pct"/>
                  <w:tcBorders>
                    <w:tl2br w:val="nil"/>
                    <w:tr2bl w:val="nil"/>
                  </w:tcBorders>
                  <w:vAlign w:val="center"/>
                </w:tcPr>
                <w:p w14:paraId="5389D78D">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42E1D080">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242982CB">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7B86D19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3E3573D5">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09488573">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11E2E6EE">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2103" w:type="pct"/>
                  <w:tcBorders>
                    <w:tl2br w:val="nil"/>
                    <w:tr2bl w:val="nil"/>
                  </w:tcBorders>
                  <w:vAlign w:val="center"/>
                </w:tcPr>
                <w:p w14:paraId="269BE967">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7C91C346">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40258432">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6DE9D98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3DA51447">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4BD4ACD3">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13E6F43A">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2103" w:type="pct"/>
                  <w:tcBorders>
                    <w:tl2br w:val="nil"/>
                    <w:tr2bl w:val="nil"/>
                  </w:tcBorders>
                  <w:vAlign w:val="center"/>
                </w:tcPr>
                <w:p w14:paraId="3C11EBAF">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4FFA942B">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0078AC33">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0C6C750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5E3BC72E">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6E8C5046">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4A765349">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2103" w:type="pct"/>
                  <w:tcBorders>
                    <w:tl2br w:val="nil"/>
                    <w:tr2bl w:val="nil"/>
                  </w:tcBorders>
                  <w:vAlign w:val="center"/>
                </w:tcPr>
                <w:p w14:paraId="5B9AA6D9">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147507A2">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79B5D12B">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73D893C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4123F900">
                  <w:pPr>
                    <w:jc w:val="center"/>
                    <w:rPr>
                      <w:rFonts w:hint="default" w:ascii="Times New Roman" w:hAnsi="Times New Roman" w:eastAsia="宋体" w:cs="Times New Roman"/>
                      <w:color w:val="auto"/>
                      <w:sz w:val="21"/>
                      <w:szCs w:val="21"/>
                    </w:rPr>
                  </w:pPr>
                </w:p>
              </w:tc>
              <w:tc>
                <w:tcPr>
                  <w:tcW w:w="420" w:type="pct"/>
                  <w:vMerge w:val="restart"/>
                  <w:tcBorders>
                    <w:tl2br w:val="nil"/>
                    <w:tr2bl w:val="nil"/>
                  </w:tcBorders>
                  <w:vAlign w:val="center"/>
                </w:tcPr>
                <w:p w14:paraId="6A3006DA">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单元级清单管控要求</w:t>
                  </w:r>
                </w:p>
              </w:tc>
              <w:tc>
                <w:tcPr>
                  <w:tcW w:w="635" w:type="pct"/>
                  <w:tcBorders>
                    <w:tl2br w:val="nil"/>
                    <w:tr2bl w:val="nil"/>
                  </w:tcBorders>
                  <w:vAlign w:val="center"/>
                </w:tcPr>
                <w:p w14:paraId="2F3F9559">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2103" w:type="pct"/>
                  <w:tcBorders>
                    <w:tl2br w:val="nil"/>
                    <w:tr2bl w:val="nil"/>
                  </w:tcBorders>
                  <w:vAlign w:val="center"/>
                </w:tcPr>
                <w:p w14:paraId="756D52F5">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禁止开发建设活动的要求</w:t>
                  </w:r>
                </w:p>
                <w:p w14:paraId="654ABE2B">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限制开发建设活动的要求</w:t>
                  </w:r>
                </w:p>
                <w:p w14:paraId="04971BFD">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允许开发建设活动的要求</w:t>
                  </w:r>
                </w:p>
                <w:p w14:paraId="534AEF5F">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不符合空间布局要求活动的退出要求</w:t>
                  </w:r>
                </w:p>
                <w:p w14:paraId="3E6BD484">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其他空间布局约束要求</w:t>
                  </w:r>
                </w:p>
              </w:tc>
              <w:tc>
                <w:tcPr>
                  <w:tcW w:w="967" w:type="pct"/>
                  <w:tcBorders>
                    <w:tl2br w:val="nil"/>
                    <w:tr2bl w:val="nil"/>
                  </w:tcBorders>
                  <w:vAlign w:val="center"/>
                </w:tcPr>
                <w:p w14:paraId="3B68A55A">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本项目不属于禁止开发活动，限制开发建设活动。</w:t>
                  </w:r>
                </w:p>
              </w:tc>
              <w:tc>
                <w:tcPr>
                  <w:tcW w:w="210" w:type="pct"/>
                  <w:tcBorders>
                    <w:tl2br w:val="nil"/>
                    <w:tr2bl w:val="nil"/>
                  </w:tcBorders>
                  <w:vAlign w:val="center"/>
                </w:tcPr>
                <w:p w14:paraId="12A26A33">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7496982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160A1C8B">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415A3116">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0E997146">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5872" w:type="dxa"/>
                  <w:tcBorders>
                    <w:tl2br w:val="nil"/>
                    <w:tr2bl w:val="nil"/>
                  </w:tcBorders>
                  <w:vAlign w:val="center"/>
                </w:tcPr>
                <w:p w14:paraId="706FAA1E">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700" w:type="dxa"/>
                  <w:tcBorders>
                    <w:tl2br w:val="nil"/>
                    <w:tr2bl w:val="nil"/>
                  </w:tcBorders>
                  <w:vAlign w:val="center"/>
                </w:tcPr>
                <w:p w14:paraId="3DBF35E3">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86" w:type="dxa"/>
                  <w:tcBorders>
                    <w:tl2br w:val="nil"/>
                    <w:tr2bl w:val="nil"/>
                  </w:tcBorders>
                  <w:vAlign w:val="center"/>
                </w:tcPr>
                <w:p w14:paraId="70530293">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4C235FA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6BAB5E28">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30A12FA2">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4EDF0A3C">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5872" w:type="dxa"/>
                  <w:tcBorders>
                    <w:tl2br w:val="nil"/>
                    <w:tr2bl w:val="nil"/>
                  </w:tcBorders>
                  <w:vAlign w:val="center"/>
                </w:tcPr>
                <w:p w14:paraId="50640925">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700" w:type="dxa"/>
                  <w:tcBorders>
                    <w:tl2br w:val="nil"/>
                    <w:tr2bl w:val="nil"/>
                  </w:tcBorders>
                  <w:vAlign w:val="center"/>
                </w:tcPr>
                <w:p w14:paraId="24C2FC37">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86" w:type="dxa"/>
                  <w:tcBorders>
                    <w:tl2br w:val="nil"/>
                    <w:tr2bl w:val="nil"/>
                  </w:tcBorders>
                  <w:vAlign w:val="center"/>
                </w:tcPr>
                <w:p w14:paraId="50C05C4D">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3822A47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0FBE4591">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1C7D1203">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288D425B">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5872" w:type="dxa"/>
                  <w:tcBorders>
                    <w:tl2br w:val="nil"/>
                    <w:tr2bl w:val="nil"/>
                  </w:tcBorders>
                  <w:vAlign w:val="center"/>
                </w:tcPr>
                <w:p w14:paraId="622E4552">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700" w:type="dxa"/>
                  <w:tcBorders>
                    <w:tl2br w:val="nil"/>
                    <w:tr2bl w:val="nil"/>
                  </w:tcBorders>
                  <w:vAlign w:val="center"/>
                </w:tcPr>
                <w:p w14:paraId="0892684A">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86" w:type="dxa"/>
                  <w:tcBorders>
                    <w:tl2br w:val="nil"/>
                    <w:tr2bl w:val="nil"/>
                  </w:tcBorders>
                  <w:vAlign w:val="center"/>
                </w:tcPr>
                <w:p w14:paraId="2ECD15DE">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bl>
          <w:p w14:paraId="7E28E30A">
            <w:pPr>
              <w:pStyle w:val="21"/>
              <w:widowControl w:val="0"/>
              <w:kinsoku/>
              <w:autoSpaceDE/>
              <w:autoSpaceDN/>
              <w:adjustRightInd/>
              <w:snapToGrid/>
              <w:spacing w:line="360" w:lineRule="auto"/>
              <w:ind w:firstLine="480"/>
              <w:textAlignment w:val="auto"/>
              <w:rPr>
                <w:rFonts w:hint="default" w:ascii="Times New Roman" w:hAnsi="Times New Roman" w:eastAsia="宋体" w:cs="Times New Roman"/>
                <w:color w:val="auto"/>
              </w:rPr>
            </w:pPr>
          </w:p>
          <w:p w14:paraId="3A37C4DE">
            <w:pPr>
              <w:pStyle w:val="21"/>
              <w:widowControl w:val="0"/>
              <w:kinsoku/>
              <w:autoSpaceDE/>
              <w:autoSpaceDN/>
              <w:adjustRightInd/>
              <w:snapToGrid/>
              <w:spacing w:line="360" w:lineRule="auto"/>
              <w:ind w:firstLine="48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7）中天镇</w:t>
            </w:r>
          </w:p>
          <w:p w14:paraId="38964EEB">
            <w:pPr>
              <w:pStyle w:val="21"/>
              <w:widowControl w:val="0"/>
              <w:kinsoku/>
              <w:autoSpaceDE/>
              <w:autoSpaceDN/>
              <w:adjustRightInd/>
              <w:snapToGrid/>
              <w:spacing w:line="360" w:lineRule="auto"/>
              <w:ind w:firstLine="48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（1）项目拟建区域管控单元识别</w:t>
            </w:r>
          </w:p>
          <w:p w14:paraId="1506FAF2">
            <w:pPr>
              <w:pStyle w:val="21"/>
              <w:widowControl w:val="0"/>
              <w:kinsoku/>
              <w:autoSpaceDE/>
              <w:autoSpaceDN/>
              <w:adjustRightInd/>
              <w:snapToGrid/>
              <w:spacing w:line="360" w:lineRule="auto"/>
              <w:ind w:firstLine="48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根据四川省生态环境厅“三线一单”符合性分析系统识别系统结果，本项目</w:t>
            </w:r>
            <w:r>
              <w:rPr>
                <w:rFonts w:hint="default" w:ascii="Times New Roman" w:hAnsi="Times New Roman" w:eastAsia="宋体" w:cs="Times New Roman"/>
                <w:b/>
                <w:bCs/>
                <w:color w:val="auto"/>
              </w:rPr>
              <w:t>中天镇</w:t>
            </w:r>
            <w:r>
              <w:rPr>
                <w:rFonts w:hint="default" w:ascii="Times New Roman" w:hAnsi="Times New Roman" w:eastAsia="宋体" w:cs="Times New Roman"/>
                <w:color w:val="auto"/>
              </w:rPr>
              <w:t>拟建区域共涉及</w:t>
            </w:r>
            <w:r>
              <w:rPr>
                <w:rFonts w:hint="default" w:ascii="Times New Roman" w:hAnsi="Times New Roman" w:eastAsia="宋体" w:cs="Times New Roman"/>
                <w:color w:val="auto"/>
                <w:lang w:val="en-US" w:eastAsia="zh-CN"/>
              </w:rPr>
              <w:t>6</w:t>
            </w:r>
            <w:r>
              <w:rPr>
                <w:rFonts w:hint="default" w:ascii="Times New Roman" w:hAnsi="Times New Roman" w:eastAsia="宋体" w:cs="Times New Roman"/>
                <w:color w:val="auto"/>
              </w:rPr>
              <w:t>个管控单元，具体情况见下图。</w:t>
            </w:r>
          </w:p>
          <w:p w14:paraId="0CDD21C3">
            <w:pPr>
              <w:spacing w:line="360" w:lineRule="auto"/>
              <w:ind w:firstLine="480" w:firstLineChars="200"/>
              <w:rPr>
                <w:rFonts w:hint="default" w:ascii="Times New Roman" w:hAnsi="Times New Roman" w:eastAsia="宋体" w:cs="Times New Roman"/>
                <w:color w:val="auto"/>
                <w:sz w:val="24"/>
                <w:szCs w:val="24"/>
              </w:rPr>
            </w:pPr>
          </w:p>
          <w:p w14:paraId="64D48F49">
            <w:pPr>
              <w:spacing w:line="360" w:lineRule="auto"/>
              <w:ind w:firstLine="480" w:firstLineChars="200"/>
              <w:rPr>
                <w:rFonts w:hint="default" w:ascii="Times New Roman" w:hAnsi="Times New Roman" w:eastAsia="宋体" w:cs="Times New Roman"/>
                <w:color w:val="auto"/>
                <w:sz w:val="24"/>
                <w:szCs w:val="24"/>
              </w:rPr>
            </w:pPr>
          </w:p>
          <w:p w14:paraId="4BC8202F">
            <w:pPr>
              <w:spacing w:line="360" w:lineRule="auto"/>
              <w:jc w:val="center"/>
              <w:rPr>
                <w:rFonts w:hint="default" w:ascii="Times New Roman" w:hAnsi="Times New Roman" w:eastAsia="宋体" w:cs="Times New Roman"/>
                <w:b/>
                <w:bCs/>
                <w:color w:val="auto"/>
                <w:sz w:val="24"/>
                <w:szCs w:val="24"/>
              </w:rPr>
            </w:pPr>
          </w:p>
          <w:p w14:paraId="1147CC25">
            <w:pPr>
              <w:jc w:val="center"/>
              <w:rPr>
                <w:rFonts w:hint="default" w:ascii="Times New Roman" w:hAnsi="Times New Roman" w:eastAsia="宋体" w:cs="Times New Roman"/>
                <w:b/>
                <w:bCs/>
                <w:color w:val="auto"/>
                <w:sz w:val="24"/>
                <w:szCs w:val="24"/>
              </w:rPr>
            </w:pPr>
          </w:p>
          <w:p w14:paraId="69C29FC9">
            <w:pPr>
              <w:jc w:val="center"/>
              <w:rPr>
                <w:rFonts w:hint="default" w:ascii="Times New Roman" w:hAnsi="Times New Roman" w:eastAsia="宋体" w:cs="Times New Roman"/>
                <w:b/>
                <w:bCs/>
                <w:color w:val="auto"/>
                <w:sz w:val="24"/>
                <w:szCs w:val="24"/>
                <w:lang w:eastAsia="zh-CN"/>
              </w:rPr>
            </w:pPr>
            <w:r>
              <w:rPr>
                <w:rFonts w:hint="default" w:ascii="Times New Roman" w:hAnsi="Times New Roman" w:eastAsia="宋体" w:cs="Times New Roman"/>
                <w:b/>
                <w:bCs/>
                <w:color w:val="auto"/>
                <w:sz w:val="24"/>
                <w:szCs w:val="24"/>
                <w:lang w:eastAsia="zh-CN"/>
              </w:rPr>
              <w:drawing>
                <wp:inline distT="0" distB="0" distL="114300" distR="114300">
                  <wp:extent cx="6953250" cy="5272405"/>
                  <wp:effectExtent l="0" t="0" r="0" b="4445"/>
                  <wp:docPr id="43" name="图片 43" descr="6888c9da0b5e36d5024f797beadb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6888c9da0b5e36d5024f797beadb680"/>
                          <pic:cNvPicPr>
                            <a:picLocks noChangeAspect="1"/>
                          </pic:cNvPicPr>
                        </pic:nvPicPr>
                        <pic:blipFill>
                          <a:blip r:embed="rId28"/>
                          <a:stretch>
                            <a:fillRect/>
                          </a:stretch>
                        </pic:blipFill>
                        <pic:spPr>
                          <a:xfrm>
                            <a:off x="0" y="0"/>
                            <a:ext cx="6953250" cy="5272405"/>
                          </a:xfrm>
                          <a:prstGeom prst="rect">
                            <a:avLst/>
                          </a:prstGeom>
                        </pic:spPr>
                      </pic:pic>
                    </a:graphicData>
                  </a:graphic>
                </wp:inline>
              </w:drawing>
            </w:r>
          </w:p>
          <w:p w14:paraId="08FD4801">
            <w:pPr>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图1-1</w:t>
            </w:r>
            <w:r>
              <w:rPr>
                <w:rFonts w:hint="default" w:ascii="Times New Roman" w:hAnsi="Times New Roman" w:eastAsia="宋体" w:cs="Times New Roman"/>
                <w:b/>
                <w:bCs/>
                <w:color w:val="auto"/>
                <w:sz w:val="24"/>
                <w:szCs w:val="24"/>
                <w:lang w:val="en-US" w:eastAsia="zh-CN"/>
              </w:rPr>
              <w:t>3</w:t>
            </w:r>
            <w:r>
              <w:rPr>
                <w:rFonts w:hint="default" w:ascii="Times New Roman" w:hAnsi="Times New Roman" w:eastAsia="宋体" w:cs="Times New Roman"/>
                <w:b/>
                <w:bCs/>
                <w:color w:val="auto"/>
                <w:sz w:val="24"/>
                <w:szCs w:val="24"/>
              </w:rPr>
              <w:t xml:space="preserve">  项目与管控分区截图</w:t>
            </w:r>
          </w:p>
          <w:p w14:paraId="3FE520B1">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同时利用“四川省政务网---四川省生态环境厅数据库”可查询本建设项目与“四川省三线一单”符合性分析情况，经查询后可导出分析报告，分析报告明确本项目位资阳市乐至县环境综合管控单元要素重点管控单元(管控单元名称:乐至县要素重点管控单元1，管控单元编号: ZH51202220007)</w:t>
            </w:r>
          </w:p>
          <w:p w14:paraId="6F2EB0D6">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本项目与管控单元相对位置如下所示：</w:t>
            </w:r>
          </w:p>
          <w:p w14:paraId="5F3D93DA">
            <w:pPr>
              <w:pStyle w:val="21"/>
              <w:widowControl w:val="0"/>
              <w:kinsoku/>
              <w:autoSpaceDE/>
              <w:autoSpaceDN/>
              <w:adjustRightInd/>
              <w:snapToGrid/>
              <w:spacing w:line="336" w:lineRule="auto"/>
              <w:ind w:firstLine="0" w:firstLineChars="0"/>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drawing>
                <wp:inline distT="0" distB="0" distL="114300" distR="114300">
                  <wp:extent cx="6976745" cy="4140200"/>
                  <wp:effectExtent l="0" t="0" r="14605" b="12700"/>
                  <wp:docPr id="4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6"/>
                          <pic:cNvPicPr>
                            <a:picLocks noChangeAspect="1"/>
                          </pic:cNvPicPr>
                        </pic:nvPicPr>
                        <pic:blipFill>
                          <a:blip r:embed="rId29"/>
                          <a:stretch>
                            <a:fillRect/>
                          </a:stretch>
                        </pic:blipFill>
                        <pic:spPr>
                          <a:xfrm>
                            <a:off x="0" y="0"/>
                            <a:ext cx="6976745" cy="4140200"/>
                          </a:xfrm>
                          <a:prstGeom prst="rect">
                            <a:avLst/>
                          </a:prstGeom>
                          <a:noFill/>
                          <a:ln>
                            <a:noFill/>
                          </a:ln>
                        </pic:spPr>
                      </pic:pic>
                    </a:graphicData>
                  </a:graphic>
                </wp:inline>
              </w:drawing>
            </w:r>
          </w:p>
          <w:p w14:paraId="2E72AD3A">
            <w:pPr>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图1-</w:t>
            </w:r>
            <w:r>
              <w:rPr>
                <w:rFonts w:hint="default" w:ascii="Times New Roman" w:hAnsi="Times New Roman" w:eastAsia="宋体" w:cs="Times New Roman"/>
                <w:b/>
                <w:bCs/>
                <w:color w:val="auto"/>
                <w:sz w:val="24"/>
                <w:szCs w:val="24"/>
                <w:lang w:val="en-US" w:eastAsia="zh-CN"/>
              </w:rPr>
              <w:t>14</w:t>
            </w:r>
            <w:r>
              <w:rPr>
                <w:rFonts w:hint="default" w:ascii="Times New Roman" w:hAnsi="Times New Roman" w:eastAsia="宋体" w:cs="Times New Roman"/>
                <w:b/>
                <w:bCs/>
                <w:color w:val="auto"/>
                <w:sz w:val="24"/>
                <w:szCs w:val="24"/>
              </w:rPr>
              <w:t xml:space="preserve"> 本项目与管控单元相对位置图</w:t>
            </w:r>
          </w:p>
          <w:p w14:paraId="2D145C93">
            <w:pPr>
              <w:pStyle w:val="21"/>
              <w:widowControl w:val="0"/>
              <w:kinsoku/>
              <w:autoSpaceDE/>
              <w:autoSpaceDN/>
              <w:adjustRightInd/>
              <w:snapToGrid/>
              <w:spacing w:line="360" w:lineRule="auto"/>
              <w:ind w:firstLine="48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（2）生态环境准入清单符合性分析</w:t>
            </w:r>
          </w:p>
          <w:p w14:paraId="6EECDB75">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本项目与各个管控单元要求符合性分析见下表：</w:t>
            </w:r>
          </w:p>
          <w:p w14:paraId="52815529">
            <w:pPr>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表1-</w:t>
            </w:r>
            <w:r>
              <w:rPr>
                <w:rFonts w:hint="default" w:ascii="Times New Roman" w:hAnsi="Times New Roman" w:eastAsia="宋体" w:cs="Times New Roman"/>
                <w:b/>
                <w:bCs/>
                <w:color w:val="auto"/>
                <w:sz w:val="24"/>
                <w:szCs w:val="24"/>
                <w:lang w:val="en-US" w:eastAsia="zh-CN"/>
              </w:rPr>
              <w:t>9</w:t>
            </w:r>
            <w:r>
              <w:rPr>
                <w:rFonts w:hint="default" w:ascii="Times New Roman" w:hAnsi="Times New Roman" w:eastAsia="宋体" w:cs="Times New Roman"/>
                <w:b/>
                <w:bCs/>
                <w:color w:val="auto"/>
                <w:sz w:val="24"/>
                <w:szCs w:val="24"/>
              </w:rPr>
              <w:t xml:space="preserve">  本项目与管控单元符合性分析一览表</w:t>
            </w:r>
          </w:p>
          <w:tbl>
            <w:tblPr>
              <w:tblStyle w:val="43"/>
              <w:tblW w:w="4997"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881"/>
              <w:gridCol w:w="1195"/>
              <w:gridCol w:w="1807"/>
              <w:gridCol w:w="5986"/>
              <w:gridCol w:w="2752"/>
              <w:gridCol w:w="599"/>
            </w:tblGrid>
            <w:tr w14:paraId="57B0644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1716" w:type="pct"/>
                  <w:gridSpan w:val="3"/>
                  <w:tcBorders>
                    <w:tl2br w:val="nil"/>
                    <w:tr2bl w:val="nil"/>
                  </w:tcBorders>
                  <w:vAlign w:val="center"/>
                </w:tcPr>
                <w:p w14:paraId="327D96CD">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类别</w:t>
                  </w:r>
                </w:p>
              </w:tc>
              <w:tc>
                <w:tcPr>
                  <w:tcW w:w="2103" w:type="pct"/>
                  <w:tcBorders>
                    <w:tl2br w:val="nil"/>
                    <w:tr2bl w:val="nil"/>
                  </w:tcBorders>
                  <w:vAlign w:val="center"/>
                </w:tcPr>
                <w:p w14:paraId="77B00687">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对应管控要求</w:t>
                  </w:r>
                </w:p>
              </w:tc>
              <w:tc>
                <w:tcPr>
                  <w:tcW w:w="967" w:type="pct"/>
                  <w:tcBorders>
                    <w:tl2br w:val="nil"/>
                    <w:tr2bl w:val="nil"/>
                  </w:tcBorders>
                  <w:vAlign w:val="center"/>
                </w:tcPr>
                <w:p w14:paraId="222D5010">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项目对应情况介绍</w:t>
                  </w:r>
                </w:p>
              </w:tc>
              <w:tc>
                <w:tcPr>
                  <w:tcW w:w="210" w:type="pct"/>
                  <w:tcBorders>
                    <w:tl2br w:val="nil"/>
                    <w:tr2bl w:val="nil"/>
                  </w:tcBorders>
                  <w:vAlign w:val="center"/>
                </w:tcPr>
                <w:p w14:paraId="0CBBA44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符合性分析</w:t>
                  </w:r>
                </w:p>
              </w:tc>
            </w:tr>
            <w:tr w14:paraId="47A2FD1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9" w:hRule="atLeast"/>
                <w:jc w:val="center"/>
              </w:trPr>
              <w:tc>
                <w:tcPr>
                  <w:tcW w:w="661" w:type="pct"/>
                  <w:vMerge w:val="restart"/>
                  <w:tcBorders>
                    <w:tl2br w:val="nil"/>
                    <w:tr2bl w:val="nil"/>
                  </w:tcBorders>
                  <w:vAlign w:val="center"/>
                </w:tcPr>
                <w:p w14:paraId="045714D2">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ZH51202220007</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乐至县要素重点管控单元1</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环境管控单元</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环境综合管控单元要素重点管控单元</w:t>
                  </w:r>
                </w:p>
              </w:tc>
              <w:tc>
                <w:tcPr>
                  <w:tcW w:w="420" w:type="pct"/>
                  <w:vMerge w:val="restart"/>
                  <w:tcBorders>
                    <w:tl2br w:val="nil"/>
                    <w:tr2bl w:val="nil"/>
                  </w:tcBorders>
                  <w:vAlign w:val="center"/>
                </w:tcPr>
                <w:p w14:paraId="66526280">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普适性清单管控要求</w:t>
                  </w:r>
                </w:p>
              </w:tc>
              <w:tc>
                <w:tcPr>
                  <w:tcW w:w="635" w:type="pct"/>
                  <w:tcBorders>
                    <w:tl2br w:val="nil"/>
                    <w:tr2bl w:val="nil"/>
                  </w:tcBorders>
                  <w:vAlign w:val="center"/>
                </w:tcPr>
                <w:p w14:paraId="65CAEBB3">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2103" w:type="pct"/>
                  <w:tcBorders>
                    <w:tl2br w:val="nil"/>
                    <w:tr2bl w:val="nil"/>
                  </w:tcBorders>
                  <w:vAlign w:val="center"/>
                </w:tcPr>
                <w:p w14:paraId="4C876E93">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p w14:paraId="4717D02C">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禁止开发建设活动的要求</w:t>
                  </w:r>
                </w:p>
                <w:p w14:paraId="717751D2">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禁止在长江干支流岸线一公里范围内新建、扩建化工园区和化工项目。（2）禁止在法律法规规定的禁采区内开采矿产；禁止土法采、选、冶严重污染环境的矿产资源。（3）对于基本农田，除法律规定的重点建设项目选址确实无法避让外，其他任何建设不得占用。（4）禁止新引入工业企业（（砖瓦制造、农副产品加工、混凝土及砂石制品制造、矿产资源采选、可再生能源等除外）。（5）现有区外工业企业应逐步向工业园区集中。（6）严控新增建设用地规模和非农建设占用耕地。（7）禁止在畜禽养殖和水产养殖禁养区内新建不符合要求的畜禽养殖和水产养殖项目。</w:t>
                  </w:r>
                </w:p>
                <w:p w14:paraId="4DA0C522">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限制开发建设活动的要求</w:t>
                  </w:r>
                </w:p>
                <w:p w14:paraId="6C17483E">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单元内新布局工业园区，应结合区域环境特点、三线成果、园区产业类别，充分论证选址的环境合理性。（2）大气布局敏感区、弱扩散区应严格限制布设以钢铁、建材、石化、化工（低污染绿色化工除外）、有色等高污染行业为主导产业的园区；（3）水环境城镇生活污染、农业污染重点管控区应严格限制布设以电力、钢铁、造纸、石化、化工（低耗水绿色化工除外）、印染、化纤等高耗水行业为主导产业的园区。（4）严控在沱江岸线1公里范围内新建涉磷、造纸、印染、制革等项目。</w:t>
                  </w:r>
                </w:p>
                <w:p w14:paraId="2824B040">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不符合空间布局要求活动的退出要求</w:t>
                  </w:r>
                </w:p>
                <w:p w14:paraId="749B5DCA">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全面取缔蓄禽养殖禁养区内规模化畜禽养殖场，水产养殖禁养区内水产养殖项目。（2）现有白酒企业，用地性质不符合及达不到《发酵酒精和白酒工业水污染物排放标准》的企业应限期整治或适时搬迁。（3）强化监管，防止“散乱污”企业反弹。重点清理整治与成德眉交界区域的“散乱污”企业，实现 “散乱污”企业动态清零。（4）强化现有化工企业监管，存在违法违规行企业限期整改，整改后仍不能达到要求的依法关闭，鼓励企业搬入合规园区。</w:t>
                  </w:r>
                </w:p>
                <w:p w14:paraId="13192AD3">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其他空间布局约束要求</w:t>
                  </w:r>
                </w:p>
                <w:p w14:paraId="29969985">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暂无</w:t>
                  </w:r>
                </w:p>
              </w:tc>
              <w:tc>
                <w:tcPr>
                  <w:tcW w:w="967" w:type="pct"/>
                  <w:tcBorders>
                    <w:tl2br w:val="nil"/>
                    <w:tr2bl w:val="nil"/>
                  </w:tcBorders>
                  <w:vAlign w:val="center"/>
                </w:tcPr>
                <w:p w14:paraId="74D30E1E">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本项目位于资阳市乐至城区及乡镇，为国家储备林建设及森林质量项目，不属于工业企业。</w:t>
                  </w:r>
                </w:p>
              </w:tc>
              <w:tc>
                <w:tcPr>
                  <w:tcW w:w="210" w:type="pct"/>
                  <w:tcBorders>
                    <w:tl2br w:val="nil"/>
                    <w:tr2bl w:val="nil"/>
                  </w:tcBorders>
                  <w:vAlign w:val="center"/>
                </w:tcPr>
                <w:p w14:paraId="6FA94F63">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54AE15F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29A6E122">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53AA0F2D">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0E6F1CC2">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2103" w:type="pct"/>
                  <w:tcBorders>
                    <w:tl2br w:val="nil"/>
                    <w:tr2bl w:val="nil"/>
                  </w:tcBorders>
                  <w:vAlign w:val="center"/>
                </w:tcPr>
                <w:p w14:paraId="77F8B720">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p w14:paraId="4C33ACE9">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允许排放量要求</w:t>
                  </w:r>
                </w:p>
                <w:p w14:paraId="243D9DC3">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暂无</w:t>
                  </w:r>
                </w:p>
                <w:p w14:paraId="656D397B">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现有源提标升级改造</w:t>
                  </w:r>
                </w:p>
                <w:p w14:paraId="37DD7F49">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推进乡镇现有污水处理设施升级改造，完善污水收集管网，沱江流域处理能力达到1000吨日以上的污水处理厂执行《四川省岷江、沱江流域水污染物排放标准》。（2）加强与改厕工作相衔接，推进农村生活污水资源化利用。梯次推进农村生活污水治理，农村生活污水处理设施执行《四川省农村生活污水处理设施水污染物排放标准》（DB51 2626—2019）。到2025年，85%以上的行政村农村污水得到有效治理。（3）加强畜禽养殖污染治理，规模养殖场全部配套粪污处置设施，推进粪污资源化利用。沱江流域规模化畜禽养殖场废水排放应执行《四川省岷江、沱江流域水污染物排放标准》。（4）加强水产养殖污染治理，依法拆除禁养区内的网箱养殖设施，推进水产养殖尾水治理和排放申报。（5）砖瓦行业实施脱硫、除尘升级改造，污染物排放达到《砖瓦工业大气污染物排放标准》相关要求。</w:t>
                  </w:r>
                </w:p>
                <w:p w14:paraId="68712781">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其他污染物排放管控要求</w:t>
                  </w:r>
                </w:p>
                <w:p w14:paraId="2D6F948E">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新增源排放标准限制：雁江区新、改、扩建工业项目全面执行大气污染物特别排放限值。2、新增源等量或倍量替代：对主要污染物排放超过总量控制要求且环境质量不达标的地区，暂停审批新增污染物排放量的建设项目。3、污染物排放绩效水平准入要求：（1）至2025年底，基本实现乡镇污水处理设施全覆盖，配套建设污水收集管网，乡镇污水处理率力争达到85%。（2）新、改扩建规模化畜禽养殖场（小区）要实施雨污分流，配套粪污处置设施，推进粪便污水资源化利用，至2025年，规模化畜禽养殖场（小区）粪污处理设施装备配套率达到100%，粪污综合利用率达到90%以上；散养密集区要实行畜禽粪便污水分户收集、集中处理利用。（3）屠宰项目必须配套污水处理设施或进入城市污水管网。（4）强化农药、化肥减量工作，积极推广配方肥和商品有机肥，配方施肥覆盖面不低于50%，减少化肥施用和流失，提高化肥利用率。 （5）乡镇及行政村生活垃圾收转运处置体系基本实现全覆盖；（6）推进农业废弃农膜的回收、转运综合利用。到2025年秸秆综合利用率达到95%以上。</w:t>
                  </w:r>
                </w:p>
              </w:tc>
              <w:tc>
                <w:tcPr>
                  <w:tcW w:w="967" w:type="pct"/>
                  <w:tcBorders>
                    <w:tl2br w:val="nil"/>
                    <w:tr2bl w:val="nil"/>
                  </w:tcBorders>
                  <w:vAlign w:val="center"/>
                </w:tcPr>
                <w:p w14:paraId="5F846E2B">
                  <w:pPr>
                    <w:spacing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本项目为国家储备林建设及森林质量项目，</w:t>
                  </w:r>
                  <w:r>
                    <w:rPr>
                      <w:rFonts w:hint="default" w:ascii="Times New Roman" w:hAnsi="Times New Roman" w:eastAsia="宋体" w:cs="Times New Roman"/>
                      <w:color w:val="auto"/>
                      <w:sz w:val="21"/>
                      <w:szCs w:val="21"/>
                      <w:lang w:eastAsia="zh-CN"/>
                    </w:rPr>
                    <w:t>生活污水经预处理后用作农肥不外排</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eastAsia="zh-CN"/>
                    </w:rPr>
                    <w:t>雨水实行雨污分流符合管控要求</w:t>
                  </w:r>
                  <w:r>
                    <w:rPr>
                      <w:rFonts w:hint="eastAsia" w:ascii="Times New Roman" w:hAnsi="Times New Roman" w:eastAsia="宋体" w:cs="Times New Roman"/>
                      <w:color w:val="auto"/>
                      <w:sz w:val="21"/>
                      <w:szCs w:val="21"/>
                      <w:lang w:eastAsia="zh-CN"/>
                    </w:rPr>
                    <w:t>，施用有机生物肥和复合有机无机配方肥，避免地表撒施，尽量采用低毒、残留期短的农药和生物制剂，既保障栽植苗木生长，也减少化肥农药污染</w:t>
                  </w:r>
                  <w:r>
                    <w:rPr>
                      <w:rFonts w:hint="default" w:ascii="Times New Roman" w:hAnsi="Times New Roman" w:eastAsia="宋体" w:cs="Times New Roman"/>
                      <w:color w:val="auto"/>
                      <w:sz w:val="21"/>
                      <w:szCs w:val="21"/>
                      <w:lang w:eastAsia="zh-CN"/>
                    </w:rPr>
                    <w:t>。</w:t>
                  </w:r>
                </w:p>
              </w:tc>
              <w:tc>
                <w:tcPr>
                  <w:tcW w:w="210" w:type="pct"/>
                  <w:tcBorders>
                    <w:tl2br w:val="nil"/>
                    <w:tr2bl w:val="nil"/>
                  </w:tcBorders>
                  <w:vAlign w:val="center"/>
                </w:tcPr>
                <w:p w14:paraId="32E1DC9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3B8E7C9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3D7CDC80">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577633EB">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140DBF58">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2103" w:type="pct"/>
                  <w:tcBorders>
                    <w:tl2br w:val="nil"/>
                    <w:tr2bl w:val="nil"/>
                  </w:tcBorders>
                  <w:vAlign w:val="center"/>
                </w:tcPr>
                <w:p w14:paraId="35FD4BE0">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p w14:paraId="41146CA2">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联防联控要求</w:t>
                  </w:r>
                </w:p>
                <w:p w14:paraId="7BEFB8E4">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暂无</w:t>
                  </w:r>
                </w:p>
                <w:p w14:paraId="4F3A050A">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其他环境风险防控要求</w:t>
                  </w:r>
                </w:p>
                <w:p w14:paraId="1E98CE16">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用地环境风险防控要求：（1）工业企业退出用地，须经评估、修复满足相应用地功能后，方可改变用途。（2）严禁将城镇生活垃圾、污泥、工业废物直接用作肥料，禁止处理不达标的污泥进入耕地；禁止在农用地排放、倾倒、使用污泥、清淤底泥、尾矿（渣）等可能对土壤造成污染的固体废物。</w:t>
                  </w:r>
                </w:p>
              </w:tc>
              <w:tc>
                <w:tcPr>
                  <w:tcW w:w="967" w:type="pct"/>
                  <w:tcBorders>
                    <w:tl2br w:val="nil"/>
                    <w:tr2bl w:val="nil"/>
                  </w:tcBorders>
                  <w:vAlign w:val="center"/>
                </w:tcPr>
                <w:p w14:paraId="3F37CB4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乐至县兴茂林业开发有限公司已与项目所在地村民签订林地流转协议，用于储备林项目建设，符合规划。</w:t>
                  </w:r>
                </w:p>
              </w:tc>
              <w:tc>
                <w:tcPr>
                  <w:tcW w:w="210" w:type="pct"/>
                  <w:tcBorders>
                    <w:tl2br w:val="nil"/>
                    <w:tr2bl w:val="nil"/>
                  </w:tcBorders>
                  <w:vAlign w:val="center"/>
                </w:tcPr>
                <w:p w14:paraId="6AF15E25">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56D7AD6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1D805E5C">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438B4253">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41F181B0">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2103" w:type="pct"/>
                  <w:tcBorders>
                    <w:tl2br w:val="nil"/>
                    <w:tr2bl w:val="nil"/>
                  </w:tcBorders>
                  <w:vAlign w:val="center"/>
                </w:tcPr>
                <w:p w14:paraId="4F99628F">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资源开发利用效率要求：</w:t>
                  </w:r>
                </w:p>
                <w:p w14:paraId="05E4C9A6">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水资源利用总量要求</w:t>
                  </w:r>
                </w:p>
                <w:p w14:paraId="73F99B7D">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（1）九曲河流域加强再生水利用，有条件的优先使用再用水，减少新鲜水取水量。（2）到2030年，农田灌溉水有效利用系数提高到0.62。</w:t>
                  </w:r>
                </w:p>
                <w:p w14:paraId="3E2A57E2">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地下水开采要求</w:t>
                  </w:r>
                </w:p>
                <w:p w14:paraId="03ECC8B8">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暂无</w:t>
                  </w:r>
                </w:p>
                <w:p w14:paraId="0D544137">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能源利用总量及效率要求</w:t>
                  </w:r>
                </w:p>
                <w:p w14:paraId="492DD2F4">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（1）严控使用燃煤等高污染燃料，禁止焚烧垃圾。（2）推进清洁能源的推广使用，全面推进散煤清洁化整治。</w:t>
                  </w:r>
                </w:p>
                <w:p w14:paraId="3C9C6725">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禁燃区要求</w:t>
                  </w:r>
                </w:p>
                <w:p w14:paraId="378B5A20">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暂无</w:t>
                  </w:r>
                </w:p>
                <w:p w14:paraId="782D0157">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其他资源利用效率要求</w:t>
                  </w:r>
                </w:p>
                <w:p w14:paraId="1606CF60">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暂无</w:t>
                  </w:r>
                </w:p>
              </w:tc>
              <w:tc>
                <w:tcPr>
                  <w:tcW w:w="967" w:type="pct"/>
                  <w:tcBorders>
                    <w:tl2br w:val="nil"/>
                    <w:tr2bl w:val="nil"/>
                  </w:tcBorders>
                  <w:vAlign w:val="center"/>
                </w:tcPr>
                <w:p w14:paraId="54CB98E2">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本项目为国家储备林建设及森林质量项目，不属于使用高污染燃料项目，不属于禁止开发活动，不涉及上述限制开发建设活动。</w:t>
                  </w:r>
                </w:p>
              </w:tc>
              <w:tc>
                <w:tcPr>
                  <w:tcW w:w="210" w:type="pct"/>
                  <w:tcBorders>
                    <w:tl2br w:val="nil"/>
                    <w:tr2bl w:val="nil"/>
                  </w:tcBorders>
                  <w:vAlign w:val="center"/>
                </w:tcPr>
                <w:p w14:paraId="6CC9199E">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6C010D9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34465749">
                  <w:pPr>
                    <w:spacing w:line="240" w:lineRule="auto"/>
                    <w:jc w:val="center"/>
                    <w:rPr>
                      <w:rFonts w:hint="default" w:ascii="Times New Roman" w:hAnsi="Times New Roman" w:eastAsia="宋体" w:cs="Times New Roman"/>
                      <w:color w:val="auto"/>
                      <w:sz w:val="21"/>
                      <w:szCs w:val="21"/>
                    </w:rPr>
                  </w:pPr>
                </w:p>
              </w:tc>
              <w:tc>
                <w:tcPr>
                  <w:tcW w:w="420" w:type="pct"/>
                  <w:vMerge w:val="restart"/>
                  <w:tcBorders>
                    <w:tl2br w:val="nil"/>
                    <w:tr2bl w:val="nil"/>
                  </w:tcBorders>
                  <w:vAlign w:val="center"/>
                </w:tcPr>
                <w:p w14:paraId="56FF0C9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单元级清单管控要求</w:t>
                  </w:r>
                </w:p>
              </w:tc>
              <w:tc>
                <w:tcPr>
                  <w:tcW w:w="635" w:type="pct"/>
                  <w:tcBorders>
                    <w:tl2br w:val="nil"/>
                    <w:tr2bl w:val="nil"/>
                  </w:tcBorders>
                  <w:vAlign w:val="center"/>
                </w:tcPr>
                <w:p w14:paraId="53568B9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5871" w:type="dxa"/>
                  <w:tcBorders>
                    <w:tl2br w:val="nil"/>
                    <w:tr2bl w:val="nil"/>
                  </w:tcBorders>
                  <w:vAlign w:val="center"/>
                </w:tcPr>
                <w:p w14:paraId="70B153FC">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禁止开发建设活动的要求</w:t>
                  </w:r>
                </w:p>
                <w:p w14:paraId="746841E5">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执行要素重点单元总体准入要求</w:t>
                  </w:r>
                </w:p>
                <w:p w14:paraId="7466F0EE">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限制开发建设活动的要求</w:t>
                  </w:r>
                </w:p>
                <w:p w14:paraId="6ADC1432">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允许开发建设活动的要求</w:t>
                  </w:r>
                </w:p>
                <w:p w14:paraId="741512CB">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不符合空间布局要求活动的退出要求</w:t>
                  </w:r>
                </w:p>
                <w:p w14:paraId="1DB2A61C">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执行要素重点单元总体准入要求</w:t>
                  </w:r>
                </w:p>
                <w:p w14:paraId="731A1508">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其他空间布局约束要求</w:t>
                  </w:r>
                </w:p>
              </w:tc>
              <w:tc>
                <w:tcPr>
                  <w:tcW w:w="967" w:type="pct"/>
                  <w:tcBorders>
                    <w:tl2br w:val="nil"/>
                    <w:tr2bl w:val="nil"/>
                  </w:tcBorders>
                  <w:vAlign w:val="center"/>
                </w:tcPr>
                <w:p w14:paraId="398C6CC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本项目不属于禁止开发活动，限制开发建设活动。</w:t>
                  </w:r>
                </w:p>
              </w:tc>
              <w:tc>
                <w:tcPr>
                  <w:tcW w:w="210" w:type="pct"/>
                  <w:tcBorders>
                    <w:tl2br w:val="nil"/>
                    <w:tr2bl w:val="nil"/>
                  </w:tcBorders>
                  <w:vAlign w:val="center"/>
                </w:tcPr>
                <w:p w14:paraId="3CAB2CAD">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08AAA1C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627F912A">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44CB03A4">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41E4141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5871" w:type="dxa"/>
                  <w:tcBorders>
                    <w:tl2br w:val="nil"/>
                    <w:tr2bl w:val="nil"/>
                  </w:tcBorders>
                  <w:vAlign w:val="center"/>
                </w:tcPr>
                <w:p w14:paraId="7A60B493">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现有源提标升级改造</w:t>
                  </w:r>
                </w:p>
                <w:p w14:paraId="32EB9D8C">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（1）以水生态修复为基本思路，从水质生态净化、景观提升和水生态环境保护等多方面对饮用水源地进行内源治理。（2）加快索溪河进行河道清淤、河道两岸生态护岸、生态修复及附属雨污截污设施建设</w:t>
                  </w:r>
                </w:p>
                <w:p w14:paraId="180EDDCF">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新增源等量或倍量替代</w:t>
                  </w:r>
                </w:p>
                <w:p w14:paraId="148F74C7">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执行要素重点单元总体准入要求</w:t>
                  </w:r>
                </w:p>
                <w:p w14:paraId="09F8DB8E">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新增源排放标准限值</w:t>
                  </w:r>
                </w:p>
                <w:p w14:paraId="7A314CE1">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污染物排放绩效水平准入要求</w:t>
                  </w:r>
                </w:p>
                <w:p w14:paraId="237C4512">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到2025年底，80%以上的行政村农村生活污水得到有效治理。</w:t>
                  </w:r>
                </w:p>
                <w:p w14:paraId="0B787D2F">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其他污染物排放管控要求</w:t>
                  </w:r>
                </w:p>
              </w:tc>
              <w:tc>
                <w:tcPr>
                  <w:tcW w:w="967" w:type="pct"/>
                  <w:tcBorders>
                    <w:tl2br w:val="nil"/>
                    <w:tr2bl w:val="nil"/>
                  </w:tcBorders>
                  <w:vAlign w:val="center"/>
                </w:tcPr>
                <w:p w14:paraId="6CB7F832">
                  <w:pPr>
                    <w:spacing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本项目</w:t>
                  </w:r>
                  <w:r>
                    <w:rPr>
                      <w:rFonts w:hint="default" w:ascii="Times New Roman" w:hAnsi="Times New Roman" w:eastAsia="宋体" w:cs="Times New Roman"/>
                      <w:color w:val="auto"/>
                      <w:sz w:val="21"/>
                      <w:szCs w:val="21"/>
                      <w:lang w:eastAsia="zh-CN"/>
                    </w:rPr>
                    <w:t>生活污水经预处理后用作农肥不外排</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eastAsia="zh-CN"/>
                    </w:rPr>
                    <w:t>雨水实行雨污分流符合管控要求。</w:t>
                  </w:r>
                </w:p>
              </w:tc>
              <w:tc>
                <w:tcPr>
                  <w:tcW w:w="210" w:type="pct"/>
                  <w:tcBorders>
                    <w:tl2br w:val="nil"/>
                    <w:tr2bl w:val="nil"/>
                  </w:tcBorders>
                  <w:vAlign w:val="center"/>
                </w:tcPr>
                <w:p w14:paraId="0B5AD46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1430E35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02D39254">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1AFAD13C">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0EA20626">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5871" w:type="dxa"/>
                  <w:tcBorders>
                    <w:tl2br w:val="nil"/>
                    <w:tr2bl w:val="nil"/>
                  </w:tcBorders>
                  <w:vAlign w:val="center"/>
                </w:tcPr>
                <w:p w14:paraId="50BE9D12">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严格管控类农用地管控要求</w:t>
                  </w:r>
                </w:p>
                <w:p w14:paraId="295D6AC5">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执行要素重点单元总体准入要求</w:t>
                  </w:r>
                </w:p>
                <w:p w14:paraId="71BFD230">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安全利用类农用地管控要求</w:t>
                  </w:r>
                </w:p>
                <w:p w14:paraId="22260539">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执行要素重点单元总体准入要求</w:t>
                  </w:r>
                </w:p>
                <w:p w14:paraId="3E82FEE7">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污染地块管控要求</w:t>
                  </w:r>
                </w:p>
                <w:p w14:paraId="1BB9DA3A">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执行要素重点单元总体准入要求</w:t>
                  </w:r>
                </w:p>
                <w:p w14:paraId="7CCD9396">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园区环境风险防控要求</w:t>
                  </w:r>
                </w:p>
                <w:p w14:paraId="768A0A13">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企业环境风险防控要求</w:t>
                  </w:r>
                </w:p>
                <w:p w14:paraId="2415285A">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执行要素重点单元总体准入要求</w:t>
                  </w:r>
                </w:p>
                <w:p w14:paraId="5D64D0A8">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其他环境风险防控要求</w:t>
                  </w:r>
                </w:p>
              </w:tc>
              <w:tc>
                <w:tcPr>
                  <w:tcW w:w="967" w:type="pct"/>
                  <w:tcBorders>
                    <w:tl2br w:val="nil"/>
                    <w:tr2bl w:val="nil"/>
                  </w:tcBorders>
                  <w:vAlign w:val="center"/>
                </w:tcPr>
                <w:p w14:paraId="7426966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本项目为国家储备林建设及森林质量项目，项目的实施不会提高环境风险等级。</w:t>
                  </w:r>
                </w:p>
              </w:tc>
              <w:tc>
                <w:tcPr>
                  <w:tcW w:w="210" w:type="pct"/>
                  <w:tcBorders>
                    <w:tl2br w:val="nil"/>
                    <w:tr2bl w:val="nil"/>
                  </w:tcBorders>
                  <w:vAlign w:val="center"/>
                </w:tcPr>
                <w:p w14:paraId="70F95030">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6FDD831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67EEA342">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1604052C">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005BA270">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5871" w:type="dxa"/>
                  <w:tcBorders>
                    <w:tl2br w:val="nil"/>
                    <w:tr2bl w:val="nil"/>
                  </w:tcBorders>
                  <w:vAlign w:val="center"/>
                </w:tcPr>
                <w:p w14:paraId="56D74601">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水资源利用效率要求</w:t>
                  </w:r>
                </w:p>
                <w:p w14:paraId="318E998E">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执行要素重点单元总体准入要求</w:t>
                  </w:r>
                </w:p>
                <w:p w14:paraId="0B16526A">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地下水开采要求</w:t>
                  </w:r>
                </w:p>
                <w:p w14:paraId="5639B3E4">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能源利用效率要求</w:t>
                  </w:r>
                </w:p>
                <w:p w14:paraId="7BE680CE">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执行要素重点单元总体准入要求</w:t>
                  </w:r>
                </w:p>
                <w:p w14:paraId="46FB6D39">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其他资源利用效率要求</w:t>
                  </w:r>
                </w:p>
              </w:tc>
              <w:tc>
                <w:tcPr>
                  <w:tcW w:w="967" w:type="pct"/>
                  <w:tcBorders>
                    <w:tl2br w:val="nil"/>
                    <w:tr2bl w:val="nil"/>
                  </w:tcBorders>
                  <w:vAlign w:val="center"/>
                </w:tcPr>
                <w:p w14:paraId="538CBCE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本项目建设消防水池，用于储存水。</w:t>
                  </w:r>
                </w:p>
              </w:tc>
              <w:tc>
                <w:tcPr>
                  <w:tcW w:w="210" w:type="pct"/>
                  <w:tcBorders>
                    <w:tl2br w:val="nil"/>
                    <w:tr2bl w:val="nil"/>
                  </w:tcBorders>
                  <w:vAlign w:val="center"/>
                </w:tcPr>
                <w:p w14:paraId="040CEB30">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12681F7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restart"/>
                  <w:tcBorders>
                    <w:tl2br w:val="nil"/>
                    <w:tr2bl w:val="nil"/>
                  </w:tcBorders>
                  <w:vAlign w:val="center"/>
                </w:tcPr>
                <w:p w14:paraId="36739C45">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YS5120222230001</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小阳化河乐至县万安桥控制单元</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水环境管控分区</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水环境农业污染重点管控区</w:t>
                  </w:r>
                </w:p>
              </w:tc>
              <w:tc>
                <w:tcPr>
                  <w:tcW w:w="420" w:type="pct"/>
                  <w:vMerge w:val="restart"/>
                  <w:tcBorders>
                    <w:tl2br w:val="nil"/>
                    <w:tr2bl w:val="nil"/>
                  </w:tcBorders>
                  <w:vAlign w:val="center"/>
                </w:tcPr>
                <w:p w14:paraId="3007141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普适性清单管控要求</w:t>
                  </w:r>
                </w:p>
              </w:tc>
              <w:tc>
                <w:tcPr>
                  <w:tcW w:w="635" w:type="pct"/>
                  <w:tcBorders>
                    <w:tl2br w:val="nil"/>
                    <w:tr2bl w:val="nil"/>
                  </w:tcBorders>
                  <w:vAlign w:val="center"/>
                </w:tcPr>
                <w:p w14:paraId="297A17A5">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2103" w:type="pct"/>
                  <w:tcBorders>
                    <w:tl2br w:val="nil"/>
                    <w:tr2bl w:val="nil"/>
                  </w:tcBorders>
                  <w:vAlign w:val="center"/>
                </w:tcPr>
                <w:p w14:paraId="62C22703">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6553D057">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7CE0D28E">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3F42F50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1EF91574">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2F3D0CD9">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4FDBE0C8">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2103" w:type="pct"/>
                  <w:tcBorders>
                    <w:tl2br w:val="nil"/>
                    <w:tr2bl w:val="nil"/>
                  </w:tcBorders>
                  <w:vAlign w:val="center"/>
                </w:tcPr>
                <w:p w14:paraId="4A00A163">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66C12215">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29142435">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2B885D6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15B0FE0C">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57E164DC">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1B5F8A8D">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2103" w:type="pct"/>
                  <w:tcBorders>
                    <w:tl2br w:val="nil"/>
                    <w:tr2bl w:val="nil"/>
                  </w:tcBorders>
                  <w:vAlign w:val="center"/>
                </w:tcPr>
                <w:p w14:paraId="59BD6A6D">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7D74672E">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51818497">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22851E3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71D348B9">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529F6E17">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7C0BA7C0">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2103" w:type="pct"/>
                  <w:tcBorders>
                    <w:tl2br w:val="nil"/>
                    <w:tr2bl w:val="nil"/>
                  </w:tcBorders>
                  <w:vAlign w:val="center"/>
                </w:tcPr>
                <w:p w14:paraId="1E056D9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251C6E0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283AE1A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13C044C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62CFD46F">
                  <w:pPr>
                    <w:spacing w:line="240" w:lineRule="auto"/>
                    <w:jc w:val="center"/>
                    <w:rPr>
                      <w:rFonts w:hint="default" w:ascii="Times New Roman" w:hAnsi="Times New Roman" w:eastAsia="宋体" w:cs="Times New Roman"/>
                      <w:color w:val="auto"/>
                      <w:sz w:val="21"/>
                      <w:szCs w:val="21"/>
                    </w:rPr>
                  </w:pPr>
                </w:p>
              </w:tc>
              <w:tc>
                <w:tcPr>
                  <w:tcW w:w="420" w:type="pct"/>
                  <w:vMerge w:val="restart"/>
                  <w:tcBorders>
                    <w:tl2br w:val="nil"/>
                    <w:tr2bl w:val="nil"/>
                  </w:tcBorders>
                  <w:vAlign w:val="center"/>
                </w:tcPr>
                <w:p w14:paraId="69C2E63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单元级清单管控要求</w:t>
                  </w:r>
                </w:p>
              </w:tc>
              <w:tc>
                <w:tcPr>
                  <w:tcW w:w="635" w:type="pct"/>
                  <w:tcBorders>
                    <w:tl2br w:val="nil"/>
                    <w:tr2bl w:val="nil"/>
                  </w:tcBorders>
                  <w:vAlign w:val="center"/>
                </w:tcPr>
                <w:p w14:paraId="69993CD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5871" w:type="dxa"/>
                  <w:tcBorders>
                    <w:tl2br w:val="nil"/>
                    <w:tr2bl w:val="nil"/>
                  </w:tcBorders>
                  <w:vAlign w:val="center"/>
                </w:tcPr>
                <w:p w14:paraId="2FC64D2C">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禁止开发建设活动的要求</w:t>
                  </w:r>
                </w:p>
                <w:p w14:paraId="7EB7F7DA">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限制开发建设活动的要求</w:t>
                  </w:r>
                </w:p>
                <w:p w14:paraId="49DA3F74">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允许开发建设活动的要求</w:t>
                  </w:r>
                </w:p>
                <w:p w14:paraId="1E2F6AA9">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不符合空间布局要求活动的退出要求</w:t>
                  </w:r>
                </w:p>
                <w:p w14:paraId="3A360CD1">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其他空间布局约束要求</w:t>
                  </w:r>
                </w:p>
              </w:tc>
              <w:tc>
                <w:tcPr>
                  <w:tcW w:w="967" w:type="pct"/>
                  <w:tcBorders>
                    <w:tl2br w:val="nil"/>
                    <w:tr2bl w:val="nil"/>
                  </w:tcBorders>
                  <w:vAlign w:val="center"/>
                </w:tcPr>
                <w:p w14:paraId="00F619B2">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本项目不属于禁止开发活动，限制开发建设活动。</w:t>
                  </w:r>
                </w:p>
              </w:tc>
              <w:tc>
                <w:tcPr>
                  <w:tcW w:w="210" w:type="pct"/>
                  <w:tcBorders>
                    <w:tl2br w:val="nil"/>
                    <w:tr2bl w:val="nil"/>
                  </w:tcBorders>
                  <w:vAlign w:val="center"/>
                </w:tcPr>
                <w:p w14:paraId="7CC4AD5B">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07AF25A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1D3C4A24">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681521DB">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2B1B1077">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5871" w:type="dxa"/>
                  <w:tcBorders>
                    <w:tl2br w:val="nil"/>
                    <w:tr2bl w:val="nil"/>
                  </w:tcBorders>
                  <w:vAlign w:val="center"/>
                </w:tcPr>
                <w:p w14:paraId="262BF000">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城镇污水污染控制措施要求</w:t>
                  </w:r>
                </w:p>
                <w:p w14:paraId="0F00EA45">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工业废水污染控制措施要求</w:t>
                  </w:r>
                </w:p>
                <w:p w14:paraId="2D92D31E">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农业面源水污染控制措施要求</w:t>
                  </w:r>
                </w:p>
                <w:p w14:paraId="13B0C76D">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1、推进化肥、农药使用量“减量化”，逐步推进农田径流拦截及治理；2、合理控制畜禽养殖规模，单位面积耕地的畜禽承载力不突破《四川省畜禽养殖污染防治技术指南》要求，提高畜禽养殖废物资源化利用水平；3、合理控制水产养殖规模，加强水产养殖废水治理及资源化利用，禁止直接排放。4、因地制宜加强乡镇场镇、农村集聚点生活污水收集处理。</w:t>
                  </w:r>
                </w:p>
                <w:p w14:paraId="427BA011">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船舶港口水污染控制措施要求</w:t>
                  </w:r>
                </w:p>
                <w:p w14:paraId="5316A183">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饮用水水源和其它特殊水体保护要求</w:t>
                  </w:r>
                </w:p>
              </w:tc>
              <w:tc>
                <w:tcPr>
                  <w:tcW w:w="967" w:type="pct"/>
                  <w:tcBorders>
                    <w:tl2br w:val="nil"/>
                    <w:tr2bl w:val="nil"/>
                  </w:tcBorders>
                  <w:vAlign w:val="center"/>
                </w:tcPr>
                <w:p w14:paraId="634CA35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w:t>
                  </w:r>
                  <w:r>
                    <w:rPr>
                      <w:rFonts w:hint="default" w:ascii="Times New Roman" w:hAnsi="Times New Roman" w:eastAsia="宋体" w:cs="Times New Roman"/>
                      <w:color w:val="auto"/>
                      <w:sz w:val="21"/>
                      <w:szCs w:val="21"/>
                      <w:lang w:eastAsia="zh-CN"/>
                    </w:rPr>
                    <w:t>生活污水经预处理后用作农肥不外排</w:t>
                  </w: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6EB9D56E">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4CBF313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49BC2D87">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1670F56F">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7884FFB7">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5871" w:type="dxa"/>
                  <w:tcBorders>
                    <w:tl2br w:val="nil"/>
                    <w:tr2bl w:val="nil"/>
                  </w:tcBorders>
                  <w:vAlign w:val="center"/>
                </w:tcPr>
                <w:p w14:paraId="32CC4EB3">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w:t>
                  </w:r>
                </w:p>
              </w:tc>
              <w:tc>
                <w:tcPr>
                  <w:tcW w:w="2700" w:type="dxa"/>
                  <w:tcBorders>
                    <w:tl2br w:val="nil"/>
                    <w:tr2bl w:val="nil"/>
                  </w:tcBorders>
                  <w:vAlign w:val="center"/>
                </w:tcPr>
                <w:p w14:paraId="015F13F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86" w:type="dxa"/>
                  <w:tcBorders>
                    <w:tl2br w:val="nil"/>
                    <w:tr2bl w:val="nil"/>
                  </w:tcBorders>
                  <w:vAlign w:val="center"/>
                </w:tcPr>
                <w:p w14:paraId="0CBC1CF6">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11FB340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6656D085">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6B0C9446">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556974C6">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5871" w:type="dxa"/>
                  <w:tcBorders>
                    <w:tl2br w:val="nil"/>
                    <w:tr2bl w:val="nil"/>
                  </w:tcBorders>
                  <w:vAlign w:val="center"/>
                </w:tcPr>
                <w:p w14:paraId="252C7EA0">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强化种植业节水</w:t>
                  </w:r>
                </w:p>
              </w:tc>
              <w:tc>
                <w:tcPr>
                  <w:tcW w:w="2752" w:type="dxa"/>
                  <w:tcBorders>
                    <w:tl2br w:val="nil"/>
                    <w:tr2bl w:val="nil"/>
                  </w:tcBorders>
                  <w:vAlign w:val="center"/>
                </w:tcPr>
                <w:p w14:paraId="383F9E2E">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本项目建设消防水池，用于储存水。</w:t>
                  </w:r>
                </w:p>
              </w:tc>
              <w:tc>
                <w:tcPr>
                  <w:tcW w:w="599" w:type="dxa"/>
                  <w:tcBorders>
                    <w:tl2br w:val="nil"/>
                    <w:tr2bl w:val="nil"/>
                  </w:tcBorders>
                  <w:vAlign w:val="center"/>
                </w:tcPr>
                <w:p w14:paraId="642732BE">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3F7B16F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restart"/>
                  <w:tcBorders>
                    <w:tl2br w:val="nil"/>
                    <w:tr2bl w:val="nil"/>
                  </w:tcBorders>
                  <w:vAlign w:val="center"/>
                </w:tcPr>
                <w:p w14:paraId="636A17F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YS5120222320001</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乐至县大气环境布局敏感重点管控区</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大气环境管控分区</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大气环境布局敏感重点管控区</w:t>
                  </w:r>
                </w:p>
              </w:tc>
              <w:tc>
                <w:tcPr>
                  <w:tcW w:w="420" w:type="pct"/>
                  <w:vMerge w:val="restart"/>
                  <w:tcBorders>
                    <w:tl2br w:val="nil"/>
                    <w:tr2bl w:val="nil"/>
                  </w:tcBorders>
                  <w:vAlign w:val="center"/>
                </w:tcPr>
                <w:p w14:paraId="60B2F83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普适性清单管控要求</w:t>
                  </w:r>
                </w:p>
              </w:tc>
              <w:tc>
                <w:tcPr>
                  <w:tcW w:w="635" w:type="pct"/>
                  <w:tcBorders>
                    <w:tl2br w:val="nil"/>
                    <w:tr2bl w:val="nil"/>
                  </w:tcBorders>
                  <w:vAlign w:val="center"/>
                </w:tcPr>
                <w:p w14:paraId="02758673">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2103" w:type="pct"/>
                  <w:tcBorders>
                    <w:tl2br w:val="nil"/>
                    <w:tr2bl w:val="nil"/>
                  </w:tcBorders>
                  <w:vAlign w:val="center"/>
                </w:tcPr>
                <w:p w14:paraId="12251C65">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075AD60E">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0F587BF3">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3D7F96C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6FE739C2">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44C49BC2">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2BBC55D7">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2103" w:type="pct"/>
                  <w:tcBorders>
                    <w:tl2br w:val="nil"/>
                    <w:tr2bl w:val="nil"/>
                  </w:tcBorders>
                  <w:vAlign w:val="center"/>
                </w:tcPr>
                <w:p w14:paraId="63C2A40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6408F6A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7FBB471D">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7BD6E24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6B69BCEF">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5B0249F0">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4E79A0F6">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2103" w:type="pct"/>
                  <w:tcBorders>
                    <w:tl2br w:val="nil"/>
                    <w:tr2bl w:val="nil"/>
                  </w:tcBorders>
                  <w:vAlign w:val="center"/>
                </w:tcPr>
                <w:p w14:paraId="09E679E8">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1AC29FD0">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6E013A14">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57BF177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211CD878">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612BAC6A">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4AD012B8">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2103" w:type="pct"/>
                  <w:tcBorders>
                    <w:tl2br w:val="nil"/>
                    <w:tr2bl w:val="nil"/>
                  </w:tcBorders>
                  <w:vAlign w:val="center"/>
                </w:tcPr>
                <w:p w14:paraId="3476C900">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503FDD9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30E7181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3D46358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582E61BF">
                  <w:pPr>
                    <w:spacing w:line="240" w:lineRule="auto"/>
                    <w:jc w:val="center"/>
                    <w:rPr>
                      <w:rFonts w:hint="default" w:ascii="Times New Roman" w:hAnsi="Times New Roman" w:eastAsia="宋体" w:cs="Times New Roman"/>
                      <w:color w:val="auto"/>
                      <w:sz w:val="21"/>
                      <w:szCs w:val="21"/>
                    </w:rPr>
                  </w:pPr>
                </w:p>
              </w:tc>
              <w:tc>
                <w:tcPr>
                  <w:tcW w:w="420" w:type="pct"/>
                  <w:vMerge w:val="restart"/>
                  <w:tcBorders>
                    <w:tl2br w:val="nil"/>
                    <w:tr2bl w:val="nil"/>
                  </w:tcBorders>
                  <w:vAlign w:val="center"/>
                </w:tcPr>
                <w:p w14:paraId="118B340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单元级清单管控要求</w:t>
                  </w:r>
                </w:p>
              </w:tc>
              <w:tc>
                <w:tcPr>
                  <w:tcW w:w="635" w:type="pct"/>
                  <w:tcBorders>
                    <w:tl2br w:val="nil"/>
                    <w:tr2bl w:val="nil"/>
                  </w:tcBorders>
                  <w:vAlign w:val="center"/>
                </w:tcPr>
                <w:p w14:paraId="55209D5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5872" w:type="dxa"/>
                  <w:tcBorders>
                    <w:tl2br w:val="nil"/>
                    <w:tr2bl w:val="nil"/>
                  </w:tcBorders>
                  <w:vAlign w:val="center"/>
                </w:tcPr>
                <w:p w14:paraId="1432A56E">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禁止开发建设活动的要求</w:t>
                  </w:r>
                </w:p>
                <w:p w14:paraId="1D404B7B">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限制开发建设活动的要求</w:t>
                  </w:r>
                </w:p>
                <w:p w14:paraId="528CF53A">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允许开发建设活动的要求</w:t>
                  </w:r>
                </w:p>
                <w:p w14:paraId="49EDC9BA">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不符合空间布局要求活动的退出要求</w:t>
                  </w:r>
                </w:p>
                <w:p w14:paraId="050FF522">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其他空间布局约束要求</w:t>
                  </w:r>
                </w:p>
              </w:tc>
              <w:tc>
                <w:tcPr>
                  <w:tcW w:w="967" w:type="pct"/>
                  <w:tcBorders>
                    <w:tl2br w:val="nil"/>
                    <w:tr2bl w:val="nil"/>
                  </w:tcBorders>
                  <w:vAlign w:val="center"/>
                </w:tcPr>
                <w:p w14:paraId="68AF4000">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本项目为国家储备林建设及森林质量项目，空间布局合理。</w:t>
                  </w:r>
                </w:p>
              </w:tc>
              <w:tc>
                <w:tcPr>
                  <w:tcW w:w="210" w:type="pct"/>
                  <w:tcBorders>
                    <w:tl2br w:val="nil"/>
                    <w:tr2bl w:val="nil"/>
                  </w:tcBorders>
                  <w:vAlign w:val="center"/>
                </w:tcPr>
                <w:p w14:paraId="788912F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4BF8E54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661" w:type="pct"/>
                  <w:vMerge w:val="continue"/>
                  <w:tcBorders>
                    <w:tl2br w:val="nil"/>
                    <w:tr2bl w:val="nil"/>
                  </w:tcBorders>
                  <w:vAlign w:val="center"/>
                </w:tcPr>
                <w:p w14:paraId="5573D7A5">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228C173F">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1F6C8DA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5872" w:type="dxa"/>
                  <w:tcBorders>
                    <w:tl2br w:val="nil"/>
                    <w:tr2bl w:val="nil"/>
                  </w:tcBorders>
                  <w:vAlign w:val="center"/>
                </w:tcPr>
                <w:p w14:paraId="5B162C90">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大气环境质量执行标准</w:t>
                  </w:r>
                </w:p>
                <w:p w14:paraId="47F7A829">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《环境空气质量标准》（GB3095-2012）：二级</w:t>
                  </w:r>
                </w:p>
                <w:p w14:paraId="568A59D1">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区域大气污染物削减/替代要求</w:t>
                  </w:r>
                </w:p>
                <w:p w14:paraId="1C217E79">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燃煤和其他能源大气污染控制要求</w:t>
                  </w:r>
                </w:p>
                <w:p w14:paraId="5E9386B1">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工业废气污染控制要求</w:t>
                  </w:r>
                </w:p>
                <w:p w14:paraId="4A98FFB6">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机动车船大气污染控制要求</w:t>
                  </w:r>
                </w:p>
                <w:p w14:paraId="0314FB41">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扬尘污染控制要求</w:t>
                  </w:r>
                </w:p>
                <w:p w14:paraId="7D623A37">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农业生产经营活动大气污染控制要求</w:t>
                  </w:r>
                </w:p>
                <w:p w14:paraId="5742D3E3">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重点行业企业专项治理要求</w:t>
                  </w:r>
                </w:p>
                <w:p w14:paraId="203FACEE">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其他大气污染物排放管控要求</w:t>
                  </w:r>
                </w:p>
              </w:tc>
              <w:tc>
                <w:tcPr>
                  <w:tcW w:w="2752" w:type="dxa"/>
                  <w:tcBorders>
                    <w:tl2br w:val="nil"/>
                    <w:tr2bl w:val="nil"/>
                  </w:tcBorders>
                  <w:vAlign w:val="center"/>
                </w:tcPr>
                <w:p w14:paraId="763416F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项目为国家储备林建设及森林质量项目，不属于工业企业。</w:t>
                  </w:r>
                  <w:r>
                    <w:rPr>
                      <w:rFonts w:hint="default" w:ascii="Times New Roman" w:hAnsi="Times New Roman" w:eastAsia="宋体" w:cs="Times New Roman"/>
                      <w:color w:val="auto"/>
                      <w:sz w:val="21"/>
                      <w:szCs w:val="21"/>
                      <w:lang w:val="en-US" w:eastAsia="zh-CN"/>
                    </w:rPr>
                    <w:t>项目大气污染物排放主要为施工扬尘</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对环境影响较小。</w:t>
                  </w:r>
                </w:p>
              </w:tc>
              <w:tc>
                <w:tcPr>
                  <w:tcW w:w="599" w:type="dxa"/>
                  <w:tcBorders>
                    <w:tl2br w:val="nil"/>
                    <w:tr2bl w:val="nil"/>
                  </w:tcBorders>
                  <w:vAlign w:val="center"/>
                </w:tcPr>
                <w:p w14:paraId="424F818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符合</w:t>
                  </w:r>
                </w:p>
              </w:tc>
            </w:tr>
            <w:tr w14:paraId="1CB2305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67B93C46">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64E6FE8F">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52B37246">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2103" w:type="pct"/>
                  <w:tcBorders>
                    <w:tl2br w:val="nil"/>
                    <w:tr2bl w:val="nil"/>
                  </w:tcBorders>
                  <w:vAlign w:val="center"/>
                </w:tcPr>
                <w:p w14:paraId="045DC59D">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3077AD17">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65EF566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5FC0560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0801A8C9">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41E7E27A">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136A8C4D">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5872" w:type="dxa"/>
                  <w:tcBorders>
                    <w:tl2br w:val="nil"/>
                    <w:tr2bl w:val="nil"/>
                  </w:tcBorders>
                  <w:vAlign w:val="center"/>
                </w:tcPr>
                <w:p w14:paraId="15FEF8C0">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700" w:type="dxa"/>
                  <w:tcBorders>
                    <w:tl2br w:val="nil"/>
                    <w:tr2bl w:val="nil"/>
                  </w:tcBorders>
                  <w:vAlign w:val="center"/>
                </w:tcPr>
                <w:p w14:paraId="23B0878D">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86" w:type="dxa"/>
                  <w:tcBorders>
                    <w:tl2br w:val="nil"/>
                    <w:tr2bl w:val="nil"/>
                  </w:tcBorders>
                  <w:vAlign w:val="center"/>
                </w:tcPr>
                <w:p w14:paraId="3167B6F0">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1AD8312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restart"/>
                  <w:tcBorders>
                    <w:tl2br w:val="nil"/>
                    <w:tr2bl w:val="nil"/>
                  </w:tcBorders>
                  <w:vAlign w:val="center"/>
                </w:tcPr>
                <w:p w14:paraId="403F784B">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YS5120222550001</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乐至县自然资源重点管控区</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自然资源管控分区</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自然资源重点管控区</w:t>
                  </w:r>
                </w:p>
              </w:tc>
              <w:tc>
                <w:tcPr>
                  <w:tcW w:w="420" w:type="pct"/>
                  <w:vMerge w:val="restart"/>
                  <w:tcBorders>
                    <w:tl2br w:val="nil"/>
                    <w:tr2bl w:val="nil"/>
                  </w:tcBorders>
                  <w:vAlign w:val="center"/>
                </w:tcPr>
                <w:p w14:paraId="6EEF4640">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普适性清单管控要求</w:t>
                  </w:r>
                </w:p>
              </w:tc>
              <w:tc>
                <w:tcPr>
                  <w:tcW w:w="635" w:type="pct"/>
                  <w:tcBorders>
                    <w:tl2br w:val="nil"/>
                    <w:tr2bl w:val="nil"/>
                  </w:tcBorders>
                  <w:vAlign w:val="center"/>
                </w:tcPr>
                <w:p w14:paraId="0B6FDB52">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2103" w:type="pct"/>
                  <w:tcBorders>
                    <w:tl2br w:val="nil"/>
                    <w:tr2bl w:val="nil"/>
                  </w:tcBorders>
                  <w:vAlign w:val="center"/>
                </w:tcPr>
                <w:p w14:paraId="64AE32CD">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0A28D07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5BE16902">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04E9BD2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7547ABE0">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672F84A8">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7AB14EED">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2103" w:type="pct"/>
                  <w:tcBorders>
                    <w:tl2br w:val="nil"/>
                    <w:tr2bl w:val="nil"/>
                  </w:tcBorders>
                  <w:vAlign w:val="center"/>
                </w:tcPr>
                <w:p w14:paraId="4D0B3CCB">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25CA260E">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123ACEF3">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27E14BA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3090E3D9">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5154E542">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28878F8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2103" w:type="pct"/>
                  <w:tcBorders>
                    <w:tl2br w:val="nil"/>
                    <w:tr2bl w:val="nil"/>
                  </w:tcBorders>
                  <w:vAlign w:val="center"/>
                </w:tcPr>
                <w:p w14:paraId="7BD44A70">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2D656778">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2D53AAF8">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5CAAF70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5F7495DE">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402E9872">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73CD0EEE">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2103" w:type="pct"/>
                  <w:tcBorders>
                    <w:tl2br w:val="nil"/>
                    <w:tr2bl w:val="nil"/>
                  </w:tcBorders>
                  <w:vAlign w:val="center"/>
                </w:tcPr>
                <w:p w14:paraId="4EF3C52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7A92C80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6DF5B34D">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34EDE41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1E518AB4">
                  <w:pPr>
                    <w:spacing w:line="240" w:lineRule="auto"/>
                    <w:jc w:val="center"/>
                    <w:rPr>
                      <w:rFonts w:hint="default" w:ascii="Times New Roman" w:hAnsi="Times New Roman" w:eastAsia="宋体" w:cs="Times New Roman"/>
                      <w:color w:val="auto"/>
                      <w:sz w:val="21"/>
                      <w:szCs w:val="21"/>
                    </w:rPr>
                  </w:pPr>
                </w:p>
              </w:tc>
              <w:tc>
                <w:tcPr>
                  <w:tcW w:w="420" w:type="pct"/>
                  <w:vMerge w:val="restart"/>
                  <w:tcBorders>
                    <w:tl2br w:val="nil"/>
                    <w:tr2bl w:val="nil"/>
                  </w:tcBorders>
                  <w:vAlign w:val="center"/>
                </w:tcPr>
                <w:p w14:paraId="6A8055C0">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单元级清单管控要求</w:t>
                  </w:r>
                </w:p>
              </w:tc>
              <w:tc>
                <w:tcPr>
                  <w:tcW w:w="635" w:type="pct"/>
                  <w:tcBorders>
                    <w:tl2br w:val="nil"/>
                    <w:tr2bl w:val="nil"/>
                  </w:tcBorders>
                  <w:vAlign w:val="center"/>
                </w:tcPr>
                <w:p w14:paraId="4005B45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2103" w:type="pct"/>
                  <w:tcBorders>
                    <w:tl2br w:val="nil"/>
                    <w:tr2bl w:val="nil"/>
                  </w:tcBorders>
                  <w:vAlign w:val="center"/>
                </w:tcPr>
                <w:p w14:paraId="4E356210">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合理开发高效利用水资源，建设节水型社会；优化土地利用布局与结构；优化产业空间布局，构建清洁能源体系</w:t>
                  </w:r>
                </w:p>
              </w:tc>
              <w:tc>
                <w:tcPr>
                  <w:tcW w:w="2752" w:type="dxa"/>
                  <w:tcBorders>
                    <w:tl2br w:val="nil"/>
                    <w:tr2bl w:val="nil"/>
                  </w:tcBorders>
                  <w:vAlign w:val="center"/>
                </w:tcPr>
                <w:p w14:paraId="0214D123">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本项目不属于禁止开发活动，限制开发建设活动。</w:t>
                  </w:r>
                </w:p>
              </w:tc>
              <w:tc>
                <w:tcPr>
                  <w:tcW w:w="599" w:type="dxa"/>
                  <w:tcBorders>
                    <w:tl2br w:val="nil"/>
                    <w:tr2bl w:val="nil"/>
                  </w:tcBorders>
                  <w:vAlign w:val="center"/>
                </w:tcPr>
                <w:p w14:paraId="54AF430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317F371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4B8A7281">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2EDB6CDC">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6EF926E8">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2103" w:type="pct"/>
                  <w:tcBorders>
                    <w:tl2br w:val="nil"/>
                    <w:tr2bl w:val="nil"/>
                  </w:tcBorders>
                  <w:vAlign w:val="center"/>
                </w:tcPr>
                <w:p w14:paraId="29B8D8A3">
                  <w:pPr>
                    <w:pStyle w:val="54"/>
                    <w:widowControl/>
                    <w:shd w:val="clear" w:color="auto" w:fill="FFFFFF"/>
                    <w:spacing w:line="240" w:lineRule="auto"/>
                    <w:ind w:firstLine="0" w:firstLineChars="0"/>
                    <w:jc w:val="center"/>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w:t>
                  </w:r>
                </w:p>
              </w:tc>
              <w:tc>
                <w:tcPr>
                  <w:tcW w:w="967" w:type="pct"/>
                  <w:tcBorders>
                    <w:tl2br w:val="nil"/>
                    <w:tr2bl w:val="nil"/>
                  </w:tcBorders>
                  <w:vAlign w:val="center"/>
                </w:tcPr>
                <w:p w14:paraId="394032D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21D6CA5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06CEE3B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527E99E6">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042A69D7">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277B6D3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2103" w:type="pct"/>
                  <w:tcBorders>
                    <w:tl2br w:val="nil"/>
                    <w:tr2bl w:val="nil"/>
                  </w:tcBorders>
                  <w:vAlign w:val="center"/>
                </w:tcPr>
                <w:p w14:paraId="3D9780B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192CDFF3">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05FE5E4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140C681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857" w:hRule="atLeast"/>
                <w:jc w:val="center"/>
              </w:trPr>
              <w:tc>
                <w:tcPr>
                  <w:tcW w:w="661" w:type="pct"/>
                  <w:vMerge w:val="continue"/>
                  <w:tcBorders>
                    <w:tl2br w:val="nil"/>
                    <w:tr2bl w:val="nil"/>
                  </w:tcBorders>
                  <w:vAlign w:val="center"/>
                </w:tcPr>
                <w:p w14:paraId="1A6506B3">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6E69F52D">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5731B8E2">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2103" w:type="pct"/>
                  <w:tcBorders>
                    <w:tl2br w:val="nil"/>
                    <w:tr2bl w:val="nil"/>
                  </w:tcBorders>
                  <w:vAlign w:val="center"/>
                </w:tcPr>
                <w:p w14:paraId="21AAC1BC">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土地资源开发效率要求</w:t>
                  </w:r>
                </w:p>
                <w:p w14:paraId="4531A977">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能源资源开发效率要求</w:t>
                  </w:r>
                </w:p>
                <w:p w14:paraId="31EF8130">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其他资源开发效率要求</w:t>
                  </w:r>
                </w:p>
              </w:tc>
              <w:tc>
                <w:tcPr>
                  <w:tcW w:w="967" w:type="pct"/>
                  <w:tcBorders>
                    <w:tl2br w:val="nil"/>
                    <w:tr2bl w:val="nil"/>
                  </w:tcBorders>
                  <w:vAlign w:val="center"/>
                </w:tcPr>
                <w:p w14:paraId="4F9E726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本项目资源需求小，符合资源开发效率要求。</w:t>
                  </w:r>
                </w:p>
              </w:tc>
              <w:tc>
                <w:tcPr>
                  <w:tcW w:w="210" w:type="pct"/>
                  <w:tcBorders>
                    <w:tl2br w:val="nil"/>
                    <w:tr2bl w:val="nil"/>
                  </w:tcBorders>
                  <w:vAlign w:val="center"/>
                </w:tcPr>
                <w:p w14:paraId="04070AD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120CA1B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restart"/>
                  <w:tcBorders>
                    <w:tl2br w:val="nil"/>
                    <w:tr2bl w:val="nil"/>
                  </w:tcBorders>
                  <w:vAlign w:val="center"/>
                </w:tcPr>
                <w:p w14:paraId="0A1261A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YS5120222510003</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乐至县水资源重点管控区</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自然资源管控分区</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水资源重点管控区</w:t>
                  </w:r>
                </w:p>
              </w:tc>
              <w:tc>
                <w:tcPr>
                  <w:tcW w:w="420" w:type="pct"/>
                  <w:vMerge w:val="restart"/>
                  <w:tcBorders>
                    <w:tl2br w:val="nil"/>
                    <w:tr2bl w:val="nil"/>
                  </w:tcBorders>
                  <w:vAlign w:val="center"/>
                </w:tcPr>
                <w:p w14:paraId="6937F5FE">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普适性清单管控要求</w:t>
                  </w:r>
                </w:p>
              </w:tc>
              <w:tc>
                <w:tcPr>
                  <w:tcW w:w="635" w:type="pct"/>
                  <w:tcBorders>
                    <w:tl2br w:val="nil"/>
                    <w:tr2bl w:val="nil"/>
                  </w:tcBorders>
                  <w:vAlign w:val="center"/>
                </w:tcPr>
                <w:p w14:paraId="7A9E4E2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2103" w:type="pct"/>
                  <w:tcBorders>
                    <w:tl2br w:val="nil"/>
                    <w:tr2bl w:val="nil"/>
                  </w:tcBorders>
                  <w:vAlign w:val="center"/>
                </w:tcPr>
                <w:p w14:paraId="6DBBCBC5">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197ACC4E">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56CC47F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22E39CC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713A2FC1">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71566064">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02926C1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2103" w:type="pct"/>
                  <w:tcBorders>
                    <w:tl2br w:val="nil"/>
                    <w:tr2bl w:val="nil"/>
                  </w:tcBorders>
                  <w:vAlign w:val="center"/>
                </w:tcPr>
                <w:p w14:paraId="03C003C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48F68FB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5AE9A3F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4D8FEC7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12B57BCA">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516DF997">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5DF2FC2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2103" w:type="pct"/>
                  <w:tcBorders>
                    <w:tl2br w:val="nil"/>
                    <w:tr2bl w:val="nil"/>
                  </w:tcBorders>
                  <w:vAlign w:val="center"/>
                </w:tcPr>
                <w:p w14:paraId="1B5EBF5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4E73836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7F1C349D">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1877803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1D906F8A">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626D3AA8">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3B1EFDB7">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2103" w:type="pct"/>
                  <w:tcBorders>
                    <w:tl2br w:val="nil"/>
                    <w:tr2bl w:val="nil"/>
                  </w:tcBorders>
                  <w:vAlign w:val="center"/>
                </w:tcPr>
                <w:p w14:paraId="37DD6474">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2C3FABD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6AA98E7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092A032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7835007F">
                  <w:pPr>
                    <w:spacing w:line="240" w:lineRule="auto"/>
                    <w:jc w:val="center"/>
                    <w:rPr>
                      <w:rFonts w:hint="default" w:ascii="Times New Roman" w:hAnsi="Times New Roman" w:eastAsia="宋体" w:cs="Times New Roman"/>
                      <w:color w:val="auto"/>
                      <w:sz w:val="21"/>
                      <w:szCs w:val="21"/>
                    </w:rPr>
                  </w:pPr>
                </w:p>
              </w:tc>
              <w:tc>
                <w:tcPr>
                  <w:tcW w:w="420" w:type="pct"/>
                  <w:vMerge w:val="restart"/>
                  <w:tcBorders>
                    <w:tl2br w:val="nil"/>
                    <w:tr2bl w:val="nil"/>
                  </w:tcBorders>
                  <w:vAlign w:val="center"/>
                </w:tcPr>
                <w:p w14:paraId="2372744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单元级清单管控要求</w:t>
                  </w:r>
                </w:p>
              </w:tc>
              <w:tc>
                <w:tcPr>
                  <w:tcW w:w="635" w:type="pct"/>
                  <w:tcBorders>
                    <w:tl2br w:val="nil"/>
                    <w:tr2bl w:val="nil"/>
                  </w:tcBorders>
                  <w:vAlign w:val="center"/>
                </w:tcPr>
                <w:p w14:paraId="6901829E">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5872" w:type="dxa"/>
                  <w:tcBorders>
                    <w:tl2br w:val="nil"/>
                    <w:tr2bl w:val="nil"/>
                  </w:tcBorders>
                  <w:vAlign w:val="center"/>
                </w:tcPr>
                <w:p w14:paraId="0F0AA1CB">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700" w:type="dxa"/>
                  <w:tcBorders>
                    <w:tl2br w:val="nil"/>
                    <w:tr2bl w:val="nil"/>
                  </w:tcBorders>
                  <w:vAlign w:val="center"/>
                </w:tcPr>
                <w:p w14:paraId="6E78250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86" w:type="dxa"/>
                  <w:tcBorders>
                    <w:tl2br w:val="nil"/>
                    <w:tr2bl w:val="nil"/>
                  </w:tcBorders>
                  <w:vAlign w:val="center"/>
                </w:tcPr>
                <w:p w14:paraId="54A86CF0">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09137D5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38EAE228">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3D8629E7">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0373E0F5">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5872" w:type="dxa"/>
                  <w:tcBorders>
                    <w:tl2br w:val="nil"/>
                    <w:tr2bl w:val="nil"/>
                  </w:tcBorders>
                  <w:vAlign w:val="center"/>
                </w:tcPr>
                <w:p w14:paraId="15767027">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700" w:type="dxa"/>
                  <w:tcBorders>
                    <w:tl2br w:val="nil"/>
                    <w:tr2bl w:val="nil"/>
                  </w:tcBorders>
                  <w:vAlign w:val="center"/>
                </w:tcPr>
                <w:p w14:paraId="0BBE98B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86" w:type="dxa"/>
                  <w:tcBorders>
                    <w:tl2br w:val="nil"/>
                    <w:tr2bl w:val="nil"/>
                  </w:tcBorders>
                  <w:vAlign w:val="center"/>
                </w:tcPr>
                <w:p w14:paraId="102B3E93">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2449702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2E449449">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5B0D4AF4">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3CA05AF2">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5872" w:type="dxa"/>
                  <w:tcBorders>
                    <w:tl2br w:val="nil"/>
                    <w:tr2bl w:val="nil"/>
                  </w:tcBorders>
                  <w:vAlign w:val="center"/>
                </w:tcPr>
                <w:p w14:paraId="7D40C85B">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700" w:type="dxa"/>
                  <w:tcBorders>
                    <w:tl2br w:val="nil"/>
                    <w:tr2bl w:val="nil"/>
                  </w:tcBorders>
                  <w:vAlign w:val="center"/>
                </w:tcPr>
                <w:p w14:paraId="19C6133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86" w:type="dxa"/>
                  <w:tcBorders>
                    <w:tl2br w:val="nil"/>
                    <w:tr2bl w:val="nil"/>
                  </w:tcBorders>
                  <w:vAlign w:val="center"/>
                </w:tcPr>
                <w:p w14:paraId="1FBF2603">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62A1490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46A39024">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56E344F3">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3F5FDB2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2103" w:type="pct"/>
                  <w:tcBorders>
                    <w:tl2br w:val="nil"/>
                    <w:tr2bl w:val="nil"/>
                  </w:tcBorders>
                  <w:vAlign w:val="center"/>
                </w:tcPr>
                <w:p w14:paraId="04477E70">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土地资源开发效率要求</w:t>
                  </w:r>
                </w:p>
                <w:p w14:paraId="4DF88722">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能源资源开发效率要求</w:t>
                  </w:r>
                </w:p>
                <w:p w14:paraId="7AA857C5">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其他资源开发效率要求</w:t>
                  </w:r>
                </w:p>
              </w:tc>
              <w:tc>
                <w:tcPr>
                  <w:tcW w:w="2752" w:type="dxa"/>
                  <w:tcBorders>
                    <w:tl2br w:val="nil"/>
                    <w:tr2bl w:val="nil"/>
                  </w:tcBorders>
                  <w:vAlign w:val="center"/>
                </w:tcPr>
                <w:p w14:paraId="1BEF46A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本项目资源需求小，符合资源开发效率要求。</w:t>
                  </w:r>
                </w:p>
              </w:tc>
              <w:tc>
                <w:tcPr>
                  <w:tcW w:w="599" w:type="dxa"/>
                  <w:tcBorders>
                    <w:tl2br w:val="nil"/>
                    <w:tr2bl w:val="nil"/>
                  </w:tcBorders>
                  <w:vAlign w:val="center"/>
                </w:tcPr>
                <w:p w14:paraId="737B165E">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49C18C7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restart"/>
                  <w:tcBorders>
                    <w:tl2br w:val="nil"/>
                    <w:tr2bl w:val="nil"/>
                  </w:tcBorders>
                  <w:vAlign w:val="center"/>
                </w:tcPr>
                <w:p w14:paraId="089410B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YS5120221410003</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乐至县土壤优先保护区</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土壤污染风险管控分区</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农用地优先保护区</w:t>
                  </w:r>
                </w:p>
              </w:tc>
              <w:tc>
                <w:tcPr>
                  <w:tcW w:w="420" w:type="pct"/>
                  <w:vMerge w:val="restart"/>
                  <w:tcBorders>
                    <w:tl2br w:val="nil"/>
                    <w:tr2bl w:val="nil"/>
                  </w:tcBorders>
                  <w:vAlign w:val="center"/>
                </w:tcPr>
                <w:p w14:paraId="1D04FE1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普适性清单管控要求</w:t>
                  </w:r>
                </w:p>
              </w:tc>
              <w:tc>
                <w:tcPr>
                  <w:tcW w:w="635" w:type="pct"/>
                  <w:tcBorders>
                    <w:tl2br w:val="nil"/>
                    <w:tr2bl w:val="nil"/>
                  </w:tcBorders>
                  <w:vAlign w:val="center"/>
                </w:tcPr>
                <w:p w14:paraId="7FCDC9D0">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2103" w:type="pct"/>
                  <w:tcBorders>
                    <w:tl2br w:val="nil"/>
                    <w:tr2bl w:val="nil"/>
                  </w:tcBorders>
                  <w:vAlign w:val="center"/>
                </w:tcPr>
                <w:p w14:paraId="74A4919D">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7688A8D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035A8BE7">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0E5B969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03F8FA25">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41C2BF6C">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312404C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2103" w:type="pct"/>
                  <w:tcBorders>
                    <w:tl2br w:val="nil"/>
                    <w:tr2bl w:val="nil"/>
                  </w:tcBorders>
                  <w:vAlign w:val="center"/>
                </w:tcPr>
                <w:p w14:paraId="4F2A7F40">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434B6D52">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3AD1006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2CF1178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0A0D03AE">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65110AE1">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0DF7172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2103" w:type="pct"/>
                  <w:tcBorders>
                    <w:tl2br w:val="nil"/>
                    <w:tr2bl w:val="nil"/>
                  </w:tcBorders>
                  <w:vAlign w:val="center"/>
                </w:tcPr>
                <w:p w14:paraId="077109D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79318E4E">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61D50F67">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5257BA7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0CFBDD97">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526B40D3">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2D5796A2">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2103" w:type="pct"/>
                  <w:tcBorders>
                    <w:tl2br w:val="nil"/>
                    <w:tr2bl w:val="nil"/>
                  </w:tcBorders>
                  <w:vAlign w:val="center"/>
                </w:tcPr>
                <w:p w14:paraId="3B119165">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2483ECD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18189A9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50D2B41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3F36AD29">
                  <w:pPr>
                    <w:spacing w:line="240" w:lineRule="auto"/>
                    <w:jc w:val="center"/>
                    <w:rPr>
                      <w:rFonts w:hint="default" w:ascii="Times New Roman" w:hAnsi="Times New Roman" w:eastAsia="宋体" w:cs="Times New Roman"/>
                      <w:color w:val="auto"/>
                      <w:sz w:val="21"/>
                      <w:szCs w:val="21"/>
                    </w:rPr>
                  </w:pPr>
                </w:p>
              </w:tc>
              <w:tc>
                <w:tcPr>
                  <w:tcW w:w="420" w:type="pct"/>
                  <w:vMerge w:val="restart"/>
                  <w:tcBorders>
                    <w:tl2br w:val="nil"/>
                    <w:tr2bl w:val="nil"/>
                  </w:tcBorders>
                  <w:vAlign w:val="center"/>
                </w:tcPr>
                <w:p w14:paraId="5C8A7C53">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单元级清单管控要求</w:t>
                  </w:r>
                </w:p>
              </w:tc>
              <w:tc>
                <w:tcPr>
                  <w:tcW w:w="635" w:type="pct"/>
                  <w:tcBorders>
                    <w:tl2br w:val="nil"/>
                    <w:tr2bl w:val="nil"/>
                  </w:tcBorders>
                  <w:vAlign w:val="center"/>
                </w:tcPr>
                <w:p w14:paraId="29CB93C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2103" w:type="pct"/>
                  <w:tcBorders>
                    <w:tl2br w:val="nil"/>
                    <w:tr2bl w:val="nil"/>
                  </w:tcBorders>
                  <w:vAlign w:val="center"/>
                </w:tcPr>
                <w:p w14:paraId="7DF99EFD">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禁止开发建设活动的要求</w:t>
                  </w:r>
                </w:p>
                <w:p w14:paraId="10EBA55F">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限制开发建设活动的要求</w:t>
                  </w:r>
                </w:p>
                <w:p w14:paraId="1F585023">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允许开发建设活动的要求</w:t>
                  </w:r>
                </w:p>
                <w:p w14:paraId="282D6C97">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不符合空间布局要求活动的退出要求</w:t>
                  </w:r>
                </w:p>
                <w:p w14:paraId="2F065EF7">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其他空间布局约束要求</w:t>
                  </w:r>
                </w:p>
              </w:tc>
              <w:tc>
                <w:tcPr>
                  <w:tcW w:w="967" w:type="pct"/>
                  <w:tcBorders>
                    <w:tl2br w:val="nil"/>
                    <w:tr2bl w:val="nil"/>
                  </w:tcBorders>
                  <w:vAlign w:val="center"/>
                </w:tcPr>
                <w:p w14:paraId="2A9BFFED">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本项目不属于禁止开发活动，限制开发建设活动。</w:t>
                  </w:r>
                </w:p>
              </w:tc>
              <w:tc>
                <w:tcPr>
                  <w:tcW w:w="210" w:type="pct"/>
                  <w:tcBorders>
                    <w:tl2br w:val="nil"/>
                    <w:tr2bl w:val="nil"/>
                  </w:tcBorders>
                  <w:vAlign w:val="center"/>
                </w:tcPr>
                <w:p w14:paraId="32A67274">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1F4944C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3F2FA7A9">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636DF3DB">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4611C3B6">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5872" w:type="dxa"/>
                  <w:tcBorders>
                    <w:tl2br w:val="nil"/>
                    <w:tr2bl w:val="nil"/>
                  </w:tcBorders>
                  <w:vAlign w:val="center"/>
                </w:tcPr>
                <w:p w14:paraId="6944559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700" w:type="dxa"/>
                  <w:tcBorders>
                    <w:tl2br w:val="nil"/>
                    <w:tr2bl w:val="nil"/>
                  </w:tcBorders>
                  <w:vAlign w:val="center"/>
                </w:tcPr>
                <w:p w14:paraId="61AF4947">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86" w:type="dxa"/>
                  <w:tcBorders>
                    <w:tl2br w:val="nil"/>
                    <w:tr2bl w:val="nil"/>
                  </w:tcBorders>
                  <w:vAlign w:val="center"/>
                </w:tcPr>
                <w:p w14:paraId="2A028A5D">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2B37801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6C15297E">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7963C958">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5D72FF98">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5872" w:type="dxa"/>
                  <w:tcBorders>
                    <w:tl2br w:val="nil"/>
                    <w:tr2bl w:val="nil"/>
                  </w:tcBorders>
                  <w:vAlign w:val="center"/>
                </w:tcPr>
                <w:p w14:paraId="2BCBA79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700" w:type="dxa"/>
                  <w:tcBorders>
                    <w:tl2br w:val="nil"/>
                    <w:tr2bl w:val="nil"/>
                  </w:tcBorders>
                  <w:vAlign w:val="center"/>
                </w:tcPr>
                <w:p w14:paraId="09D43E57">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86" w:type="dxa"/>
                  <w:tcBorders>
                    <w:tl2br w:val="nil"/>
                    <w:tr2bl w:val="nil"/>
                  </w:tcBorders>
                  <w:vAlign w:val="center"/>
                </w:tcPr>
                <w:p w14:paraId="0B06CEE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1680924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20B1C41F">
                  <w:pPr>
                    <w:spacing w:line="240" w:lineRule="auto"/>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77AE16CF">
                  <w:pPr>
                    <w:spacing w:line="240" w:lineRule="auto"/>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21F80828">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5872" w:type="dxa"/>
                  <w:tcBorders>
                    <w:tl2br w:val="nil"/>
                    <w:tr2bl w:val="nil"/>
                  </w:tcBorders>
                  <w:vAlign w:val="center"/>
                </w:tcPr>
                <w:p w14:paraId="43FA1E6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700" w:type="dxa"/>
                  <w:tcBorders>
                    <w:tl2br w:val="nil"/>
                    <w:tr2bl w:val="nil"/>
                  </w:tcBorders>
                  <w:vAlign w:val="center"/>
                </w:tcPr>
                <w:p w14:paraId="7CD7DB4B">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86" w:type="dxa"/>
                  <w:tcBorders>
                    <w:tl2br w:val="nil"/>
                    <w:tr2bl w:val="nil"/>
                  </w:tcBorders>
                  <w:vAlign w:val="center"/>
                </w:tcPr>
                <w:p w14:paraId="32841144">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bl>
          <w:p w14:paraId="15DAF771">
            <w:pPr>
              <w:pStyle w:val="21"/>
              <w:widowControl w:val="0"/>
              <w:kinsoku/>
              <w:autoSpaceDE/>
              <w:autoSpaceDN/>
              <w:adjustRightInd/>
              <w:snapToGrid/>
              <w:spacing w:line="360" w:lineRule="auto"/>
              <w:ind w:firstLine="480"/>
              <w:textAlignment w:val="auto"/>
              <w:rPr>
                <w:rFonts w:hint="default" w:ascii="Times New Roman" w:hAnsi="Times New Roman" w:eastAsia="宋体" w:cs="Times New Roman"/>
                <w:color w:val="auto"/>
              </w:rPr>
            </w:pPr>
          </w:p>
          <w:p w14:paraId="11507873">
            <w:pPr>
              <w:pStyle w:val="21"/>
              <w:widowControl w:val="0"/>
              <w:kinsoku/>
              <w:autoSpaceDE/>
              <w:autoSpaceDN/>
              <w:adjustRightInd/>
              <w:snapToGrid/>
              <w:spacing w:line="360" w:lineRule="auto"/>
              <w:ind w:firstLine="480"/>
              <w:textAlignment w:val="auto"/>
              <w:rPr>
                <w:rFonts w:hint="default" w:ascii="Times New Roman" w:hAnsi="Times New Roman" w:eastAsia="宋体" w:cs="Times New Roman"/>
                <w:color w:val="auto"/>
              </w:rPr>
            </w:pPr>
          </w:p>
          <w:p w14:paraId="09C9F9B2">
            <w:pPr>
              <w:pStyle w:val="21"/>
              <w:widowControl w:val="0"/>
              <w:kinsoku/>
              <w:autoSpaceDE/>
              <w:autoSpaceDN/>
              <w:adjustRightInd/>
              <w:snapToGrid/>
              <w:spacing w:line="360" w:lineRule="auto"/>
              <w:ind w:firstLine="48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8）中和场镇</w:t>
            </w:r>
          </w:p>
          <w:p w14:paraId="3B7A6FEF">
            <w:pPr>
              <w:pStyle w:val="21"/>
              <w:widowControl w:val="0"/>
              <w:kinsoku/>
              <w:autoSpaceDE/>
              <w:autoSpaceDN/>
              <w:adjustRightInd/>
              <w:snapToGrid/>
              <w:spacing w:line="360" w:lineRule="auto"/>
              <w:ind w:firstLine="48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（1）项目拟建区域管控单元识别</w:t>
            </w:r>
          </w:p>
          <w:p w14:paraId="7750FADA">
            <w:pPr>
              <w:pStyle w:val="21"/>
              <w:widowControl w:val="0"/>
              <w:kinsoku/>
              <w:autoSpaceDE/>
              <w:autoSpaceDN/>
              <w:adjustRightInd/>
              <w:snapToGrid/>
              <w:spacing w:line="360" w:lineRule="auto"/>
              <w:ind w:firstLine="48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根据四川省生态环境厅“三线一单”符合性分析系统识别系统结果，本项目</w:t>
            </w:r>
            <w:r>
              <w:rPr>
                <w:rFonts w:hint="default" w:ascii="Times New Roman" w:hAnsi="Times New Roman" w:eastAsia="宋体" w:cs="Times New Roman"/>
                <w:b/>
                <w:bCs/>
                <w:color w:val="auto"/>
                <w:sz w:val="24"/>
                <w:szCs w:val="24"/>
              </w:rPr>
              <w:t>中和场镇</w:t>
            </w:r>
            <w:r>
              <w:rPr>
                <w:rFonts w:hint="default" w:ascii="Times New Roman" w:hAnsi="Times New Roman" w:eastAsia="宋体" w:cs="Times New Roman"/>
                <w:color w:val="auto"/>
              </w:rPr>
              <w:t>拟建区域共涉及5个管控单元，具体情况见下图。</w:t>
            </w:r>
          </w:p>
          <w:p w14:paraId="5A18EE2C">
            <w:pPr>
              <w:spacing w:line="360" w:lineRule="auto"/>
              <w:ind w:firstLine="480" w:firstLineChars="200"/>
              <w:rPr>
                <w:rFonts w:hint="default" w:ascii="Times New Roman" w:hAnsi="Times New Roman" w:eastAsia="宋体" w:cs="Times New Roman"/>
                <w:color w:val="auto"/>
                <w:sz w:val="24"/>
                <w:szCs w:val="24"/>
              </w:rPr>
            </w:pPr>
          </w:p>
          <w:p w14:paraId="501F09E1">
            <w:pPr>
              <w:spacing w:line="360" w:lineRule="auto"/>
              <w:ind w:firstLine="480" w:firstLineChars="200"/>
              <w:rPr>
                <w:rFonts w:hint="default" w:ascii="Times New Roman" w:hAnsi="Times New Roman" w:eastAsia="宋体" w:cs="Times New Roman"/>
                <w:color w:val="auto"/>
                <w:sz w:val="24"/>
                <w:szCs w:val="24"/>
              </w:rPr>
            </w:pPr>
          </w:p>
          <w:p w14:paraId="0D4491CB">
            <w:pPr>
              <w:jc w:val="center"/>
              <w:rPr>
                <w:rFonts w:hint="default" w:ascii="Times New Roman" w:hAnsi="Times New Roman" w:eastAsia="宋体" w:cs="Times New Roman"/>
                <w:b/>
                <w:bCs/>
                <w:color w:val="auto"/>
                <w:sz w:val="24"/>
                <w:szCs w:val="24"/>
              </w:rPr>
            </w:pPr>
          </w:p>
          <w:p w14:paraId="6BAE7801">
            <w:pPr>
              <w:jc w:val="center"/>
              <w:rPr>
                <w:rFonts w:hint="default" w:ascii="Times New Roman" w:hAnsi="Times New Roman" w:eastAsia="宋体" w:cs="Times New Roman"/>
                <w:b/>
                <w:bCs/>
                <w:color w:val="auto"/>
                <w:sz w:val="24"/>
                <w:szCs w:val="24"/>
                <w:lang w:eastAsia="zh-CN"/>
              </w:rPr>
            </w:pPr>
            <w:r>
              <w:rPr>
                <w:rFonts w:hint="default" w:ascii="Times New Roman" w:hAnsi="Times New Roman" w:eastAsia="宋体" w:cs="Times New Roman"/>
                <w:b/>
                <w:bCs/>
                <w:color w:val="auto"/>
                <w:sz w:val="24"/>
                <w:szCs w:val="24"/>
                <w:lang w:eastAsia="zh-CN"/>
              </w:rPr>
              <w:drawing>
                <wp:inline distT="0" distB="0" distL="114300" distR="114300">
                  <wp:extent cx="7687945" cy="5267325"/>
                  <wp:effectExtent l="0" t="0" r="8255" b="9525"/>
                  <wp:docPr id="49" name="图片 49" descr="9c86cfa698cbc196bccc09611dbcd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9c86cfa698cbc196bccc09611dbcd5e"/>
                          <pic:cNvPicPr>
                            <a:picLocks noChangeAspect="1"/>
                          </pic:cNvPicPr>
                        </pic:nvPicPr>
                        <pic:blipFill>
                          <a:blip r:embed="rId30"/>
                          <a:stretch>
                            <a:fillRect/>
                          </a:stretch>
                        </pic:blipFill>
                        <pic:spPr>
                          <a:xfrm>
                            <a:off x="0" y="0"/>
                            <a:ext cx="7687945" cy="5267325"/>
                          </a:xfrm>
                          <a:prstGeom prst="rect">
                            <a:avLst/>
                          </a:prstGeom>
                        </pic:spPr>
                      </pic:pic>
                    </a:graphicData>
                  </a:graphic>
                </wp:inline>
              </w:drawing>
            </w:r>
          </w:p>
          <w:p w14:paraId="21AD135A">
            <w:pPr>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图1-1</w:t>
            </w:r>
            <w:r>
              <w:rPr>
                <w:rFonts w:hint="default" w:ascii="Times New Roman" w:hAnsi="Times New Roman" w:eastAsia="宋体" w:cs="Times New Roman"/>
                <w:b/>
                <w:bCs/>
                <w:color w:val="auto"/>
                <w:sz w:val="24"/>
                <w:szCs w:val="24"/>
                <w:lang w:val="en-US" w:eastAsia="zh-CN"/>
              </w:rPr>
              <w:t>9</w:t>
            </w:r>
            <w:r>
              <w:rPr>
                <w:rFonts w:hint="default" w:ascii="Times New Roman" w:hAnsi="Times New Roman" w:eastAsia="宋体" w:cs="Times New Roman"/>
                <w:b/>
                <w:bCs/>
                <w:color w:val="auto"/>
                <w:sz w:val="24"/>
                <w:szCs w:val="24"/>
              </w:rPr>
              <w:t xml:space="preserve">  项目与管控分区截图</w:t>
            </w:r>
          </w:p>
          <w:p w14:paraId="4DEEED7A">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同时利用“四川省政务网---四川省生态环境厅数据库”可查询本建设项目与“四川省三线一单”符合性分析情况，经查询后可导出分析报告，分析报告明确本项目</w:t>
            </w:r>
            <w:r>
              <w:rPr>
                <w:rFonts w:hint="default" w:ascii="Times New Roman" w:hAnsi="Times New Roman" w:eastAsia="宋体" w:cs="Times New Roman"/>
                <w:color w:val="auto"/>
                <w:sz w:val="24"/>
                <w:szCs w:val="24"/>
                <w:lang w:eastAsia="zh-CN"/>
              </w:rPr>
              <w:t>位于</w:t>
            </w:r>
            <w:r>
              <w:rPr>
                <w:rFonts w:hint="default" w:ascii="Times New Roman" w:hAnsi="Times New Roman" w:eastAsia="宋体" w:cs="Times New Roman"/>
                <w:color w:val="auto"/>
                <w:sz w:val="24"/>
                <w:szCs w:val="24"/>
              </w:rPr>
              <w:t>资阳市乐至县环境综合管控单元一般管控单元（管控单元名称：一般管控单元，管控单元编号：ZH51202230009）</w:t>
            </w:r>
          </w:p>
          <w:p w14:paraId="4BB661A3">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本项目与管控单元相对位置如下所示：</w:t>
            </w:r>
          </w:p>
          <w:p w14:paraId="0B99FC4D">
            <w:pPr>
              <w:pStyle w:val="21"/>
              <w:widowControl w:val="0"/>
              <w:kinsoku/>
              <w:autoSpaceDE/>
              <w:autoSpaceDN/>
              <w:adjustRightInd/>
              <w:snapToGrid/>
              <w:spacing w:line="336" w:lineRule="auto"/>
              <w:ind w:firstLine="0" w:firstLineChars="0"/>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sz w:val="28"/>
                <w:szCs w:val="24"/>
              </w:rPr>
              <w:drawing>
                <wp:inline distT="0" distB="0" distL="114300" distR="114300">
                  <wp:extent cx="6350000" cy="3810000"/>
                  <wp:effectExtent l="0" t="0" r="12700" b="0"/>
                  <wp:docPr id="5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1"/>
                          <pic:cNvPicPr>
                            <a:picLocks noChangeAspect="1"/>
                          </pic:cNvPicPr>
                        </pic:nvPicPr>
                        <pic:blipFill>
                          <a:blip r:embed="rId31"/>
                          <a:stretch>
                            <a:fillRect/>
                          </a:stretch>
                        </pic:blipFill>
                        <pic:spPr>
                          <a:xfrm>
                            <a:off x="0" y="0"/>
                            <a:ext cx="6350000" cy="3810000"/>
                          </a:xfrm>
                          <a:prstGeom prst="rect">
                            <a:avLst/>
                          </a:prstGeom>
                          <a:noFill/>
                          <a:ln>
                            <a:noFill/>
                          </a:ln>
                        </pic:spPr>
                      </pic:pic>
                    </a:graphicData>
                  </a:graphic>
                </wp:inline>
              </w:drawing>
            </w:r>
          </w:p>
          <w:p w14:paraId="406B44D7">
            <w:pPr>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图1-2</w:t>
            </w:r>
            <w:r>
              <w:rPr>
                <w:rFonts w:hint="default" w:ascii="Times New Roman" w:hAnsi="Times New Roman" w:eastAsia="宋体" w:cs="Times New Roman"/>
                <w:b/>
                <w:bCs/>
                <w:color w:val="auto"/>
                <w:sz w:val="24"/>
                <w:szCs w:val="24"/>
                <w:lang w:val="en-US" w:eastAsia="zh-CN"/>
              </w:rPr>
              <w:t>0</w:t>
            </w:r>
            <w:r>
              <w:rPr>
                <w:rFonts w:hint="default" w:ascii="Times New Roman" w:hAnsi="Times New Roman" w:eastAsia="宋体" w:cs="Times New Roman"/>
                <w:b/>
                <w:bCs/>
                <w:color w:val="auto"/>
                <w:sz w:val="24"/>
                <w:szCs w:val="24"/>
              </w:rPr>
              <w:t xml:space="preserve"> 本项目与管控单元相对位置图</w:t>
            </w:r>
          </w:p>
          <w:p w14:paraId="7580F255">
            <w:pPr>
              <w:pStyle w:val="21"/>
              <w:widowControl w:val="0"/>
              <w:kinsoku/>
              <w:autoSpaceDE/>
              <w:autoSpaceDN/>
              <w:adjustRightInd/>
              <w:snapToGrid/>
              <w:spacing w:line="336" w:lineRule="auto"/>
              <w:ind w:firstLine="420"/>
              <w:textAlignment w:val="auto"/>
              <w:rPr>
                <w:rFonts w:hint="default" w:ascii="Times New Roman" w:hAnsi="Times New Roman" w:eastAsia="宋体" w:cs="Times New Roman"/>
                <w:color w:val="auto"/>
              </w:rPr>
            </w:pPr>
          </w:p>
          <w:p w14:paraId="7FF123A7">
            <w:pPr>
              <w:pStyle w:val="21"/>
              <w:widowControl w:val="0"/>
              <w:kinsoku/>
              <w:autoSpaceDE/>
              <w:autoSpaceDN/>
              <w:adjustRightInd/>
              <w:snapToGrid/>
              <w:spacing w:line="336" w:lineRule="auto"/>
              <w:ind w:firstLine="48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（2）生态环境准入清单符合性分析</w:t>
            </w:r>
          </w:p>
          <w:p w14:paraId="577E90C6">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本项目与各个管控单元要求符合性分析见下表：</w:t>
            </w:r>
          </w:p>
          <w:p w14:paraId="4737F059">
            <w:pPr>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表1-</w:t>
            </w:r>
            <w:r>
              <w:rPr>
                <w:rFonts w:hint="default" w:ascii="Times New Roman" w:hAnsi="Times New Roman" w:eastAsia="宋体" w:cs="Times New Roman"/>
                <w:b/>
                <w:bCs/>
                <w:color w:val="auto"/>
                <w:sz w:val="24"/>
                <w:szCs w:val="24"/>
                <w:lang w:val="en-US" w:eastAsia="zh-CN"/>
              </w:rPr>
              <w:t>12</w:t>
            </w:r>
            <w:r>
              <w:rPr>
                <w:rFonts w:hint="default" w:ascii="Times New Roman" w:hAnsi="Times New Roman" w:eastAsia="宋体" w:cs="Times New Roman"/>
                <w:b/>
                <w:bCs/>
                <w:color w:val="auto"/>
                <w:sz w:val="24"/>
                <w:szCs w:val="24"/>
              </w:rPr>
              <w:t xml:space="preserve">  本项目与管控单元符合性分析一览表</w:t>
            </w:r>
          </w:p>
          <w:tbl>
            <w:tblPr>
              <w:tblStyle w:val="43"/>
              <w:tblW w:w="4997"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881"/>
              <w:gridCol w:w="1195"/>
              <w:gridCol w:w="1810"/>
              <w:gridCol w:w="5986"/>
              <w:gridCol w:w="2751"/>
              <w:gridCol w:w="597"/>
            </w:tblGrid>
            <w:tr w14:paraId="4067BBF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1717" w:type="pct"/>
                  <w:gridSpan w:val="3"/>
                  <w:tcBorders>
                    <w:tl2br w:val="nil"/>
                    <w:tr2bl w:val="nil"/>
                  </w:tcBorders>
                  <w:vAlign w:val="center"/>
                </w:tcPr>
                <w:p w14:paraId="3B655AFC">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类别</w:t>
                  </w:r>
                </w:p>
              </w:tc>
              <w:tc>
                <w:tcPr>
                  <w:tcW w:w="2104" w:type="pct"/>
                  <w:tcBorders>
                    <w:tl2br w:val="nil"/>
                    <w:tr2bl w:val="nil"/>
                  </w:tcBorders>
                  <w:vAlign w:val="center"/>
                </w:tcPr>
                <w:p w14:paraId="02075A1A">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对应管控要求</w:t>
                  </w:r>
                </w:p>
              </w:tc>
              <w:tc>
                <w:tcPr>
                  <w:tcW w:w="967" w:type="pct"/>
                  <w:tcBorders>
                    <w:tl2br w:val="nil"/>
                    <w:tr2bl w:val="nil"/>
                  </w:tcBorders>
                  <w:vAlign w:val="center"/>
                </w:tcPr>
                <w:p w14:paraId="7F876F97">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项目对应情况介绍</w:t>
                  </w:r>
                </w:p>
              </w:tc>
              <w:tc>
                <w:tcPr>
                  <w:tcW w:w="210" w:type="pct"/>
                  <w:tcBorders>
                    <w:tl2br w:val="nil"/>
                    <w:tr2bl w:val="nil"/>
                  </w:tcBorders>
                  <w:vAlign w:val="center"/>
                </w:tcPr>
                <w:p w14:paraId="00316707">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符合性分析</w:t>
                  </w:r>
                </w:p>
              </w:tc>
            </w:tr>
            <w:tr w14:paraId="6FD04AF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9" w:hRule="atLeast"/>
                <w:jc w:val="center"/>
              </w:trPr>
              <w:tc>
                <w:tcPr>
                  <w:tcW w:w="661" w:type="pct"/>
                  <w:vMerge w:val="restart"/>
                  <w:tcBorders>
                    <w:tl2br w:val="nil"/>
                    <w:tr2bl w:val="nil"/>
                  </w:tcBorders>
                  <w:vAlign w:val="center"/>
                </w:tcPr>
                <w:p w14:paraId="64C0584E">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ZH51202230009</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一般管控单元</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环境管控单元</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环境综合管控单元一般管控单元</w:t>
                  </w:r>
                </w:p>
              </w:tc>
              <w:tc>
                <w:tcPr>
                  <w:tcW w:w="420" w:type="pct"/>
                  <w:vMerge w:val="restart"/>
                  <w:tcBorders>
                    <w:tl2br w:val="nil"/>
                    <w:tr2bl w:val="nil"/>
                  </w:tcBorders>
                  <w:vAlign w:val="center"/>
                </w:tcPr>
                <w:p w14:paraId="47208DB3">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普适性清单管控要求</w:t>
                  </w:r>
                </w:p>
              </w:tc>
              <w:tc>
                <w:tcPr>
                  <w:tcW w:w="635" w:type="pct"/>
                  <w:tcBorders>
                    <w:tl2br w:val="nil"/>
                    <w:tr2bl w:val="nil"/>
                  </w:tcBorders>
                  <w:vAlign w:val="center"/>
                </w:tcPr>
                <w:p w14:paraId="229FC32A">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2104" w:type="pct"/>
                  <w:tcBorders>
                    <w:tl2br w:val="nil"/>
                    <w:tr2bl w:val="nil"/>
                  </w:tcBorders>
                  <w:vAlign w:val="center"/>
                </w:tcPr>
                <w:p w14:paraId="19E2234F">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p w14:paraId="26138AC6">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禁止开发建设活动的要求</w:t>
                  </w:r>
                </w:p>
                <w:p w14:paraId="30CEA4C5">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（1）禁止在法律法规规定的禁采区内开采矿产；禁止</w:t>
                  </w:r>
                  <w:r>
                    <w:rPr>
                      <w:rFonts w:hint="default" w:ascii="Times New Roman" w:hAnsi="Times New Roman" w:eastAsia="宋体" w:cs="Times New Roman"/>
                      <w:color w:val="auto"/>
                      <w:sz w:val="21"/>
                      <w:szCs w:val="21"/>
                      <w:lang w:eastAsia="zh-CN"/>
                    </w:rPr>
                    <w:t>非法</w:t>
                  </w:r>
                  <w:r>
                    <w:rPr>
                      <w:rFonts w:hint="default" w:ascii="Times New Roman" w:hAnsi="Times New Roman" w:eastAsia="宋体" w:cs="Times New Roman"/>
                      <w:color w:val="auto"/>
                      <w:sz w:val="21"/>
                      <w:szCs w:val="21"/>
                    </w:rPr>
                    <w:t>采、选、冶严重污染环境的矿产资源。（2）禁止在长江流域河湖管理范围内倾倒、填埋、堆放、弃置、处理固体废物。（3）涉及基本农田的区域，按禁止开发的要求进行管理，除法律规定的重点建设项目选址确实无法避让外，其他任何建设不得占用。</w:t>
                  </w:r>
                </w:p>
                <w:p w14:paraId="6A400139">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限制开发建设活动的要求</w:t>
                  </w:r>
                </w:p>
                <w:p w14:paraId="66371224">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加强乡镇及以下饮用水水源保护，严格按照法律法规、管理办法等相关要求进行控制，新、改、扩建设项目在符合规划和保护要求的前提下，应实施生态避让、减缓影响及生态恢复措施。（2）按照相关要求严控水泥新增产能。（3）单元内若新布局工业园区，应结合区域环境特点、三线成果、园区产业类别，充分论证选址的环境合理性。（4）坚持最严格的耕地保护制度，对全部耕地按限制开发的要求进行管理，严控新增建设用地规模和非农建设占用耕地.（5）园区外的现有工业企业污染物排放只降不增，现有重污染行业企业要限期搬入产业对口园区。</w:t>
                  </w:r>
                </w:p>
                <w:p w14:paraId="55289D65">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不符合空间布局要求活动的退出要求</w:t>
                  </w:r>
                </w:p>
                <w:p w14:paraId="46A17BA9">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全面取缔蓄禽养殖禁养区内规模化畜禽养殖场，水产养殖禁养区内水产养殖项目。</w:t>
                  </w:r>
                </w:p>
                <w:p w14:paraId="60CF0A8D">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其他空间布局约束要求</w:t>
                  </w:r>
                </w:p>
                <w:p w14:paraId="47AABE91">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暂无</w:t>
                  </w:r>
                </w:p>
              </w:tc>
              <w:tc>
                <w:tcPr>
                  <w:tcW w:w="967" w:type="pct"/>
                  <w:tcBorders>
                    <w:tl2br w:val="nil"/>
                    <w:tr2bl w:val="nil"/>
                  </w:tcBorders>
                  <w:vAlign w:val="center"/>
                </w:tcPr>
                <w:p w14:paraId="6FA0EF17">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本项目位于资阳市乐至城区及乡镇，为国家储备林建设及森林质量项目，不属于工业企业。</w:t>
                  </w:r>
                </w:p>
              </w:tc>
              <w:tc>
                <w:tcPr>
                  <w:tcW w:w="210" w:type="pct"/>
                  <w:tcBorders>
                    <w:tl2br w:val="nil"/>
                    <w:tr2bl w:val="nil"/>
                  </w:tcBorders>
                  <w:vAlign w:val="center"/>
                </w:tcPr>
                <w:p w14:paraId="2CB28F7B">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33641F8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1794BB05">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1CE8B0B1">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3F6CD15F">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2104" w:type="pct"/>
                  <w:tcBorders>
                    <w:tl2br w:val="nil"/>
                    <w:tr2bl w:val="nil"/>
                  </w:tcBorders>
                  <w:vAlign w:val="center"/>
                </w:tcPr>
                <w:p w14:paraId="00221C52">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p w14:paraId="4159F2C5">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允许排放量要求</w:t>
                  </w:r>
                </w:p>
                <w:p w14:paraId="5B3E6C89">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暂无</w:t>
                  </w:r>
                </w:p>
                <w:p w14:paraId="283E58AD">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现有源提标升级改造</w:t>
                  </w:r>
                </w:p>
                <w:p w14:paraId="51F8108D">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加快现有乡镇污水处理设施升级改造，按要求达《城镇污水处理厂污染物排放标准》一级A标后排放。（2）加强与改厕工作相衔接，推进农村生活污水资源化利用。梯次推进农村生活污水治理。农村生活污水处理设施执行《四川省农村生活污水处理设施水污染物排放标准》（DB51 2626—2019）。（3）加快推进养殖节水减排，鼓励采取技术措施开展集中连片池塘养殖区域和工厂化养殖尾水处理，推动养殖尾水资源化利用或达标排放。（4）加强不达标饮用水源地治理，推进城乡一体化供水。（5）砖瓦行业实施脱硫、除尘升级改造，污染物排放达到《砖瓦工业大气污染物排放标准》相关要求。</w:t>
                  </w:r>
                </w:p>
                <w:p w14:paraId="3CE1D88E">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其他污染物排放管控要求</w:t>
                  </w:r>
                </w:p>
                <w:p w14:paraId="34B758D7">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绩效水平准入要求：（1）至2025年底，基本实现乡镇污水处理设施全覆盖，配套建设污水收集管网，乡镇污水处理率力争达到85%。（2）新、改扩建规模化畜禽养殖场（小区）要实施雨污分流、粪便污水资源化利用；至2025年，规模化畜禽养殖场（小区）粪污处理设施装备配套率达到100%，粪污综合利用率达到90%以上；散养密集区要实行畜禽粪便污水分户收集、集中处理利用。（3）屠宰项目必须配套污水处理设施或进入城市污水管网（4）强化农药、化肥减量工作，积极推广配方肥和商品有机肥，配方施肥覆盖面不低于50%，减少化肥施用和流失，提高化肥利用率。推进农业废弃农膜的回收，转运综合利用。到2025年底，秸秆综合利用率达到95%以上。（5）到2023年底，乡镇及行政村生活垃圾收转运处置体系基本实现全覆盖。</w:t>
                  </w:r>
                </w:p>
              </w:tc>
              <w:tc>
                <w:tcPr>
                  <w:tcW w:w="967" w:type="pct"/>
                  <w:tcBorders>
                    <w:tl2br w:val="nil"/>
                    <w:tr2bl w:val="nil"/>
                  </w:tcBorders>
                  <w:vAlign w:val="center"/>
                </w:tcPr>
                <w:p w14:paraId="3B1ED760">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本项目为国家储备林建设及森林质量项目，</w:t>
                  </w:r>
                  <w:r>
                    <w:rPr>
                      <w:rFonts w:hint="default" w:ascii="Times New Roman" w:hAnsi="Times New Roman" w:eastAsia="宋体" w:cs="Times New Roman"/>
                      <w:color w:val="auto"/>
                      <w:sz w:val="21"/>
                      <w:szCs w:val="21"/>
                      <w:lang w:eastAsia="zh-CN"/>
                    </w:rPr>
                    <w:t>生活污水经预处理后用作农肥不外排</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eastAsia="zh-CN"/>
                    </w:rPr>
                    <w:t>雨水实行雨污分流符合管控要求</w:t>
                  </w:r>
                  <w:r>
                    <w:rPr>
                      <w:rFonts w:hint="eastAsia" w:ascii="Times New Roman" w:hAnsi="Times New Roman" w:eastAsia="宋体" w:cs="Times New Roman"/>
                      <w:color w:val="auto"/>
                      <w:sz w:val="21"/>
                      <w:szCs w:val="21"/>
                      <w:lang w:eastAsia="zh-CN"/>
                    </w:rPr>
                    <w:t>，施用有机生物肥和复合有机无机配方肥，避免地表撒施，尽量采用低毒、残留期短的农药和生物制剂，既保障栽植苗木生长，也减少化肥农药污染</w:t>
                  </w:r>
                  <w:r>
                    <w:rPr>
                      <w:rFonts w:hint="default" w:ascii="Times New Roman" w:hAnsi="Times New Roman" w:eastAsia="宋体" w:cs="Times New Roman"/>
                      <w:color w:val="auto"/>
                      <w:sz w:val="21"/>
                      <w:szCs w:val="21"/>
                      <w:lang w:eastAsia="zh-CN"/>
                    </w:rPr>
                    <w:t>。</w:t>
                  </w:r>
                </w:p>
              </w:tc>
              <w:tc>
                <w:tcPr>
                  <w:tcW w:w="210" w:type="pct"/>
                  <w:tcBorders>
                    <w:tl2br w:val="nil"/>
                    <w:tr2bl w:val="nil"/>
                  </w:tcBorders>
                  <w:vAlign w:val="center"/>
                </w:tcPr>
                <w:p w14:paraId="0ECA9D8E">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25FF72D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26680884">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5D89DC2F">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27114DD4">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2104" w:type="pct"/>
                  <w:tcBorders>
                    <w:tl2br w:val="nil"/>
                    <w:tr2bl w:val="nil"/>
                  </w:tcBorders>
                  <w:vAlign w:val="center"/>
                </w:tcPr>
                <w:p w14:paraId="4A1B690B">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p w14:paraId="14DD3A64">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联防联控要求</w:t>
                  </w:r>
                </w:p>
                <w:p w14:paraId="247921EE">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暂无</w:t>
                  </w:r>
                </w:p>
                <w:p w14:paraId="514F0E13">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其他环境风险防控要求</w:t>
                  </w:r>
                </w:p>
                <w:p w14:paraId="32574A51">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企业环境风险防控要求：（1）工业企业退出用地，须经评估、修复满足相应用地功能后，方可改变用途。（2）加强“散乱污”企业环境风险防控。用地2、环境风险防控要求：（1）严格控制林地、草地、园地的农药使用量，禁止使用高毒、高残留农药。（2）严禁将城镇生活垃圾、污泥、工业废物直接用作肥料，禁止处理不达标的污泥进入耕地；禁止在农用地排放、倾倒、使用污泥、清淤底泥、尾矿（渣）等可能对土壤造成污染的固体废物。</w:t>
                  </w:r>
                </w:p>
              </w:tc>
              <w:tc>
                <w:tcPr>
                  <w:tcW w:w="967" w:type="pct"/>
                  <w:tcBorders>
                    <w:tl2br w:val="nil"/>
                    <w:tr2bl w:val="nil"/>
                  </w:tcBorders>
                  <w:vAlign w:val="center"/>
                </w:tcPr>
                <w:p w14:paraId="724F0611">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乐至县兴茂林业开发有限公司已与项目所在地村民签订林地流转协议，用于储备林项目建设，符合规划。</w:t>
                  </w:r>
                </w:p>
              </w:tc>
              <w:tc>
                <w:tcPr>
                  <w:tcW w:w="210" w:type="pct"/>
                  <w:tcBorders>
                    <w:tl2br w:val="nil"/>
                    <w:tr2bl w:val="nil"/>
                  </w:tcBorders>
                  <w:vAlign w:val="center"/>
                </w:tcPr>
                <w:p w14:paraId="6F300188">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695AA54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34748FD5">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702CEC90">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449BE7A1">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2104" w:type="pct"/>
                  <w:tcBorders>
                    <w:tl2br w:val="nil"/>
                    <w:tr2bl w:val="nil"/>
                  </w:tcBorders>
                  <w:vAlign w:val="center"/>
                </w:tcPr>
                <w:p w14:paraId="5FA0A32A">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资源开发利用效率要求：</w:t>
                  </w:r>
                </w:p>
                <w:p w14:paraId="4862B1A1">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水资源利用总量要求</w:t>
                  </w:r>
                </w:p>
                <w:p w14:paraId="1EC4ACC7">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（1）到2030年，农田灌溉水有效利用系数提高到0.62。</w:t>
                  </w:r>
                </w:p>
                <w:p w14:paraId="44E083C6">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地下水开采要求</w:t>
                  </w:r>
                </w:p>
                <w:p w14:paraId="624ADCC9">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暂无</w:t>
                  </w:r>
                </w:p>
                <w:p w14:paraId="46752511">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能源利用总量及效率要求</w:t>
                  </w:r>
                </w:p>
                <w:p w14:paraId="2C79053B">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（1）推进清洁能源的推广使用，全面推进散煤清洁化整治。</w:t>
                  </w:r>
                </w:p>
                <w:p w14:paraId="3D021025">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禁燃区要求</w:t>
                  </w:r>
                </w:p>
                <w:p w14:paraId="02950134">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暂无</w:t>
                  </w:r>
                </w:p>
                <w:p w14:paraId="5CE72D66">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其他资源利用效率要求</w:t>
                  </w:r>
                </w:p>
                <w:p w14:paraId="01526601">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暂无</w:t>
                  </w:r>
                </w:p>
              </w:tc>
              <w:tc>
                <w:tcPr>
                  <w:tcW w:w="967" w:type="pct"/>
                  <w:tcBorders>
                    <w:tl2br w:val="nil"/>
                    <w:tr2bl w:val="nil"/>
                  </w:tcBorders>
                  <w:vAlign w:val="center"/>
                </w:tcPr>
                <w:p w14:paraId="14208410">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本项目为国家储备林建设及森林质量项目，不属于使用高污染燃料项目，不属于禁止开发活动，不涉及上述限制开发建设活动。</w:t>
                  </w:r>
                </w:p>
              </w:tc>
              <w:tc>
                <w:tcPr>
                  <w:tcW w:w="210" w:type="pct"/>
                  <w:tcBorders>
                    <w:tl2br w:val="nil"/>
                    <w:tr2bl w:val="nil"/>
                  </w:tcBorders>
                  <w:vAlign w:val="center"/>
                </w:tcPr>
                <w:p w14:paraId="041DB901">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0B8ECAC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5D1B4722">
                  <w:pPr>
                    <w:jc w:val="center"/>
                    <w:rPr>
                      <w:rFonts w:hint="default" w:ascii="Times New Roman" w:hAnsi="Times New Roman" w:eastAsia="宋体" w:cs="Times New Roman"/>
                      <w:color w:val="auto"/>
                      <w:sz w:val="21"/>
                      <w:szCs w:val="21"/>
                    </w:rPr>
                  </w:pPr>
                </w:p>
              </w:tc>
              <w:tc>
                <w:tcPr>
                  <w:tcW w:w="420" w:type="pct"/>
                  <w:vMerge w:val="restart"/>
                  <w:tcBorders>
                    <w:tl2br w:val="nil"/>
                    <w:tr2bl w:val="nil"/>
                  </w:tcBorders>
                  <w:vAlign w:val="center"/>
                </w:tcPr>
                <w:p w14:paraId="21B18CBC">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单元级清单管控要求</w:t>
                  </w:r>
                </w:p>
              </w:tc>
              <w:tc>
                <w:tcPr>
                  <w:tcW w:w="635" w:type="pct"/>
                  <w:tcBorders>
                    <w:tl2br w:val="nil"/>
                    <w:tr2bl w:val="nil"/>
                  </w:tcBorders>
                  <w:vAlign w:val="center"/>
                </w:tcPr>
                <w:p w14:paraId="5144C366">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2104" w:type="pct"/>
                  <w:tcBorders>
                    <w:tl2br w:val="nil"/>
                    <w:tr2bl w:val="nil"/>
                  </w:tcBorders>
                  <w:vAlign w:val="center"/>
                </w:tcPr>
                <w:p w14:paraId="7BFBDD66">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禁止开发建设活动的要求</w:t>
                  </w:r>
                </w:p>
                <w:p w14:paraId="77BA066D">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执行一般管控单元总体准入要求</w:t>
                  </w:r>
                </w:p>
                <w:p w14:paraId="40CB85FB">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限制开发建设活动的要求</w:t>
                  </w:r>
                </w:p>
                <w:p w14:paraId="0CF3F4D7">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执行一般管控单元总体准入要求</w:t>
                  </w:r>
                </w:p>
                <w:p w14:paraId="1E69BAD2">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允许开发建设活动的要求</w:t>
                  </w:r>
                </w:p>
                <w:p w14:paraId="0FB4996D">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不符合空间布局要求活动的退出要求</w:t>
                  </w:r>
                </w:p>
                <w:p w14:paraId="057CC25B">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执行一般管控单元总体准入要求</w:t>
                  </w:r>
                </w:p>
                <w:p w14:paraId="6694E43B">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其他空间布局约束要求</w:t>
                  </w:r>
                </w:p>
              </w:tc>
              <w:tc>
                <w:tcPr>
                  <w:tcW w:w="967" w:type="pct"/>
                  <w:tcBorders>
                    <w:tl2br w:val="nil"/>
                    <w:tr2bl w:val="nil"/>
                  </w:tcBorders>
                  <w:vAlign w:val="center"/>
                </w:tcPr>
                <w:p w14:paraId="48641157">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本项目不属于禁止开发活动，限制开发建设活动。</w:t>
                  </w:r>
                </w:p>
              </w:tc>
              <w:tc>
                <w:tcPr>
                  <w:tcW w:w="210" w:type="pct"/>
                  <w:tcBorders>
                    <w:tl2br w:val="nil"/>
                    <w:tr2bl w:val="nil"/>
                  </w:tcBorders>
                  <w:vAlign w:val="center"/>
                </w:tcPr>
                <w:p w14:paraId="72B43C49">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1153ACB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41D03B1A">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22DBB8A1">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77F8E6E5">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2104" w:type="pct"/>
                  <w:tcBorders>
                    <w:tl2br w:val="nil"/>
                    <w:tr2bl w:val="nil"/>
                  </w:tcBorders>
                  <w:vAlign w:val="center"/>
                </w:tcPr>
                <w:p w14:paraId="5ABDBFE4">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现有源提标升级改造</w:t>
                  </w:r>
                </w:p>
                <w:p w14:paraId="26640791">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执行一般管控单元总体准入要求。单元内的大气、水重点管控区执行要素重点管控要求。</w:t>
                  </w:r>
                </w:p>
                <w:p w14:paraId="45C36CB1">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新增源等量或倍量替代</w:t>
                  </w:r>
                </w:p>
                <w:p w14:paraId="0D47F6F8">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执行一般管控单元总体准入要求。单元内的大气、水重点管控区执行要素重点管控要求。</w:t>
                  </w:r>
                </w:p>
                <w:p w14:paraId="4D930674">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新增源排放标准限值</w:t>
                  </w:r>
                </w:p>
                <w:p w14:paraId="3BA0A561">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污染物排放绩效水平准入要求</w:t>
                  </w:r>
                </w:p>
                <w:p w14:paraId="06EE289D">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执行一般管控单元总体准入要求。单元内的大气、水重点管控区执行要素重点管控要求。</w:t>
                  </w:r>
                </w:p>
                <w:p w14:paraId="0F30BEC3">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其他污染物排放管控要求</w:t>
                  </w:r>
                </w:p>
              </w:tc>
              <w:tc>
                <w:tcPr>
                  <w:tcW w:w="967" w:type="pct"/>
                  <w:tcBorders>
                    <w:tl2br w:val="nil"/>
                    <w:tr2bl w:val="nil"/>
                  </w:tcBorders>
                  <w:vAlign w:val="center"/>
                </w:tcPr>
                <w:p w14:paraId="4671BF64">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本项目</w:t>
                  </w:r>
                  <w:r>
                    <w:rPr>
                      <w:rFonts w:hint="default" w:ascii="Times New Roman" w:hAnsi="Times New Roman" w:eastAsia="宋体" w:cs="Times New Roman"/>
                      <w:color w:val="auto"/>
                      <w:sz w:val="21"/>
                      <w:szCs w:val="21"/>
                      <w:lang w:eastAsia="zh-CN"/>
                    </w:rPr>
                    <w:t>生活污水经预处理后用作农肥不外排</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eastAsia="zh-CN"/>
                    </w:rPr>
                    <w:t>雨水实行雨污分流符合管控要求。</w:t>
                  </w:r>
                </w:p>
              </w:tc>
              <w:tc>
                <w:tcPr>
                  <w:tcW w:w="210" w:type="pct"/>
                  <w:tcBorders>
                    <w:tl2br w:val="nil"/>
                    <w:tr2bl w:val="nil"/>
                  </w:tcBorders>
                  <w:vAlign w:val="center"/>
                </w:tcPr>
                <w:p w14:paraId="6B37B555">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6A7D7CA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66ADC3DB">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13356446">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54FBA158">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2104" w:type="pct"/>
                  <w:tcBorders>
                    <w:tl2br w:val="nil"/>
                    <w:tr2bl w:val="nil"/>
                  </w:tcBorders>
                  <w:vAlign w:val="center"/>
                </w:tcPr>
                <w:p w14:paraId="0277E21E">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严格管控类农用地管控要求</w:t>
                  </w:r>
                </w:p>
                <w:p w14:paraId="7EA664B8">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安全利用类农用地管控要求</w:t>
                  </w:r>
                </w:p>
                <w:p w14:paraId="6046F0BF">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污染地块管控要求</w:t>
                  </w:r>
                </w:p>
                <w:p w14:paraId="79047A9E">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执行一般管控单元总体准入要求。单元内的水重点管控区执行水要素重点管控要求，土壤优先保护区执行土壤要素优先保护管控要求。</w:t>
                  </w:r>
                </w:p>
                <w:p w14:paraId="5B4A6D72">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园区环境风险防控要求</w:t>
                  </w:r>
                </w:p>
                <w:p w14:paraId="2B1B5F3F">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企业环境风险防控要求</w:t>
                  </w:r>
                </w:p>
                <w:p w14:paraId="74D3DCDF">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执行一般管控单元总体准入要求。单元内的水重点管控区执行水要素重点管控要求，土壤优先保护区执行土壤要素优先保护管控要求。</w:t>
                  </w:r>
                </w:p>
                <w:p w14:paraId="56702CA2">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其他环境风险防控要求</w:t>
                  </w:r>
                </w:p>
              </w:tc>
              <w:tc>
                <w:tcPr>
                  <w:tcW w:w="967" w:type="pct"/>
                  <w:tcBorders>
                    <w:tl2br w:val="nil"/>
                    <w:tr2bl w:val="nil"/>
                  </w:tcBorders>
                  <w:vAlign w:val="center"/>
                </w:tcPr>
                <w:p w14:paraId="382BD898">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本项目为国家储备林建设及森林质量项目，项目的实施不会提高环境风险等级。</w:t>
                  </w:r>
                </w:p>
              </w:tc>
              <w:tc>
                <w:tcPr>
                  <w:tcW w:w="210" w:type="pct"/>
                  <w:tcBorders>
                    <w:tl2br w:val="nil"/>
                    <w:tr2bl w:val="nil"/>
                  </w:tcBorders>
                  <w:vAlign w:val="center"/>
                </w:tcPr>
                <w:p w14:paraId="1918EA79">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387D269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3FAB4A74">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50E4E37A">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0BEC79A7">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2104" w:type="pct"/>
                  <w:tcBorders>
                    <w:tl2br w:val="nil"/>
                    <w:tr2bl w:val="nil"/>
                  </w:tcBorders>
                  <w:vAlign w:val="center"/>
                </w:tcPr>
                <w:p w14:paraId="329F2FF5">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水资源利用效率要求</w:t>
                  </w:r>
                </w:p>
                <w:p w14:paraId="2C7A68FA">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执行一般管控单元总体准入要求。单元内的大气、水重点管控区执行要素重点管控要求。</w:t>
                  </w:r>
                </w:p>
                <w:p w14:paraId="086C94F0">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地下水开采要求</w:t>
                  </w:r>
                </w:p>
                <w:p w14:paraId="3B02A08A">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能源利用效率要求</w:t>
                  </w:r>
                </w:p>
                <w:p w14:paraId="4DDB8F77">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执行一般管控单元总体准入要求。</w:t>
                  </w:r>
                </w:p>
                <w:p w14:paraId="2E43155B">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其他资源利用效率要求</w:t>
                  </w:r>
                </w:p>
              </w:tc>
              <w:tc>
                <w:tcPr>
                  <w:tcW w:w="967" w:type="pct"/>
                  <w:tcBorders>
                    <w:tl2br w:val="nil"/>
                    <w:tr2bl w:val="nil"/>
                  </w:tcBorders>
                  <w:vAlign w:val="center"/>
                </w:tcPr>
                <w:p w14:paraId="2B22A5AD">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本项目建设消防水池，用于储存水。</w:t>
                  </w:r>
                </w:p>
              </w:tc>
              <w:tc>
                <w:tcPr>
                  <w:tcW w:w="210" w:type="pct"/>
                  <w:tcBorders>
                    <w:tl2br w:val="nil"/>
                    <w:tr2bl w:val="nil"/>
                  </w:tcBorders>
                  <w:vAlign w:val="center"/>
                </w:tcPr>
                <w:p w14:paraId="77CDC105">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2B03AFC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restart"/>
                  <w:tcBorders>
                    <w:tl2br w:val="nil"/>
                    <w:tr2bl w:val="nil"/>
                  </w:tcBorders>
                  <w:vAlign w:val="center"/>
                </w:tcPr>
                <w:p w14:paraId="191C6FB6">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YS5120222230003</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索溪河乐至县谢家桥控制单元</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水环境管控分区</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水环境农业污染重点管控区</w:t>
                  </w:r>
                </w:p>
              </w:tc>
              <w:tc>
                <w:tcPr>
                  <w:tcW w:w="420" w:type="pct"/>
                  <w:vMerge w:val="restart"/>
                  <w:tcBorders>
                    <w:tl2br w:val="nil"/>
                    <w:tr2bl w:val="nil"/>
                  </w:tcBorders>
                  <w:vAlign w:val="center"/>
                </w:tcPr>
                <w:p w14:paraId="70DD3237">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普适性清单管控要求</w:t>
                  </w:r>
                </w:p>
              </w:tc>
              <w:tc>
                <w:tcPr>
                  <w:tcW w:w="635" w:type="pct"/>
                  <w:tcBorders>
                    <w:tl2br w:val="nil"/>
                    <w:tr2bl w:val="nil"/>
                  </w:tcBorders>
                  <w:vAlign w:val="center"/>
                </w:tcPr>
                <w:p w14:paraId="719C4710">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2104" w:type="pct"/>
                  <w:tcBorders>
                    <w:tl2br w:val="nil"/>
                    <w:tr2bl w:val="nil"/>
                  </w:tcBorders>
                  <w:vAlign w:val="center"/>
                </w:tcPr>
                <w:p w14:paraId="1A55B7BE">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19F04725">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40FA3F88">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6586768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2D690131">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7C2D7E8D">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7BF077B2">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2104" w:type="pct"/>
                  <w:tcBorders>
                    <w:tl2br w:val="nil"/>
                    <w:tr2bl w:val="nil"/>
                  </w:tcBorders>
                  <w:vAlign w:val="center"/>
                </w:tcPr>
                <w:p w14:paraId="6351E2CC">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1E924E3B">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45CDFA5D">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1C6ADBF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454D69A9">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297BA5AE">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2D31A6E1">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2104" w:type="pct"/>
                  <w:tcBorders>
                    <w:tl2br w:val="nil"/>
                    <w:tr2bl w:val="nil"/>
                  </w:tcBorders>
                  <w:vAlign w:val="center"/>
                </w:tcPr>
                <w:p w14:paraId="2D91D568">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372AA982">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02E4EA82">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2762DC8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54B16DA0">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54AC568F">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2105C454">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2104" w:type="pct"/>
                  <w:tcBorders>
                    <w:tl2br w:val="nil"/>
                    <w:tr2bl w:val="nil"/>
                  </w:tcBorders>
                  <w:vAlign w:val="center"/>
                </w:tcPr>
                <w:p w14:paraId="02E0EA57">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03D0A8CC">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63C7CDC4">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2B1F11C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1963185D">
                  <w:pPr>
                    <w:jc w:val="center"/>
                    <w:rPr>
                      <w:rFonts w:hint="default" w:ascii="Times New Roman" w:hAnsi="Times New Roman" w:eastAsia="宋体" w:cs="Times New Roman"/>
                      <w:color w:val="auto"/>
                      <w:sz w:val="21"/>
                      <w:szCs w:val="21"/>
                    </w:rPr>
                  </w:pPr>
                </w:p>
              </w:tc>
              <w:tc>
                <w:tcPr>
                  <w:tcW w:w="420" w:type="pct"/>
                  <w:vMerge w:val="restart"/>
                  <w:tcBorders>
                    <w:tl2br w:val="nil"/>
                    <w:tr2bl w:val="nil"/>
                  </w:tcBorders>
                  <w:vAlign w:val="center"/>
                </w:tcPr>
                <w:p w14:paraId="72D5BD77">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单元级清单管控要求</w:t>
                  </w:r>
                </w:p>
              </w:tc>
              <w:tc>
                <w:tcPr>
                  <w:tcW w:w="635" w:type="pct"/>
                  <w:tcBorders>
                    <w:tl2br w:val="nil"/>
                    <w:tr2bl w:val="nil"/>
                  </w:tcBorders>
                  <w:vAlign w:val="center"/>
                </w:tcPr>
                <w:p w14:paraId="739D0C3B">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2104" w:type="pct"/>
                  <w:tcBorders>
                    <w:tl2br w:val="nil"/>
                    <w:tr2bl w:val="nil"/>
                  </w:tcBorders>
                  <w:vAlign w:val="center"/>
                </w:tcPr>
                <w:p w14:paraId="1834878D">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禁止开发建设活动的要求</w:t>
                  </w:r>
                </w:p>
                <w:p w14:paraId="01FF3ABA">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限制开发建设活动的要求</w:t>
                  </w:r>
                </w:p>
                <w:p w14:paraId="56AF43E7">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允许开发建设活动的要求</w:t>
                  </w:r>
                </w:p>
                <w:p w14:paraId="44BB1BBF">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不符合空间布局要求活动的退出要求</w:t>
                  </w:r>
                </w:p>
                <w:p w14:paraId="0D3BD1C4">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其他空间布局约束要求</w:t>
                  </w:r>
                </w:p>
              </w:tc>
              <w:tc>
                <w:tcPr>
                  <w:tcW w:w="967" w:type="pct"/>
                  <w:tcBorders>
                    <w:tl2br w:val="nil"/>
                    <w:tr2bl w:val="nil"/>
                  </w:tcBorders>
                  <w:vAlign w:val="center"/>
                </w:tcPr>
                <w:p w14:paraId="5495B51F">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本项目不属于禁止开发活动，限制开发建设活动。</w:t>
                  </w:r>
                </w:p>
              </w:tc>
              <w:tc>
                <w:tcPr>
                  <w:tcW w:w="210" w:type="pct"/>
                  <w:tcBorders>
                    <w:tl2br w:val="nil"/>
                    <w:tr2bl w:val="nil"/>
                  </w:tcBorders>
                  <w:vAlign w:val="center"/>
                </w:tcPr>
                <w:p w14:paraId="1F9DAD15">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73B5034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309E3B3A">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7E4FFE06">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0112C60D">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2104" w:type="pct"/>
                  <w:tcBorders>
                    <w:tl2br w:val="nil"/>
                    <w:tr2bl w:val="nil"/>
                  </w:tcBorders>
                  <w:vAlign w:val="center"/>
                </w:tcPr>
                <w:p w14:paraId="1C34023A">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城镇污水污染控制措施要求</w:t>
                  </w:r>
                </w:p>
                <w:p w14:paraId="50A8717D">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工业废水污染控制措施要求</w:t>
                  </w:r>
                </w:p>
                <w:p w14:paraId="6996D05E">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农业面源水污染控制措施要求</w:t>
                  </w:r>
                </w:p>
                <w:p w14:paraId="7AE025C5">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1、推进化肥、农药使用量“减量化”，逐步推进农田径流拦截及治理；2、合理控制畜禽养殖规模，单位面积耕地的畜禽承载力不突破《四川省畜禽养殖污染防治技术指南》要求，提高畜禽养殖废物资源化利用水平；3、合理控制水产养殖规模，加强水产养殖废水治理及资源化利用，禁止直接排放。4、因地制宜加强乡镇场镇、农村集聚点生活污水收集处理。</w:t>
                  </w:r>
                </w:p>
                <w:p w14:paraId="05ECB72F">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船舶港口水污染控制措施要求</w:t>
                  </w:r>
                </w:p>
                <w:p w14:paraId="5EA269B7">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饮用水水源和其它特殊水体保护要求</w:t>
                  </w:r>
                </w:p>
              </w:tc>
              <w:tc>
                <w:tcPr>
                  <w:tcW w:w="967" w:type="pct"/>
                  <w:tcBorders>
                    <w:tl2br w:val="nil"/>
                    <w:tr2bl w:val="nil"/>
                  </w:tcBorders>
                  <w:vAlign w:val="center"/>
                </w:tcPr>
                <w:p w14:paraId="585455C6">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w:t>
                  </w:r>
                  <w:r>
                    <w:rPr>
                      <w:rFonts w:hint="default" w:ascii="Times New Roman" w:hAnsi="Times New Roman" w:eastAsia="宋体" w:cs="Times New Roman"/>
                      <w:color w:val="auto"/>
                      <w:sz w:val="21"/>
                      <w:szCs w:val="21"/>
                      <w:lang w:eastAsia="zh-CN"/>
                    </w:rPr>
                    <w:t>生活污水经预处理后用作农肥不外排</w:t>
                  </w: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12415714">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165AD9C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4C56FEFF">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075414E2">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5624877D">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2104" w:type="pct"/>
                  <w:tcBorders>
                    <w:tl2br w:val="nil"/>
                    <w:tr2bl w:val="nil"/>
                  </w:tcBorders>
                  <w:vAlign w:val="center"/>
                </w:tcPr>
                <w:p w14:paraId="16FE8E58">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5CF7C46F">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5FD60489">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158C156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07F23585">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7A65AA2F">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043E624D">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2104" w:type="pct"/>
                  <w:tcBorders>
                    <w:tl2br w:val="nil"/>
                    <w:tr2bl w:val="nil"/>
                  </w:tcBorders>
                  <w:vAlign w:val="center"/>
                </w:tcPr>
                <w:p w14:paraId="6991F926">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强化种植业节水</w:t>
                  </w:r>
                </w:p>
              </w:tc>
              <w:tc>
                <w:tcPr>
                  <w:tcW w:w="2751" w:type="dxa"/>
                  <w:tcBorders>
                    <w:tl2br w:val="nil"/>
                    <w:tr2bl w:val="nil"/>
                  </w:tcBorders>
                  <w:vAlign w:val="center"/>
                </w:tcPr>
                <w:p w14:paraId="08AC2817">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本项目建设消防水池，用于储存水。</w:t>
                  </w:r>
                </w:p>
              </w:tc>
              <w:tc>
                <w:tcPr>
                  <w:tcW w:w="597" w:type="dxa"/>
                  <w:tcBorders>
                    <w:tl2br w:val="nil"/>
                    <w:tr2bl w:val="nil"/>
                  </w:tcBorders>
                  <w:vAlign w:val="center"/>
                </w:tcPr>
                <w:p w14:paraId="4F83363F">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6DB0CA0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restart"/>
                  <w:tcBorders>
                    <w:tl2br w:val="nil"/>
                    <w:tr2bl w:val="nil"/>
                  </w:tcBorders>
                  <w:vAlign w:val="center"/>
                </w:tcPr>
                <w:p w14:paraId="5D08FC3C">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YS5120223310001</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乐至县大气环境一般管控区</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大气环境管控分区</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大气环境一般管控区</w:t>
                  </w:r>
                </w:p>
              </w:tc>
              <w:tc>
                <w:tcPr>
                  <w:tcW w:w="420" w:type="pct"/>
                  <w:vMerge w:val="restart"/>
                  <w:tcBorders>
                    <w:tl2br w:val="nil"/>
                    <w:tr2bl w:val="nil"/>
                  </w:tcBorders>
                  <w:vAlign w:val="center"/>
                </w:tcPr>
                <w:p w14:paraId="48E7AFD3">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普适性清单管控要求</w:t>
                  </w:r>
                </w:p>
              </w:tc>
              <w:tc>
                <w:tcPr>
                  <w:tcW w:w="635" w:type="pct"/>
                  <w:tcBorders>
                    <w:tl2br w:val="nil"/>
                    <w:tr2bl w:val="nil"/>
                  </w:tcBorders>
                  <w:vAlign w:val="center"/>
                </w:tcPr>
                <w:p w14:paraId="60133537">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2104" w:type="pct"/>
                  <w:tcBorders>
                    <w:tl2br w:val="nil"/>
                    <w:tr2bl w:val="nil"/>
                  </w:tcBorders>
                  <w:vAlign w:val="center"/>
                </w:tcPr>
                <w:p w14:paraId="049DA4E9">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289812E8">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60CF01BB">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46F9C4F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3A3C361A">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7EFF2DD5">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202F412E">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2104" w:type="pct"/>
                  <w:tcBorders>
                    <w:tl2br w:val="nil"/>
                    <w:tr2bl w:val="nil"/>
                  </w:tcBorders>
                  <w:vAlign w:val="center"/>
                </w:tcPr>
                <w:p w14:paraId="6FB42382">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2C8086A3">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62B956F9">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281FBDA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3FEB812B">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5859500B">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3373CE5C">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2104" w:type="pct"/>
                  <w:tcBorders>
                    <w:tl2br w:val="nil"/>
                    <w:tr2bl w:val="nil"/>
                  </w:tcBorders>
                  <w:vAlign w:val="center"/>
                </w:tcPr>
                <w:p w14:paraId="12DD8AE6">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751F5B0B">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1B093F1D">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311D416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42C6E375">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106216AB">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050897C3">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2104" w:type="pct"/>
                  <w:tcBorders>
                    <w:tl2br w:val="nil"/>
                    <w:tr2bl w:val="nil"/>
                  </w:tcBorders>
                  <w:vAlign w:val="center"/>
                </w:tcPr>
                <w:p w14:paraId="0B841AA0">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0FB17D86">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04D551EB">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4C3CA5A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59F7A2BB">
                  <w:pPr>
                    <w:jc w:val="center"/>
                    <w:rPr>
                      <w:rFonts w:hint="default" w:ascii="Times New Roman" w:hAnsi="Times New Roman" w:eastAsia="宋体" w:cs="Times New Roman"/>
                      <w:color w:val="auto"/>
                      <w:sz w:val="21"/>
                      <w:szCs w:val="21"/>
                    </w:rPr>
                  </w:pPr>
                </w:p>
              </w:tc>
              <w:tc>
                <w:tcPr>
                  <w:tcW w:w="420" w:type="pct"/>
                  <w:vMerge w:val="restart"/>
                  <w:tcBorders>
                    <w:tl2br w:val="nil"/>
                    <w:tr2bl w:val="nil"/>
                  </w:tcBorders>
                  <w:vAlign w:val="center"/>
                </w:tcPr>
                <w:p w14:paraId="1652C67E">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单元级清单管控要求</w:t>
                  </w:r>
                </w:p>
              </w:tc>
              <w:tc>
                <w:tcPr>
                  <w:tcW w:w="635" w:type="pct"/>
                  <w:tcBorders>
                    <w:tl2br w:val="nil"/>
                    <w:tr2bl w:val="nil"/>
                  </w:tcBorders>
                  <w:vAlign w:val="center"/>
                </w:tcPr>
                <w:p w14:paraId="63D83BB5">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2104" w:type="pct"/>
                  <w:tcBorders>
                    <w:tl2br w:val="nil"/>
                    <w:tr2bl w:val="nil"/>
                  </w:tcBorders>
                  <w:vAlign w:val="center"/>
                </w:tcPr>
                <w:p w14:paraId="1E0C3592">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禁止开发建设活动的要求</w:t>
                  </w:r>
                </w:p>
                <w:p w14:paraId="3A1A484B">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限制开发建设活动的要求</w:t>
                  </w:r>
                </w:p>
                <w:p w14:paraId="5F400855">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允许开发建设活动的要求</w:t>
                  </w:r>
                </w:p>
                <w:p w14:paraId="6D8F095E">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不符合空间布局要求活动的退出要求</w:t>
                  </w:r>
                </w:p>
                <w:p w14:paraId="3004360F">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其他空间布局约束要求</w:t>
                  </w:r>
                </w:p>
              </w:tc>
              <w:tc>
                <w:tcPr>
                  <w:tcW w:w="967" w:type="pct"/>
                  <w:tcBorders>
                    <w:tl2br w:val="nil"/>
                    <w:tr2bl w:val="nil"/>
                  </w:tcBorders>
                  <w:vAlign w:val="center"/>
                </w:tcPr>
                <w:p w14:paraId="6F25D87D">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本项目为国家储备林建设及森林质量项目，空间布局合理。</w:t>
                  </w:r>
                </w:p>
              </w:tc>
              <w:tc>
                <w:tcPr>
                  <w:tcW w:w="210" w:type="pct"/>
                  <w:tcBorders>
                    <w:tl2br w:val="nil"/>
                    <w:tr2bl w:val="nil"/>
                  </w:tcBorders>
                  <w:vAlign w:val="center"/>
                </w:tcPr>
                <w:p w14:paraId="298E59CF">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44F8D25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661" w:type="pct"/>
                  <w:vMerge w:val="continue"/>
                  <w:tcBorders>
                    <w:tl2br w:val="nil"/>
                    <w:tr2bl w:val="nil"/>
                  </w:tcBorders>
                  <w:vAlign w:val="center"/>
                </w:tcPr>
                <w:p w14:paraId="21C7D81B">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02CB0FDA">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08FEC974">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2104" w:type="pct"/>
                  <w:tcBorders>
                    <w:tl2br w:val="nil"/>
                    <w:tr2bl w:val="nil"/>
                  </w:tcBorders>
                  <w:vAlign w:val="center"/>
                </w:tcPr>
                <w:p w14:paraId="53A5E6E2">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大气环境质量执行标准</w:t>
                  </w:r>
                </w:p>
                <w:p w14:paraId="2E98A863">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《环境空气质量标准》（GB3095-2012）：二级</w:t>
                  </w:r>
                </w:p>
                <w:p w14:paraId="6399DDCE">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区域大气污染物削减/替代要求</w:t>
                  </w:r>
                </w:p>
                <w:p w14:paraId="1C8F37A4">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燃煤和其他能源大气污染控制要求</w:t>
                  </w:r>
                </w:p>
                <w:p w14:paraId="265ADC8A">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工业废气污染控制要求</w:t>
                  </w:r>
                </w:p>
                <w:p w14:paraId="64EB9414">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机动车船大气污染控制要求</w:t>
                  </w:r>
                </w:p>
                <w:p w14:paraId="1C4CC40D">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扬尘污染控制要求</w:t>
                  </w:r>
                </w:p>
                <w:p w14:paraId="4845A0E3">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农业生产经营活动大气污染控制要求</w:t>
                  </w:r>
                </w:p>
                <w:p w14:paraId="11EAFABA">
                  <w:pPr>
                    <w:pStyle w:val="54"/>
                    <w:widowControl/>
                    <w:shd w:val="clear" w:color="auto" w:fill="FFFFFF"/>
                    <w:spacing w:line="240" w:lineRule="auto"/>
                    <w:ind w:firstLine="0" w:firstLineChars="0"/>
                    <w:jc w:val="left"/>
                    <w:rPr>
                      <w:rStyle w:val="34"/>
                      <w:rFonts w:hint="default" w:ascii="Times New Roman" w:hAnsi="Times New Roman" w:eastAsia="宋体" w:cs="Times New Roman"/>
                      <w:color w:val="auto"/>
                      <w:kern w:val="2"/>
                      <w:sz w:val="21"/>
                      <w:szCs w:val="21"/>
                      <w:lang w:val="en-US" w:eastAsia="zh-CN" w:bidi="ar-SA"/>
                    </w:rPr>
                  </w:pPr>
                  <w:r>
                    <w:rPr>
                      <w:rStyle w:val="34"/>
                      <w:rFonts w:hint="default" w:ascii="Times New Roman" w:hAnsi="Times New Roman" w:eastAsia="宋体" w:cs="Times New Roman"/>
                      <w:color w:val="auto"/>
                      <w:kern w:val="2"/>
                      <w:sz w:val="21"/>
                      <w:szCs w:val="21"/>
                      <w:lang w:val="en-US" w:eastAsia="zh-CN" w:bidi="ar-SA"/>
                    </w:rPr>
                    <w:t>重点行业企业专项治理要求</w:t>
                  </w:r>
                </w:p>
                <w:p w14:paraId="2C877DA4">
                  <w:pPr>
                    <w:pStyle w:val="54"/>
                    <w:widowControl/>
                    <w:shd w:val="clear" w:color="auto" w:fill="FFFFFF"/>
                    <w:spacing w:line="240" w:lineRule="auto"/>
                    <w:ind w:firstLine="0" w:firstLineChars="0"/>
                    <w:jc w:val="left"/>
                    <w:rPr>
                      <w:rFonts w:hint="default" w:ascii="Times New Roman" w:hAnsi="Times New Roman" w:eastAsia="宋体" w:cs="Times New Roman"/>
                      <w:color w:val="auto"/>
                      <w:sz w:val="21"/>
                      <w:szCs w:val="21"/>
                    </w:rPr>
                  </w:pPr>
                  <w:r>
                    <w:rPr>
                      <w:rStyle w:val="34"/>
                      <w:rFonts w:hint="default" w:ascii="Times New Roman" w:hAnsi="Times New Roman" w:eastAsia="宋体" w:cs="Times New Roman"/>
                      <w:color w:val="auto"/>
                      <w:kern w:val="2"/>
                      <w:sz w:val="21"/>
                      <w:szCs w:val="21"/>
                      <w:lang w:val="en-US" w:eastAsia="zh-CN" w:bidi="ar-SA"/>
                    </w:rPr>
                    <w:t>其他大气污染物排放管控要求</w:t>
                  </w:r>
                </w:p>
              </w:tc>
              <w:tc>
                <w:tcPr>
                  <w:tcW w:w="2751" w:type="dxa"/>
                  <w:tcBorders>
                    <w:tl2br w:val="nil"/>
                    <w:tr2bl w:val="nil"/>
                  </w:tcBorders>
                  <w:vAlign w:val="center"/>
                </w:tcPr>
                <w:p w14:paraId="08125B22">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项目为国家储备林建设及森林质量项目，不属于工业企业。</w:t>
                  </w:r>
                  <w:r>
                    <w:rPr>
                      <w:rFonts w:hint="default" w:ascii="Times New Roman" w:hAnsi="Times New Roman" w:eastAsia="宋体" w:cs="Times New Roman"/>
                      <w:color w:val="auto"/>
                      <w:sz w:val="21"/>
                      <w:szCs w:val="21"/>
                      <w:lang w:val="en-US" w:eastAsia="zh-CN"/>
                    </w:rPr>
                    <w:t>项目大气污染物排放主要为施工扬尘</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对环境影响较小。</w:t>
                  </w:r>
                </w:p>
              </w:tc>
              <w:tc>
                <w:tcPr>
                  <w:tcW w:w="597" w:type="dxa"/>
                  <w:tcBorders>
                    <w:tl2br w:val="nil"/>
                    <w:tr2bl w:val="nil"/>
                  </w:tcBorders>
                  <w:vAlign w:val="center"/>
                </w:tcPr>
                <w:p w14:paraId="2E623BE3">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符合</w:t>
                  </w:r>
                </w:p>
              </w:tc>
            </w:tr>
            <w:tr w14:paraId="0478FED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6B6308B8">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156796FA">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4E8F2A92">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2104" w:type="pct"/>
                  <w:tcBorders>
                    <w:tl2br w:val="nil"/>
                    <w:tr2bl w:val="nil"/>
                  </w:tcBorders>
                  <w:vAlign w:val="center"/>
                </w:tcPr>
                <w:p w14:paraId="00D459BC">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77FB4892">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6BE976D8">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391B92E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57B94D13">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744C111E">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6EDBBE5E">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2104" w:type="pct"/>
                  <w:tcBorders>
                    <w:tl2br w:val="nil"/>
                    <w:tr2bl w:val="nil"/>
                  </w:tcBorders>
                  <w:vAlign w:val="center"/>
                </w:tcPr>
                <w:p w14:paraId="5EBA9FB1">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5D487197">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44A870DE">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6FFC7AD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restart"/>
                  <w:tcBorders>
                    <w:tl2br w:val="nil"/>
                    <w:tr2bl w:val="nil"/>
                  </w:tcBorders>
                  <w:vAlign w:val="center"/>
                </w:tcPr>
                <w:p w14:paraId="1DA78AEC">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YS5120222550001</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乐至县自然资源重点管控区</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自然资源管控分区</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自然资源重点管控区</w:t>
                  </w:r>
                </w:p>
              </w:tc>
              <w:tc>
                <w:tcPr>
                  <w:tcW w:w="420" w:type="pct"/>
                  <w:vMerge w:val="restart"/>
                  <w:tcBorders>
                    <w:tl2br w:val="nil"/>
                    <w:tr2bl w:val="nil"/>
                  </w:tcBorders>
                  <w:vAlign w:val="center"/>
                </w:tcPr>
                <w:p w14:paraId="4AB7F3FE">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普适性清单管控要求</w:t>
                  </w:r>
                </w:p>
              </w:tc>
              <w:tc>
                <w:tcPr>
                  <w:tcW w:w="635" w:type="pct"/>
                  <w:tcBorders>
                    <w:tl2br w:val="nil"/>
                    <w:tr2bl w:val="nil"/>
                  </w:tcBorders>
                  <w:vAlign w:val="center"/>
                </w:tcPr>
                <w:p w14:paraId="239359B0">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2104" w:type="pct"/>
                  <w:tcBorders>
                    <w:tl2br w:val="nil"/>
                    <w:tr2bl w:val="nil"/>
                  </w:tcBorders>
                  <w:vAlign w:val="center"/>
                </w:tcPr>
                <w:p w14:paraId="6C360B1C">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4E536E32">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0623EA10">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094904B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6DC3D6A4">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219AF1C4">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560D8CAE">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2104" w:type="pct"/>
                  <w:tcBorders>
                    <w:tl2br w:val="nil"/>
                    <w:tr2bl w:val="nil"/>
                  </w:tcBorders>
                  <w:vAlign w:val="center"/>
                </w:tcPr>
                <w:p w14:paraId="535A50F5">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51DE3413">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571F8C85">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1E02BCF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597DFF25">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04469D66">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4AD8195D">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2104" w:type="pct"/>
                  <w:tcBorders>
                    <w:tl2br w:val="nil"/>
                    <w:tr2bl w:val="nil"/>
                  </w:tcBorders>
                  <w:vAlign w:val="center"/>
                </w:tcPr>
                <w:p w14:paraId="69642794">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740AD145">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0502BF9F">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688F37D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712C58E2">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4183054C">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0EA27924">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2104" w:type="pct"/>
                  <w:tcBorders>
                    <w:tl2br w:val="nil"/>
                    <w:tr2bl w:val="nil"/>
                  </w:tcBorders>
                  <w:vAlign w:val="center"/>
                </w:tcPr>
                <w:p w14:paraId="18BBDEF9">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14903472">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52B340C4">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1C7E4AC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02E63B39">
                  <w:pPr>
                    <w:jc w:val="center"/>
                    <w:rPr>
                      <w:rFonts w:hint="default" w:ascii="Times New Roman" w:hAnsi="Times New Roman" w:eastAsia="宋体" w:cs="Times New Roman"/>
                      <w:color w:val="auto"/>
                      <w:sz w:val="21"/>
                      <w:szCs w:val="21"/>
                    </w:rPr>
                  </w:pPr>
                </w:p>
              </w:tc>
              <w:tc>
                <w:tcPr>
                  <w:tcW w:w="420" w:type="pct"/>
                  <w:vMerge w:val="restart"/>
                  <w:tcBorders>
                    <w:tl2br w:val="nil"/>
                    <w:tr2bl w:val="nil"/>
                  </w:tcBorders>
                  <w:vAlign w:val="center"/>
                </w:tcPr>
                <w:p w14:paraId="25341BD7">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单元级清单管控要求</w:t>
                  </w:r>
                </w:p>
              </w:tc>
              <w:tc>
                <w:tcPr>
                  <w:tcW w:w="635" w:type="pct"/>
                  <w:tcBorders>
                    <w:tl2br w:val="nil"/>
                    <w:tr2bl w:val="nil"/>
                  </w:tcBorders>
                  <w:vAlign w:val="center"/>
                </w:tcPr>
                <w:p w14:paraId="3E65B494">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2104" w:type="pct"/>
                  <w:tcBorders>
                    <w:tl2br w:val="nil"/>
                    <w:tr2bl w:val="nil"/>
                  </w:tcBorders>
                  <w:vAlign w:val="center"/>
                </w:tcPr>
                <w:p w14:paraId="75ED50A8">
                  <w:pPr>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合理开发高效利用水资源，建设节水型社会；优化土地利用布局与结构；优化产业空间布局，构建清洁能源体系</w:t>
                  </w:r>
                </w:p>
              </w:tc>
              <w:tc>
                <w:tcPr>
                  <w:tcW w:w="2751" w:type="dxa"/>
                  <w:tcBorders>
                    <w:tl2br w:val="nil"/>
                    <w:tr2bl w:val="nil"/>
                  </w:tcBorders>
                  <w:vAlign w:val="center"/>
                </w:tcPr>
                <w:p w14:paraId="0EBD2BFE">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本项目不属于禁止开发活动，限制开发建设活动。</w:t>
                  </w:r>
                </w:p>
              </w:tc>
              <w:tc>
                <w:tcPr>
                  <w:tcW w:w="597" w:type="dxa"/>
                  <w:tcBorders>
                    <w:tl2br w:val="nil"/>
                    <w:tr2bl w:val="nil"/>
                  </w:tcBorders>
                  <w:vAlign w:val="center"/>
                </w:tcPr>
                <w:p w14:paraId="762E0CE2">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42F6F1D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52FF7D5D">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7B34A077">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7E3CD7ED">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2104" w:type="pct"/>
                  <w:tcBorders>
                    <w:tl2br w:val="nil"/>
                    <w:tr2bl w:val="nil"/>
                  </w:tcBorders>
                  <w:vAlign w:val="center"/>
                </w:tcPr>
                <w:p w14:paraId="6D121947">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62336CFE">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1BA41077">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2FE27AB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73E2667A">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2CE385C4">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6FA81D77">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2104" w:type="pct"/>
                  <w:tcBorders>
                    <w:tl2br w:val="nil"/>
                    <w:tr2bl w:val="nil"/>
                  </w:tcBorders>
                  <w:vAlign w:val="center"/>
                </w:tcPr>
                <w:p w14:paraId="2673C5ED">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645888A0">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66545C71">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2A0B8F1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57DB4D43">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7F3E6E2C">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783B497B">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2104" w:type="pct"/>
                  <w:tcBorders>
                    <w:tl2br w:val="nil"/>
                    <w:tr2bl w:val="nil"/>
                  </w:tcBorders>
                  <w:vAlign w:val="center"/>
                </w:tcPr>
                <w:p w14:paraId="79230AC3">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土地资源开发效率要求</w:t>
                  </w:r>
                </w:p>
                <w:p w14:paraId="2A90A430">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能源资源开发效率要求</w:t>
                  </w:r>
                </w:p>
                <w:p w14:paraId="756518BC">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其他资源开发效率要求</w:t>
                  </w:r>
                </w:p>
              </w:tc>
              <w:tc>
                <w:tcPr>
                  <w:tcW w:w="967" w:type="pct"/>
                  <w:tcBorders>
                    <w:tl2br w:val="nil"/>
                    <w:tr2bl w:val="nil"/>
                  </w:tcBorders>
                  <w:vAlign w:val="center"/>
                </w:tcPr>
                <w:p w14:paraId="1C2BC39B">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本项目资源需求小，符合资源开发效率要求。</w:t>
                  </w:r>
                </w:p>
              </w:tc>
              <w:tc>
                <w:tcPr>
                  <w:tcW w:w="210" w:type="pct"/>
                  <w:tcBorders>
                    <w:tl2br w:val="nil"/>
                    <w:tr2bl w:val="nil"/>
                  </w:tcBorders>
                  <w:vAlign w:val="center"/>
                </w:tcPr>
                <w:p w14:paraId="293CAA12">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1F3400F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restart"/>
                  <w:tcBorders>
                    <w:tl2br w:val="nil"/>
                    <w:tr2bl w:val="nil"/>
                  </w:tcBorders>
                  <w:vAlign w:val="center"/>
                </w:tcPr>
                <w:p w14:paraId="2540218E">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YS5120222510003</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乐至县水资源重点管控区</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自然资源管控分区</w:t>
                  </w:r>
                  <w:r>
                    <w:rPr>
                      <w:rFonts w:hint="default" w:ascii="Times New Roman" w:hAnsi="Times New Roman" w:eastAsia="宋体" w:cs="Times New Roman"/>
                      <w:color w:val="auto"/>
                      <w:sz w:val="21"/>
                      <w:szCs w:val="21"/>
                    </w:rPr>
                    <w:tab/>
                  </w:r>
                  <w:r>
                    <w:rPr>
                      <w:rFonts w:hint="default" w:ascii="Times New Roman" w:hAnsi="Times New Roman" w:eastAsia="宋体" w:cs="Times New Roman"/>
                      <w:color w:val="auto"/>
                      <w:sz w:val="21"/>
                      <w:szCs w:val="21"/>
                    </w:rPr>
                    <w:t>水资源重点管控区</w:t>
                  </w:r>
                </w:p>
              </w:tc>
              <w:tc>
                <w:tcPr>
                  <w:tcW w:w="420" w:type="pct"/>
                  <w:vMerge w:val="restart"/>
                  <w:tcBorders>
                    <w:tl2br w:val="nil"/>
                    <w:tr2bl w:val="nil"/>
                  </w:tcBorders>
                  <w:vAlign w:val="center"/>
                </w:tcPr>
                <w:p w14:paraId="1A164263">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普适性清单管控要求</w:t>
                  </w:r>
                </w:p>
              </w:tc>
              <w:tc>
                <w:tcPr>
                  <w:tcW w:w="635" w:type="pct"/>
                  <w:tcBorders>
                    <w:tl2br w:val="nil"/>
                    <w:tr2bl w:val="nil"/>
                  </w:tcBorders>
                  <w:vAlign w:val="center"/>
                </w:tcPr>
                <w:p w14:paraId="1F8E4B91">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2104" w:type="pct"/>
                  <w:tcBorders>
                    <w:tl2br w:val="nil"/>
                    <w:tr2bl w:val="nil"/>
                  </w:tcBorders>
                  <w:vAlign w:val="center"/>
                </w:tcPr>
                <w:p w14:paraId="6AA0048A">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1960CDA9">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48B6C7A9">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5DCE05C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6B293397">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139DE712">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0381C3F9">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2104" w:type="pct"/>
                  <w:tcBorders>
                    <w:tl2br w:val="nil"/>
                    <w:tr2bl w:val="nil"/>
                  </w:tcBorders>
                  <w:vAlign w:val="center"/>
                </w:tcPr>
                <w:p w14:paraId="00A4E308">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211CE8DD">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0DCDADBE">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4A44EC0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34D1C38C">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5A02DF62">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0315E23B">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2104" w:type="pct"/>
                  <w:tcBorders>
                    <w:tl2br w:val="nil"/>
                    <w:tr2bl w:val="nil"/>
                  </w:tcBorders>
                  <w:vAlign w:val="center"/>
                </w:tcPr>
                <w:p w14:paraId="26D0380D">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432E5731">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6B6E94D5">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4B19F3F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1FE65357">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301E64B5">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7FC869FD">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2104" w:type="pct"/>
                  <w:tcBorders>
                    <w:tl2br w:val="nil"/>
                    <w:tr2bl w:val="nil"/>
                  </w:tcBorders>
                  <w:vAlign w:val="center"/>
                </w:tcPr>
                <w:p w14:paraId="1D88DAF0">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67352E9B">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32B465D8">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38E9677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6B76A1AB">
                  <w:pPr>
                    <w:jc w:val="center"/>
                    <w:rPr>
                      <w:rFonts w:hint="default" w:ascii="Times New Roman" w:hAnsi="Times New Roman" w:eastAsia="宋体" w:cs="Times New Roman"/>
                      <w:color w:val="auto"/>
                      <w:sz w:val="21"/>
                      <w:szCs w:val="21"/>
                    </w:rPr>
                  </w:pPr>
                </w:p>
              </w:tc>
              <w:tc>
                <w:tcPr>
                  <w:tcW w:w="420" w:type="pct"/>
                  <w:vMerge w:val="restart"/>
                  <w:tcBorders>
                    <w:tl2br w:val="nil"/>
                    <w:tr2bl w:val="nil"/>
                  </w:tcBorders>
                  <w:vAlign w:val="center"/>
                </w:tcPr>
                <w:p w14:paraId="4CA96157">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单元级清单管控要求</w:t>
                  </w:r>
                </w:p>
              </w:tc>
              <w:tc>
                <w:tcPr>
                  <w:tcW w:w="635" w:type="pct"/>
                  <w:tcBorders>
                    <w:tl2br w:val="nil"/>
                    <w:tr2bl w:val="nil"/>
                  </w:tcBorders>
                  <w:vAlign w:val="center"/>
                </w:tcPr>
                <w:p w14:paraId="3730E758">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2104" w:type="pct"/>
                  <w:tcBorders>
                    <w:tl2br w:val="nil"/>
                    <w:tr2bl w:val="nil"/>
                  </w:tcBorders>
                  <w:vAlign w:val="center"/>
                </w:tcPr>
                <w:p w14:paraId="6550021E">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507D8526">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0BC3FDCA">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763E5E6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7572BC54">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3196DA87">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42DE171A">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2104" w:type="pct"/>
                  <w:tcBorders>
                    <w:tl2br w:val="nil"/>
                    <w:tr2bl w:val="nil"/>
                  </w:tcBorders>
                  <w:vAlign w:val="center"/>
                </w:tcPr>
                <w:p w14:paraId="489787A5">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4C129D8B">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400EF5B1">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23751A2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16BDAC0E">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47B5C020">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008D6C81">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2104" w:type="pct"/>
                  <w:tcBorders>
                    <w:tl2br w:val="nil"/>
                    <w:tr2bl w:val="nil"/>
                  </w:tcBorders>
                  <w:vAlign w:val="center"/>
                </w:tcPr>
                <w:p w14:paraId="112E01CC">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67" w:type="pct"/>
                  <w:tcBorders>
                    <w:tl2br w:val="nil"/>
                    <w:tr2bl w:val="nil"/>
                  </w:tcBorders>
                  <w:vAlign w:val="center"/>
                </w:tcPr>
                <w:p w14:paraId="2A905182">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10" w:type="pct"/>
                  <w:tcBorders>
                    <w:tl2br w:val="nil"/>
                    <w:tr2bl w:val="nil"/>
                  </w:tcBorders>
                  <w:vAlign w:val="center"/>
                </w:tcPr>
                <w:p w14:paraId="55F71955">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7CCA647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61" w:type="pct"/>
                  <w:vMerge w:val="continue"/>
                  <w:tcBorders>
                    <w:tl2br w:val="nil"/>
                    <w:tr2bl w:val="nil"/>
                  </w:tcBorders>
                  <w:vAlign w:val="center"/>
                </w:tcPr>
                <w:p w14:paraId="5A005B30">
                  <w:pPr>
                    <w:jc w:val="center"/>
                    <w:rPr>
                      <w:rFonts w:hint="default" w:ascii="Times New Roman" w:hAnsi="Times New Roman" w:eastAsia="宋体" w:cs="Times New Roman"/>
                      <w:color w:val="auto"/>
                      <w:sz w:val="21"/>
                      <w:szCs w:val="21"/>
                    </w:rPr>
                  </w:pPr>
                </w:p>
              </w:tc>
              <w:tc>
                <w:tcPr>
                  <w:tcW w:w="420" w:type="pct"/>
                  <w:vMerge w:val="continue"/>
                  <w:tcBorders>
                    <w:tl2br w:val="nil"/>
                    <w:tr2bl w:val="nil"/>
                  </w:tcBorders>
                  <w:vAlign w:val="center"/>
                </w:tcPr>
                <w:p w14:paraId="7877AA43">
                  <w:pPr>
                    <w:jc w:val="center"/>
                    <w:rPr>
                      <w:rFonts w:hint="default" w:ascii="Times New Roman" w:hAnsi="Times New Roman" w:eastAsia="宋体" w:cs="Times New Roman"/>
                      <w:color w:val="auto"/>
                      <w:sz w:val="21"/>
                      <w:szCs w:val="21"/>
                    </w:rPr>
                  </w:pPr>
                </w:p>
              </w:tc>
              <w:tc>
                <w:tcPr>
                  <w:tcW w:w="635" w:type="pct"/>
                  <w:tcBorders>
                    <w:tl2br w:val="nil"/>
                    <w:tr2bl w:val="nil"/>
                  </w:tcBorders>
                  <w:vAlign w:val="center"/>
                </w:tcPr>
                <w:p w14:paraId="299F75FA">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资源开发效率要求</w:t>
                  </w:r>
                </w:p>
              </w:tc>
              <w:tc>
                <w:tcPr>
                  <w:tcW w:w="2104" w:type="pct"/>
                  <w:tcBorders>
                    <w:tl2br w:val="nil"/>
                    <w:tr2bl w:val="nil"/>
                  </w:tcBorders>
                  <w:vAlign w:val="center"/>
                </w:tcPr>
                <w:p w14:paraId="299F8479">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土地资源开发效率要求</w:t>
                  </w:r>
                </w:p>
                <w:p w14:paraId="512293AC">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能源资源开发效率要求</w:t>
                  </w:r>
                </w:p>
                <w:p w14:paraId="1D43EF5F">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其他资源开发效率要求</w:t>
                  </w:r>
                </w:p>
              </w:tc>
              <w:tc>
                <w:tcPr>
                  <w:tcW w:w="2751" w:type="dxa"/>
                  <w:tcBorders>
                    <w:tl2br w:val="nil"/>
                    <w:tr2bl w:val="nil"/>
                  </w:tcBorders>
                  <w:vAlign w:val="center"/>
                </w:tcPr>
                <w:p w14:paraId="08A67DB6">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本项目资源需求小，符合资源开发效率要求。</w:t>
                  </w:r>
                </w:p>
              </w:tc>
              <w:tc>
                <w:tcPr>
                  <w:tcW w:w="597" w:type="dxa"/>
                  <w:tcBorders>
                    <w:tl2br w:val="nil"/>
                    <w:tr2bl w:val="nil"/>
                  </w:tcBorders>
                  <w:vAlign w:val="center"/>
                </w:tcPr>
                <w:p w14:paraId="073D3B63">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bl>
          <w:p w14:paraId="30A95488">
            <w:pPr>
              <w:rPr>
                <w:rFonts w:hint="default" w:ascii="Times New Roman" w:hAnsi="Times New Roman" w:eastAsia="宋体" w:cs="Times New Roman"/>
                <w:color w:val="auto"/>
              </w:rPr>
            </w:pPr>
          </w:p>
          <w:p w14:paraId="02287FE7">
            <w:pPr>
              <w:pStyle w:val="11"/>
              <w:spacing w:before="0" w:line="360" w:lineRule="auto"/>
              <w:ind w:firstLine="482" w:firstLineChars="200"/>
              <w:rPr>
                <w:rFonts w:hint="default" w:ascii="Times New Roman" w:hAnsi="Times New Roman" w:eastAsia="宋体" w:cs="Times New Roman"/>
                <w:b/>
                <w:bCs/>
                <w:color w:val="auto"/>
              </w:rPr>
            </w:pPr>
            <w:r>
              <w:rPr>
                <w:rFonts w:hint="default" w:ascii="Times New Roman" w:hAnsi="Times New Roman" w:eastAsia="宋体" w:cs="Times New Roman"/>
                <w:b/>
                <w:bCs/>
                <w:color w:val="auto"/>
                <w:lang w:val="en-US" w:eastAsia="zh-CN"/>
              </w:rPr>
              <w:t>3</w:t>
            </w:r>
            <w:r>
              <w:rPr>
                <w:rFonts w:hint="default" w:ascii="Times New Roman" w:hAnsi="Times New Roman" w:eastAsia="宋体" w:cs="Times New Roman"/>
                <w:b/>
                <w:bCs/>
                <w:color w:val="auto"/>
              </w:rPr>
              <w:t>.3“三线一单”符合性结论</w:t>
            </w:r>
          </w:p>
          <w:p w14:paraId="4C5DFD3B">
            <w:pPr>
              <w:pStyle w:val="11"/>
              <w:kinsoku/>
              <w:autoSpaceDE/>
              <w:autoSpaceDN/>
              <w:adjustRightInd/>
              <w:snapToGrid/>
              <w:spacing w:before="0" w:line="360" w:lineRule="auto"/>
              <w:ind w:firstLine="480" w:firstLineChars="20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综上所述，本次项目能够满足“生态保护红线、环境质量底线、资源利用上线和环境准入负面清单”（“三线一单”）约束要求。</w:t>
            </w:r>
          </w:p>
          <w:p w14:paraId="66998045">
            <w:pPr>
              <w:rPr>
                <w:rFonts w:hint="default" w:ascii="Times New Roman" w:hAnsi="Times New Roman" w:eastAsia="宋体" w:cs="Times New Roman"/>
                <w:color w:val="auto"/>
                <w:sz w:val="24"/>
                <w:szCs w:val="24"/>
              </w:rPr>
            </w:pPr>
          </w:p>
        </w:tc>
      </w:tr>
    </w:tbl>
    <w:p w14:paraId="0CD352A4">
      <w:pPr>
        <w:jc w:val="center"/>
        <w:rPr>
          <w:rFonts w:hint="default" w:ascii="Times New Roman" w:hAnsi="Times New Roman" w:eastAsia="宋体" w:cs="Times New Roman"/>
          <w:b/>
          <w:bCs/>
          <w:color w:val="auto"/>
        </w:rPr>
        <w:sectPr>
          <w:footerReference r:id="rId6" w:type="default"/>
          <w:pgSz w:w="16839" w:h="11906" w:orient="landscape"/>
          <w:pgMar w:top="1509" w:right="1431" w:bottom="1509" w:left="1179" w:header="0" w:footer="1001" w:gutter="0"/>
          <w:cols w:space="720" w:num="1"/>
        </w:sectPr>
      </w:pPr>
    </w:p>
    <w:tbl>
      <w:tblPr>
        <w:tblStyle w:val="32"/>
        <w:tblW w:w="898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316"/>
        <w:gridCol w:w="8665"/>
      </w:tblGrid>
      <w:tr w14:paraId="6E8696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16" w:hRule="atLeast"/>
          <w:jc w:val="center"/>
        </w:trPr>
        <w:tc>
          <w:tcPr>
            <w:tcW w:w="316" w:type="dxa"/>
            <w:tcMar>
              <w:left w:w="28" w:type="dxa"/>
              <w:right w:w="28" w:type="dxa"/>
            </w:tcMar>
            <w:vAlign w:val="center"/>
          </w:tcPr>
          <w:p w14:paraId="28C9256C">
            <w:pPr>
              <w:pStyle w:val="29"/>
              <w:spacing w:before="0" w:beforeAutospacing="0" w:after="0" w:afterAutospacing="0"/>
              <w:jc w:val="center"/>
              <w:rPr>
                <w:rFonts w:hint="default" w:ascii="Times New Roman" w:hAnsi="Times New Roman" w:eastAsia="宋体" w:cs="Times New Roman"/>
                <w:bCs/>
                <w:color w:val="auto"/>
                <w:kern w:val="2"/>
                <w:sz w:val="21"/>
                <w:szCs w:val="21"/>
              </w:rPr>
            </w:pPr>
            <w:r>
              <w:rPr>
                <w:rFonts w:hint="default" w:ascii="Times New Roman" w:hAnsi="Times New Roman" w:eastAsia="宋体" w:cs="Times New Roman"/>
                <w:color w:val="auto"/>
                <w:szCs w:val="24"/>
              </w:rPr>
              <w:t>其他符合性分析</w:t>
            </w:r>
          </w:p>
        </w:tc>
        <w:tc>
          <w:tcPr>
            <w:tcW w:w="8665" w:type="dxa"/>
          </w:tcPr>
          <w:p w14:paraId="55E26BF2">
            <w:pPr>
              <w:pStyle w:val="11"/>
              <w:spacing w:before="0" w:line="360" w:lineRule="auto"/>
              <w:ind w:firstLine="482" w:firstLineChars="200"/>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4、与“十四五”国家储备林建设任务表符合性分析</w:t>
            </w:r>
          </w:p>
          <w:p w14:paraId="1980465A">
            <w:pPr>
              <w:pStyle w:val="11"/>
              <w:kinsoku/>
              <w:autoSpaceDE/>
              <w:autoSpaceDN/>
              <w:adjustRightInd/>
              <w:snapToGrid/>
              <w:spacing w:before="0" w:line="360" w:lineRule="auto"/>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根据《“十四五”国家储备林建设任务表》可知，西南片区四川国家储备林工程集约人工林栽培建设面积20万亩、现有林改培50万亩、中幼林抚育50万亩。</w:t>
            </w:r>
          </w:p>
          <w:p w14:paraId="295FD121">
            <w:pPr>
              <w:pStyle w:val="11"/>
              <w:kinsoku/>
              <w:autoSpaceDE/>
              <w:autoSpaceDN/>
              <w:adjustRightInd/>
              <w:snapToGrid/>
              <w:spacing w:before="0" w:line="360" w:lineRule="auto"/>
              <w:ind w:firstLine="452"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spacing w:val="-7"/>
                <w:sz w:val="24"/>
                <w:szCs w:val="24"/>
                <w:lang w:val="en-US" w:eastAsia="zh-CN"/>
              </w:rPr>
              <w:t>本项目位于四川省资阳市乐至县，</w:t>
            </w:r>
            <w:r>
              <w:rPr>
                <w:rFonts w:hint="default" w:ascii="Times New Roman" w:hAnsi="Times New Roman" w:eastAsia="宋体" w:cs="Times New Roman"/>
                <w:color w:val="auto"/>
                <w:sz w:val="24"/>
                <w:szCs w:val="24"/>
              </w:rPr>
              <w:t>2023年-2024年作业设计建设内容集约人工林栽培7628.4亩；现有林改培5081.6亩；中幼林抚育39791.2亩</w:t>
            </w:r>
            <w:r>
              <w:rPr>
                <w:rFonts w:hint="default" w:ascii="Times New Roman" w:hAnsi="Times New Roman" w:eastAsia="宋体" w:cs="Times New Roman"/>
                <w:color w:val="auto"/>
                <w:spacing w:val="-7"/>
                <w:sz w:val="24"/>
                <w:szCs w:val="24"/>
              </w:rPr>
              <w:t>。</w:t>
            </w:r>
            <w:r>
              <w:rPr>
                <w:rFonts w:hint="default" w:ascii="Times New Roman" w:hAnsi="Times New Roman" w:eastAsia="宋体" w:cs="Times New Roman"/>
                <w:color w:val="auto"/>
                <w:spacing w:val="-7"/>
                <w:sz w:val="24"/>
                <w:szCs w:val="24"/>
                <w:lang w:val="en-US" w:eastAsia="zh-CN"/>
              </w:rPr>
              <w:t>因此，本项目的建设符合</w:t>
            </w:r>
            <w:r>
              <w:rPr>
                <w:rFonts w:hint="default" w:ascii="Times New Roman" w:hAnsi="Times New Roman" w:eastAsia="宋体" w:cs="Times New Roman"/>
                <w:color w:val="auto"/>
                <w:lang w:val="en-US" w:eastAsia="zh-CN"/>
              </w:rPr>
              <w:t>“十四五”国家储备林建设任务表要求。</w:t>
            </w:r>
          </w:p>
          <w:p w14:paraId="4CFDCEC1">
            <w:pPr>
              <w:pStyle w:val="11"/>
              <w:spacing w:before="0" w:line="360" w:lineRule="auto"/>
              <w:ind w:firstLine="482" w:firstLineChars="200"/>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5、与国家林业和草原局关于印发《“十四五”国家储备林建设实施方案》的通知符合性分析</w:t>
            </w:r>
          </w:p>
          <w:p w14:paraId="48A15AF6">
            <w:pPr>
              <w:pStyle w:val="11"/>
              <w:kinsoku/>
              <w:autoSpaceDE/>
              <w:autoSpaceDN/>
              <w:adjustRightInd/>
              <w:snapToGrid/>
              <w:spacing w:before="0" w:line="360" w:lineRule="auto"/>
              <w:ind w:firstLine="480" w:firstLineChars="20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根据国家林业和草原局关于印发《“十四五”国家储备林建设实施方案》的通知可知，</w:t>
            </w:r>
            <w:r>
              <w:rPr>
                <w:rFonts w:hint="default" w:ascii="Times New Roman" w:hAnsi="Times New Roman" w:eastAsia="宋体" w:cs="Times New Roman"/>
                <w:color w:val="auto"/>
              </w:rPr>
              <w:t>“十四五”期间，安排国家储备林建设任务3690万亩以上。按建设内容分：集约人工林栽培761万亩以上，现有林改培1593万亩以上，中幼林抚育1336万亩以上；按培育方向分：中短周期工业原料林2284万亩以上，长周期大径级用材林1406万亩以上（见附2），优先选用珍稀树种和乡土树种。“十四五”期间，国家储备林建设增加森林蓄积7000万立方米以上。</w:t>
            </w:r>
          </w:p>
          <w:p w14:paraId="56724791">
            <w:pPr>
              <w:pStyle w:val="11"/>
              <w:kinsoku/>
              <w:autoSpaceDE/>
              <w:autoSpaceDN/>
              <w:adjustRightInd/>
              <w:snapToGrid/>
              <w:spacing w:before="0" w:line="360" w:lineRule="auto"/>
              <w:ind w:firstLine="480" w:firstLineChars="20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一）集约人工林栽培。安排建设任务761万亩以上，其中重点建设区域425万亩以上，占56%；适度建设区域336万亩以上，占44%。集约人工林栽培要根据第三次全国国土调查数据和国土空间规划，科学确定造林地块，严格执行相关技术规定。提倡针阔混交、阔阔混交，混交比例为主栽树种不超</w:t>
            </w:r>
            <w:r>
              <w:rPr>
                <w:rFonts w:hint="default" w:ascii="Times New Roman" w:hAnsi="Times New Roman" w:eastAsia="宋体" w:cs="Times New Roman"/>
                <w:color w:val="auto"/>
                <w:lang w:val="en-US" w:eastAsia="zh-CN"/>
              </w:rPr>
              <w:t>过</w:t>
            </w:r>
            <w:r>
              <w:rPr>
                <w:rFonts w:hint="default" w:ascii="Times New Roman" w:hAnsi="Times New Roman" w:eastAsia="宋体" w:cs="Times New Roman"/>
                <w:color w:val="auto"/>
              </w:rPr>
              <w:t>70%。造林后按规定及时开展抚育管护工作。</w:t>
            </w:r>
          </w:p>
          <w:p w14:paraId="5C58FC62">
            <w:pPr>
              <w:pStyle w:val="11"/>
              <w:kinsoku/>
              <w:autoSpaceDE/>
              <w:autoSpaceDN/>
              <w:adjustRightInd/>
              <w:snapToGrid/>
              <w:spacing w:before="0" w:line="360" w:lineRule="auto"/>
              <w:ind w:firstLine="480" w:firstLineChars="20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二）现有林改培。安排建设任务1593万亩以上，其中重点建设区域1150万亩以上，占72%；适度建设区域443万亩以上，占28%。按照相关技术规程，对现有林中立地条件好，但未适地适树、目的树种不明确、生产潜力没有得到充分发挥的林分，通过林冠下造林、间伐改造、补植补造等措施，实施改造培育，提高森林质量。</w:t>
            </w:r>
          </w:p>
          <w:p w14:paraId="4F15F56E">
            <w:pPr>
              <w:pStyle w:val="11"/>
              <w:kinsoku/>
              <w:autoSpaceDE/>
              <w:autoSpaceDN/>
              <w:adjustRightInd/>
              <w:snapToGrid/>
              <w:spacing w:before="0" w:line="360" w:lineRule="auto"/>
              <w:ind w:firstLine="480" w:firstLineChars="20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三）中幼林抚育。安排建设任务1336万亩以上，其中重点建设区域1020万亩以上，占76%；适度建设区域316万亩以上，占24%。按照相关技术规程，选择增产潜力较大的中幼龄林，采取间伐、修枝、割灌除草、施肥等抚育措施，去劣留优，调整树种结构和林分密度，改善林木生长条件。</w:t>
            </w:r>
          </w:p>
          <w:p w14:paraId="42670F01">
            <w:pPr>
              <w:pStyle w:val="11"/>
              <w:kinsoku/>
              <w:autoSpaceDE/>
              <w:autoSpaceDN/>
              <w:adjustRightInd/>
              <w:snapToGrid/>
              <w:spacing w:before="0" w:line="360" w:lineRule="auto"/>
              <w:ind w:firstLine="480" w:firstLineChars="200"/>
              <w:textAlignment w:val="auto"/>
              <w:rPr>
                <w:rFonts w:hint="default" w:ascii="Times New Roman" w:hAnsi="Times New Roman" w:eastAsia="宋体" w:cs="Times New Roman"/>
                <w:color w:val="auto"/>
              </w:rPr>
            </w:pPr>
          </w:p>
          <w:p w14:paraId="06E07878">
            <w:pPr>
              <w:pStyle w:val="11"/>
              <w:kinsoku/>
              <w:autoSpaceDE/>
              <w:autoSpaceDN/>
              <w:adjustRightInd/>
              <w:snapToGrid/>
              <w:spacing w:before="0" w:line="360" w:lineRule="auto"/>
              <w:ind w:firstLine="452"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spacing w:val="-7"/>
                <w:sz w:val="24"/>
                <w:szCs w:val="24"/>
                <w:lang w:val="en-US" w:eastAsia="zh-CN"/>
              </w:rPr>
              <w:t>本项目位于四川省资阳市乐至县，</w:t>
            </w:r>
            <w:r>
              <w:rPr>
                <w:rFonts w:hint="default" w:ascii="Times New Roman" w:hAnsi="Times New Roman" w:eastAsia="宋体" w:cs="Times New Roman"/>
                <w:color w:val="auto"/>
                <w:spacing w:val="-7"/>
                <w:sz w:val="24"/>
                <w:szCs w:val="24"/>
              </w:rPr>
              <w:t>人工林集约栽培7628.4亩。现有林改培5081.6亩。中幼林抚育39791.2亩。</w:t>
            </w:r>
            <w:r>
              <w:rPr>
                <w:rFonts w:hint="default" w:ascii="Times New Roman" w:hAnsi="Times New Roman" w:eastAsia="宋体" w:cs="Times New Roman"/>
                <w:color w:val="auto"/>
                <w:spacing w:val="-7"/>
                <w:sz w:val="24"/>
                <w:szCs w:val="24"/>
                <w:lang w:val="en-US" w:eastAsia="zh-CN"/>
              </w:rPr>
              <w:t>因此，本项目的建设符合</w:t>
            </w:r>
            <w:r>
              <w:rPr>
                <w:rFonts w:hint="default" w:ascii="Times New Roman" w:hAnsi="Times New Roman" w:eastAsia="宋体" w:cs="Times New Roman"/>
                <w:color w:val="auto"/>
                <w:lang w:val="en-US" w:eastAsia="zh-CN"/>
              </w:rPr>
              <w:t>“国家林业和草原局关于印发《“十四五”国家储备林建设实施方案》的通知要求。</w:t>
            </w:r>
          </w:p>
          <w:p w14:paraId="5BDD2D32">
            <w:pPr>
              <w:pStyle w:val="11"/>
              <w:kinsoku/>
              <w:autoSpaceDE/>
              <w:autoSpaceDN/>
              <w:adjustRightInd/>
              <w:snapToGrid/>
              <w:spacing w:before="0" w:line="360" w:lineRule="auto"/>
              <w:ind w:firstLine="482" w:firstLineChars="200"/>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6、与国家林业和草原局关于印发《国家储备林建设管理办法（试行）》的通知符合性分析</w:t>
            </w:r>
          </w:p>
          <w:p w14:paraId="53DF0AAC">
            <w:pPr>
              <w:pStyle w:val="11"/>
              <w:kinsoku/>
              <w:autoSpaceDE/>
              <w:autoSpaceDN/>
              <w:adjustRightInd/>
              <w:snapToGrid/>
              <w:spacing w:before="0" w:line="360" w:lineRule="auto"/>
              <w:ind w:firstLine="452" w:firstLineChars="200"/>
              <w:textAlignment w:val="auto"/>
              <w:rPr>
                <w:rFonts w:hint="default" w:ascii="Times New Roman" w:hAnsi="Times New Roman" w:eastAsia="宋体" w:cs="Times New Roman"/>
                <w:color w:val="auto"/>
                <w:spacing w:val="-7"/>
                <w:sz w:val="24"/>
                <w:szCs w:val="24"/>
                <w:lang w:val="en-US" w:eastAsia="zh-CN"/>
              </w:rPr>
            </w:pPr>
            <w:r>
              <w:rPr>
                <w:rFonts w:hint="default" w:ascii="Times New Roman" w:hAnsi="Times New Roman" w:eastAsia="宋体" w:cs="Times New Roman"/>
                <w:color w:val="auto"/>
                <w:spacing w:val="-7"/>
                <w:sz w:val="24"/>
                <w:szCs w:val="24"/>
                <w:lang w:val="en-US" w:eastAsia="zh-CN"/>
              </w:rPr>
              <w:t>根据国家林业和草原局关于印发《国家储备林建设管理办法（试行）》的通知可知，第十一条 国家储备林建设应按作业设计要求组织实施。国家储备林建设主体应委托有资质的设计单位编制作业设计。第十二条 国家储备林建设树种应符合国家储备林树种目录要求，做到适地适树。推广使用良种、优良种源树种、乡土树种、珍稀树种和高效栽培技术。第十四条 国家储备林集约人工林栽培应遵照造林相关技术规程，坚持生态优先、环境友好的原则，采取集约经营措施开展。提倡营造混交林。第十五条 国家储备林现有林改培应遵照国家储备林改培相关技术规程，对现有林中立地条件好，但未适地适树、目的树种不明确、生产潜力没有得到充分发挥的林分，采取林冠下造林、间伐改造、补植补造等措施开展。第十六条 国家储备林中幼林抚育应遵照森林抚育相关规程，选择有培育前途、增产潜力较大的中幼龄林，采取间伐、修枝、施肥等措施开展。</w:t>
            </w:r>
          </w:p>
          <w:p w14:paraId="7FAB8265">
            <w:pPr>
              <w:pStyle w:val="11"/>
              <w:kinsoku/>
              <w:autoSpaceDE/>
              <w:autoSpaceDN/>
              <w:adjustRightInd/>
              <w:snapToGrid/>
              <w:spacing w:before="0" w:line="360" w:lineRule="auto"/>
              <w:ind w:firstLine="452"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spacing w:val="-7"/>
                <w:sz w:val="24"/>
                <w:szCs w:val="24"/>
                <w:lang w:val="en-US" w:eastAsia="zh-CN"/>
              </w:rPr>
              <w:t>本项目位于四川省资阳市乐至县，</w:t>
            </w:r>
            <w:r>
              <w:rPr>
                <w:rFonts w:hint="default" w:ascii="Times New Roman" w:hAnsi="Times New Roman" w:eastAsia="宋体" w:cs="Times New Roman"/>
                <w:color w:val="auto"/>
                <w:spacing w:val="-7"/>
                <w:sz w:val="24"/>
                <w:szCs w:val="24"/>
              </w:rPr>
              <w:t>人工林集约栽培7628.4亩；现有林改培5081.6亩；中幼林抚育39791.2亩；特色经济林3000.0亩；珍稀林木2081.0亩；珍稀林地块中套种林下中药材1035.9亩；特色经济林地块中套种林下花卉205.0亩；林下种菌500.0亩。</w:t>
            </w:r>
            <w:r>
              <w:rPr>
                <w:rFonts w:hint="default" w:ascii="Times New Roman" w:hAnsi="Times New Roman" w:eastAsia="宋体" w:cs="Times New Roman"/>
                <w:color w:val="auto"/>
                <w:spacing w:val="-7"/>
                <w:sz w:val="24"/>
                <w:szCs w:val="24"/>
                <w:lang w:val="en-US" w:eastAsia="zh-CN"/>
              </w:rPr>
              <w:t>同时制定了采伐作业设计。因此，本项目的建设符合国家林业和草原局关于印发《国家储备林建设管理办法（试行）》的通知</w:t>
            </w:r>
            <w:r>
              <w:rPr>
                <w:rFonts w:hint="default" w:ascii="Times New Roman" w:hAnsi="Times New Roman" w:eastAsia="宋体" w:cs="Times New Roman"/>
                <w:color w:val="auto"/>
                <w:lang w:val="en-US" w:eastAsia="zh-CN"/>
              </w:rPr>
              <w:t>要求。</w:t>
            </w:r>
          </w:p>
          <w:p w14:paraId="6FD7D277">
            <w:pPr>
              <w:pStyle w:val="11"/>
              <w:kinsoku/>
              <w:autoSpaceDE/>
              <w:autoSpaceDN/>
              <w:adjustRightInd/>
              <w:snapToGrid/>
              <w:spacing w:before="0" w:line="360" w:lineRule="auto"/>
              <w:ind w:firstLine="452" w:firstLineChars="200"/>
              <w:textAlignment w:val="auto"/>
              <w:rPr>
                <w:rFonts w:hint="default" w:ascii="Times New Roman" w:hAnsi="Times New Roman" w:eastAsia="宋体" w:cs="Times New Roman"/>
                <w:color w:val="auto"/>
                <w:spacing w:val="-7"/>
                <w:sz w:val="24"/>
                <w:szCs w:val="24"/>
                <w:lang w:val="en-US" w:eastAsia="zh-CN"/>
              </w:rPr>
            </w:pPr>
          </w:p>
          <w:p w14:paraId="6B616579">
            <w:pPr>
              <w:spacing w:line="360" w:lineRule="auto"/>
              <w:rPr>
                <w:rFonts w:hint="default" w:ascii="Times New Roman" w:hAnsi="Times New Roman" w:eastAsia="宋体" w:cs="Times New Roman"/>
                <w:color w:val="auto"/>
              </w:rPr>
            </w:pPr>
          </w:p>
          <w:p w14:paraId="1E2AC18B">
            <w:pPr>
              <w:spacing w:line="360" w:lineRule="auto"/>
              <w:rPr>
                <w:rFonts w:hint="default" w:ascii="Times New Roman" w:hAnsi="Times New Roman" w:eastAsia="宋体" w:cs="Times New Roman"/>
                <w:color w:val="auto"/>
              </w:rPr>
            </w:pPr>
          </w:p>
          <w:p w14:paraId="0B60D852">
            <w:pPr>
              <w:pStyle w:val="39"/>
              <w:rPr>
                <w:rFonts w:hint="default" w:ascii="Times New Roman" w:hAnsi="Times New Roman" w:eastAsia="宋体" w:cs="Times New Roman"/>
                <w:color w:val="auto"/>
              </w:rPr>
            </w:pPr>
          </w:p>
          <w:p w14:paraId="0AD9013C">
            <w:pPr>
              <w:rPr>
                <w:rFonts w:hint="default" w:ascii="Times New Roman" w:hAnsi="Times New Roman" w:eastAsia="宋体" w:cs="Times New Roman"/>
                <w:color w:val="auto"/>
              </w:rPr>
            </w:pPr>
          </w:p>
          <w:p w14:paraId="46C76564">
            <w:pPr>
              <w:pStyle w:val="39"/>
              <w:rPr>
                <w:rFonts w:hint="default" w:ascii="Times New Roman" w:hAnsi="Times New Roman" w:eastAsia="宋体" w:cs="Times New Roman"/>
                <w:color w:val="auto"/>
              </w:rPr>
            </w:pPr>
          </w:p>
          <w:p w14:paraId="19A76C85">
            <w:pPr>
              <w:rPr>
                <w:rFonts w:hint="default" w:ascii="Times New Roman" w:hAnsi="Times New Roman" w:eastAsia="宋体" w:cs="Times New Roman"/>
                <w:color w:val="auto"/>
              </w:rPr>
            </w:pPr>
          </w:p>
          <w:p w14:paraId="44AF4E4A">
            <w:pPr>
              <w:spacing w:line="360" w:lineRule="auto"/>
              <w:rPr>
                <w:rFonts w:hint="default" w:ascii="Times New Roman" w:hAnsi="Times New Roman" w:eastAsia="宋体" w:cs="Times New Roman"/>
                <w:color w:val="auto"/>
              </w:rPr>
            </w:pPr>
          </w:p>
          <w:p w14:paraId="6A20C31C">
            <w:pPr>
              <w:spacing w:line="360" w:lineRule="auto"/>
              <w:rPr>
                <w:rFonts w:hint="default" w:ascii="Times New Roman" w:hAnsi="Times New Roman" w:eastAsia="宋体" w:cs="Times New Roman"/>
                <w:color w:val="auto"/>
                <w:lang w:eastAsia="zh-CN"/>
              </w:rPr>
            </w:pPr>
          </w:p>
          <w:p w14:paraId="220CCA04">
            <w:pPr>
              <w:spacing w:line="360" w:lineRule="auto"/>
              <w:rPr>
                <w:rFonts w:hint="default" w:ascii="Times New Roman" w:hAnsi="Times New Roman" w:eastAsia="宋体" w:cs="Times New Roman"/>
                <w:color w:val="auto"/>
                <w:lang w:eastAsia="zh-CN"/>
              </w:rPr>
            </w:pPr>
          </w:p>
          <w:p w14:paraId="643565F8">
            <w:pPr>
              <w:spacing w:line="360" w:lineRule="auto"/>
              <w:rPr>
                <w:rFonts w:hint="default" w:ascii="Times New Roman" w:hAnsi="Times New Roman" w:eastAsia="宋体" w:cs="Times New Roman"/>
                <w:color w:val="auto"/>
                <w:lang w:eastAsia="zh-CN"/>
              </w:rPr>
            </w:pPr>
          </w:p>
        </w:tc>
      </w:tr>
    </w:tbl>
    <w:p w14:paraId="298E0FD8">
      <w:pPr>
        <w:rPr>
          <w:rFonts w:hint="default" w:ascii="Times New Roman" w:hAnsi="Times New Roman" w:eastAsia="宋体" w:cs="Times New Roman"/>
          <w:color w:val="auto"/>
        </w:rPr>
        <w:sectPr>
          <w:footerReference r:id="rId7" w:type="default"/>
          <w:pgSz w:w="11906" w:h="16839"/>
          <w:pgMar w:top="1431" w:right="1509" w:bottom="1179" w:left="1509" w:header="0" w:footer="1001" w:gutter="0"/>
          <w:cols w:space="720" w:num="1"/>
        </w:sectPr>
      </w:pPr>
    </w:p>
    <w:p w14:paraId="0144296E">
      <w:pPr>
        <w:pStyle w:val="29"/>
        <w:jc w:val="center"/>
        <w:outlineLvl w:val="0"/>
        <w:rPr>
          <w:rFonts w:hint="default" w:ascii="Times New Roman" w:hAnsi="Times New Roman" w:eastAsia="宋体" w:cs="Times New Roman"/>
          <w:color w:val="auto"/>
          <w:sz w:val="30"/>
          <w:szCs w:val="30"/>
        </w:rPr>
      </w:pPr>
      <w:bookmarkStart w:id="5" w:name="_Toc1562"/>
      <w:r>
        <w:rPr>
          <w:rFonts w:hint="default" w:ascii="Times New Roman" w:hAnsi="Times New Roman" w:eastAsia="宋体" w:cs="Times New Roman"/>
          <w:color w:val="auto"/>
          <w:sz w:val="30"/>
          <w:szCs w:val="30"/>
        </w:rPr>
        <w:t>二、建设内容</w:t>
      </w:r>
      <w:bookmarkEnd w:id="5"/>
    </w:p>
    <w:p w14:paraId="79DDF74B">
      <w:pPr>
        <w:spacing w:line="83" w:lineRule="exact"/>
        <w:rPr>
          <w:rFonts w:hint="default" w:ascii="Times New Roman" w:hAnsi="Times New Roman" w:eastAsia="宋体" w:cs="Times New Roman"/>
          <w:color w:val="auto"/>
        </w:rPr>
      </w:pPr>
    </w:p>
    <w:tbl>
      <w:tblPr>
        <w:tblStyle w:val="43"/>
        <w:tblW w:w="8787"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84"/>
        <w:gridCol w:w="8303"/>
      </w:tblGrid>
      <w:tr w14:paraId="707F2A9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70" w:hRule="atLeast"/>
          <w:jc w:val="center"/>
        </w:trPr>
        <w:tc>
          <w:tcPr>
            <w:tcW w:w="484" w:type="dxa"/>
            <w:textDirection w:val="tbRlV"/>
            <w:vAlign w:val="center"/>
          </w:tcPr>
          <w:p w14:paraId="611C75C4">
            <w:pPr>
              <w:spacing w:before="106" w:line="180" w:lineRule="auto"/>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1"/>
                <w:sz w:val="24"/>
                <w:szCs w:val="24"/>
              </w:rPr>
              <w:t>地理位置</w:t>
            </w:r>
          </w:p>
        </w:tc>
        <w:tc>
          <w:tcPr>
            <w:tcW w:w="8303" w:type="dxa"/>
            <w:vAlign w:val="center"/>
          </w:tcPr>
          <w:p w14:paraId="6CFB110D">
            <w:pPr>
              <w:pStyle w:val="21"/>
              <w:widowControl w:val="0"/>
              <w:kinsoku/>
              <w:autoSpaceDE/>
              <w:autoSpaceDN/>
              <w:adjustRightInd/>
              <w:snapToGrid/>
              <w:spacing w:line="336" w:lineRule="auto"/>
              <w:ind w:firstLine="480"/>
              <w:jc w:val="both"/>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乐至县隶属四川省资阳市，位于四川盆地中部，地处沱江和涪江分水岭上，介于北纬30°0′2″—30°30′4东经—105°15′2″之间。东邻遂宁市安居区，南连安岳县、雁江区，西界成都市简阳市，北接成都市金堂县、德阳市中江县、遂宁市大英县；距离省会成都仅77公里。乐至县总面积1425平方公里，2019年辖1个乡、18个镇、2个街道。地势由西北向东南倾斜。有蟠龙河、卷洞河、井市河等大小河流20多条。属亚热带季风气候，年均气温16.7℃，年均降水量949.4毫米。乐至县北周置多业县，隋改普慈县。唐武德三年（620年）析置乐至县。因县东有乐至池而得名。</w:t>
            </w:r>
          </w:p>
          <w:p w14:paraId="7812055F">
            <w:pPr>
              <w:pStyle w:val="21"/>
              <w:widowControl w:val="0"/>
              <w:kinsoku/>
              <w:autoSpaceDE/>
              <w:autoSpaceDN/>
              <w:adjustRightInd/>
              <w:snapToGrid/>
              <w:spacing w:line="336" w:lineRule="auto"/>
              <w:ind w:firstLine="480"/>
              <w:jc w:val="both"/>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项目</w:t>
            </w:r>
            <w:r>
              <w:rPr>
                <w:rFonts w:hint="default" w:ascii="Times New Roman" w:hAnsi="Times New Roman" w:eastAsia="宋体" w:cs="Times New Roman"/>
                <w:color w:val="auto"/>
              </w:rPr>
              <w:t>位于资阳市乐至县天池</w:t>
            </w:r>
            <w:r>
              <w:rPr>
                <w:rFonts w:hint="default" w:ascii="Times New Roman" w:hAnsi="Times New Roman" w:eastAsia="宋体" w:cs="Times New Roman"/>
                <w:color w:val="auto"/>
                <w:lang w:val="en-US" w:eastAsia="zh-CN"/>
              </w:rPr>
              <w:t>镇</w:t>
            </w:r>
            <w:r>
              <w:rPr>
                <w:rFonts w:hint="default" w:ascii="Times New Roman" w:hAnsi="Times New Roman" w:eastAsia="宋体" w:cs="Times New Roman"/>
                <w:color w:val="auto"/>
              </w:rPr>
              <w:t>、大佛镇、宝林镇、良安镇、高寺镇、劳动镇、中天镇、中和场镇等</w:t>
            </w:r>
            <w:r>
              <w:rPr>
                <w:rFonts w:hint="default" w:ascii="Times New Roman" w:hAnsi="Times New Roman" w:eastAsia="宋体" w:cs="Times New Roman"/>
                <w:color w:val="auto"/>
                <w:lang w:val="en-US" w:eastAsia="zh-CN"/>
              </w:rPr>
              <w:t>8</w:t>
            </w:r>
            <w:r>
              <w:rPr>
                <w:rFonts w:hint="default" w:ascii="Times New Roman" w:hAnsi="Times New Roman" w:eastAsia="宋体" w:cs="Times New Roman"/>
                <w:color w:val="auto"/>
              </w:rPr>
              <w:t>个片区。地理位置见附图1。</w:t>
            </w:r>
          </w:p>
        </w:tc>
      </w:tr>
      <w:tr w14:paraId="423815A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480" w:hRule="atLeast"/>
          <w:jc w:val="center"/>
        </w:trPr>
        <w:tc>
          <w:tcPr>
            <w:tcW w:w="484" w:type="dxa"/>
            <w:textDirection w:val="tbRlV"/>
            <w:vAlign w:val="center"/>
          </w:tcPr>
          <w:p w14:paraId="59DA727B">
            <w:pPr>
              <w:spacing w:before="106" w:line="180" w:lineRule="auto"/>
              <w:ind w:firstLine="3062"/>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1"/>
                <w:sz w:val="24"/>
                <w:szCs w:val="24"/>
              </w:rPr>
              <w:t>项</w:t>
            </w:r>
            <w:r>
              <w:rPr>
                <w:rFonts w:hint="default" w:ascii="Times New Roman" w:hAnsi="Times New Roman" w:eastAsia="宋体" w:cs="Times New Roman"/>
                <w:color w:val="auto"/>
                <w:spacing w:val="-1"/>
                <w:position w:val="2"/>
                <w:sz w:val="24"/>
                <w:szCs w:val="24"/>
              </w:rPr>
              <w:t>目</w:t>
            </w:r>
            <w:r>
              <w:rPr>
                <w:rFonts w:hint="default" w:ascii="Times New Roman" w:hAnsi="Times New Roman" w:eastAsia="宋体" w:cs="Times New Roman"/>
                <w:color w:val="auto"/>
                <w:spacing w:val="-1"/>
                <w:sz w:val="24"/>
                <w:szCs w:val="24"/>
              </w:rPr>
              <w:t>组成及规模</w:t>
            </w:r>
          </w:p>
        </w:tc>
        <w:tc>
          <w:tcPr>
            <w:tcW w:w="8303" w:type="dxa"/>
            <w:vAlign w:val="center"/>
          </w:tcPr>
          <w:p w14:paraId="79A79EE1">
            <w:pPr>
              <w:spacing w:before="36" w:line="360" w:lineRule="auto"/>
              <w:ind w:firstLine="612"/>
              <w:outlineLvl w:val="1"/>
              <w:rPr>
                <w:rFonts w:hint="default" w:ascii="Times New Roman" w:hAnsi="Times New Roman" w:eastAsia="宋体" w:cs="Times New Roman"/>
                <w:b/>
                <w:bCs/>
                <w:color w:val="auto"/>
                <w:spacing w:val="-7"/>
                <w:sz w:val="24"/>
                <w:szCs w:val="24"/>
              </w:rPr>
            </w:pPr>
            <w:bookmarkStart w:id="6" w:name="_Toc26198"/>
            <w:r>
              <w:rPr>
                <w:rFonts w:hint="default" w:ascii="Times New Roman" w:hAnsi="Times New Roman" w:eastAsia="宋体" w:cs="Times New Roman"/>
                <w:b/>
                <w:bCs/>
                <w:color w:val="auto"/>
                <w:spacing w:val="-7"/>
                <w:sz w:val="28"/>
                <w:szCs w:val="28"/>
              </w:rPr>
              <w:t>一、项目组成及规模</w:t>
            </w:r>
            <w:bookmarkEnd w:id="6"/>
          </w:p>
          <w:p w14:paraId="27BF1D95">
            <w:pPr>
              <w:spacing w:before="36" w:line="360" w:lineRule="auto"/>
              <w:ind w:firstLine="612"/>
              <w:rPr>
                <w:rFonts w:hint="default" w:ascii="Times New Roman" w:hAnsi="Times New Roman" w:eastAsia="宋体" w:cs="Times New Roman"/>
                <w:b/>
                <w:bCs/>
                <w:color w:val="auto"/>
                <w:spacing w:val="-7"/>
                <w:sz w:val="24"/>
                <w:szCs w:val="24"/>
              </w:rPr>
            </w:pPr>
            <w:r>
              <w:rPr>
                <w:rFonts w:hint="default" w:ascii="Times New Roman" w:hAnsi="Times New Roman" w:eastAsia="宋体" w:cs="Times New Roman"/>
                <w:b/>
                <w:bCs/>
                <w:color w:val="auto"/>
                <w:spacing w:val="-7"/>
                <w:sz w:val="24"/>
                <w:szCs w:val="24"/>
              </w:rPr>
              <w:t>1、项目的由来</w:t>
            </w:r>
          </w:p>
          <w:p w14:paraId="20B5D417">
            <w:pPr>
              <w:spacing w:line="360" w:lineRule="auto"/>
              <w:ind w:firstLine="480" w:firstLineChars="20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国家储备林是指在自然条件适宜地区，通过人工林集约栽培、中幼林改培和抚育及补植补造等措施，营造的珍稀树种和大径级用材林等优质高效多功能森林。国家储备林建设是全面保护天然林的重要举措，是保障国家木材安全的重要途径，是推进林业改革的重要抓手，是改善民生扩大内需的重要工作。国家储备林制度是全面保护天然林的重要配套制度，是发挥财政金融合力、创新投融资模式的基础保障制度，也是大型营造林工程实现系统化精细化管理的样板先行制度，对加强国家储备林基地建设，维护国家生态安全和木材安全具有重要的现实意义。</w:t>
            </w:r>
          </w:p>
          <w:p w14:paraId="64CA0281">
            <w:pPr>
              <w:spacing w:line="360" w:lineRule="auto"/>
              <w:ind w:firstLine="480" w:firstLineChars="20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为了响应国家政策号召，努力发展国家储备林建设，乐至县兴茂林业开发有限公司建设乐至县北部片区国家储备林建设及森林质量提升项目，项目</w:t>
            </w:r>
            <w:r>
              <w:rPr>
                <w:rFonts w:hint="default" w:ascii="Times New Roman" w:hAnsi="Times New Roman" w:eastAsia="宋体" w:cs="Times New Roman"/>
                <w:color w:val="auto"/>
                <w:sz w:val="24"/>
                <w:szCs w:val="24"/>
                <w:lang w:val="en-US" w:eastAsia="zh-CN"/>
              </w:rPr>
              <w:t>总</w:t>
            </w:r>
            <w:r>
              <w:rPr>
                <w:rFonts w:hint="default" w:ascii="Times New Roman" w:hAnsi="Times New Roman" w:eastAsia="宋体" w:cs="Times New Roman"/>
                <w:color w:val="auto"/>
                <w:sz w:val="24"/>
                <w:szCs w:val="24"/>
              </w:rPr>
              <w:t>建设内容为集约人工造林2.03万亩、现有林改培1.1万亩、中幼林抚育8.1万亩；特色经济林0.22万亩；林下经济（种菌、中药材、花卉等）0.7万亩；同时配套建设生态停车场、晒坝等硬化场地、林业管护用房、防火通道、作业道路、巡护道路、森林防火瞭望台、消防水池、林火视频监控点以及必要的林业有害生物防治、灌溉系统、标识标牌、环卫设施、休憩设施等建设内容。</w:t>
            </w:r>
          </w:p>
          <w:p w14:paraId="55B750E8">
            <w:pPr>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rPr>
              <w:t>2023年-2024年作业设计建设内容集约人工林栽培7628.4亩；现有林改培5081.6亩；中幼林抚育39791.2亩；特色经济林3000.0亩；珍稀林木2081.0亩；珍稀林地块中套种林下中药材1035.9亩；特色经济林地块中套种林下花卉205.0亩；林下种菌500.0亩。建设范围为宝林镇、大佛镇、高寺镇、劳动镇、良安镇、天池镇、中和场镇、中天镇。</w:t>
            </w:r>
          </w:p>
          <w:p w14:paraId="4D63344B">
            <w:pPr>
              <w:spacing w:line="360" w:lineRule="auto"/>
              <w:ind w:firstLine="480" w:firstLineChars="20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资阳市工业、制造业的发展，对木材需求量大，本项目的建设将满足当地木材需求，还将依托优势森林资源，促进乐至县林木业的发展，把相关产业链主体留在县城，实现产城融合，还将在乐至县创造林业栽种和管护、加工制造、物流运输等就业机会，让乐至县人民参与到国储林建设当中，分享相关产业增值收益，实现乡村振兴与共同富裕。本项目既能合理开发乐至县森林资源，也能带动的相关文旅产业发展、提高乐至县经济发展水平生活可持续的发展。本项目的建设助力打造乐至县“森林城市”招牌，配合旅游配套全域综合提升，还将推动特色乡村旅游业成为新的经济增长点，打造集桑树种植、生态养殖、观光旅游、休闲娱乐、水果采摘等于一体的特色乡村旅游基地。</w:t>
            </w:r>
          </w:p>
          <w:p w14:paraId="2ED4F721">
            <w:pPr>
              <w:spacing w:line="360" w:lineRule="auto"/>
              <w:ind w:firstLine="480" w:firstLineChars="20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由业主提供资料可得本项目农产品基地（含药材基地）占项目总建设范围的8.03%，其余均为经济林基地，</w:t>
            </w:r>
            <w:r>
              <w:rPr>
                <w:rFonts w:hint="default" w:ascii="Times New Roman" w:hAnsi="Times New Roman" w:eastAsia="宋体" w:cs="Times New Roman"/>
                <w:color w:val="auto"/>
                <w:sz w:val="24"/>
                <w:szCs w:val="24"/>
              </w:rPr>
              <w:t>根据《中华人民共和国环境保护法》、《中华人民共和国环境影响评价法》以及《建设项目环境保护管理条例》的要求，建设项目应进行环境影响评价。根据《建设项目环境影响评价分类管理名录》（2021年版），本项目属于“一、农业 01、林业 02 中的 2 经济林基地项目中的原料林基地”，应编制环境影响报告表，据此，乐至县兴茂林业开发有限公司委托本单位四川蓝环环保科技有限公司承担该项目的环境影响评价工作。</w:t>
            </w:r>
          </w:p>
          <w:p w14:paraId="2076D9A4">
            <w:pPr>
              <w:spacing w:line="360" w:lineRule="auto"/>
              <w:ind w:firstLine="480" w:firstLineChars="20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我公司在接受委托后，立即组织技术力量、安排人员，进行了资料收集、分析和现场踏勘，在对本项目的环境现状和可能造成的环境影响进行分析后，按照国家建设项目环境影响报告表的编制说明和环境影响评价技术规范要求，编制完成该项目环境影响报告表。</w:t>
            </w:r>
          </w:p>
          <w:p w14:paraId="3CA56134">
            <w:pPr>
              <w:spacing w:before="36" w:line="360" w:lineRule="auto"/>
              <w:ind w:firstLine="612"/>
              <w:rPr>
                <w:rFonts w:hint="default" w:ascii="Times New Roman" w:hAnsi="Times New Roman" w:eastAsia="宋体" w:cs="Times New Roman"/>
                <w:b/>
                <w:bCs/>
                <w:color w:val="auto"/>
                <w:spacing w:val="-7"/>
                <w:sz w:val="24"/>
                <w:szCs w:val="24"/>
              </w:rPr>
            </w:pPr>
            <w:r>
              <w:rPr>
                <w:rFonts w:hint="default" w:ascii="Times New Roman" w:hAnsi="Times New Roman" w:eastAsia="宋体" w:cs="Times New Roman"/>
                <w:b/>
                <w:bCs/>
                <w:color w:val="auto"/>
                <w:spacing w:val="-7"/>
                <w:sz w:val="24"/>
                <w:szCs w:val="24"/>
              </w:rPr>
              <w:t>2、项目概况</w:t>
            </w:r>
          </w:p>
          <w:p w14:paraId="7C12F9AB">
            <w:pPr>
              <w:spacing w:before="36" w:line="360" w:lineRule="auto"/>
              <w:ind w:firstLine="612"/>
              <w:rPr>
                <w:rFonts w:hint="default" w:ascii="Times New Roman" w:hAnsi="Times New Roman" w:eastAsia="宋体" w:cs="Times New Roman"/>
                <w:color w:val="auto"/>
                <w:spacing w:val="-7"/>
                <w:sz w:val="24"/>
                <w:szCs w:val="24"/>
              </w:rPr>
            </w:pPr>
            <w:r>
              <w:rPr>
                <w:rFonts w:hint="default" w:ascii="Times New Roman" w:hAnsi="Times New Roman" w:eastAsia="宋体" w:cs="Times New Roman"/>
                <w:color w:val="auto"/>
                <w:spacing w:val="-7"/>
                <w:sz w:val="24"/>
                <w:szCs w:val="24"/>
              </w:rPr>
              <w:t>（1）项目基本情况</w:t>
            </w:r>
          </w:p>
          <w:p w14:paraId="7E5C883A">
            <w:pPr>
              <w:spacing w:before="36" w:line="360" w:lineRule="auto"/>
              <w:ind w:firstLine="612"/>
              <w:rPr>
                <w:rFonts w:hint="default" w:ascii="Times New Roman" w:hAnsi="Times New Roman" w:eastAsia="宋体" w:cs="Times New Roman"/>
                <w:color w:val="auto"/>
                <w:spacing w:val="-7"/>
                <w:sz w:val="24"/>
                <w:szCs w:val="24"/>
              </w:rPr>
            </w:pPr>
            <w:r>
              <w:rPr>
                <w:rFonts w:hint="default" w:ascii="Times New Roman" w:hAnsi="Times New Roman" w:eastAsia="宋体" w:cs="Times New Roman"/>
                <w:color w:val="auto"/>
                <w:spacing w:val="-7"/>
                <w:sz w:val="24"/>
                <w:szCs w:val="24"/>
              </w:rPr>
              <w:t>项目名称：乐至县北部片区国家储备林建设及森林质量提升项目</w:t>
            </w:r>
          </w:p>
          <w:p w14:paraId="1E7B5B62">
            <w:pPr>
              <w:spacing w:before="36" w:line="360" w:lineRule="auto"/>
              <w:ind w:firstLine="612"/>
              <w:rPr>
                <w:rFonts w:hint="default" w:ascii="Times New Roman" w:hAnsi="Times New Roman" w:eastAsia="宋体" w:cs="Times New Roman"/>
                <w:color w:val="auto"/>
                <w:spacing w:val="-7"/>
                <w:sz w:val="24"/>
                <w:szCs w:val="24"/>
              </w:rPr>
            </w:pPr>
            <w:r>
              <w:rPr>
                <w:rFonts w:hint="default" w:ascii="Times New Roman" w:hAnsi="Times New Roman" w:eastAsia="宋体" w:cs="Times New Roman"/>
                <w:color w:val="auto"/>
                <w:spacing w:val="-7"/>
                <w:sz w:val="24"/>
                <w:szCs w:val="24"/>
              </w:rPr>
              <w:t>建设单位：乐至县兴茂林业开发有限公司</w:t>
            </w:r>
          </w:p>
          <w:p w14:paraId="78B897F4">
            <w:pPr>
              <w:spacing w:before="36" w:line="360" w:lineRule="auto"/>
              <w:ind w:firstLine="612"/>
              <w:jc w:val="both"/>
              <w:rPr>
                <w:rFonts w:hint="default" w:ascii="Times New Roman" w:hAnsi="Times New Roman" w:eastAsia="宋体" w:cs="Times New Roman"/>
                <w:color w:val="auto"/>
                <w:spacing w:val="-7"/>
                <w:sz w:val="24"/>
                <w:szCs w:val="24"/>
              </w:rPr>
            </w:pPr>
            <w:r>
              <w:rPr>
                <w:rFonts w:hint="default" w:ascii="Times New Roman" w:hAnsi="Times New Roman" w:eastAsia="宋体" w:cs="Times New Roman"/>
                <w:color w:val="auto"/>
                <w:spacing w:val="-7"/>
                <w:sz w:val="24"/>
                <w:szCs w:val="24"/>
              </w:rPr>
              <w:t>建设地点：四川省资阳市乐至县天池街道、大佛镇、宝林镇、良安镇、高寺镇、劳动镇、中天镇、中和场镇等</w:t>
            </w:r>
            <w:r>
              <w:rPr>
                <w:rFonts w:hint="default" w:ascii="Times New Roman" w:hAnsi="Times New Roman" w:eastAsia="宋体" w:cs="Times New Roman"/>
                <w:color w:val="auto"/>
                <w:spacing w:val="-7"/>
                <w:sz w:val="24"/>
                <w:szCs w:val="24"/>
                <w:lang w:val="en-US" w:eastAsia="zh-CN"/>
              </w:rPr>
              <w:t>8</w:t>
            </w:r>
            <w:r>
              <w:rPr>
                <w:rFonts w:hint="default" w:ascii="Times New Roman" w:hAnsi="Times New Roman" w:eastAsia="宋体" w:cs="Times New Roman"/>
                <w:color w:val="auto"/>
                <w:spacing w:val="-7"/>
                <w:sz w:val="24"/>
                <w:szCs w:val="24"/>
              </w:rPr>
              <w:t>个片区。</w:t>
            </w:r>
          </w:p>
          <w:p w14:paraId="177F516E">
            <w:pPr>
              <w:spacing w:before="36" w:line="360" w:lineRule="auto"/>
              <w:ind w:firstLine="612"/>
              <w:rPr>
                <w:rFonts w:hint="default" w:ascii="Times New Roman" w:hAnsi="Times New Roman" w:eastAsia="宋体" w:cs="Times New Roman"/>
                <w:color w:val="auto"/>
                <w:spacing w:val="-7"/>
                <w:sz w:val="24"/>
                <w:szCs w:val="24"/>
              </w:rPr>
            </w:pPr>
            <w:r>
              <w:rPr>
                <w:rFonts w:hint="default" w:ascii="Times New Roman" w:hAnsi="Times New Roman" w:eastAsia="宋体" w:cs="Times New Roman"/>
                <w:color w:val="auto"/>
                <w:spacing w:val="-7"/>
                <w:sz w:val="24"/>
                <w:szCs w:val="24"/>
              </w:rPr>
              <w:t>建设性质：新建</w:t>
            </w:r>
          </w:p>
          <w:p w14:paraId="447B5A40">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rPr>
              <w:t>项目投资：106100.00万元</w:t>
            </w:r>
            <w:r>
              <w:rPr>
                <w:rFonts w:hint="default" w:ascii="Times New Roman" w:hAnsi="Times New Roman" w:eastAsia="宋体" w:cs="Times New Roman"/>
                <w:color w:val="auto"/>
                <w:spacing w:val="-7"/>
                <w:sz w:val="24"/>
                <w:szCs w:val="24"/>
                <w:lang w:eastAsia="zh-CN"/>
              </w:rPr>
              <w:t>（2023年-2024年建设</w:t>
            </w:r>
            <w:r>
              <w:rPr>
                <w:rFonts w:hint="default" w:ascii="Times New Roman" w:hAnsi="Times New Roman" w:eastAsia="宋体" w:cs="Times New Roman"/>
                <w:color w:val="auto"/>
                <w:spacing w:val="-7"/>
                <w:sz w:val="24"/>
                <w:szCs w:val="24"/>
                <w:lang w:val="en-US" w:eastAsia="zh-CN"/>
              </w:rPr>
              <w:t>投资</w:t>
            </w:r>
            <w:r>
              <w:rPr>
                <w:rFonts w:hint="default" w:ascii="Times New Roman" w:hAnsi="Times New Roman" w:eastAsia="宋体" w:cs="Times New Roman"/>
                <w:color w:val="auto"/>
                <w:spacing w:val="-7"/>
                <w:sz w:val="24"/>
                <w:szCs w:val="24"/>
                <w:lang w:eastAsia="zh-CN"/>
              </w:rPr>
              <w:t>32091.25万元）</w:t>
            </w:r>
          </w:p>
          <w:p w14:paraId="11A7FDD4">
            <w:pPr>
              <w:spacing w:before="36" w:line="360" w:lineRule="auto"/>
              <w:ind w:firstLine="612"/>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7"/>
                <w:sz w:val="24"/>
                <w:szCs w:val="24"/>
              </w:rPr>
              <w:t>占地面积：11.45万亩</w:t>
            </w:r>
          </w:p>
          <w:p w14:paraId="457307C9">
            <w:pPr>
              <w:pStyle w:val="21"/>
              <w:widowControl w:val="0"/>
              <w:kinsoku/>
              <w:autoSpaceDE/>
              <w:autoSpaceDN/>
              <w:adjustRightInd/>
              <w:snapToGrid/>
              <w:spacing w:line="336" w:lineRule="auto"/>
              <w:ind w:firstLine="480"/>
              <w:jc w:val="both"/>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（2）建设内容及规模</w:t>
            </w:r>
          </w:p>
          <w:p w14:paraId="0E9D394F">
            <w:pPr>
              <w:spacing w:before="36" w:line="360" w:lineRule="auto"/>
              <w:ind w:firstLine="612"/>
              <w:rPr>
                <w:rFonts w:hint="default" w:ascii="Times New Roman" w:hAnsi="Times New Roman" w:eastAsia="宋体" w:cs="Times New Roman"/>
                <w:color w:val="auto"/>
                <w:spacing w:val="-7"/>
                <w:sz w:val="24"/>
                <w:szCs w:val="24"/>
              </w:rPr>
            </w:pPr>
            <w:r>
              <w:rPr>
                <w:rFonts w:hint="default" w:ascii="Times New Roman" w:hAnsi="Times New Roman" w:eastAsia="宋体" w:cs="Times New Roman"/>
                <w:color w:val="auto"/>
                <w:spacing w:val="-7"/>
                <w:sz w:val="24"/>
                <w:szCs w:val="24"/>
              </w:rPr>
              <w:t>建设总规模：114500亩。</w:t>
            </w:r>
          </w:p>
          <w:p w14:paraId="6EA115F7">
            <w:pPr>
              <w:spacing w:before="36" w:line="360" w:lineRule="auto"/>
              <w:ind w:firstLine="612"/>
              <w:rPr>
                <w:rFonts w:hint="default" w:ascii="Times New Roman" w:hAnsi="Times New Roman" w:eastAsia="宋体" w:cs="Times New Roman"/>
                <w:color w:val="auto"/>
                <w:spacing w:val="-7"/>
                <w:sz w:val="24"/>
                <w:szCs w:val="24"/>
              </w:rPr>
            </w:pPr>
            <w:r>
              <w:rPr>
                <w:rFonts w:hint="default" w:ascii="Times New Roman" w:hAnsi="Times New Roman" w:eastAsia="宋体" w:cs="Times New Roman"/>
                <w:color w:val="auto"/>
                <w:spacing w:val="-7"/>
                <w:sz w:val="24"/>
                <w:szCs w:val="24"/>
              </w:rPr>
              <w:t>建设内容：</w:t>
            </w:r>
          </w:p>
          <w:p w14:paraId="2DB6B8AA">
            <w:pPr>
              <w:spacing w:before="36" w:line="360" w:lineRule="auto"/>
              <w:ind w:firstLine="612"/>
              <w:rPr>
                <w:rFonts w:hint="default" w:ascii="Times New Roman" w:hAnsi="Times New Roman" w:eastAsia="宋体" w:cs="Times New Roman"/>
                <w:color w:val="auto"/>
                <w:spacing w:val="-7"/>
                <w:sz w:val="24"/>
                <w:szCs w:val="24"/>
              </w:rPr>
            </w:pPr>
            <w:r>
              <w:rPr>
                <w:rFonts w:hint="default" w:ascii="Times New Roman" w:hAnsi="Times New Roman" w:eastAsia="宋体" w:cs="Times New Roman"/>
                <w:color w:val="auto"/>
                <w:spacing w:val="-7"/>
                <w:sz w:val="24"/>
                <w:szCs w:val="24"/>
              </w:rPr>
              <w:t>1）营造林工程：人工林集约栽培20300.00亩，其中黄柏集约栽培10000亩，珍稀林木集约栽培8000亩，特色苗木培育基地2300亩。现有林改培11000亩。中幼林抚育81000亩。</w:t>
            </w:r>
          </w:p>
          <w:p w14:paraId="563A3F4C">
            <w:pPr>
              <w:spacing w:before="36" w:line="360" w:lineRule="auto"/>
              <w:ind w:firstLine="612"/>
              <w:rPr>
                <w:rFonts w:hint="default" w:ascii="Times New Roman" w:hAnsi="Times New Roman" w:eastAsia="宋体" w:cs="Times New Roman"/>
                <w:color w:val="auto"/>
                <w:spacing w:val="-7"/>
                <w:sz w:val="24"/>
                <w:szCs w:val="24"/>
              </w:rPr>
            </w:pPr>
            <w:r>
              <w:rPr>
                <w:rFonts w:hint="default" w:ascii="Times New Roman" w:hAnsi="Times New Roman" w:eastAsia="宋体" w:cs="Times New Roman"/>
                <w:color w:val="auto"/>
                <w:spacing w:val="-7"/>
                <w:sz w:val="24"/>
                <w:szCs w:val="24"/>
              </w:rPr>
              <w:t>2）林下经济及经济林：规划林下种菌3000亩，林下中药材3000亩，林下花卉1000亩，特色经济林2200亩。</w:t>
            </w:r>
          </w:p>
          <w:p w14:paraId="25FA551C">
            <w:pPr>
              <w:spacing w:before="36" w:line="360" w:lineRule="auto"/>
              <w:ind w:firstLine="612"/>
              <w:rPr>
                <w:rFonts w:hint="default" w:ascii="Times New Roman" w:hAnsi="Times New Roman" w:eastAsia="宋体" w:cs="Times New Roman"/>
                <w:color w:val="auto"/>
                <w:spacing w:val="-7"/>
                <w:sz w:val="24"/>
                <w:szCs w:val="24"/>
              </w:rPr>
            </w:pPr>
            <w:r>
              <w:rPr>
                <w:rFonts w:hint="default" w:ascii="Times New Roman" w:hAnsi="Times New Roman" w:eastAsia="宋体" w:cs="Times New Roman"/>
                <w:color w:val="auto"/>
                <w:spacing w:val="-7"/>
                <w:sz w:val="24"/>
                <w:szCs w:val="24"/>
              </w:rPr>
              <w:t>3）支撑体系建设：林区新建防火道路1.223km，新建作业道路1.313km，新建巡护道路1.736km。硬化铺装28500m</w:t>
            </w:r>
            <w:r>
              <w:rPr>
                <w:rFonts w:hint="default" w:ascii="Times New Roman" w:hAnsi="Times New Roman" w:eastAsia="宋体" w:cs="Times New Roman"/>
                <w:color w:val="auto"/>
                <w:spacing w:val="-7"/>
                <w:sz w:val="24"/>
                <w:szCs w:val="24"/>
                <w:vertAlign w:val="superscript"/>
              </w:rPr>
              <w:t>2</w:t>
            </w:r>
            <w:r>
              <w:rPr>
                <w:rFonts w:hint="default" w:ascii="Times New Roman" w:hAnsi="Times New Roman" w:eastAsia="宋体" w:cs="Times New Roman"/>
                <w:color w:val="auto"/>
                <w:spacing w:val="-7"/>
                <w:sz w:val="24"/>
                <w:szCs w:val="24"/>
              </w:rPr>
              <w:t>，其中生态停车场14500m</w:t>
            </w:r>
            <w:r>
              <w:rPr>
                <w:rFonts w:hint="default" w:ascii="Times New Roman" w:hAnsi="Times New Roman" w:eastAsia="宋体" w:cs="Times New Roman"/>
                <w:color w:val="auto"/>
                <w:spacing w:val="-7"/>
                <w:sz w:val="24"/>
                <w:szCs w:val="24"/>
                <w:vertAlign w:val="superscript"/>
              </w:rPr>
              <w:t>2</w:t>
            </w:r>
            <w:r>
              <w:rPr>
                <w:rFonts w:hint="default" w:ascii="Times New Roman" w:hAnsi="Times New Roman" w:eastAsia="宋体" w:cs="Times New Roman"/>
                <w:color w:val="auto"/>
                <w:spacing w:val="-7"/>
                <w:sz w:val="24"/>
                <w:szCs w:val="24"/>
              </w:rPr>
              <w:t>，其他硬化铺装（晒坝、堆料场、苗木运输转运场等）14000m</w:t>
            </w:r>
            <w:r>
              <w:rPr>
                <w:rFonts w:hint="default" w:ascii="Times New Roman" w:hAnsi="Times New Roman" w:eastAsia="宋体" w:cs="Times New Roman"/>
                <w:color w:val="auto"/>
                <w:spacing w:val="-7"/>
                <w:sz w:val="24"/>
                <w:szCs w:val="24"/>
                <w:vertAlign w:val="superscript"/>
              </w:rPr>
              <w:t>2</w:t>
            </w:r>
            <w:r>
              <w:rPr>
                <w:rFonts w:hint="default" w:ascii="Times New Roman" w:hAnsi="Times New Roman" w:eastAsia="宋体" w:cs="Times New Roman"/>
                <w:color w:val="auto"/>
                <w:spacing w:val="-7"/>
                <w:sz w:val="24"/>
                <w:szCs w:val="24"/>
              </w:rPr>
              <w:t>。森林消防设施包括防火瞭望台15座，消防水池10口，林火视频监控点2套。林区管理及服务用房9000m</w:t>
            </w:r>
            <w:r>
              <w:rPr>
                <w:rFonts w:hint="default" w:ascii="Times New Roman" w:hAnsi="Times New Roman" w:eastAsia="宋体" w:cs="Times New Roman"/>
                <w:color w:val="auto"/>
                <w:spacing w:val="-7"/>
                <w:sz w:val="24"/>
                <w:szCs w:val="24"/>
                <w:vertAlign w:val="superscript"/>
              </w:rPr>
              <w:t>2</w:t>
            </w:r>
            <w:r>
              <w:rPr>
                <w:rFonts w:hint="default" w:ascii="Times New Roman" w:hAnsi="Times New Roman" w:eastAsia="宋体" w:cs="Times New Roman"/>
                <w:color w:val="auto"/>
                <w:spacing w:val="-7"/>
                <w:sz w:val="24"/>
                <w:szCs w:val="24"/>
              </w:rPr>
              <w:t>。休憩设施，包括观景平台25座，座凳700个。3座垃圾处理站，360个垃圾桶，以及森林病虫害防治1项。</w:t>
            </w:r>
          </w:p>
          <w:p w14:paraId="42060FEC">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其中：2023年-2024年作业设计建设内容集约人工林栽培7628.4亩；现有林改培5081.6亩；中幼林抚育39791.2亩；特色经济林3000.0亩；珍稀林木2081.0亩；珍稀林地块中套种林下中药材1035.9亩；特色经济林地块中套种林下花卉205.0亩；林下种菌500.0亩。建设范围为宝林镇、大佛镇、高寺镇、劳动镇、良安镇、天池镇、中和场镇、中天镇。</w:t>
            </w:r>
          </w:p>
          <w:p w14:paraId="14948D71">
            <w:pPr>
              <w:spacing w:before="36" w:line="360" w:lineRule="auto"/>
              <w:ind w:firstLine="612"/>
              <w:rPr>
                <w:rFonts w:hint="default" w:ascii="Times New Roman" w:hAnsi="Times New Roman" w:eastAsia="宋体" w:cs="Times New Roman"/>
                <w:b/>
                <w:bCs/>
                <w:color w:val="auto"/>
                <w:spacing w:val="-7"/>
                <w:sz w:val="24"/>
                <w:szCs w:val="24"/>
              </w:rPr>
            </w:pPr>
            <w:r>
              <w:rPr>
                <w:rFonts w:hint="default" w:ascii="Times New Roman" w:hAnsi="Times New Roman" w:eastAsia="宋体" w:cs="Times New Roman"/>
                <w:b/>
                <w:bCs/>
                <w:color w:val="auto"/>
                <w:spacing w:val="-7"/>
                <w:sz w:val="24"/>
                <w:szCs w:val="24"/>
              </w:rPr>
              <w:t>本次环境影响评价仅对项目2023年-2024年作业设计建设内容进行评价。</w:t>
            </w:r>
          </w:p>
          <w:p w14:paraId="252FEB6D">
            <w:pPr>
              <w:spacing w:before="36" w:line="360" w:lineRule="auto"/>
              <w:ind w:firstLine="612"/>
              <w:rPr>
                <w:rFonts w:hint="default" w:ascii="Times New Roman" w:hAnsi="Times New Roman" w:eastAsia="宋体" w:cs="Times New Roman"/>
                <w:b/>
                <w:bCs/>
                <w:color w:val="auto"/>
                <w:spacing w:val="-7"/>
                <w:sz w:val="24"/>
                <w:szCs w:val="24"/>
              </w:rPr>
            </w:pPr>
            <w:r>
              <w:rPr>
                <w:rFonts w:hint="default" w:ascii="Times New Roman" w:hAnsi="Times New Roman" w:eastAsia="宋体" w:cs="Times New Roman"/>
                <w:b/>
                <w:bCs/>
                <w:color w:val="auto"/>
                <w:spacing w:val="-7"/>
                <w:sz w:val="24"/>
                <w:szCs w:val="24"/>
              </w:rPr>
              <w:t>3、项目组成</w:t>
            </w:r>
          </w:p>
          <w:p w14:paraId="680B709A">
            <w:pPr>
              <w:spacing w:before="36" w:line="360" w:lineRule="auto"/>
              <w:ind w:firstLine="612"/>
              <w:rPr>
                <w:rFonts w:hint="default" w:ascii="Times New Roman" w:hAnsi="Times New Roman" w:eastAsia="宋体" w:cs="Times New Roman"/>
                <w:color w:val="auto"/>
                <w:spacing w:val="-7"/>
                <w:sz w:val="24"/>
                <w:szCs w:val="24"/>
              </w:rPr>
            </w:pPr>
            <w:r>
              <w:rPr>
                <w:rFonts w:hint="default" w:ascii="Times New Roman" w:hAnsi="Times New Roman" w:eastAsia="宋体" w:cs="Times New Roman"/>
                <w:color w:val="auto"/>
                <w:spacing w:val="-7"/>
                <w:sz w:val="24"/>
                <w:szCs w:val="24"/>
              </w:rPr>
              <w:t>本项目建设内容为集约人工林栽培7628.4亩；现有林改培5081.6亩；中幼林抚育39791.2亩；特色经济林3000.0亩；珍稀林木2081.0亩；珍稀林地块中套种林下中药材1035.9亩；特色经济林地块中套种林下花卉205.0亩；林下种菌500.0亩。建设范围为宝林镇、大佛镇、高寺镇、劳动镇、良安镇、天池镇、中和场镇、中天镇。工程项目组成见表2-1。</w:t>
            </w:r>
          </w:p>
          <w:p w14:paraId="337B55CC">
            <w:pPr>
              <w:spacing w:before="61"/>
              <w:ind w:firstLine="2561"/>
              <w:rPr>
                <w:rFonts w:hint="default" w:ascii="Times New Roman" w:hAnsi="Times New Roman" w:eastAsia="宋体" w:cs="Times New Roman"/>
                <w:color w:val="auto"/>
                <w:spacing w:val="-5"/>
                <w:sz w:val="24"/>
                <w:szCs w:val="24"/>
              </w:rPr>
            </w:pPr>
            <w:r>
              <w:rPr>
                <w:rFonts w:hint="default" w:ascii="Times New Roman" w:hAnsi="Times New Roman" w:eastAsia="宋体" w:cs="Times New Roman"/>
                <w:b/>
                <w:bCs/>
                <w:color w:val="auto"/>
              </w:rPr>
              <w:t>表2-1  项目组成及主要环境问题</w:t>
            </w:r>
          </w:p>
          <w:tbl>
            <w:tblPr>
              <w:tblStyle w:val="3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49"/>
              <w:gridCol w:w="1022"/>
              <w:gridCol w:w="4087"/>
              <w:gridCol w:w="923"/>
              <w:gridCol w:w="1064"/>
              <w:gridCol w:w="549"/>
            </w:tblGrid>
            <w:tr w14:paraId="35D740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391" w:type="pct"/>
                  <w:vMerge w:val="restart"/>
                  <w:vAlign w:val="center"/>
                </w:tcPr>
                <w:p w14:paraId="77D99052">
                  <w:pPr>
                    <w:jc w:val="center"/>
                    <w:rPr>
                      <w:rFonts w:hint="default" w:ascii="Times New Roman" w:hAnsi="Times New Roman" w:eastAsia="宋体" w:cs="Times New Roman"/>
                      <w:color w:val="auto"/>
                    </w:rPr>
                  </w:pPr>
                  <w:bookmarkStart w:id="7" w:name="_Hlk21700518"/>
                  <w:r>
                    <w:rPr>
                      <w:rFonts w:hint="default" w:ascii="Times New Roman" w:hAnsi="Times New Roman" w:eastAsia="宋体" w:cs="Times New Roman"/>
                      <w:color w:val="auto"/>
                    </w:rPr>
                    <w:t>项目组成</w:t>
                  </w:r>
                </w:p>
              </w:tc>
              <w:tc>
                <w:tcPr>
                  <w:tcW w:w="3079" w:type="pct"/>
                  <w:gridSpan w:val="2"/>
                  <w:vMerge w:val="restart"/>
                  <w:vAlign w:val="center"/>
                </w:tcPr>
                <w:p w14:paraId="23F3B5D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建设内容及规模</w:t>
                  </w:r>
                </w:p>
              </w:tc>
              <w:tc>
                <w:tcPr>
                  <w:tcW w:w="1197" w:type="pct"/>
                  <w:gridSpan w:val="2"/>
                  <w:vAlign w:val="center"/>
                </w:tcPr>
                <w:p w14:paraId="5059B4E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主要环境影响因子</w:t>
                  </w:r>
                </w:p>
              </w:tc>
              <w:tc>
                <w:tcPr>
                  <w:tcW w:w="330" w:type="pct"/>
                  <w:vMerge w:val="restart"/>
                  <w:vAlign w:val="center"/>
                </w:tcPr>
                <w:p w14:paraId="2A23CBB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备注</w:t>
                  </w:r>
                </w:p>
              </w:tc>
            </w:tr>
            <w:tr w14:paraId="2B36BB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391" w:type="pct"/>
                  <w:vMerge w:val="continue"/>
                  <w:vAlign w:val="center"/>
                </w:tcPr>
                <w:p w14:paraId="75B6E9B2">
                  <w:pPr>
                    <w:jc w:val="center"/>
                    <w:rPr>
                      <w:rFonts w:hint="default" w:ascii="Times New Roman" w:hAnsi="Times New Roman" w:eastAsia="宋体" w:cs="Times New Roman"/>
                      <w:color w:val="auto"/>
                    </w:rPr>
                  </w:pPr>
                </w:p>
              </w:tc>
              <w:tc>
                <w:tcPr>
                  <w:tcW w:w="3079" w:type="pct"/>
                  <w:gridSpan w:val="2"/>
                  <w:vMerge w:val="continue"/>
                  <w:vAlign w:val="center"/>
                </w:tcPr>
                <w:p w14:paraId="77A885BB">
                  <w:pPr>
                    <w:jc w:val="center"/>
                    <w:rPr>
                      <w:rFonts w:hint="default" w:ascii="Times New Roman" w:hAnsi="Times New Roman" w:eastAsia="宋体" w:cs="Times New Roman"/>
                      <w:color w:val="auto"/>
                    </w:rPr>
                  </w:pPr>
                </w:p>
              </w:tc>
              <w:tc>
                <w:tcPr>
                  <w:tcW w:w="556" w:type="pct"/>
                  <w:vAlign w:val="center"/>
                </w:tcPr>
                <w:p w14:paraId="7A004EF7">
                  <w:pPr>
                    <w:rPr>
                      <w:rFonts w:hint="default" w:ascii="Times New Roman" w:hAnsi="Times New Roman" w:eastAsia="宋体" w:cs="Times New Roman"/>
                      <w:color w:val="auto"/>
                    </w:rPr>
                  </w:pPr>
                  <w:r>
                    <w:rPr>
                      <w:rFonts w:hint="default" w:ascii="Times New Roman" w:hAnsi="Times New Roman" w:eastAsia="宋体" w:cs="Times New Roman"/>
                      <w:color w:val="auto"/>
                    </w:rPr>
                    <w:t>施工期</w:t>
                  </w:r>
                </w:p>
              </w:tc>
              <w:tc>
                <w:tcPr>
                  <w:tcW w:w="641" w:type="pct"/>
                  <w:vAlign w:val="center"/>
                </w:tcPr>
                <w:p w14:paraId="6ACCD42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营运期</w:t>
                  </w:r>
                </w:p>
              </w:tc>
              <w:tc>
                <w:tcPr>
                  <w:tcW w:w="330" w:type="pct"/>
                  <w:vMerge w:val="continue"/>
                  <w:vAlign w:val="center"/>
                </w:tcPr>
                <w:p w14:paraId="6CA505BC">
                  <w:pPr>
                    <w:jc w:val="center"/>
                    <w:rPr>
                      <w:rFonts w:hint="default" w:ascii="Times New Roman" w:hAnsi="Times New Roman" w:eastAsia="宋体" w:cs="Times New Roman"/>
                      <w:color w:val="auto"/>
                    </w:rPr>
                  </w:pPr>
                </w:p>
              </w:tc>
            </w:tr>
            <w:tr w14:paraId="4864C8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4" w:hRule="atLeast"/>
                <w:jc w:val="center"/>
              </w:trPr>
              <w:tc>
                <w:tcPr>
                  <w:tcW w:w="391" w:type="pct"/>
                  <w:vMerge w:val="restart"/>
                  <w:vAlign w:val="center"/>
                </w:tcPr>
                <w:p w14:paraId="7DFCB77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主体工程</w:t>
                  </w:r>
                </w:p>
              </w:tc>
              <w:tc>
                <w:tcPr>
                  <w:tcW w:w="616" w:type="pct"/>
                  <w:vAlign w:val="center"/>
                </w:tcPr>
                <w:p w14:paraId="45DF3E5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集约人工林栽培</w:t>
                  </w:r>
                </w:p>
              </w:tc>
              <w:tc>
                <w:tcPr>
                  <w:tcW w:w="2463" w:type="pct"/>
                  <w:vAlign w:val="center"/>
                </w:tcPr>
                <w:p w14:paraId="6071CA1A">
                  <w:pPr>
                    <w:jc w:val="left"/>
                    <w:rPr>
                      <w:rFonts w:hint="default" w:ascii="Times New Roman" w:hAnsi="Times New Roman" w:eastAsia="宋体" w:cs="Times New Roman"/>
                      <w:color w:val="auto"/>
                    </w:rPr>
                  </w:pPr>
                  <w:r>
                    <w:rPr>
                      <w:rFonts w:hint="default" w:ascii="Times New Roman" w:hAnsi="Times New Roman" w:eastAsia="宋体" w:cs="Times New Roman"/>
                      <w:color w:val="auto"/>
                    </w:rPr>
                    <w:t>建设面积共7628.4亩，划分632个小班。其中，大佛镇190个、劳动镇103个、良安镇138个、天池镇133个、中和场镇68个。</w:t>
                  </w:r>
                </w:p>
              </w:tc>
              <w:tc>
                <w:tcPr>
                  <w:tcW w:w="556" w:type="pct"/>
                  <w:vMerge w:val="restart"/>
                  <w:vAlign w:val="center"/>
                </w:tcPr>
                <w:p w14:paraId="31AC1C6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废气、汽车尾气、</w:t>
                  </w:r>
                </w:p>
                <w:p w14:paraId="23913DB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施工人员生活污水、施工废水、生活垃圾、建筑垃圾、噪声</w:t>
                  </w:r>
                </w:p>
              </w:tc>
              <w:tc>
                <w:tcPr>
                  <w:tcW w:w="641" w:type="pct"/>
                  <w:vAlign w:val="center"/>
                </w:tcPr>
                <w:p w14:paraId="7A62778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330" w:type="pct"/>
                  <w:vAlign w:val="center"/>
                </w:tcPr>
                <w:p w14:paraId="3E7B057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新建</w:t>
                  </w:r>
                </w:p>
              </w:tc>
            </w:tr>
            <w:tr w14:paraId="6B494C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4" w:hRule="atLeast"/>
                <w:jc w:val="center"/>
              </w:trPr>
              <w:tc>
                <w:tcPr>
                  <w:tcW w:w="391" w:type="pct"/>
                  <w:vMerge w:val="continue"/>
                  <w:vAlign w:val="center"/>
                </w:tcPr>
                <w:p w14:paraId="70F269E5">
                  <w:pPr>
                    <w:jc w:val="center"/>
                    <w:rPr>
                      <w:rFonts w:hint="default" w:ascii="Times New Roman" w:hAnsi="Times New Roman" w:eastAsia="宋体" w:cs="Times New Roman"/>
                      <w:color w:val="auto"/>
                    </w:rPr>
                  </w:pPr>
                </w:p>
              </w:tc>
              <w:tc>
                <w:tcPr>
                  <w:tcW w:w="616" w:type="pct"/>
                  <w:vAlign w:val="center"/>
                </w:tcPr>
                <w:p w14:paraId="52ABC5F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现有林改培</w:t>
                  </w:r>
                </w:p>
              </w:tc>
              <w:tc>
                <w:tcPr>
                  <w:tcW w:w="2463" w:type="pct"/>
                  <w:vAlign w:val="center"/>
                </w:tcPr>
                <w:p w14:paraId="5C3778B4">
                  <w:pPr>
                    <w:jc w:val="left"/>
                    <w:rPr>
                      <w:rFonts w:hint="default" w:ascii="Times New Roman" w:hAnsi="Times New Roman" w:eastAsia="宋体" w:cs="Times New Roman"/>
                      <w:color w:val="auto"/>
                      <w:lang w:eastAsia="zh-CN"/>
                    </w:rPr>
                  </w:pPr>
                  <w:r>
                    <w:rPr>
                      <w:rFonts w:hint="default" w:ascii="Times New Roman" w:hAnsi="Times New Roman" w:eastAsia="宋体" w:cs="Times New Roman"/>
                      <w:color w:val="auto"/>
                    </w:rPr>
                    <w:t>建设面积共5081.6亩，划分796个小班，其中，高寺镇589个、劳动镇39个、天池镇149个、中天镇19个</w:t>
                  </w:r>
                  <w:r>
                    <w:rPr>
                      <w:rFonts w:hint="default" w:ascii="Times New Roman" w:hAnsi="Times New Roman" w:eastAsia="宋体" w:cs="Times New Roman"/>
                      <w:color w:val="auto"/>
                      <w:lang w:eastAsia="zh-CN"/>
                    </w:rPr>
                    <w:t>。</w:t>
                  </w:r>
                </w:p>
              </w:tc>
              <w:tc>
                <w:tcPr>
                  <w:tcW w:w="556" w:type="pct"/>
                  <w:vMerge w:val="continue"/>
                  <w:vAlign w:val="center"/>
                </w:tcPr>
                <w:p w14:paraId="1EB626FF">
                  <w:pPr>
                    <w:jc w:val="center"/>
                    <w:rPr>
                      <w:rFonts w:hint="default" w:ascii="Times New Roman" w:hAnsi="Times New Roman" w:eastAsia="宋体" w:cs="Times New Roman"/>
                      <w:color w:val="auto"/>
                    </w:rPr>
                  </w:pPr>
                </w:p>
              </w:tc>
              <w:tc>
                <w:tcPr>
                  <w:tcW w:w="641" w:type="pct"/>
                  <w:vAlign w:val="center"/>
                </w:tcPr>
                <w:p w14:paraId="0E021FB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噪声</w:t>
                  </w:r>
                </w:p>
                <w:p w14:paraId="05C44E0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废气</w:t>
                  </w:r>
                </w:p>
              </w:tc>
              <w:tc>
                <w:tcPr>
                  <w:tcW w:w="330" w:type="pct"/>
                  <w:vMerge w:val="restart"/>
                  <w:vAlign w:val="center"/>
                </w:tcPr>
                <w:p w14:paraId="0F99BA0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新建</w:t>
                  </w:r>
                </w:p>
              </w:tc>
            </w:tr>
            <w:tr w14:paraId="5E6F7F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4" w:hRule="atLeast"/>
                <w:jc w:val="center"/>
              </w:trPr>
              <w:tc>
                <w:tcPr>
                  <w:tcW w:w="391" w:type="pct"/>
                  <w:vMerge w:val="continue"/>
                  <w:vAlign w:val="center"/>
                </w:tcPr>
                <w:p w14:paraId="7FDCC30B">
                  <w:pPr>
                    <w:jc w:val="center"/>
                    <w:rPr>
                      <w:rFonts w:hint="default" w:ascii="Times New Roman" w:hAnsi="Times New Roman" w:eastAsia="宋体" w:cs="Times New Roman"/>
                      <w:color w:val="auto"/>
                    </w:rPr>
                  </w:pPr>
                </w:p>
              </w:tc>
              <w:tc>
                <w:tcPr>
                  <w:tcW w:w="616" w:type="pct"/>
                  <w:vAlign w:val="center"/>
                </w:tcPr>
                <w:p w14:paraId="4C9631C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中幼林抚育</w:t>
                  </w:r>
                </w:p>
              </w:tc>
              <w:tc>
                <w:tcPr>
                  <w:tcW w:w="2463" w:type="pct"/>
                  <w:vAlign w:val="center"/>
                </w:tcPr>
                <w:p w14:paraId="6A6603BF">
                  <w:pPr>
                    <w:jc w:val="left"/>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建设面积共39791.2亩，划分为3394个小班。其中，宝林镇784个、大佛镇710个、高寺镇1114个、劳动镇786个。</w:t>
                  </w:r>
                </w:p>
              </w:tc>
              <w:tc>
                <w:tcPr>
                  <w:tcW w:w="556" w:type="pct"/>
                  <w:vMerge w:val="continue"/>
                  <w:vAlign w:val="center"/>
                </w:tcPr>
                <w:p w14:paraId="49A9CA6F">
                  <w:pPr>
                    <w:jc w:val="center"/>
                    <w:rPr>
                      <w:rFonts w:hint="default" w:ascii="Times New Roman" w:hAnsi="Times New Roman" w:eastAsia="宋体" w:cs="Times New Roman"/>
                      <w:color w:val="auto"/>
                    </w:rPr>
                  </w:pPr>
                </w:p>
              </w:tc>
              <w:tc>
                <w:tcPr>
                  <w:tcW w:w="641" w:type="pct"/>
                  <w:vAlign w:val="center"/>
                </w:tcPr>
                <w:p w14:paraId="08989F96">
                  <w:pPr>
                    <w:jc w:val="center"/>
                    <w:rPr>
                      <w:rFonts w:hint="default" w:ascii="Times New Roman" w:hAnsi="Times New Roman" w:eastAsia="宋体" w:cs="Times New Roman"/>
                      <w:color w:val="auto"/>
                    </w:rPr>
                  </w:pPr>
                </w:p>
              </w:tc>
              <w:tc>
                <w:tcPr>
                  <w:tcW w:w="330" w:type="pct"/>
                  <w:vMerge w:val="continue"/>
                  <w:vAlign w:val="center"/>
                </w:tcPr>
                <w:p w14:paraId="4B50B1F8">
                  <w:pPr>
                    <w:jc w:val="center"/>
                    <w:rPr>
                      <w:rFonts w:hint="default" w:ascii="Times New Roman" w:hAnsi="Times New Roman" w:eastAsia="宋体" w:cs="Times New Roman"/>
                      <w:color w:val="auto"/>
                    </w:rPr>
                  </w:pPr>
                </w:p>
              </w:tc>
            </w:tr>
            <w:tr w14:paraId="73AC4C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4" w:hRule="atLeast"/>
                <w:jc w:val="center"/>
              </w:trPr>
              <w:tc>
                <w:tcPr>
                  <w:tcW w:w="391" w:type="pct"/>
                  <w:vMerge w:val="continue"/>
                  <w:vAlign w:val="center"/>
                </w:tcPr>
                <w:p w14:paraId="4E3C1B63">
                  <w:pPr>
                    <w:jc w:val="center"/>
                    <w:rPr>
                      <w:rFonts w:hint="default" w:ascii="Times New Roman" w:hAnsi="Times New Roman" w:eastAsia="宋体" w:cs="Times New Roman"/>
                      <w:color w:val="auto"/>
                    </w:rPr>
                  </w:pPr>
                </w:p>
              </w:tc>
              <w:tc>
                <w:tcPr>
                  <w:tcW w:w="616" w:type="pct"/>
                  <w:vAlign w:val="center"/>
                </w:tcPr>
                <w:p w14:paraId="4714D2D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林业产业建设</w:t>
                  </w:r>
                </w:p>
              </w:tc>
              <w:tc>
                <w:tcPr>
                  <w:tcW w:w="2463" w:type="pct"/>
                  <w:vAlign w:val="center"/>
                </w:tcPr>
                <w:p w14:paraId="765D4D12">
                  <w:pPr>
                    <w:jc w:val="left"/>
                    <w:rPr>
                      <w:rFonts w:hint="default" w:ascii="Times New Roman" w:hAnsi="Times New Roman" w:eastAsia="宋体" w:cs="Times New Roman"/>
                      <w:color w:val="auto"/>
                    </w:rPr>
                  </w:pPr>
                  <w:r>
                    <w:rPr>
                      <w:rFonts w:hint="default" w:ascii="Times New Roman" w:hAnsi="Times New Roman" w:eastAsia="宋体" w:cs="Times New Roman"/>
                      <w:color w:val="auto"/>
                    </w:rPr>
                    <w:t>特色经济林建设共3000.0亩，共划分372个小班，集中在高寺镇鼓楼村、金光村、来龙村、梨子湾村、凉水社区、模范村、天鹅村、香泉社区和永安社区。</w:t>
                  </w:r>
                </w:p>
                <w:p w14:paraId="21EE8BE7">
                  <w:pPr>
                    <w:jc w:val="left"/>
                    <w:rPr>
                      <w:rFonts w:hint="default" w:ascii="Times New Roman" w:hAnsi="Times New Roman" w:eastAsia="宋体" w:cs="Times New Roman"/>
                      <w:color w:val="auto"/>
                    </w:rPr>
                  </w:pPr>
                  <w:r>
                    <w:rPr>
                      <w:rFonts w:hint="default" w:ascii="Times New Roman" w:hAnsi="Times New Roman" w:eastAsia="宋体" w:cs="Times New Roman"/>
                      <w:color w:val="auto"/>
                    </w:rPr>
                    <w:t>珍稀林木集约栽培建设共2081.0亩，共划分173个小班，集中在高寺镇集中在高寺镇简乐桥村、清水村、石堰村、万寿村和燕子村。</w:t>
                  </w:r>
                </w:p>
                <w:p w14:paraId="67BF769E">
                  <w:pPr>
                    <w:jc w:val="left"/>
                    <w:rPr>
                      <w:rFonts w:hint="default" w:ascii="Times New Roman" w:hAnsi="Times New Roman" w:eastAsia="宋体" w:cs="Times New Roman"/>
                      <w:color w:val="auto"/>
                    </w:rPr>
                  </w:pPr>
                  <w:r>
                    <w:rPr>
                      <w:rFonts w:hint="default" w:ascii="Times New Roman" w:hAnsi="Times New Roman" w:eastAsia="宋体" w:cs="Times New Roman"/>
                      <w:color w:val="auto"/>
                    </w:rPr>
                    <w:t>林下种菌建设共500.0亩，共划分36个小班。集中在高寺镇孝义村和永安社区。</w:t>
                  </w:r>
                </w:p>
                <w:p w14:paraId="1D3DBB84">
                  <w:pPr>
                    <w:jc w:val="left"/>
                    <w:rPr>
                      <w:rFonts w:hint="default" w:ascii="Times New Roman" w:hAnsi="Times New Roman" w:eastAsia="宋体" w:cs="Times New Roman"/>
                      <w:color w:val="auto"/>
                    </w:rPr>
                  </w:pPr>
                  <w:r>
                    <w:rPr>
                      <w:rFonts w:hint="default" w:ascii="Times New Roman" w:hAnsi="Times New Roman" w:eastAsia="宋体" w:cs="Times New Roman"/>
                      <w:color w:val="auto"/>
                    </w:rPr>
                    <w:t>林下中药材建设区域为珍稀林木林下，建设面积共1035.9亩，共划分122个小班，集中在高寺镇简乐桥村、清水村、石堰村、万寿村和燕子村。</w:t>
                  </w:r>
                </w:p>
                <w:p w14:paraId="620BB082">
                  <w:pPr>
                    <w:jc w:val="left"/>
                    <w:rPr>
                      <w:rFonts w:hint="default" w:ascii="Times New Roman" w:hAnsi="Times New Roman" w:eastAsia="宋体" w:cs="Times New Roman"/>
                      <w:color w:val="auto"/>
                    </w:rPr>
                  </w:pPr>
                  <w:r>
                    <w:rPr>
                      <w:rFonts w:hint="default" w:ascii="Times New Roman" w:hAnsi="Times New Roman" w:eastAsia="宋体" w:cs="Times New Roman"/>
                      <w:color w:val="auto"/>
                    </w:rPr>
                    <w:t>林下花卉建设区域为特色经济林林下，建设面积共205.0亩，共划分6个小班，全部集中在高寺镇来龙村。</w:t>
                  </w:r>
                </w:p>
              </w:tc>
              <w:tc>
                <w:tcPr>
                  <w:tcW w:w="556" w:type="pct"/>
                  <w:vMerge w:val="continue"/>
                  <w:vAlign w:val="center"/>
                </w:tcPr>
                <w:p w14:paraId="2E4DABB1">
                  <w:pPr>
                    <w:jc w:val="center"/>
                    <w:rPr>
                      <w:rFonts w:hint="default" w:ascii="Times New Roman" w:hAnsi="Times New Roman" w:eastAsia="宋体" w:cs="Times New Roman"/>
                      <w:color w:val="auto"/>
                    </w:rPr>
                  </w:pPr>
                </w:p>
              </w:tc>
              <w:tc>
                <w:tcPr>
                  <w:tcW w:w="641" w:type="pct"/>
                </w:tcPr>
                <w:p w14:paraId="61EE6F5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生活垃圾、废水、汽车尾气、噪声、</w:t>
                  </w:r>
                </w:p>
              </w:tc>
              <w:tc>
                <w:tcPr>
                  <w:tcW w:w="330" w:type="pct"/>
                  <w:vMerge w:val="continue"/>
                  <w:vAlign w:val="center"/>
                </w:tcPr>
                <w:p w14:paraId="253ABB20">
                  <w:pPr>
                    <w:jc w:val="center"/>
                    <w:rPr>
                      <w:rFonts w:hint="default" w:ascii="Times New Roman" w:hAnsi="Times New Roman" w:eastAsia="宋体" w:cs="Times New Roman"/>
                      <w:color w:val="auto"/>
                    </w:rPr>
                  </w:pPr>
                </w:p>
              </w:tc>
            </w:tr>
            <w:tr w14:paraId="42D470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4" w:hRule="atLeast"/>
                <w:jc w:val="center"/>
              </w:trPr>
              <w:tc>
                <w:tcPr>
                  <w:tcW w:w="391" w:type="pct"/>
                  <w:vMerge w:val="restart"/>
                  <w:vAlign w:val="center"/>
                </w:tcPr>
                <w:p w14:paraId="389282A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辅助工程</w:t>
                  </w:r>
                </w:p>
              </w:tc>
              <w:tc>
                <w:tcPr>
                  <w:tcW w:w="616" w:type="pct"/>
                  <w:vAlign w:val="center"/>
                </w:tcPr>
                <w:p w14:paraId="5DC4B79E">
                  <w:pPr>
                    <w:jc w:val="center"/>
                    <w:rPr>
                      <w:rFonts w:hint="default" w:ascii="Times New Roman" w:hAnsi="Times New Roman" w:eastAsia="宋体" w:cs="Times New Roman"/>
                      <w:color w:val="auto"/>
                      <w:lang w:eastAsia="zh-CN"/>
                    </w:rPr>
                  </w:pPr>
                  <w:r>
                    <w:rPr>
                      <w:rFonts w:hint="default" w:ascii="Times New Roman" w:hAnsi="Times New Roman" w:eastAsia="宋体" w:cs="Times New Roman"/>
                      <w:color w:val="auto"/>
                    </w:rPr>
                    <w:t>弃土场</w:t>
                  </w:r>
                  <w:r>
                    <w:rPr>
                      <w:rFonts w:hint="default" w:ascii="Times New Roman" w:hAnsi="Times New Roman" w:eastAsia="宋体" w:cs="Times New Roman"/>
                      <w:color w:val="auto"/>
                      <w:lang w:eastAsia="zh-CN"/>
                    </w:rPr>
                    <w:t>（防火道路）</w:t>
                  </w:r>
                </w:p>
              </w:tc>
              <w:tc>
                <w:tcPr>
                  <w:tcW w:w="2463" w:type="pct"/>
                  <w:vAlign w:val="center"/>
                </w:tcPr>
                <w:p w14:paraId="62CACB11">
                  <w:pPr>
                    <w:jc w:val="left"/>
                    <w:rPr>
                      <w:rFonts w:hint="default" w:ascii="Times New Roman" w:hAnsi="Times New Roman" w:eastAsia="宋体" w:cs="Times New Roman"/>
                      <w:color w:val="auto"/>
                    </w:rPr>
                  </w:pPr>
                  <w:r>
                    <w:rPr>
                      <w:rFonts w:hint="default" w:ascii="Times New Roman" w:hAnsi="Times New Roman" w:eastAsia="宋体" w:cs="Times New Roman"/>
                      <w:color w:val="auto"/>
                    </w:rPr>
                    <w:t>主体设计在防火道路K0+250-K0+500设置一处弃土场，临时占地面积1500m</w:t>
                  </w:r>
                  <w:r>
                    <w:rPr>
                      <w:rFonts w:hint="default" w:ascii="Times New Roman" w:hAnsi="Times New Roman" w:eastAsia="宋体" w:cs="Times New Roman"/>
                      <w:color w:val="auto"/>
                      <w:vertAlign w:val="superscript"/>
                    </w:rPr>
                    <w:t>2</w:t>
                  </w:r>
                  <w:r>
                    <w:rPr>
                      <w:rFonts w:hint="default" w:ascii="Times New Roman" w:hAnsi="Times New Roman" w:eastAsia="宋体" w:cs="Times New Roman"/>
                      <w:color w:val="auto"/>
                    </w:rPr>
                    <w:t>，弃土场容量2.2万m</w:t>
                  </w:r>
                  <w:r>
                    <w:rPr>
                      <w:rFonts w:hint="default" w:ascii="Times New Roman" w:hAnsi="Times New Roman" w:eastAsia="宋体" w:cs="Times New Roman"/>
                      <w:color w:val="auto"/>
                      <w:vertAlign w:val="superscript"/>
                    </w:rPr>
                    <w:t>3</w:t>
                  </w:r>
                  <w:r>
                    <w:rPr>
                      <w:rFonts w:hint="default" w:ascii="Times New Roman" w:hAnsi="Times New Roman" w:eastAsia="宋体" w:cs="Times New Roman"/>
                      <w:color w:val="auto"/>
                    </w:rPr>
                    <w:t>，最大堆高14.8m，为4级坡地型弃渣场。</w:t>
                  </w:r>
                </w:p>
              </w:tc>
              <w:tc>
                <w:tcPr>
                  <w:tcW w:w="556" w:type="pct"/>
                  <w:vMerge w:val="continue"/>
                  <w:vAlign w:val="center"/>
                </w:tcPr>
                <w:p w14:paraId="4EC89309">
                  <w:pPr>
                    <w:jc w:val="center"/>
                    <w:rPr>
                      <w:rFonts w:hint="default" w:ascii="Times New Roman" w:hAnsi="Times New Roman" w:eastAsia="宋体" w:cs="Times New Roman"/>
                      <w:color w:val="auto"/>
                    </w:rPr>
                  </w:pPr>
                </w:p>
              </w:tc>
              <w:tc>
                <w:tcPr>
                  <w:tcW w:w="641" w:type="pct"/>
                  <w:vMerge w:val="restart"/>
                  <w:vAlign w:val="center"/>
                </w:tcPr>
                <w:p w14:paraId="219F705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水土流失、生活污水、生活垃圾等</w:t>
                  </w:r>
                </w:p>
              </w:tc>
              <w:tc>
                <w:tcPr>
                  <w:tcW w:w="330" w:type="pct"/>
                  <w:vMerge w:val="restart"/>
                  <w:vAlign w:val="center"/>
                </w:tcPr>
                <w:p w14:paraId="791E003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新建</w:t>
                  </w:r>
                </w:p>
              </w:tc>
            </w:tr>
            <w:tr w14:paraId="67C4C5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4" w:hRule="atLeast"/>
                <w:jc w:val="center"/>
              </w:trPr>
              <w:tc>
                <w:tcPr>
                  <w:tcW w:w="391" w:type="pct"/>
                  <w:vMerge w:val="continue"/>
                  <w:vAlign w:val="center"/>
                </w:tcPr>
                <w:p w14:paraId="5AC7D935">
                  <w:pPr>
                    <w:jc w:val="center"/>
                    <w:rPr>
                      <w:rFonts w:hint="default" w:ascii="Times New Roman" w:hAnsi="Times New Roman" w:eastAsia="宋体" w:cs="Times New Roman"/>
                      <w:color w:val="auto"/>
                    </w:rPr>
                  </w:pPr>
                </w:p>
              </w:tc>
              <w:tc>
                <w:tcPr>
                  <w:tcW w:w="616" w:type="pct"/>
                  <w:vAlign w:val="center"/>
                </w:tcPr>
                <w:p w14:paraId="55D4047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施工营地</w:t>
                  </w:r>
                </w:p>
              </w:tc>
              <w:tc>
                <w:tcPr>
                  <w:tcW w:w="2463" w:type="pct"/>
                  <w:vAlign w:val="center"/>
                </w:tcPr>
                <w:p w14:paraId="35E61656">
                  <w:pPr>
                    <w:jc w:val="left"/>
                    <w:rPr>
                      <w:rFonts w:hint="default" w:ascii="Times New Roman" w:hAnsi="Times New Roman" w:eastAsia="宋体" w:cs="Times New Roman"/>
                      <w:color w:val="auto"/>
                    </w:rPr>
                  </w:pPr>
                  <w:r>
                    <w:rPr>
                      <w:rFonts w:hint="default" w:ascii="Times New Roman" w:hAnsi="Times New Roman" w:eastAsia="宋体" w:cs="Times New Roman"/>
                      <w:color w:val="auto"/>
                    </w:rPr>
                    <w:t>拟设置2处施工营地，其中道路工程1处（防火道路起点设置1号营地），建构筑物及配套设施工程1处（管理用房附近设置2号营地）。施工营地选在地势相对较为平缓处且地表植被较为贫瘠处，临时占地共计1600m</w:t>
                  </w:r>
                  <w:r>
                    <w:rPr>
                      <w:rFonts w:hint="default" w:ascii="Times New Roman" w:hAnsi="Times New Roman" w:eastAsia="宋体" w:cs="Times New Roman"/>
                      <w:color w:val="auto"/>
                      <w:vertAlign w:val="superscript"/>
                    </w:rPr>
                    <w:t>2</w:t>
                  </w:r>
                  <w:r>
                    <w:rPr>
                      <w:rFonts w:hint="default" w:ascii="Times New Roman" w:hAnsi="Times New Roman" w:eastAsia="宋体" w:cs="Times New Roman"/>
                      <w:color w:val="auto"/>
                    </w:rPr>
                    <w:t>。</w:t>
                  </w:r>
                </w:p>
              </w:tc>
              <w:tc>
                <w:tcPr>
                  <w:tcW w:w="556" w:type="pct"/>
                  <w:vMerge w:val="continue"/>
                  <w:vAlign w:val="center"/>
                </w:tcPr>
                <w:p w14:paraId="49177DC3">
                  <w:pPr>
                    <w:jc w:val="center"/>
                    <w:rPr>
                      <w:rFonts w:hint="default" w:ascii="Times New Roman" w:hAnsi="Times New Roman" w:eastAsia="宋体" w:cs="Times New Roman"/>
                      <w:color w:val="auto"/>
                    </w:rPr>
                  </w:pPr>
                </w:p>
              </w:tc>
              <w:tc>
                <w:tcPr>
                  <w:tcW w:w="641" w:type="pct"/>
                  <w:vMerge w:val="continue"/>
                  <w:vAlign w:val="center"/>
                </w:tcPr>
                <w:p w14:paraId="5ED4B4FD">
                  <w:pPr>
                    <w:jc w:val="center"/>
                    <w:rPr>
                      <w:rFonts w:hint="default" w:ascii="Times New Roman" w:hAnsi="Times New Roman" w:eastAsia="宋体" w:cs="Times New Roman"/>
                      <w:color w:val="auto"/>
                    </w:rPr>
                  </w:pPr>
                </w:p>
              </w:tc>
              <w:tc>
                <w:tcPr>
                  <w:tcW w:w="330" w:type="pct"/>
                  <w:vMerge w:val="continue"/>
                  <w:vAlign w:val="center"/>
                </w:tcPr>
                <w:p w14:paraId="48EFA3B2">
                  <w:pPr>
                    <w:jc w:val="center"/>
                    <w:rPr>
                      <w:rFonts w:hint="default" w:ascii="Times New Roman" w:hAnsi="Times New Roman" w:eastAsia="宋体" w:cs="Times New Roman"/>
                      <w:color w:val="auto"/>
                    </w:rPr>
                  </w:pPr>
                </w:p>
              </w:tc>
            </w:tr>
            <w:tr w14:paraId="2D7E03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4" w:hRule="atLeast"/>
                <w:jc w:val="center"/>
              </w:trPr>
              <w:tc>
                <w:tcPr>
                  <w:tcW w:w="391" w:type="pct"/>
                  <w:vMerge w:val="continue"/>
                  <w:vAlign w:val="center"/>
                </w:tcPr>
                <w:p w14:paraId="1395193C">
                  <w:pPr>
                    <w:jc w:val="center"/>
                    <w:rPr>
                      <w:rFonts w:hint="default" w:ascii="Times New Roman" w:hAnsi="Times New Roman" w:eastAsia="宋体" w:cs="Times New Roman"/>
                      <w:color w:val="auto"/>
                    </w:rPr>
                  </w:pPr>
                </w:p>
              </w:tc>
              <w:tc>
                <w:tcPr>
                  <w:tcW w:w="616" w:type="pct"/>
                  <w:vAlign w:val="center"/>
                </w:tcPr>
                <w:p w14:paraId="17C5473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临时堆</w:t>
                  </w:r>
                </w:p>
                <w:p w14:paraId="0ECD8F3F">
                  <w:pPr>
                    <w:jc w:val="center"/>
                    <w:rPr>
                      <w:rFonts w:hint="default" w:ascii="Times New Roman" w:hAnsi="Times New Roman" w:eastAsia="宋体" w:cs="Times New Roman"/>
                      <w:color w:val="auto"/>
                      <w:lang w:eastAsia="zh-CN"/>
                    </w:rPr>
                  </w:pPr>
                  <w:r>
                    <w:rPr>
                      <w:rFonts w:hint="default" w:ascii="Times New Roman" w:hAnsi="Times New Roman" w:eastAsia="宋体" w:cs="Times New Roman"/>
                      <w:color w:val="auto"/>
                    </w:rPr>
                    <w:t>土场</w:t>
                  </w:r>
                  <w:r>
                    <w:rPr>
                      <w:rFonts w:hint="default" w:ascii="Times New Roman" w:hAnsi="Times New Roman" w:eastAsia="宋体" w:cs="Times New Roman"/>
                      <w:color w:val="auto"/>
                      <w:lang w:eastAsia="zh-CN"/>
                    </w:rPr>
                    <w:t>（防火道路）</w:t>
                  </w:r>
                </w:p>
              </w:tc>
              <w:tc>
                <w:tcPr>
                  <w:tcW w:w="2463" w:type="pct"/>
                  <w:vAlign w:val="center"/>
                </w:tcPr>
                <w:p w14:paraId="4C192AB2">
                  <w:pPr>
                    <w:jc w:val="left"/>
                    <w:rPr>
                      <w:rFonts w:hint="default" w:ascii="Times New Roman" w:hAnsi="Times New Roman" w:eastAsia="宋体" w:cs="Times New Roman"/>
                      <w:color w:val="auto"/>
                    </w:rPr>
                  </w:pPr>
                  <w:r>
                    <w:rPr>
                      <w:rFonts w:hint="default" w:ascii="Times New Roman" w:hAnsi="Times New Roman" w:eastAsia="宋体" w:cs="Times New Roman"/>
                      <w:color w:val="auto"/>
                    </w:rPr>
                    <w:t>在K0+800地势较为平坦处新增1处临时堆土场，作为土石方调配临时中转站，占地3000m</w:t>
                  </w:r>
                  <w:r>
                    <w:rPr>
                      <w:rFonts w:hint="default" w:ascii="Times New Roman" w:hAnsi="Times New Roman" w:eastAsia="宋体" w:cs="Times New Roman"/>
                      <w:color w:val="auto"/>
                      <w:vertAlign w:val="superscript"/>
                    </w:rPr>
                    <w:t>2</w:t>
                  </w:r>
                  <w:r>
                    <w:rPr>
                      <w:rFonts w:hint="default" w:ascii="Times New Roman" w:hAnsi="Times New Roman" w:eastAsia="宋体" w:cs="Times New Roman"/>
                      <w:color w:val="auto"/>
                    </w:rPr>
                    <w:t>，堆土高度不超过2.5m，临时堆土场容量约为0.75万m</w:t>
                  </w:r>
                  <w:r>
                    <w:rPr>
                      <w:rFonts w:hint="default" w:ascii="Times New Roman" w:hAnsi="Times New Roman" w:eastAsia="宋体" w:cs="Times New Roman"/>
                      <w:color w:val="auto"/>
                      <w:vertAlign w:val="superscript"/>
                    </w:rPr>
                    <w:t>3</w:t>
                  </w:r>
                  <w:r>
                    <w:rPr>
                      <w:rFonts w:hint="default" w:ascii="Times New Roman" w:hAnsi="Times New Roman" w:eastAsia="宋体" w:cs="Times New Roman"/>
                      <w:color w:val="auto"/>
                    </w:rPr>
                    <w:t>。</w:t>
                  </w:r>
                </w:p>
              </w:tc>
              <w:tc>
                <w:tcPr>
                  <w:tcW w:w="556" w:type="pct"/>
                  <w:vMerge w:val="continue"/>
                  <w:vAlign w:val="center"/>
                </w:tcPr>
                <w:p w14:paraId="1202C76B">
                  <w:pPr>
                    <w:jc w:val="center"/>
                    <w:rPr>
                      <w:rFonts w:hint="default" w:ascii="Times New Roman" w:hAnsi="Times New Roman" w:eastAsia="宋体" w:cs="Times New Roman"/>
                      <w:color w:val="auto"/>
                    </w:rPr>
                  </w:pPr>
                </w:p>
              </w:tc>
              <w:tc>
                <w:tcPr>
                  <w:tcW w:w="641" w:type="pct"/>
                  <w:vMerge w:val="continue"/>
                  <w:vAlign w:val="center"/>
                </w:tcPr>
                <w:p w14:paraId="42F36B5D">
                  <w:pPr>
                    <w:jc w:val="center"/>
                    <w:rPr>
                      <w:rFonts w:hint="default" w:ascii="Times New Roman" w:hAnsi="Times New Roman" w:eastAsia="宋体" w:cs="Times New Roman"/>
                      <w:color w:val="auto"/>
                    </w:rPr>
                  </w:pPr>
                </w:p>
              </w:tc>
              <w:tc>
                <w:tcPr>
                  <w:tcW w:w="330" w:type="pct"/>
                  <w:vMerge w:val="continue"/>
                  <w:vAlign w:val="center"/>
                </w:tcPr>
                <w:p w14:paraId="4AE29539">
                  <w:pPr>
                    <w:jc w:val="center"/>
                    <w:rPr>
                      <w:rFonts w:hint="default" w:ascii="Times New Roman" w:hAnsi="Times New Roman" w:eastAsia="宋体" w:cs="Times New Roman"/>
                      <w:color w:val="auto"/>
                    </w:rPr>
                  </w:pPr>
                </w:p>
              </w:tc>
            </w:tr>
            <w:tr w14:paraId="43CF90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4" w:hRule="atLeast"/>
                <w:jc w:val="center"/>
              </w:trPr>
              <w:tc>
                <w:tcPr>
                  <w:tcW w:w="391" w:type="pct"/>
                  <w:vMerge w:val="continue"/>
                  <w:vAlign w:val="center"/>
                </w:tcPr>
                <w:p w14:paraId="18B112B4">
                  <w:pPr>
                    <w:jc w:val="center"/>
                    <w:rPr>
                      <w:rFonts w:hint="default" w:ascii="Times New Roman" w:hAnsi="Times New Roman" w:eastAsia="宋体" w:cs="Times New Roman"/>
                      <w:color w:val="auto"/>
                    </w:rPr>
                  </w:pPr>
                </w:p>
              </w:tc>
              <w:tc>
                <w:tcPr>
                  <w:tcW w:w="616" w:type="pct"/>
                  <w:vAlign w:val="center"/>
                </w:tcPr>
                <w:p w14:paraId="630A387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施工便道</w:t>
                  </w:r>
                </w:p>
              </w:tc>
              <w:tc>
                <w:tcPr>
                  <w:tcW w:w="2463" w:type="pct"/>
                  <w:vAlign w:val="center"/>
                </w:tcPr>
                <w:p w14:paraId="472D80AD">
                  <w:pPr>
                    <w:jc w:val="left"/>
                    <w:rPr>
                      <w:rFonts w:hint="default" w:ascii="Times New Roman" w:hAnsi="Times New Roman" w:eastAsia="宋体" w:cs="Times New Roman"/>
                      <w:color w:val="auto"/>
                    </w:rPr>
                  </w:pPr>
                  <w:r>
                    <w:rPr>
                      <w:rFonts w:hint="default" w:ascii="Times New Roman" w:hAnsi="Times New Roman" w:eastAsia="宋体" w:cs="Times New Roman"/>
                      <w:color w:val="auto"/>
                    </w:rPr>
                    <w:t>本项目不设置施工便道，利用既有道路。</w:t>
                  </w:r>
                </w:p>
              </w:tc>
              <w:tc>
                <w:tcPr>
                  <w:tcW w:w="556" w:type="pct"/>
                  <w:vMerge w:val="continue"/>
                  <w:vAlign w:val="center"/>
                </w:tcPr>
                <w:p w14:paraId="1B4B60F0">
                  <w:pPr>
                    <w:jc w:val="center"/>
                    <w:rPr>
                      <w:rFonts w:hint="default" w:ascii="Times New Roman" w:hAnsi="Times New Roman" w:eastAsia="宋体" w:cs="Times New Roman"/>
                      <w:color w:val="auto"/>
                    </w:rPr>
                  </w:pPr>
                </w:p>
              </w:tc>
              <w:tc>
                <w:tcPr>
                  <w:tcW w:w="641" w:type="pct"/>
                  <w:vAlign w:val="center"/>
                </w:tcPr>
                <w:p w14:paraId="61F0CC2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330" w:type="pct"/>
                  <w:vAlign w:val="center"/>
                </w:tcPr>
                <w:p w14:paraId="3ABBBBC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依托</w:t>
                  </w:r>
                </w:p>
              </w:tc>
            </w:tr>
            <w:tr w14:paraId="5094AC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4" w:hRule="atLeast"/>
                <w:jc w:val="center"/>
              </w:trPr>
              <w:tc>
                <w:tcPr>
                  <w:tcW w:w="391" w:type="pct"/>
                  <w:vMerge w:val="continue"/>
                  <w:vAlign w:val="center"/>
                </w:tcPr>
                <w:p w14:paraId="5F4B5B44">
                  <w:pPr>
                    <w:jc w:val="center"/>
                    <w:rPr>
                      <w:rFonts w:hint="default" w:ascii="Times New Roman" w:hAnsi="Times New Roman" w:eastAsia="宋体" w:cs="Times New Roman"/>
                      <w:color w:val="auto"/>
                    </w:rPr>
                  </w:pPr>
                </w:p>
              </w:tc>
              <w:tc>
                <w:tcPr>
                  <w:tcW w:w="616" w:type="pct"/>
                  <w:vAlign w:val="center"/>
                </w:tcPr>
                <w:p w14:paraId="42B18F5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施工场地</w:t>
                  </w:r>
                </w:p>
              </w:tc>
              <w:tc>
                <w:tcPr>
                  <w:tcW w:w="2463" w:type="pct"/>
                  <w:vAlign w:val="center"/>
                </w:tcPr>
                <w:p w14:paraId="7D602A71">
                  <w:pPr>
                    <w:jc w:val="left"/>
                    <w:rPr>
                      <w:rFonts w:hint="default" w:ascii="Times New Roman" w:hAnsi="Times New Roman" w:eastAsia="宋体" w:cs="Times New Roman"/>
                      <w:color w:val="auto"/>
                    </w:rPr>
                  </w:pPr>
                  <w:r>
                    <w:rPr>
                      <w:rFonts w:hint="default" w:ascii="Times New Roman" w:hAnsi="Times New Roman" w:eastAsia="宋体" w:cs="Times New Roman"/>
                      <w:color w:val="auto"/>
                    </w:rPr>
                    <w:t>本项目不设置机修、汽修设施。施工机械、物料堆放均放置于各场地内，不设置集中的机械停放点。本项目不设置搅拌站，购买商品混凝土。</w:t>
                  </w:r>
                </w:p>
              </w:tc>
              <w:tc>
                <w:tcPr>
                  <w:tcW w:w="556" w:type="pct"/>
                  <w:vMerge w:val="continue"/>
                  <w:vAlign w:val="center"/>
                </w:tcPr>
                <w:p w14:paraId="643E3022">
                  <w:pPr>
                    <w:jc w:val="center"/>
                    <w:rPr>
                      <w:rFonts w:hint="default" w:ascii="Times New Roman" w:hAnsi="Times New Roman" w:eastAsia="宋体" w:cs="Times New Roman"/>
                      <w:color w:val="auto"/>
                    </w:rPr>
                  </w:pPr>
                </w:p>
              </w:tc>
              <w:tc>
                <w:tcPr>
                  <w:tcW w:w="641" w:type="pct"/>
                  <w:vAlign w:val="center"/>
                </w:tcPr>
                <w:p w14:paraId="363B776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330" w:type="pct"/>
                  <w:vAlign w:val="center"/>
                </w:tcPr>
                <w:p w14:paraId="0A6572D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r>
            <w:tr w14:paraId="7FCD1A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391" w:type="pct"/>
                  <w:vMerge w:val="restart"/>
                  <w:vAlign w:val="center"/>
                </w:tcPr>
                <w:p w14:paraId="3820D16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公用工程</w:t>
                  </w:r>
                </w:p>
              </w:tc>
              <w:tc>
                <w:tcPr>
                  <w:tcW w:w="616" w:type="pct"/>
                  <w:vAlign w:val="center"/>
                </w:tcPr>
                <w:p w14:paraId="1F4D940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供水</w:t>
                  </w:r>
                </w:p>
              </w:tc>
              <w:tc>
                <w:tcPr>
                  <w:tcW w:w="2463" w:type="pct"/>
                  <w:vAlign w:val="center"/>
                </w:tcPr>
                <w:p w14:paraId="70E83171">
                  <w:pPr>
                    <w:jc w:val="left"/>
                    <w:rPr>
                      <w:rFonts w:hint="default" w:ascii="Times New Roman" w:hAnsi="Times New Roman" w:eastAsia="宋体" w:cs="Times New Roman"/>
                      <w:color w:val="auto"/>
                    </w:rPr>
                  </w:pPr>
                  <w:r>
                    <w:rPr>
                      <w:rFonts w:hint="default" w:ascii="Times New Roman" w:hAnsi="Times New Roman" w:eastAsia="宋体" w:cs="Times New Roman"/>
                      <w:color w:val="auto"/>
                    </w:rPr>
                    <w:t>项目</w:t>
                  </w:r>
                  <w:r>
                    <w:rPr>
                      <w:rFonts w:hint="default" w:ascii="Times New Roman" w:hAnsi="Times New Roman" w:eastAsia="宋体" w:cs="Times New Roman"/>
                      <w:color w:val="auto"/>
                      <w:lang w:val="en-US" w:eastAsia="zh-CN"/>
                    </w:rPr>
                    <w:t>离居民较近的区域接</w:t>
                  </w:r>
                  <w:r>
                    <w:rPr>
                      <w:rFonts w:hint="default" w:ascii="Times New Roman" w:hAnsi="Times New Roman" w:eastAsia="宋体" w:cs="Times New Roman"/>
                      <w:color w:val="auto"/>
                    </w:rPr>
                    <w:t>就近灌渠取水，均采用喷灌方式，其余造林区域均采取水车拉运的方式浇灌。</w:t>
                  </w:r>
                </w:p>
              </w:tc>
              <w:tc>
                <w:tcPr>
                  <w:tcW w:w="556" w:type="pct"/>
                  <w:vMerge w:val="continue"/>
                  <w:vAlign w:val="center"/>
                </w:tcPr>
                <w:p w14:paraId="6CF95443">
                  <w:pPr>
                    <w:jc w:val="center"/>
                    <w:rPr>
                      <w:rFonts w:hint="default" w:ascii="Times New Roman" w:hAnsi="Times New Roman" w:eastAsia="宋体" w:cs="Times New Roman"/>
                      <w:color w:val="auto"/>
                    </w:rPr>
                  </w:pPr>
                </w:p>
              </w:tc>
              <w:tc>
                <w:tcPr>
                  <w:tcW w:w="641" w:type="pct"/>
                  <w:vAlign w:val="center"/>
                </w:tcPr>
                <w:p w14:paraId="75723CF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330" w:type="pct"/>
                  <w:vMerge w:val="restart"/>
                  <w:vAlign w:val="center"/>
                </w:tcPr>
                <w:p w14:paraId="3117104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依托</w:t>
                  </w:r>
                </w:p>
              </w:tc>
            </w:tr>
            <w:tr w14:paraId="4828CC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391" w:type="pct"/>
                  <w:vMerge w:val="continue"/>
                  <w:vAlign w:val="center"/>
                </w:tcPr>
                <w:p w14:paraId="06FE46F3">
                  <w:pPr>
                    <w:jc w:val="center"/>
                    <w:rPr>
                      <w:rFonts w:hint="default" w:ascii="Times New Roman" w:hAnsi="Times New Roman" w:eastAsia="宋体" w:cs="Times New Roman"/>
                      <w:color w:val="auto"/>
                    </w:rPr>
                  </w:pPr>
                </w:p>
              </w:tc>
              <w:tc>
                <w:tcPr>
                  <w:tcW w:w="616" w:type="pct"/>
                </w:tcPr>
                <w:p w14:paraId="1EF97F1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供电</w:t>
                  </w:r>
                </w:p>
              </w:tc>
              <w:tc>
                <w:tcPr>
                  <w:tcW w:w="2463" w:type="pct"/>
                </w:tcPr>
                <w:p w14:paraId="15BD1AF3">
                  <w:pPr>
                    <w:jc w:val="left"/>
                    <w:rPr>
                      <w:rFonts w:hint="default" w:ascii="Times New Roman" w:hAnsi="Times New Roman" w:eastAsia="宋体" w:cs="Times New Roman"/>
                      <w:color w:val="auto"/>
                    </w:rPr>
                  </w:pPr>
                  <w:r>
                    <w:rPr>
                      <w:rFonts w:hint="default" w:ascii="Times New Roman" w:hAnsi="Times New Roman" w:eastAsia="宋体" w:cs="Times New Roman"/>
                      <w:color w:val="auto"/>
                    </w:rPr>
                    <w:t>项目区附近电网供应。</w:t>
                  </w:r>
                </w:p>
              </w:tc>
              <w:tc>
                <w:tcPr>
                  <w:tcW w:w="556" w:type="pct"/>
                  <w:vMerge w:val="continue"/>
                  <w:vAlign w:val="center"/>
                </w:tcPr>
                <w:p w14:paraId="1EA59451">
                  <w:pPr>
                    <w:jc w:val="center"/>
                    <w:rPr>
                      <w:rFonts w:hint="default" w:ascii="Times New Roman" w:hAnsi="Times New Roman" w:eastAsia="宋体" w:cs="Times New Roman"/>
                      <w:color w:val="auto"/>
                    </w:rPr>
                  </w:pPr>
                </w:p>
              </w:tc>
              <w:tc>
                <w:tcPr>
                  <w:tcW w:w="641" w:type="pct"/>
                  <w:vAlign w:val="center"/>
                </w:tcPr>
                <w:p w14:paraId="2D73D0D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330" w:type="pct"/>
                  <w:vMerge w:val="continue"/>
                  <w:vAlign w:val="center"/>
                </w:tcPr>
                <w:p w14:paraId="70185B69">
                  <w:pPr>
                    <w:jc w:val="center"/>
                    <w:rPr>
                      <w:rFonts w:hint="default" w:ascii="Times New Roman" w:hAnsi="Times New Roman" w:eastAsia="宋体" w:cs="Times New Roman"/>
                      <w:color w:val="auto"/>
                    </w:rPr>
                  </w:pPr>
                </w:p>
              </w:tc>
            </w:tr>
            <w:tr w14:paraId="63241B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391" w:type="pct"/>
                  <w:vMerge w:val="continue"/>
                  <w:vAlign w:val="center"/>
                </w:tcPr>
                <w:p w14:paraId="1F757203">
                  <w:pPr>
                    <w:jc w:val="center"/>
                    <w:rPr>
                      <w:rFonts w:hint="default" w:ascii="Times New Roman" w:hAnsi="Times New Roman" w:eastAsia="宋体" w:cs="Times New Roman"/>
                      <w:color w:val="auto"/>
                    </w:rPr>
                  </w:pPr>
                </w:p>
              </w:tc>
              <w:tc>
                <w:tcPr>
                  <w:tcW w:w="616" w:type="pct"/>
                  <w:vAlign w:val="center"/>
                </w:tcPr>
                <w:p w14:paraId="3832393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排水</w:t>
                  </w:r>
                </w:p>
              </w:tc>
              <w:tc>
                <w:tcPr>
                  <w:tcW w:w="2463" w:type="pct"/>
                </w:tcPr>
                <w:p w14:paraId="21A95FA8">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rPr>
                    <w:t>雨污分流制，雨水用于道路绿化浇灌；施工期污水经预处理后排入既有管道，营运期由项目安装的污水处理系统处理。</w:t>
                  </w:r>
                </w:p>
                <w:p w14:paraId="79CE32C8">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snapToGrid w:val="0"/>
                      <w:color w:val="auto"/>
                      <w:kern w:val="0"/>
                      <w:sz w:val="21"/>
                      <w:szCs w:val="21"/>
                      <w:lang w:val="en-US" w:eastAsia="zh-CN" w:bidi="ar"/>
                    </w:rPr>
                    <w:t>灌溉阶段管道内剩余水均可经泄水阀排放后直接用于周边山体地表浇洒。</w:t>
                  </w:r>
                </w:p>
              </w:tc>
              <w:tc>
                <w:tcPr>
                  <w:tcW w:w="556" w:type="pct"/>
                  <w:vMerge w:val="continue"/>
                  <w:vAlign w:val="center"/>
                </w:tcPr>
                <w:p w14:paraId="7BE8CA77">
                  <w:pPr>
                    <w:jc w:val="center"/>
                    <w:rPr>
                      <w:rFonts w:hint="default" w:ascii="Times New Roman" w:hAnsi="Times New Roman" w:eastAsia="宋体" w:cs="Times New Roman"/>
                      <w:color w:val="auto"/>
                    </w:rPr>
                  </w:pPr>
                </w:p>
              </w:tc>
              <w:tc>
                <w:tcPr>
                  <w:tcW w:w="641" w:type="pct"/>
                  <w:vAlign w:val="center"/>
                </w:tcPr>
                <w:p w14:paraId="54AE64D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废水</w:t>
                  </w:r>
                </w:p>
              </w:tc>
              <w:tc>
                <w:tcPr>
                  <w:tcW w:w="330" w:type="pct"/>
                  <w:vMerge w:val="restart"/>
                  <w:vAlign w:val="center"/>
                </w:tcPr>
                <w:p w14:paraId="08C0C30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新建</w:t>
                  </w:r>
                </w:p>
              </w:tc>
            </w:tr>
            <w:tr w14:paraId="688371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391" w:type="pct"/>
                  <w:vMerge w:val="continue"/>
                  <w:vAlign w:val="center"/>
                </w:tcPr>
                <w:p w14:paraId="489D46EB">
                  <w:pPr>
                    <w:jc w:val="center"/>
                    <w:rPr>
                      <w:rFonts w:hint="default" w:ascii="Times New Roman" w:hAnsi="Times New Roman" w:eastAsia="宋体" w:cs="Times New Roman"/>
                      <w:color w:val="auto"/>
                    </w:rPr>
                  </w:pPr>
                </w:p>
              </w:tc>
              <w:tc>
                <w:tcPr>
                  <w:tcW w:w="616" w:type="pct"/>
                  <w:vAlign w:val="center"/>
                </w:tcPr>
                <w:p w14:paraId="5DD2AFB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消防系统</w:t>
                  </w:r>
                </w:p>
              </w:tc>
              <w:tc>
                <w:tcPr>
                  <w:tcW w:w="2463" w:type="pct"/>
                  <w:vAlign w:val="center"/>
                </w:tcPr>
                <w:p w14:paraId="6F9F421C">
                  <w:pPr>
                    <w:jc w:val="left"/>
                    <w:rPr>
                      <w:rFonts w:hint="default" w:ascii="Times New Roman" w:hAnsi="Times New Roman" w:eastAsia="宋体" w:cs="Times New Roman"/>
                      <w:color w:val="auto"/>
                    </w:rPr>
                  </w:pPr>
                  <w:r>
                    <w:rPr>
                      <w:rFonts w:hint="default" w:ascii="Times New Roman" w:hAnsi="Times New Roman" w:eastAsia="宋体" w:cs="Times New Roman"/>
                      <w:color w:val="auto"/>
                    </w:rPr>
                    <w:t>购置灭火器及森林防火设备，新建消防水池10口。</w:t>
                  </w:r>
                </w:p>
              </w:tc>
              <w:tc>
                <w:tcPr>
                  <w:tcW w:w="556" w:type="pct"/>
                  <w:vMerge w:val="continue"/>
                  <w:vAlign w:val="center"/>
                </w:tcPr>
                <w:p w14:paraId="4AA400AF">
                  <w:pPr>
                    <w:jc w:val="center"/>
                    <w:rPr>
                      <w:rFonts w:hint="default" w:ascii="Times New Roman" w:hAnsi="Times New Roman" w:eastAsia="宋体" w:cs="Times New Roman"/>
                      <w:color w:val="auto"/>
                    </w:rPr>
                  </w:pPr>
                </w:p>
              </w:tc>
              <w:tc>
                <w:tcPr>
                  <w:tcW w:w="641" w:type="pct"/>
                  <w:vAlign w:val="center"/>
                </w:tcPr>
                <w:p w14:paraId="737DBE1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330" w:type="pct"/>
                  <w:vMerge w:val="continue"/>
                  <w:vAlign w:val="center"/>
                </w:tcPr>
                <w:p w14:paraId="53AFF3AD">
                  <w:pPr>
                    <w:jc w:val="center"/>
                    <w:rPr>
                      <w:rFonts w:hint="default" w:ascii="Times New Roman" w:hAnsi="Times New Roman" w:eastAsia="宋体" w:cs="Times New Roman"/>
                      <w:color w:val="auto"/>
                    </w:rPr>
                  </w:pPr>
                </w:p>
              </w:tc>
            </w:tr>
            <w:tr w14:paraId="312A82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391" w:type="pct"/>
                  <w:vMerge w:val="restart"/>
                  <w:vAlign w:val="center"/>
                </w:tcPr>
                <w:p w14:paraId="3A62AD6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环保工程</w:t>
                  </w:r>
                </w:p>
              </w:tc>
              <w:tc>
                <w:tcPr>
                  <w:tcW w:w="616" w:type="pct"/>
                  <w:vMerge w:val="restart"/>
                  <w:vAlign w:val="center"/>
                </w:tcPr>
                <w:p w14:paraId="3A02849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施工期废气治理</w:t>
                  </w:r>
                </w:p>
              </w:tc>
              <w:tc>
                <w:tcPr>
                  <w:tcW w:w="2463" w:type="pct"/>
                  <w:vAlign w:val="center"/>
                </w:tcPr>
                <w:p w14:paraId="30FCBCE0">
                  <w:pPr>
                    <w:jc w:val="left"/>
                    <w:rPr>
                      <w:rFonts w:hint="default" w:ascii="Times New Roman" w:hAnsi="Times New Roman" w:eastAsia="宋体" w:cs="Times New Roman"/>
                      <w:color w:val="auto"/>
                    </w:rPr>
                  </w:pPr>
                  <w:r>
                    <w:rPr>
                      <w:rFonts w:hint="default" w:ascii="Times New Roman" w:hAnsi="Times New Roman" w:eastAsia="宋体" w:cs="Times New Roman"/>
                      <w:b/>
                      <w:bCs/>
                      <w:color w:val="auto"/>
                    </w:rPr>
                    <w:t>施工扬尘污染防治：</w:t>
                  </w:r>
                  <w:r>
                    <w:rPr>
                      <w:rFonts w:hint="default" w:ascii="Times New Roman" w:hAnsi="Times New Roman" w:eastAsia="宋体" w:cs="Times New Roman"/>
                      <w:color w:val="auto"/>
                    </w:rPr>
                    <w:t>合理控制施工周期，施工活动结束后及时采取压实处理；易产生扬尘的裸露施工面及土石方临时堆</w:t>
                  </w:r>
                </w:p>
                <w:p w14:paraId="1BD8BF2E">
                  <w:pPr>
                    <w:jc w:val="left"/>
                    <w:rPr>
                      <w:rFonts w:hint="default" w:ascii="Times New Roman" w:hAnsi="Times New Roman" w:eastAsia="宋体" w:cs="Times New Roman"/>
                      <w:color w:val="auto"/>
                    </w:rPr>
                  </w:pPr>
                  <w:r>
                    <w:rPr>
                      <w:rFonts w:hint="default" w:ascii="Times New Roman" w:hAnsi="Times New Roman" w:eastAsia="宋体" w:cs="Times New Roman"/>
                      <w:color w:val="auto"/>
                    </w:rPr>
                    <w:t>存区应当加强洒水降尘频率；施工区域内挖填土石方及时调运整地，尽量减少施工区域内土石方松散堆存；打围施工，对施工场地定期进行洒水抑尘，易产生扬尘的建筑材料入库或覆盖，施工区出口设置车辆清洗槽，加强管理等措施，尽可能缩短沥青摊铺时间等。</w:t>
                  </w:r>
                </w:p>
              </w:tc>
              <w:tc>
                <w:tcPr>
                  <w:tcW w:w="556" w:type="pct"/>
                  <w:vMerge w:val="continue"/>
                  <w:vAlign w:val="center"/>
                </w:tcPr>
                <w:p w14:paraId="04F45119">
                  <w:pPr>
                    <w:jc w:val="center"/>
                    <w:rPr>
                      <w:rFonts w:hint="default" w:ascii="Times New Roman" w:hAnsi="Times New Roman" w:eastAsia="宋体" w:cs="Times New Roman"/>
                      <w:color w:val="auto"/>
                    </w:rPr>
                  </w:pPr>
                </w:p>
              </w:tc>
              <w:tc>
                <w:tcPr>
                  <w:tcW w:w="641" w:type="pct"/>
                  <w:vMerge w:val="restart"/>
                  <w:vAlign w:val="center"/>
                </w:tcPr>
                <w:p w14:paraId="297F2D4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330" w:type="pct"/>
                  <w:vMerge w:val="restart"/>
                  <w:vAlign w:val="center"/>
                </w:tcPr>
                <w:p w14:paraId="6B86833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新建</w:t>
                  </w:r>
                </w:p>
              </w:tc>
            </w:tr>
            <w:tr w14:paraId="7CE06F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391" w:type="pct"/>
                  <w:vMerge w:val="continue"/>
                  <w:vAlign w:val="center"/>
                </w:tcPr>
                <w:p w14:paraId="0BA5B6C5">
                  <w:pPr>
                    <w:jc w:val="left"/>
                    <w:rPr>
                      <w:rFonts w:hint="default" w:ascii="Times New Roman" w:hAnsi="Times New Roman" w:cs="Times New Roman"/>
                      <w:color w:val="auto"/>
                    </w:rPr>
                  </w:pPr>
                </w:p>
              </w:tc>
              <w:tc>
                <w:tcPr>
                  <w:tcW w:w="616" w:type="pct"/>
                  <w:vMerge w:val="continue"/>
                  <w:vAlign w:val="center"/>
                </w:tcPr>
                <w:p w14:paraId="74A91944">
                  <w:pPr>
                    <w:jc w:val="left"/>
                    <w:rPr>
                      <w:rFonts w:hint="default" w:ascii="Times New Roman" w:hAnsi="Times New Roman" w:cs="Times New Roman"/>
                      <w:color w:val="auto"/>
                    </w:rPr>
                  </w:pPr>
                </w:p>
              </w:tc>
              <w:tc>
                <w:tcPr>
                  <w:tcW w:w="2463" w:type="pct"/>
                  <w:vAlign w:val="center"/>
                </w:tcPr>
                <w:p w14:paraId="25C71C18">
                  <w:pPr>
                    <w:jc w:val="left"/>
                    <w:rPr>
                      <w:rFonts w:hint="default" w:ascii="Times New Roman" w:hAnsi="Times New Roman" w:eastAsia="宋体" w:cs="Times New Roman"/>
                      <w:color w:val="auto"/>
                    </w:rPr>
                  </w:pPr>
                  <w:r>
                    <w:rPr>
                      <w:rFonts w:hint="default" w:ascii="Times New Roman" w:hAnsi="Times New Roman" w:eastAsia="宋体" w:cs="Times New Roman"/>
                      <w:b/>
                      <w:bCs/>
                      <w:color w:val="auto"/>
                    </w:rPr>
                    <w:t>农药喷洒异味防治：</w:t>
                  </w:r>
                  <w:r>
                    <w:rPr>
                      <w:rFonts w:hint="eastAsia" w:ascii="Times New Roman" w:hAnsi="Times New Roman" w:eastAsia="宋体" w:cs="Times New Roman"/>
                      <w:color w:val="auto"/>
                      <w:lang w:eastAsia="zh-CN"/>
                    </w:rPr>
                    <w:t>施用有机生物肥和复合有机无机配方肥，避免地表撒施，尽量采用低毒、残留期短的农药和生物制剂，既保障栽植苗木生长，也减少化肥农药污染</w:t>
                  </w:r>
                  <w:r>
                    <w:rPr>
                      <w:rFonts w:hint="default" w:ascii="Times New Roman" w:hAnsi="Times New Roman" w:eastAsia="宋体" w:cs="Times New Roman"/>
                      <w:color w:val="auto"/>
                    </w:rPr>
                    <w:t>。</w:t>
                  </w:r>
                </w:p>
              </w:tc>
              <w:tc>
                <w:tcPr>
                  <w:tcW w:w="556" w:type="pct"/>
                  <w:vMerge w:val="continue"/>
                  <w:vAlign w:val="center"/>
                </w:tcPr>
                <w:p w14:paraId="35E2FC88">
                  <w:pPr>
                    <w:jc w:val="left"/>
                    <w:rPr>
                      <w:rFonts w:hint="default" w:ascii="Times New Roman" w:hAnsi="Times New Roman" w:eastAsia="宋体" w:cs="Times New Roman"/>
                      <w:color w:val="auto"/>
                    </w:rPr>
                  </w:pPr>
                </w:p>
              </w:tc>
              <w:tc>
                <w:tcPr>
                  <w:tcW w:w="641" w:type="pct"/>
                  <w:vMerge w:val="continue"/>
                  <w:vAlign w:val="center"/>
                </w:tcPr>
                <w:p w14:paraId="7A141205">
                  <w:pPr>
                    <w:jc w:val="left"/>
                    <w:rPr>
                      <w:rFonts w:hint="default" w:ascii="Times New Roman" w:hAnsi="Times New Roman" w:eastAsia="宋体" w:cs="Times New Roman"/>
                      <w:color w:val="auto"/>
                    </w:rPr>
                  </w:pPr>
                </w:p>
              </w:tc>
              <w:tc>
                <w:tcPr>
                  <w:tcW w:w="330" w:type="pct"/>
                  <w:vMerge w:val="continue"/>
                  <w:vAlign w:val="center"/>
                </w:tcPr>
                <w:p w14:paraId="49B191A0">
                  <w:pPr>
                    <w:jc w:val="left"/>
                    <w:rPr>
                      <w:rFonts w:hint="default" w:ascii="Times New Roman" w:hAnsi="Times New Roman" w:eastAsia="宋体" w:cs="Times New Roman"/>
                      <w:color w:val="auto"/>
                    </w:rPr>
                  </w:pPr>
                </w:p>
              </w:tc>
            </w:tr>
            <w:tr w14:paraId="476442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391" w:type="pct"/>
                  <w:vMerge w:val="continue"/>
                  <w:vAlign w:val="center"/>
                </w:tcPr>
                <w:p w14:paraId="3EF64272">
                  <w:pPr>
                    <w:jc w:val="left"/>
                    <w:rPr>
                      <w:rFonts w:hint="default" w:ascii="Times New Roman" w:hAnsi="Times New Roman" w:eastAsia="宋体" w:cs="Times New Roman"/>
                      <w:color w:val="auto"/>
                    </w:rPr>
                  </w:pPr>
                </w:p>
              </w:tc>
              <w:tc>
                <w:tcPr>
                  <w:tcW w:w="616" w:type="pct"/>
                  <w:vMerge w:val="continue"/>
                  <w:vAlign w:val="center"/>
                </w:tcPr>
                <w:p w14:paraId="37FFFCA3">
                  <w:pPr>
                    <w:jc w:val="left"/>
                    <w:rPr>
                      <w:rFonts w:hint="default" w:ascii="Times New Roman" w:hAnsi="Times New Roman" w:eastAsia="宋体" w:cs="Times New Roman"/>
                      <w:color w:val="auto"/>
                    </w:rPr>
                  </w:pPr>
                </w:p>
              </w:tc>
              <w:tc>
                <w:tcPr>
                  <w:tcW w:w="2463" w:type="pct"/>
                  <w:vAlign w:val="center"/>
                </w:tcPr>
                <w:p w14:paraId="57B5968C">
                  <w:pPr>
                    <w:jc w:val="left"/>
                    <w:rPr>
                      <w:rFonts w:hint="default" w:ascii="Times New Roman" w:hAnsi="Times New Roman" w:eastAsia="宋体" w:cs="Times New Roman"/>
                      <w:color w:val="auto"/>
                    </w:rPr>
                  </w:pPr>
                  <w:r>
                    <w:rPr>
                      <w:rFonts w:hint="default" w:ascii="Times New Roman" w:hAnsi="Times New Roman" w:eastAsia="宋体" w:cs="Times New Roman"/>
                      <w:b/>
                      <w:bCs/>
                      <w:color w:val="auto"/>
                    </w:rPr>
                    <w:t>尾气污染防治：</w:t>
                  </w:r>
                  <w:r>
                    <w:rPr>
                      <w:rFonts w:hint="default" w:ascii="Times New Roman" w:hAnsi="Times New Roman" w:eastAsia="宋体" w:cs="Times New Roman"/>
                      <w:color w:val="auto"/>
                    </w:rPr>
                    <w:t>使用合格燃料，严禁使用劣质燃油；注重维护保养，保持机械车辆处于正常良好的工作状态；施工活动结束及时关闭燃油机械；保证施工车辆行驶速度，减少怠速运行时间。</w:t>
                  </w:r>
                </w:p>
              </w:tc>
              <w:tc>
                <w:tcPr>
                  <w:tcW w:w="556" w:type="pct"/>
                  <w:vMerge w:val="continue"/>
                  <w:vAlign w:val="center"/>
                </w:tcPr>
                <w:p w14:paraId="3B4CE8A1">
                  <w:pPr>
                    <w:jc w:val="left"/>
                    <w:rPr>
                      <w:rFonts w:hint="default" w:ascii="Times New Roman" w:hAnsi="Times New Roman" w:eastAsia="宋体" w:cs="Times New Roman"/>
                      <w:color w:val="auto"/>
                    </w:rPr>
                  </w:pPr>
                </w:p>
              </w:tc>
              <w:tc>
                <w:tcPr>
                  <w:tcW w:w="641" w:type="pct"/>
                  <w:vMerge w:val="continue"/>
                  <w:vAlign w:val="center"/>
                </w:tcPr>
                <w:p w14:paraId="012E6A0A">
                  <w:pPr>
                    <w:jc w:val="left"/>
                    <w:rPr>
                      <w:rFonts w:hint="default" w:ascii="Times New Roman" w:hAnsi="Times New Roman" w:eastAsia="宋体" w:cs="Times New Roman"/>
                      <w:color w:val="auto"/>
                    </w:rPr>
                  </w:pPr>
                </w:p>
              </w:tc>
              <w:tc>
                <w:tcPr>
                  <w:tcW w:w="330" w:type="pct"/>
                  <w:vMerge w:val="continue"/>
                  <w:vAlign w:val="center"/>
                </w:tcPr>
                <w:p w14:paraId="5A6B6718">
                  <w:pPr>
                    <w:jc w:val="left"/>
                    <w:rPr>
                      <w:rFonts w:hint="default" w:ascii="Times New Roman" w:hAnsi="Times New Roman" w:eastAsia="宋体" w:cs="Times New Roman"/>
                      <w:color w:val="auto"/>
                    </w:rPr>
                  </w:pPr>
                </w:p>
              </w:tc>
            </w:tr>
            <w:tr w14:paraId="0C35DD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4" w:hRule="atLeast"/>
                <w:jc w:val="center"/>
              </w:trPr>
              <w:tc>
                <w:tcPr>
                  <w:tcW w:w="391" w:type="pct"/>
                  <w:vMerge w:val="continue"/>
                  <w:vAlign w:val="center"/>
                </w:tcPr>
                <w:p w14:paraId="4E338D05">
                  <w:pPr>
                    <w:jc w:val="center"/>
                    <w:rPr>
                      <w:rFonts w:hint="default" w:ascii="Times New Roman" w:hAnsi="Times New Roman" w:eastAsia="宋体" w:cs="Times New Roman"/>
                      <w:color w:val="auto"/>
                    </w:rPr>
                  </w:pPr>
                </w:p>
              </w:tc>
              <w:tc>
                <w:tcPr>
                  <w:tcW w:w="616" w:type="pct"/>
                  <w:vAlign w:val="center"/>
                </w:tcPr>
                <w:p w14:paraId="0163D91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施工期污水处理</w:t>
                  </w:r>
                </w:p>
              </w:tc>
              <w:tc>
                <w:tcPr>
                  <w:tcW w:w="2463" w:type="pct"/>
                  <w:vAlign w:val="center"/>
                </w:tcPr>
                <w:p w14:paraId="7F3A3270">
                  <w:pPr>
                    <w:jc w:val="left"/>
                    <w:rPr>
                      <w:rFonts w:hint="default" w:ascii="Times New Roman" w:hAnsi="Times New Roman" w:eastAsia="宋体" w:cs="Times New Roman"/>
                      <w:color w:val="auto"/>
                    </w:rPr>
                  </w:pPr>
                  <w:r>
                    <w:rPr>
                      <w:rFonts w:hint="default" w:ascii="Times New Roman" w:hAnsi="Times New Roman" w:eastAsia="宋体" w:cs="Times New Roman"/>
                      <w:color w:val="auto"/>
                    </w:rPr>
                    <w:t>管理和养护人员生活污水依托附近村民房屋自家旱厕处理。室外的雨水、冲洗路面水经管网收集后排至场地外的沟渠。施工废水：施工场地设置1个沉淀池，废水沉淀后回用，严禁外排。</w:t>
                  </w:r>
                </w:p>
              </w:tc>
              <w:tc>
                <w:tcPr>
                  <w:tcW w:w="556" w:type="pct"/>
                  <w:vMerge w:val="continue"/>
                  <w:vAlign w:val="center"/>
                </w:tcPr>
                <w:p w14:paraId="120980FE">
                  <w:pPr>
                    <w:jc w:val="center"/>
                    <w:rPr>
                      <w:rFonts w:hint="default" w:ascii="Times New Roman" w:hAnsi="Times New Roman" w:eastAsia="宋体" w:cs="Times New Roman"/>
                      <w:color w:val="auto"/>
                    </w:rPr>
                  </w:pPr>
                </w:p>
              </w:tc>
              <w:tc>
                <w:tcPr>
                  <w:tcW w:w="641" w:type="pct"/>
                  <w:vAlign w:val="center"/>
                </w:tcPr>
                <w:p w14:paraId="3B6A056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330" w:type="pct"/>
                  <w:vAlign w:val="center"/>
                </w:tcPr>
                <w:p w14:paraId="659737C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新建</w:t>
                  </w:r>
                </w:p>
              </w:tc>
            </w:tr>
            <w:tr w14:paraId="07E06D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391" w:type="pct"/>
                  <w:vMerge w:val="continue"/>
                  <w:vAlign w:val="center"/>
                </w:tcPr>
                <w:p w14:paraId="67A47793">
                  <w:pPr>
                    <w:jc w:val="center"/>
                    <w:rPr>
                      <w:rFonts w:hint="default" w:ascii="Times New Roman" w:hAnsi="Times New Roman" w:eastAsia="宋体" w:cs="Times New Roman"/>
                      <w:color w:val="auto"/>
                    </w:rPr>
                  </w:pPr>
                </w:p>
              </w:tc>
              <w:tc>
                <w:tcPr>
                  <w:tcW w:w="616" w:type="pct"/>
                  <w:vMerge w:val="restart"/>
                  <w:vAlign w:val="center"/>
                </w:tcPr>
                <w:p w14:paraId="5E9FB30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施工期固废处置</w:t>
                  </w:r>
                </w:p>
              </w:tc>
              <w:tc>
                <w:tcPr>
                  <w:tcW w:w="2463" w:type="pct"/>
                  <w:vAlign w:val="center"/>
                </w:tcPr>
                <w:p w14:paraId="35FBE210">
                  <w:pPr>
                    <w:jc w:val="left"/>
                    <w:rPr>
                      <w:rFonts w:hint="default" w:ascii="Times New Roman" w:hAnsi="Times New Roman" w:eastAsia="宋体" w:cs="Times New Roman"/>
                      <w:b w:val="0"/>
                      <w:bCs w:val="0"/>
                      <w:color w:val="auto"/>
                    </w:rPr>
                  </w:pPr>
                  <w:r>
                    <w:rPr>
                      <w:rFonts w:hint="default" w:ascii="Times New Roman" w:hAnsi="Times New Roman" w:eastAsia="宋体" w:cs="Times New Roman"/>
                      <w:b/>
                      <w:bCs/>
                      <w:color w:val="auto"/>
                    </w:rPr>
                    <w:t>生活垃圾</w:t>
                  </w:r>
                  <w:r>
                    <w:rPr>
                      <w:rFonts w:hint="default" w:ascii="Times New Roman" w:hAnsi="Times New Roman" w:eastAsia="宋体" w:cs="Times New Roman"/>
                      <w:b/>
                      <w:bCs/>
                      <w:color w:val="auto"/>
                      <w:lang w:eastAsia="zh-CN"/>
                    </w:rPr>
                    <w:t>：</w:t>
                  </w:r>
                  <w:r>
                    <w:rPr>
                      <w:rFonts w:hint="default" w:ascii="Times New Roman" w:hAnsi="Times New Roman" w:eastAsia="宋体" w:cs="Times New Roman"/>
                      <w:b w:val="0"/>
                      <w:bCs w:val="0"/>
                      <w:color w:val="auto"/>
                    </w:rPr>
                    <w:t>设置生活垃圾收集桶，生活垃圾集中收集后交由当地环卫部门处理。</w:t>
                  </w:r>
                </w:p>
              </w:tc>
              <w:tc>
                <w:tcPr>
                  <w:tcW w:w="556" w:type="pct"/>
                  <w:vMerge w:val="continue"/>
                  <w:vAlign w:val="center"/>
                </w:tcPr>
                <w:p w14:paraId="23745499">
                  <w:pPr>
                    <w:jc w:val="center"/>
                    <w:rPr>
                      <w:rFonts w:hint="default" w:ascii="Times New Roman" w:hAnsi="Times New Roman" w:eastAsia="宋体" w:cs="Times New Roman"/>
                      <w:color w:val="auto"/>
                    </w:rPr>
                  </w:pPr>
                </w:p>
              </w:tc>
              <w:tc>
                <w:tcPr>
                  <w:tcW w:w="641" w:type="pct"/>
                  <w:vMerge w:val="restart"/>
                  <w:vAlign w:val="center"/>
                </w:tcPr>
                <w:p w14:paraId="161CFEA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330" w:type="pct"/>
                  <w:vMerge w:val="restart"/>
                  <w:vAlign w:val="center"/>
                </w:tcPr>
                <w:p w14:paraId="05C81AC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新建</w:t>
                  </w:r>
                </w:p>
              </w:tc>
            </w:tr>
            <w:tr w14:paraId="45ED20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391" w:type="pct"/>
                  <w:vMerge w:val="continue"/>
                  <w:vAlign w:val="center"/>
                </w:tcPr>
                <w:p w14:paraId="2C7D523C">
                  <w:pPr>
                    <w:jc w:val="both"/>
                    <w:rPr>
                      <w:rFonts w:hint="default" w:ascii="Times New Roman" w:hAnsi="Times New Roman" w:cs="Times New Roman"/>
                      <w:color w:val="auto"/>
                    </w:rPr>
                  </w:pPr>
                </w:p>
              </w:tc>
              <w:tc>
                <w:tcPr>
                  <w:tcW w:w="616" w:type="pct"/>
                  <w:vMerge w:val="continue"/>
                  <w:vAlign w:val="center"/>
                </w:tcPr>
                <w:p w14:paraId="539CA0DE">
                  <w:pPr>
                    <w:jc w:val="both"/>
                    <w:rPr>
                      <w:rFonts w:hint="default" w:ascii="Times New Roman" w:hAnsi="Times New Roman" w:cs="Times New Roman"/>
                      <w:color w:val="auto"/>
                    </w:rPr>
                  </w:pPr>
                </w:p>
              </w:tc>
              <w:tc>
                <w:tcPr>
                  <w:tcW w:w="2463" w:type="pct"/>
                  <w:vAlign w:val="center"/>
                </w:tcPr>
                <w:p w14:paraId="4B2EA077">
                  <w:pPr>
                    <w:jc w:val="left"/>
                    <w:rPr>
                      <w:rFonts w:hint="default" w:ascii="Times New Roman" w:hAnsi="Times New Roman" w:cs="Times New Roman"/>
                      <w:b w:val="0"/>
                      <w:bCs w:val="0"/>
                      <w:color w:val="auto"/>
                    </w:rPr>
                  </w:pPr>
                  <w:r>
                    <w:rPr>
                      <w:rFonts w:hint="default" w:ascii="Times New Roman" w:hAnsi="Times New Roman" w:eastAsia="宋体" w:cs="Times New Roman"/>
                      <w:b/>
                      <w:bCs/>
                      <w:color w:val="auto"/>
                    </w:rPr>
                    <w:t>工程弃方</w:t>
                  </w:r>
                  <w:r>
                    <w:rPr>
                      <w:rFonts w:hint="default" w:ascii="Times New Roman" w:hAnsi="Times New Roman" w:eastAsia="宋体" w:cs="Times New Roman"/>
                      <w:b/>
                      <w:bCs/>
                      <w:color w:val="auto"/>
                      <w:lang w:eastAsia="zh-CN"/>
                    </w:rPr>
                    <w:t>：</w:t>
                  </w:r>
                  <w:r>
                    <w:rPr>
                      <w:rFonts w:hint="default" w:ascii="Times New Roman" w:hAnsi="Times New Roman" w:eastAsia="宋体" w:cs="Times New Roman"/>
                      <w:b w:val="0"/>
                      <w:bCs w:val="0"/>
                      <w:color w:val="auto"/>
                    </w:rPr>
                    <w:t>优先考虑综合利用，不具备利用价值的部分则运至市政部门指定地点处置，项目营造林工程区不考虑设置弃渣场。</w:t>
                  </w:r>
                </w:p>
              </w:tc>
              <w:tc>
                <w:tcPr>
                  <w:tcW w:w="556" w:type="pct"/>
                  <w:vMerge w:val="continue"/>
                  <w:vAlign w:val="center"/>
                </w:tcPr>
                <w:p w14:paraId="60B4DC99">
                  <w:pPr>
                    <w:jc w:val="both"/>
                    <w:rPr>
                      <w:rFonts w:hint="default" w:ascii="Times New Roman" w:hAnsi="Times New Roman" w:cs="Times New Roman"/>
                      <w:color w:val="auto"/>
                    </w:rPr>
                  </w:pPr>
                </w:p>
              </w:tc>
              <w:tc>
                <w:tcPr>
                  <w:tcW w:w="641" w:type="pct"/>
                  <w:vMerge w:val="continue"/>
                  <w:vAlign w:val="center"/>
                </w:tcPr>
                <w:p w14:paraId="08BD994F">
                  <w:pPr>
                    <w:jc w:val="both"/>
                    <w:rPr>
                      <w:rFonts w:hint="default" w:ascii="Times New Roman" w:hAnsi="Times New Roman" w:cs="Times New Roman"/>
                      <w:color w:val="auto"/>
                    </w:rPr>
                  </w:pPr>
                </w:p>
              </w:tc>
              <w:tc>
                <w:tcPr>
                  <w:tcW w:w="330" w:type="pct"/>
                  <w:vMerge w:val="continue"/>
                  <w:vAlign w:val="center"/>
                </w:tcPr>
                <w:p w14:paraId="2FA09A96">
                  <w:pPr>
                    <w:jc w:val="both"/>
                    <w:rPr>
                      <w:rFonts w:hint="default" w:ascii="Times New Roman" w:hAnsi="Times New Roman" w:cs="Times New Roman"/>
                      <w:color w:val="auto"/>
                    </w:rPr>
                  </w:pPr>
                </w:p>
              </w:tc>
            </w:tr>
            <w:tr w14:paraId="6F9C43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391" w:type="pct"/>
                  <w:vMerge w:val="continue"/>
                  <w:vAlign w:val="center"/>
                </w:tcPr>
                <w:p w14:paraId="04740C18">
                  <w:pPr>
                    <w:jc w:val="both"/>
                    <w:rPr>
                      <w:rFonts w:hint="default" w:ascii="Times New Roman" w:hAnsi="Times New Roman" w:cs="Times New Roman"/>
                      <w:color w:val="auto"/>
                    </w:rPr>
                  </w:pPr>
                </w:p>
              </w:tc>
              <w:tc>
                <w:tcPr>
                  <w:tcW w:w="616" w:type="pct"/>
                  <w:vMerge w:val="continue"/>
                  <w:vAlign w:val="center"/>
                </w:tcPr>
                <w:p w14:paraId="5FD1A20D">
                  <w:pPr>
                    <w:jc w:val="both"/>
                    <w:rPr>
                      <w:rFonts w:hint="default" w:ascii="Times New Roman" w:hAnsi="Times New Roman" w:cs="Times New Roman"/>
                      <w:color w:val="auto"/>
                    </w:rPr>
                  </w:pPr>
                </w:p>
              </w:tc>
              <w:tc>
                <w:tcPr>
                  <w:tcW w:w="2463" w:type="pct"/>
                  <w:vAlign w:val="center"/>
                </w:tcPr>
                <w:p w14:paraId="09C29DEC">
                  <w:pPr>
                    <w:jc w:val="left"/>
                    <w:rPr>
                      <w:rFonts w:hint="default" w:ascii="Times New Roman" w:hAnsi="Times New Roman" w:cs="Times New Roman"/>
                      <w:b w:val="0"/>
                      <w:bCs w:val="0"/>
                      <w:color w:val="auto"/>
                    </w:rPr>
                  </w:pPr>
                  <w:r>
                    <w:rPr>
                      <w:rFonts w:hint="default" w:ascii="Times New Roman" w:hAnsi="Times New Roman" w:cs="Times New Roman"/>
                      <w:b/>
                      <w:bCs/>
                      <w:color w:val="auto"/>
                    </w:rPr>
                    <w:t>施工区域原有地表挖除的灌木枝干</w:t>
                  </w:r>
                  <w:r>
                    <w:rPr>
                      <w:rFonts w:hint="default" w:ascii="Times New Roman" w:hAnsi="Times New Roman" w:cs="Times New Roman"/>
                      <w:b w:val="0"/>
                      <w:bCs w:val="0"/>
                      <w:color w:val="auto"/>
                    </w:rPr>
                    <w:t>可集中收集后交由附近农民作为薪柴，杂草及根系集中清理后可拉运至就近村镇生活垃圾收集点处置。</w:t>
                  </w:r>
                </w:p>
              </w:tc>
              <w:tc>
                <w:tcPr>
                  <w:tcW w:w="556" w:type="pct"/>
                  <w:vMerge w:val="continue"/>
                  <w:vAlign w:val="center"/>
                </w:tcPr>
                <w:p w14:paraId="6FAA664A">
                  <w:pPr>
                    <w:jc w:val="both"/>
                    <w:rPr>
                      <w:rFonts w:hint="default" w:ascii="Times New Roman" w:hAnsi="Times New Roman" w:cs="Times New Roman"/>
                      <w:color w:val="auto"/>
                    </w:rPr>
                  </w:pPr>
                </w:p>
              </w:tc>
              <w:tc>
                <w:tcPr>
                  <w:tcW w:w="641" w:type="pct"/>
                  <w:vMerge w:val="continue"/>
                  <w:vAlign w:val="center"/>
                </w:tcPr>
                <w:p w14:paraId="7AB2B099">
                  <w:pPr>
                    <w:jc w:val="both"/>
                    <w:rPr>
                      <w:rFonts w:hint="default" w:ascii="Times New Roman" w:hAnsi="Times New Roman" w:cs="Times New Roman"/>
                      <w:color w:val="auto"/>
                    </w:rPr>
                  </w:pPr>
                </w:p>
              </w:tc>
              <w:tc>
                <w:tcPr>
                  <w:tcW w:w="330" w:type="pct"/>
                  <w:vMerge w:val="continue"/>
                  <w:vAlign w:val="center"/>
                </w:tcPr>
                <w:p w14:paraId="51FAA396">
                  <w:pPr>
                    <w:jc w:val="both"/>
                    <w:rPr>
                      <w:rFonts w:hint="default" w:ascii="Times New Roman" w:hAnsi="Times New Roman" w:cs="Times New Roman"/>
                      <w:color w:val="auto"/>
                    </w:rPr>
                  </w:pPr>
                </w:p>
              </w:tc>
            </w:tr>
            <w:tr w14:paraId="683F96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391" w:type="pct"/>
                  <w:vMerge w:val="continue"/>
                  <w:vAlign w:val="center"/>
                </w:tcPr>
                <w:p w14:paraId="50AB8F8F">
                  <w:pPr>
                    <w:jc w:val="both"/>
                    <w:rPr>
                      <w:rFonts w:hint="default" w:ascii="Times New Roman" w:hAnsi="Times New Roman" w:cs="Times New Roman"/>
                      <w:color w:val="auto"/>
                    </w:rPr>
                  </w:pPr>
                </w:p>
              </w:tc>
              <w:tc>
                <w:tcPr>
                  <w:tcW w:w="616" w:type="pct"/>
                  <w:vMerge w:val="continue"/>
                  <w:vAlign w:val="center"/>
                </w:tcPr>
                <w:p w14:paraId="76E3E9BF">
                  <w:pPr>
                    <w:jc w:val="both"/>
                    <w:rPr>
                      <w:rFonts w:hint="default" w:ascii="Times New Roman" w:hAnsi="Times New Roman" w:cs="Times New Roman"/>
                      <w:color w:val="auto"/>
                    </w:rPr>
                  </w:pPr>
                </w:p>
              </w:tc>
              <w:tc>
                <w:tcPr>
                  <w:tcW w:w="2463" w:type="pct"/>
                  <w:vAlign w:val="center"/>
                </w:tcPr>
                <w:p w14:paraId="427CB40D">
                  <w:pPr>
                    <w:jc w:val="left"/>
                    <w:rPr>
                      <w:rFonts w:hint="default" w:ascii="Times New Roman" w:hAnsi="Times New Roman" w:eastAsia="宋体" w:cs="Times New Roman"/>
                      <w:snapToGrid w:val="0"/>
                      <w:color w:val="auto"/>
                      <w:sz w:val="21"/>
                      <w:szCs w:val="21"/>
                      <w:lang w:val="en-US" w:eastAsia="zh-CN" w:bidi="ar-SA"/>
                    </w:rPr>
                  </w:pPr>
                  <w:r>
                    <w:rPr>
                      <w:rFonts w:hint="default" w:ascii="Times New Roman" w:hAnsi="Times New Roman" w:cs="Times New Roman"/>
                      <w:b/>
                      <w:bCs/>
                      <w:color w:val="auto"/>
                    </w:rPr>
                    <w:t>苗木栽植前拆除的废包装材料</w:t>
                  </w:r>
                  <w:r>
                    <w:rPr>
                      <w:rFonts w:hint="default" w:ascii="Times New Roman" w:hAnsi="Times New Roman" w:cs="Times New Roman"/>
                      <w:color w:val="auto"/>
                    </w:rPr>
                    <w:t>在施工区域内集中收集最终运至政府指定地点处置</w:t>
                  </w:r>
                  <w:r>
                    <w:rPr>
                      <w:rFonts w:hint="default" w:ascii="Times New Roman" w:hAnsi="Times New Roman" w:eastAsia="宋体" w:cs="Times New Roman"/>
                      <w:color w:val="auto"/>
                      <w:lang w:eastAsia="zh-CN"/>
                    </w:rPr>
                    <w:t>。</w:t>
                  </w:r>
                </w:p>
              </w:tc>
              <w:tc>
                <w:tcPr>
                  <w:tcW w:w="556" w:type="pct"/>
                  <w:vMerge w:val="continue"/>
                  <w:vAlign w:val="center"/>
                </w:tcPr>
                <w:p w14:paraId="349769CF">
                  <w:pPr>
                    <w:jc w:val="both"/>
                    <w:rPr>
                      <w:rFonts w:hint="default" w:ascii="Times New Roman" w:hAnsi="Times New Roman" w:cs="Times New Roman"/>
                      <w:color w:val="auto"/>
                    </w:rPr>
                  </w:pPr>
                </w:p>
              </w:tc>
              <w:tc>
                <w:tcPr>
                  <w:tcW w:w="641" w:type="pct"/>
                  <w:vMerge w:val="continue"/>
                  <w:vAlign w:val="center"/>
                </w:tcPr>
                <w:p w14:paraId="4993A458">
                  <w:pPr>
                    <w:jc w:val="both"/>
                    <w:rPr>
                      <w:rFonts w:hint="default" w:ascii="Times New Roman" w:hAnsi="Times New Roman" w:cs="Times New Roman"/>
                      <w:color w:val="auto"/>
                    </w:rPr>
                  </w:pPr>
                </w:p>
              </w:tc>
              <w:tc>
                <w:tcPr>
                  <w:tcW w:w="330" w:type="pct"/>
                  <w:vMerge w:val="continue"/>
                  <w:vAlign w:val="center"/>
                </w:tcPr>
                <w:p w14:paraId="03FA7C4A">
                  <w:pPr>
                    <w:jc w:val="both"/>
                    <w:rPr>
                      <w:rFonts w:hint="default" w:ascii="Times New Roman" w:hAnsi="Times New Roman" w:cs="Times New Roman"/>
                      <w:color w:val="auto"/>
                    </w:rPr>
                  </w:pPr>
                </w:p>
              </w:tc>
            </w:tr>
            <w:tr w14:paraId="23E31E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391" w:type="pct"/>
                  <w:vMerge w:val="continue"/>
                  <w:vAlign w:val="center"/>
                </w:tcPr>
                <w:p w14:paraId="75C5E624">
                  <w:pPr>
                    <w:jc w:val="both"/>
                    <w:rPr>
                      <w:rFonts w:hint="default" w:ascii="Times New Roman" w:hAnsi="Times New Roman" w:cs="Times New Roman"/>
                      <w:color w:val="auto"/>
                    </w:rPr>
                  </w:pPr>
                </w:p>
              </w:tc>
              <w:tc>
                <w:tcPr>
                  <w:tcW w:w="616" w:type="pct"/>
                  <w:vMerge w:val="continue"/>
                  <w:vAlign w:val="center"/>
                </w:tcPr>
                <w:p w14:paraId="33B04680">
                  <w:pPr>
                    <w:jc w:val="both"/>
                    <w:rPr>
                      <w:rFonts w:hint="default" w:ascii="Times New Roman" w:hAnsi="Times New Roman" w:cs="Times New Roman"/>
                      <w:color w:val="auto"/>
                    </w:rPr>
                  </w:pPr>
                </w:p>
              </w:tc>
              <w:tc>
                <w:tcPr>
                  <w:tcW w:w="2463" w:type="pct"/>
                  <w:vAlign w:val="center"/>
                </w:tcPr>
                <w:p w14:paraId="0E78C213">
                  <w:pPr>
                    <w:jc w:val="left"/>
                    <w:rPr>
                      <w:rFonts w:hint="default" w:ascii="Times New Roman" w:hAnsi="Times New Roman" w:cs="Times New Roman"/>
                      <w:b/>
                      <w:bCs/>
                      <w:color w:val="auto"/>
                    </w:rPr>
                  </w:pPr>
                  <w:r>
                    <w:rPr>
                      <w:rFonts w:hint="default" w:ascii="Times New Roman" w:hAnsi="Times New Roman" w:eastAsia="宋体" w:cs="Times New Roman"/>
                      <w:b/>
                      <w:bCs/>
                      <w:color w:val="auto"/>
                      <w:lang w:eastAsia="zh-CN"/>
                    </w:rPr>
                    <w:t>补植区挖除的未成活苗</w:t>
                  </w:r>
                  <w:r>
                    <w:rPr>
                      <w:rFonts w:hint="default" w:ascii="Times New Roman" w:hAnsi="Times New Roman" w:eastAsia="宋体" w:cs="Times New Roman"/>
                      <w:color w:val="auto"/>
                      <w:lang w:eastAsia="zh-CN"/>
                    </w:rPr>
                    <w:t>木枝干可集中收集后交由附近农民作为薪柴。</w:t>
                  </w:r>
                </w:p>
              </w:tc>
              <w:tc>
                <w:tcPr>
                  <w:tcW w:w="556" w:type="pct"/>
                  <w:vMerge w:val="continue"/>
                  <w:vAlign w:val="center"/>
                </w:tcPr>
                <w:p w14:paraId="51091264">
                  <w:pPr>
                    <w:jc w:val="both"/>
                    <w:rPr>
                      <w:rFonts w:hint="default" w:ascii="Times New Roman" w:hAnsi="Times New Roman" w:cs="Times New Roman"/>
                      <w:color w:val="auto"/>
                    </w:rPr>
                  </w:pPr>
                </w:p>
              </w:tc>
              <w:tc>
                <w:tcPr>
                  <w:tcW w:w="641" w:type="pct"/>
                  <w:vMerge w:val="continue"/>
                  <w:vAlign w:val="center"/>
                </w:tcPr>
                <w:p w14:paraId="3769525D">
                  <w:pPr>
                    <w:jc w:val="both"/>
                    <w:rPr>
                      <w:rFonts w:hint="default" w:ascii="Times New Roman" w:hAnsi="Times New Roman" w:cs="Times New Roman"/>
                      <w:color w:val="auto"/>
                    </w:rPr>
                  </w:pPr>
                </w:p>
              </w:tc>
              <w:tc>
                <w:tcPr>
                  <w:tcW w:w="330" w:type="pct"/>
                  <w:vMerge w:val="continue"/>
                  <w:vAlign w:val="center"/>
                </w:tcPr>
                <w:p w14:paraId="708A3225">
                  <w:pPr>
                    <w:jc w:val="both"/>
                    <w:rPr>
                      <w:rFonts w:hint="default" w:ascii="Times New Roman" w:hAnsi="Times New Roman" w:cs="Times New Roman"/>
                      <w:color w:val="auto"/>
                    </w:rPr>
                  </w:pPr>
                </w:p>
              </w:tc>
            </w:tr>
            <w:tr w14:paraId="54682E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391" w:type="pct"/>
                  <w:vMerge w:val="continue"/>
                  <w:vAlign w:val="center"/>
                </w:tcPr>
                <w:p w14:paraId="4587E445">
                  <w:pPr>
                    <w:jc w:val="both"/>
                    <w:rPr>
                      <w:rFonts w:hint="default" w:ascii="Times New Roman" w:hAnsi="Times New Roman" w:cs="Times New Roman"/>
                      <w:color w:val="auto"/>
                    </w:rPr>
                  </w:pPr>
                </w:p>
              </w:tc>
              <w:tc>
                <w:tcPr>
                  <w:tcW w:w="616" w:type="pct"/>
                  <w:vMerge w:val="continue"/>
                  <w:vAlign w:val="center"/>
                </w:tcPr>
                <w:p w14:paraId="666E747C">
                  <w:pPr>
                    <w:jc w:val="both"/>
                    <w:rPr>
                      <w:rFonts w:hint="default" w:ascii="Times New Roman" w:hAnsi="Times New Roman" w:cs="Times New Roman"/>
                      <w:color w:val="auto"/>
                    </w:rPr>
                  </w:pPr>
                </w:p>
              </w:tc>
              <w:tc>
                <w:tcPr>
                  <w:tcW w:w="2463" w:type="pct"/>
                  <w:vAlign w:val="center"/>
                </w:tcPr>
                <w:p w14:paraId="608E3060">
                  <w:pPr>
                    <w:jc w:val="left"/>
                    <w:rPr>
                      <w:rFonts w:hint="default" w:ascii="Times New Roman" w:hAnsi="Times New Roman" w:eastAsia="宋体" w:cs="Times New Roman"/>
                      <w:b/>
                      <w:bCs/>
                      <w:color w:val="auto"/>
                      <w:lang w:eastAsia="zh-CN"/>
                    </w:rPr>
                  </w:pPr>
                  <w:r>
                    <w:rPr>
                      <w:rFonts w:hint="default" w:ascii="Times New Roman" w:hAnsi="Times New Roman" w:eastAsia="宋体" w:cs="Times New Roman"/>
                      <w:b/>
                      <w:bCs/>
                      <w:color w:val="auto"/>
                      <w:lang w:eastAsia="zh-CN"/>
                    </w:rPr>
                    <w:t>修剪产生的残枝败叶中大型枝干</w:t>
                  </w:r>
                  <w:r>
                    <w:rPr>
                      <w:rFonts w:hint="default" w:ascii="Times New Roman" w:hAnsi="Times New Roman" w:eastAsia="宋体" w:cs="Times New Roman"/>
                      <w:color w:val="auto"/>
                      <w:lang w:eastAsia="zh-CN"/>
                    </w:rPr>
                    <w:t>可集中收集后交由附近农民作为薪柴，剩余部分可就近条状堆积至造林区域内保留带进行腐熟后作为肥料提高土壤肥力。</w:t>
                  </w:r>
                </w:p>
              </w:tc>
              <w:tc>
                <w:tcPr>
                  <w:tcW w:w="556" w:type="pct"/>
                  <w:vMerge w:val="continue"/>
                  <w:vAlign w:val="center"/>
                </w:tcPr>
                <w:p w14:paraId="71D83901">
                  <w:pPr>
                    <w:jc w:val="both"/>
                    <w:rPr>
                      <w:rFonts w:hint="default" w:ascii="Times New Roman" w:hAnsi="Times New Roman" w:cs="Times New Roman"/>
                      <w:color w:val="auto"/>
                    </w:rPr>
                  </w:pPr>
                </w:p>
              </w:tc>
              <w:tc>
                <w:tcPr>
                  <w:tcW w:w="641" w:type="pct"/>
                  <w:vMerge w:val="continue"/>
                  <w:vAlign w:val="center"/>
                </w:tcPr>
                <w:p w14:paraId="2BFD46D5">
                  <w:pPr>
                    <w:jc w:val="both"/>
                    <w:rPr>
                      <w:rFonts w:hint="default" w:ascii="Times New Roman" w:hAnsi="Times New Roman" w:cs="Times New Roman"/>
                      <w:color w:val="auto"/>
                    </w:rPr>
                  </w:pPr>
                </w:p>
              </w:tc>
              <w:tc>
                <w:tcPr>
                  <w:tcW w:w="330" w:type="pct"/>
                  <w:vMerge w:val="continue"/>
                  <w:vAlign w:val="center"/>
                </w:tcPr>
                <w:p w14:paraId="577C6532">
                  <w:pPr>
                    <w:jc w:val="both"/>
                    <w:rPr>
                      <w:rFonts w:hint="default" w:ascii="Times New Roman" w:hAnsi="Times New Roman" w:cs="Times New Roman"/>
                      <w:color w:val="auto"/>
                    </w:rPr>
                  </w:pPr>
                </w:p>
              </w:tc>
            </w:tr>
            <w:tr w14:paraId="15E6D9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391" w:type="pct"/>
                  <w:vMerge w:val="continue"/>
                  <w:vAlign w:val="center"/>
                </w:tcPr>
                <w:p w14:paraId="085DB294">
                  <w:pPr>
                    <w:jc w:val="both"/>
                    <w:rPr>
                      <w:rFonts w:hint="default" w:ascii="Times New Roman" w:hAnsi="Times New Roman" w:cs="Times New Roman"/>
                      <w:color w:val="auto"/>
                    </w:rPr>
                  </w:pPr>
                </w:p>
              </w:tc>
              <w:tc>
                <w:tcPr>
                  <w:tcW w:w="616" w:type="pct"/>
                  <w:vMerge w:val="continue"/>
                  <w:vAlign w:val="center"/>
                </w:tcPr>
                <w:p w14:paraId="4CFBF4FC">
                  <w:pPr>
                    <w:jc w:val="both"/>
                    <w:rPr>
                      <w:rFonts w:hint="default" w:ascii="Times New Roman" w:hAnsi="Times New Roman" w:cs="Times New Roman"/>
                      <w:color w:val="auto"/>
                    </w:rPr>
                  </w:pPr>
                </w:p>
              </w:tc>
              <w:tc>
                <w:tcPr>
                  <w:tcW w:w="2463" w:type="pct"/>
                  <w:vAlign w:val="center"/>
                </w:tcPr>
                <w:p w14:paraId="36373E99">
                  <w:pPr>
                    <w:jc w:val="left"/>
                    <w:rPr>
                      <w:rFonts w:hint="default" w:ascii="Times New Roman" w:hAnsi="Times New Roman" w:eastAsia="宋体" w:cs="Times New Roman"/>
                      <w:b/>
                      <w:bCs/>
                      <w:color w:val="auto"/>
                      <w:lang w:eastAsia="zh-CN"/>
                    </w:rPr>
                  </w:pPr>
                  <w:r>
                    <w:rPr>
                      <w:rFonts w:hint="default" w:ascii="Times New Roman" w:hAnsi="Times New Roman" w:eastAsia="宋体" w:cs="Times New Roman"/>
                      <w:b/>
                      <w:bCs/>
                      <w:color w:val="auto"/>
                      <w:lang w:eastAsia="zh-CN"/>
                    </w:rPr>
                    <w:t>苗床拆除的废弃地膜或无纺布</w:t>
                  </w:r>
                  <w:r>
                    <w:rPr>
                      <w:rFonts w:hint="default" w:ascii="Times New Roman" w:hAnsi="Times New Roman" w:eastAsia="宋体" w:cs="Times New Roman"/>
                      <w:color w:val="auto"/>
                      <w:lang w:eastAsia="zh-CN"/>
                    </w:rPr>
                    <w:t>可外售专业回收单位收集后进行资源化加工再利用。</w:t>
                  </w:r>
                </w:p>
              </w:tc>
              <w:tc>
                <w:tcPr>
                  <w:tcW w:w="556" w:type="pct"/>
                  <w:vMerge w:val="continue"/>
                  <w:vAlign w:val="center"/>
                </w:tcPr>
                <w:p w14:paraId="7855CC07">
                  <w:pPr>
                    <w:jc w:val="both"/>
                    <w:rPr>
                      <w:rFonts w:hint="default" w:ascii="Times New Roman" w:hAnsi="Times New Roman" w:cs="Times New Roman"/>
                      <w:color w:val="auto"/>
                    </w:rPr>
                  </w:pPr>
                </w:p>
              </w:tc>
              <w:tc>
                <w:tcPr>
                  <w:tcW w:w="641" w:type="pct"/>
                  <w:vMerge w:val="continue"/>
                  <w:vAlign w:val="center"/>
                </w:tcPr>
                <w:p w14:paraId="4C1D7D75">
                  <w:pPr>
                    <w:jc w:val="both"/>
                    <w:rPr>
                      <w:rFonts w:hint="default" w:ascii="Times New Roman" w:hAnsi="Times New Roman" w:cs="Times New Roman"/>
                      <w:color w:val="auto"/>
                    </w:rPr>
                  </w:pPr>
                </w:p>
              </w:tc>
              <w:tc>
                <w:tcPr>
                  <w:tcW w:w="330" w:type="pct"/>
                  <w:vMerge w:val="continue"/>
                  <w:vAlign w:val="center"/>
                </w:tcPr>
                <w:p w14:paraId="22E3C89B">
                  <w:pPr>
                    <w:jc w:val="both"/>
                    <w:rPr>
                      <w:rFonts w:hint="default" w:ascii="Times New Roman" w:hAnsi="Times New Roman" w:cs="Times New Roman"/>
                      <w:color w:val="auto"/>
                    </w:rPr>
                  </w:pPr>
                </w:p>
              </w:tc>
            </w:tr>
            <w:tr w14:paraId="6F5ED8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391" w:type="pct"/>
                  <w:vMerge w:val="continue"/>
                  <w:vAlign w:val="center"/>
                </w:tcPr>
                <w:p w14:paraId="70FC8CCD">
                  <w:pPr>
                    <w:jc w:val="both"/>
                    <w:rPr>
                      <w:rFonts w:hint="default" w:ascii="Times New Roman" w:hAnsi="Times New Roman" w:cs="Times New Roman"/>
                      <w:color w:val="auto"/>
                    </w:rPr>
                  </w:pPr>
                </w:p>
              </w:tc>
              <w:tc>
                <w:tcPr>
                  <w:tcW w:w="616" w:type="pct"/>
                  <w:vMerge w:val="continue"/>
                  <w:vAlign w:val="center"/>
                </w:tcPr>
                <w:p w14:paraId="0AF4E8A2">
                  <w:pPr>
                    <w:jc w:val="both"/>
                    <w:rPr>
                      <w:rFonts w:hint="default" w:ascii="Times New Roman" w:hAnsi="Times New Roman" w:cs="Times New Roman"/>
                      <w:color w:val="auto"/>
                    </w:rPr>
                  </w:pPr>
                </w:p>
              </w:tc>
              <w:tc>
                <w:tcPr>
                  <w:tcW w:w="2463" w:type="pct"/>
                  <w:vAlign w:val="center"/>
                </w:tcPr>
                <w:p w14:paraId="4F8AFE94">
                  <w:pPr>
                    <w:jc w:val="left"/>
                    <w:rPr>
                      <w:rFonts w:hint="default" w:ascii="Times New Roman" w:hAnsi="Times New Roman" w:eastAsia="宋体" w:cs="Times New Roman"/>
                      <w:color w:val="auto"/>
                      <w:lang w:eastAsia="zh-CN"/>
                    </w:rPr>
                  </w:pPr>
                  <w:r>
                    <w:rPr>
                      <w:rFonts w:hint="default" w:ascii="Times New Roman" w:hAnsi="Times New Roman" w:eastAsia="宋体" w:cs="Times New Roman"/>
                      <w:b/>
                      <w:bCs/>
                      <w:color w:val="auto"/>
                      <w:lang w:eastAsia="zh-CN"/>
                    </w:rPr>
                    <w:t>农药废包装容器</w:t>
                  </w:r>
                  <w:r>
                    <w:rPr>
                      <w:rFonts w:hint="default" w:ascii="Times New Roman" w:hAnsi="Times New Roman" w:eastAsia="宋体" w:cs="Times New Roman"/>
                      <w:color w:val="auto"/>
                      <w:lang w:eastAsia="zh-CN"/>
                    </w:rPr>
                    <w:t>属于危险废物，结合危险废物豁免管理清单，本次评价按照豁免条件要求该类危废在收集、运输、利用阶段</w:t>
                  </w:r>
                  <w:r>
                    <w:rPr>
                      <w:rFonts w:hint="default" w:ascii="Times New Roman" w:hAnsi="Times New Roman" w:eastAsia="宋体" w:cs="Times New Roman"/>
                      <w:color w:val="auto"/>
                      <w:lang w:eastAsia="zh-CN"/>
                    </w:rPr>
                    <w:t>依据《农药包装废弃物回收处理管理办法》中相关要求进行收集、运输、利用后，上述三个环节均不按危险废物管理，</w:t>
                  </w:r>
                  <w:r>
                    <w:rPr>
                      <w:rFonts w:hint="eastAsia" w:ascii="Times New Roman" w:hAnsi="Times New Roman" w:eastAsia="宋体" w:cs="Times New Roman"/>
                      <w:color w:val="auto"/>
                      <w:lang w:val="en-US" w:eastAsia="zh-CN"/>
                    </w:rPr>
                    <w:t>收集后交由厂家资源化利用</w:t>
                  </w:r>
                  <w:r>
                    <w:rPr>
                      <w:rFonts w:hint="default" w:ascii="Times New Roman" w:hAnsi="Times New Roman" w:eastAsia="宋体" w:cs="Times New Roman"/>
                      <w:color w:val="auto"/>
                      <w:lang w:eastAsia="zh-CN"/>
                    </w:rPr>
                    <w:t>，项目区内不考虑危废暂存需求。</w:t>
                  </w:r>
                </w:p>
              </w:tc>
              <w:tc>
                <w:tcPr>
                  <w:tcW w:w="556" w:type="pct"/>
                  <w:vMerge w:val="continue"/>
                  <w:vAlign w:val="center"/>
                </w:tcPr>
                <w:p w14:paraId="58B9547A">
                  <w:pPr>
                    <w:jc w:val="both"/>
                    <w:rPr>
                      <w:rFonts w:hint="default" w:ascii="Times New Roman" w:hAnsi="Times New Roman" w:cs="Times New Roman"/>
                      <w:color w:val="auto"/>
                    </w:rPr>
                  </w:pPr>
                </w:p>
              </w:tc>
              <w:tc>
                <w:tcPr>
                  <w:tcW w:w="641" w:type="pct"/>
                  <w:vMerge w:val="continue"/>
                  <w:vAlign w:val="center"/>
                </w:tcPr>
                <w:p w14:paraId="175F39AE">
                  <w:pPr>
                    <w:jc w:val="both"/>
                    <w:rPr>
                      <w:rFonts w:hint="default" w:ascii="Times New Roman" w:hAnsi="Times New Roman" w:cs="Times New Roman"/>
                      <w:color w:val="auto"/>
                    </w:rPr>
                  </w:pPr>
                </w:p>
              </w:tc>
              <w:tc>
                <w:tcPr>
                  <w:tcW w:w="330" w:type="pct"/>
                  <w:vMerge w:val="continue"/>
                  <w:vAlign w:val="center"/>
                </w:tcPr>
                <w:p w14:paraId="081EE373">
                  <w:pPr>
                    <w:jc w:val="both"/>
                    <w:rPr>
                      <w:rFonts w:hint="default" w:ascii="Times New Roman" w:hAnsi="Times New Roman" w:cs="Times New Roman"/>
                      <w:color w:val="auto"/>
                    </w:rPr>
                  </w:pPr>
                </w:p>
              </w:tc>
            </w:tr>
            <w:tr w14:paraId="74A729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391" w:type="pct"/>
                  <w:vMerge w:val="continue"/>
                  <w:vAlign w:val="center"/>
                </w:tcPr>
                <w:p w14:paraId="3D5FB6D2">
                  <w:pPr>
                    <w:jc w:val="center"/>
                    <w:rPr>
                      <w:rFonts w:hint="default" w:ascii="Times New Roman" w:hAnsi="Times New Roman" w:eastAsia="宋体" w:cs="Times New Roman"/>
                      <w:color w:val="auto"/>
                    </w:rPr>
                  </w:pPr>
                </w:p>
              </w:tc>
              <w:tc>
                <w:tcPr>
                  <w:tcW w:w="616" w:type="pct"/>
                  <w:vAlign w:val="center"/>
                </w:tcPr>
                <w:p w14:paraId="0A3E5E1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施工期噪声治理</w:t>
                  </w:r>
                </w:p>
              </w:tc>
              <w:tc>
                <w:tcPr>
                  <w:tcW w:w="2463" w:type="pct"/>
                  <w:vAlign w:val="center"/>
                </w:tcPr>
                <w:p w14:paraId="05787EB7">
                  <w:pPr>
                    <w:jc w:val="left"/>
                    <w:rPr>
                      <w:rFonts w:hint="default" w:ascii="Times New Roman" w:hAnsi="Times New Roman" w:eastAsia="宋体" w:cs="Times New Roman"/>
                      <w:color w:val="auto"/>
                    </w:rPr>
                  </w:pPr>
                  <w:r>
                    <w:rPr>
                      <w:rFonts w:hint="default" w:ascii="Times New Roman" w:hAnsi="Times New Roman" w:eastAsia="宋体" w:cs="Times New Roman"/>
                      <w:color w:val="auto"/>
                    </w:rPr>
                    <w:t>打围施工，在敏感地区设置减速带，禁鸣标志，合理安排施工作业时间，限制夜间施工。高噪设备远离周边居民，对机械加装减振措施，定时维护，保证机械正常运行。</w:t>
                  </w:r>
                </w:p>
              </w:tc>
              <w:tc>
                <w:tcPr>
                  <w:tcW w:w="556" w:type="pct"/>
                  <w:vMerge w:val="continue"/>
                  <w:vAlign w:val="center"/>
                </w:tcPr>
                <w:p w14:paraId="353215EA">
                  <w:pPr>
                    <w:jc w:val="center"/>
                    <w:rPr>
                      <w:rFonts w:hint="default" w:ascii="Times New Roman" w:hAnsi="Times New Roman" w:eastAsia="宋体" w:cs="Times New Roman"/>
                      <w:color w:val="auto"/>
                    </w:rPr>
                  </w:pPr>
                </w:p>
              </w:tc>
              <w:tc>
                <w:tcPr>
                  <w:tcW w:w="641" w:type="pct"/>
                  <w:vAlign w:val="center"/>
                </w:tcPr>
                <w:p w14:paraId="6A792AC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330" w:type="pct"/>
                  <w:vAlign w:val="center"/>
                </w:tcPr>
                <w:p w14:paraId="4B1A1F9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新建</w:t>
                  </w:r>
                </w:p>
              </w:tc>
            </w:tr>
            <w:tr w14:paraId="5FFF83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391" w:type="pct"/>
                  <w:vMerge w:val="continue"/>
                  <w:vAlign w:val="center"/>
                </w:tcPr>
                <w:p w14:paraId="4E2C91F1">
                  <w:pPr>
                    <w:jc w:val="center"/>
                    <w:rPr>
                      <w:rFonts w:hint="default" w:ascii="Times New Roman" w:hAnsi="Times New Roman" w:eastAsia="宋体" w:cs="Times New Roman"/>
                      <w:color w:val="auto"/>
                    </w:rPr>
                  </w:pPr>
                </w:p>
              </w:tc>
              <w:tc>
                <w:tcPr>
                  <w:tcW w:w="616" w:type="pct"/>
                  <w:vAlign w:val="center"/>
                </w:tcPr>
                <w:p w14:paraId="465E314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施工期水保措施</w:t>
                  </w:r>
                </w:p>
              </w:tc>
              <w:tc>
                <w:tcPr>
                  <w:tcW w:w="2463" w:type="pct"/>
                  <w:vAlign w:val="center"/>
                </w:tcPr>
                <w:p w14:paraId="2F3566F0">
                  <w:pPr>
                    <w:jc w:val="left"/>
                    <w:rPr>
                      <w:rFonts w:hint="default" w:ascii="Times New Roman" w:hAnsi="Times New Roman" w:eastAsia="宋体" w:cs="Times New Roman"/>
                      <w:color w:val="auto"/>
                    </w:rPr>
                  </w:pPr>
                  <w:r>
                    <w:rPr>
                      <w:rFonts w:hint="default" w:ascii="Times New Roman" w:hAnsi="Times New Roman" w:eastAsia="宋体" w:cs="Times New Roman"/>
                      <w:color w:val="auto"/>
                    </w:rPr>
                    <w:t>临时弃渣场防护措施（截排水沟、挡渣墙）及边坡等土层裸露地带防护与绿化措施。迹地恢复措施，临时占地区植被恢复，护坡覆土植被恢复，路基边坡喷播植草。</w:t>
                  </w:r>
                </w:p>
              </w:tc>
              <w:tc>
                <w:tcPr>
                  <w:tcW w:w="556" w:type="pct"/>
                  <w:vMerge w:val="continue"/>
                  <w:vAlign w:val="center"/>
                </w:tcPr>
                <w:p w14:paraId="3424BBD5">
                  <w:pPr>
                    <w:jc w:val="center"/>
                    <w:rPr>
                      <w:rFonts w:hint="default" w:ascii="Times New Roman" w:hAnsi="Times New Roman" w:eastAsia="宋体" w:cs="Times New Roman"/>
                      <w:color w:val="auto"/>
                    </w:rPr>
                  </w:pPr>
                </w:p>
              </w:tc>
              <w:tc>
                <w:tcPr>
                  <w:tcW w:w="641" w:type="pct"/>
                  <w:vAlign w:val="center"/>
                </w:tcPr>
                <w:p w14:paraId="7FA72E3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330" w:type="pct"/>
                  <w:vAlign w:val="center"/>
                </w:tcPr>
                <w:p w14:paraId="6D86E5C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新建</w:t>
                  </w:r>
                </w:p>
              </w:tc>
            </w:tr>
            <w:tr w14:paraId="765166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391" w:type="pct"/>
                  <w:vMerge w:val="continue"/>
                  <w:vAlign w:val="center"/>
                </w:tcPr>
                <w:p w14:paraId="53577EA4">
                  <w:pPr>
                    <w:jc w:val="center"/>
                    <w:rPr>
                      <w:rFonts w:hint="default" w:ascii="Times New Roman" w:hAnsi="Times New Roman" w:eastAsia="宋体" w:cs="Times New Roman"/>
                      <w:color w:val="auto"/>
                    </w:rPr>
                  </w:pPr>
                </w:p>
              </w:tc>
              <w:tc>
                <w:tcPr>
                  <w:tcW w:w="616" w:type="pct"/>
                  <w:vMerge w:val="restart"/>
                  <w:vAlign w:val="center"/>
                </w:tcPr>
                <w:p w14:paraId="464F72B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施工期生态措施</w:t>
                  </w:r>
                </w:p>
              </w:tc>
              <w:tc>
                <w:tcPr>
                  <w:tcW w:w="2463" w:type="pct"/>
                  <w:vAlign w:val="center"/>
                </w:tcPr>
                <w:p w14:paraId="0383EAA9">
                  <w:pPr>
                    <w:jc w:val="left"/>
                    <w:rPr>
                      <w:rFonts w:hint="default" w:ascii="Times New Roman" w:hAnsi="Times New Roman" w:eastAsia="宋体" w:cs="Times New Roman"/>
                      <w:color w:val="auto"/>
                    </w:rPr>
                  </w:pPr>
                  <w:r>
                    <w:rPr>
                      <w:rFonts w:hint="default" w:ascii="Times New Roman" w:hAnsi="Times New Roman" w:eastAsia="宋体" w:cs="Times New Roman"/>
                      <w:color w:val="auto"/>
                    </w:rPr>
                    <w:t>弃渣场区进行绿化恢复1000m</w:t>
                  </w:r>
                  <w:r>
                    <w:rPr>
                      <w:rFonts w:hint="default" w:ascii="Times New Roman" w:hAnsi="Times New Roman" w:eastAsia="宋体" w:cs="Times New Roman"/>
                      <w:color w:val="auto"/>
                      <w:vertAlign w:val="superscript"/>
                    </w:rPr>
                    <w:t>2</w:t>
                  </w:r>
                  <w:r>
                    <w:rPr>
                      <w:rFonts w:hint="default" w:ascii="Times New Roman" w:hAnsi="Times New Roman" w:eastAsia="宋体" w:cs="Times New Roman"/>
                      <w:color w:val="auto"/>
                    </w:rPr>
                    <w:t>，撒播草种500m</w:t>
                  </w:r>
                  <w:r>
                    <w:rPr>
                      <w:rFonts w:hint="default" w:ascii="Times New Roman" w:hAnsi="Times New Roman" w:eastAsia="宋体" w:cs="Times New Roman"/>
                      <w:color w:val="auto"/>
                      <w:vertAlign w:val="superscript"/>
                    </w:rPr>
                    <w:t>2</w:t>
                  </w:r>
                  <w:r>
                    <w:rPr>
                      <w:rFonts w:hint="default" w:ascii="Times New Roman" w:hAnsi="Times New Roman" w:eastAsia="宋体" w:cs="Times New Roman"/>
                      <w:color w:val="auto"/>
                    </w:rPr>
                    <w:t>；表土堆场区绿化恢复2000m</w:t>
                  </w:r>
                  <w:r>
                    <w:rPr>
                      <w:rFonts w:hint="default" w:ascii="Times New Roman" w:hAnsi="Times New Roman" w:eastAsia="宋体" w:cs="Times New Roman"/>
                      <w:color w:val="auto"/>
                      <w:vertAlign w:val="superscript"/>
                    </w:rPr>
                    <w:t>2</w:t>
                  </w:r>
                  <w:r>
                    <w:rPr>
                      <w:rFonts w:hint="default" w:ascii="Times New Roman" w:hAnsi="Times New Roman" w:eastAsia="宋体" w:cs="Times New Roman"/>
                      <w:color w:val="auto"/>
                    </w:rPr>
                    <w:t>，撒播植草1000m</w:t>
                  </w:r>
                  <w:r>
                    <w:rPr>
                      <w:rFonts w:hint="default" w:ascii="Times New Roman" w:hAnsi="Times New Roman" w:eastAsia="宋体" w:cs="Times New Roman"/>
                      <w:color w:val="auto"/>
                      <w:vertAlign w:val="superscript"/>
                    </w:rPr>
                    <w:t>2</w:t>
                  </w:r>
                  <w:r>
                    <w:rPr>
                      <w:rFonts w:hint="default" w:ascii="Times New Roman" w:hAnsi="Times New Roman" w:eastAsia="宋体" w:cs="Times New Roman"/>
                      <w:color w:val="auto"/>
                    </w:rPr>
                    <w:t>；施工便道区绿化恢复1300m</w:t>
                  </w:r>
                  <w:r>
                    <w:rPr>
                      <w:rFonts w:hint="default" w:ascii="Times New Roman" w:hAnsi="Times New Roman" w:eastAsia="宋体" w:cs="Times New Roman"/>
                      <w:color w:val="auto"/>
                      <w:vertAlign w:val="superscript"/>
                    </w:rPr>
                    <w:t>2</w:t>
                  </w:r>
                  <w:r>
                    <w:rPr>
                      <w:rFonts w:hint="default" w:ascii="Times New Roman" w:hAnsi="Times New Roman" w:eastAsia="宋体" w:cs="Times New Roman"/>
                      <w:color w:val="auto"/>
                    </w:rPr>
                    <w:t>，栽植灌木429株，撒播植草1300m</w:t>
                  </w:r>
                  <w:r>
                    <w:rPr>
                      <w:rFonts w:hint="default" w:ascii="Times New Roman" w:hAnsi="Times New Roman" w:eastAsia="宋体" w:cs="Times New Roman"/>
                      <w:color w:val="auto"/>
                      <w:vertAlign w:val="superscript"/>
                    </w:rPr>
                    <w:t>2</w:t>
                  </w:r>
                  <w:r>
                    <w:rPr>
                      <w:rFonts w:hint="default" w:ascii="Times New Roman" w:hAnsi="Times New Roman" w:eastAsia="宋体" w:cs="Times New Roman"/>
                      <w:color w:val="auto"/>
                    </w:rPr>
                    <w:t>；施工生产生活区绿化恢复8400m</w:t>
                  </w:r>
                  <w:r>
                    <w:rPr>
                      <w:rFonts w:hint="default" w:ascii="Times New Roman" w:hAnsi="Times New Roman" w:eastAsia="宋体" w:cs="Times New Roman"/>
                      <w:color w:val="auto"/>
                      <w:vertAlign w:val="superscript"/>
                    </w:rPr>
                    <w:t>2</w:t>
                  </w:r>
                  <w:r>
                    <w:rPr>
                      <w:rFonts w:hint="default" w:ascii="Times New Roman" w:hAnsi="Times New Roman" w:eastAsia="宋体" w:cs="Times New Roman"/>
                      <w:color w:val="auto"/>
                    </w:rPr>
                    <w:t>。</w:t>
                  </w:r>
                </w:p>
              </w:tc>
              <w:tc>
                <w:tcPr>
                  <w:tcW w:w="556" w:type="pct"/>
                  <w:vMerge w:val="continue"/>
                  <w:vAlign w:val="center"/>
                </w:tcPr>
                <w:p w14:paraId="2DA77EB4">
                  <w:pPr>
                    <w:jc w:val="center"/>
                    <w:rPr>
                      <w:rFonts w:hint="default" w:ascii="Times New Roman" w:hAnsi="Times New Roman" w:eastAsia="宋体" w:cs="Times New Roman"/>
                      <w:color w:val="auto"/>
                    </w:rPr>
                  </w:pPr>
                </w:p>
              </w:tc>
              <w:tc>
                <w:tcPr>
                  <w:tcW w:w="641" w:type="pct"/>
                  <w:vMerge w:val="restart"/>
                  <w:vAlign w:val="center"/>
                </w:tcPr>
                <w:p w14:paraId="74B194D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330" w:type="pct"/>
                  <w:vMerge w:val="restart"/>
                  <w:vAlign w:val="center"/>
                </w:tcPr>
                <w:p w14:paraId="18BE5B3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新建</w:t>
                  </w:r>
                </w:p>
              </w:tc>
            </w:tr>
            <w:tr w14:paraId="20DA7C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391" w:type="pct"/>
                  <w:vMerge w:val="continue"/>
                  <w:vAlign w:val="center"/>
                </w:tcPr>
                <w:p w14:paraId="46813FFA">
                  <w:pPr>
                    <w:jc w:val="left"/>
                    <w:rPr>
                      <w:rFonts w:hint="default" w:ascii="Times New Roman" w:hAnsi="Times New Roman" w:cs="Times New Roman"/>
                      <w:color w:val="auto"/>
                    </w:rPr>
                  </w:pPr>
                </w:p>
              </w:tc>
              <w:tc>
                <w:tcPr>
                  <w:tcW w:w="616" w:type="pct"/>
                  <w:vMerge w:val="continue"/>
                  <w:vAlign w:val="center"/>
                </w:tcPr>
                <w:p w14:paraId="390ECBDB">
                  <w:pPr>
                    <w:jc w:val="left"/>
                    <w:rPr>
                      <w:rFonts w:hint="default" w:ascii="Times New Roman" w:hAnsi="Times New Roman" w:cs="Times New Roman"/>
                      <w:color w:val="auto"/>
                    </w:rPr>
                  </w:pPr>
                </w:p>
              </w:tc>
              <w:tc>
                <w:tcPr>
                  <w:tcW w:w="2463" w:type="pct"/>
                  <w:vAlign w:val="center"/>
                </w:tcPr>
                <w:p w14:paraId="375F0E8E">
                  <w:pPr>
                    <w:jc w:val="left"/>
                    <w:rPr>
                      <w:rFonts w:hint="default" w:ascii="Times New Roman" w:hAnsi="Times New Roman" w:eastAsia="宋体" w:cs="Times New Roman"/>
                      <w:color w:val="auto"/>
                    </w:rPr>
                  </w:pPr>
                  <w:r>
                    <w:rPr>
                      <w:rFonts w:hint="default" w:ascii="Times New Roman" w:hAnsi="Times New Roman" w:eastAsia="宋体" w:cs="Times New Roman"/>
                      <w:color w:val="auto"/>
                    </w:rPr>
                    <w:t>土地资源保护：项目施工前应先获取当地林草主管部门的审批文件；开工前以合同形式约束施工单位活动范围；施工进场前组织开展生态环境保护相关培训；严禁出现超范围施工、施工固体废物随意倾倒、弃置等施工行为。</w:t>
                  </w:r>
                </w:p>
              </w:tc>
              <w:tc>
                <w:tcPr>
                  <w:tcW w:w="556" w:type="pct"/>
                  <w:vMerge w:val="continue"/>
                  <w:vAlign w:val="center"/>
                </w:tcPr>
                <w:p w14:paraId="6B35176B">
                  <w:pPr>
                    <w:jc w:val="left"/>
                    <w:rPr>
                      <w:rFonts w:hint="default" w:ascii="Times New Roman" w:hAnsi="Times New Roman" w:eastAsia="宋体" w:cs="Times New Roman"/>
                      <w:color w:val="auto"/>
                    </w:rPr>
                  </w:pPr>
                </w:p>
              </w:tc>
              <w:tc>
                <w:tcPr>
                  <w:tcW w:w="641" w:type="pct"/>
                  <w:vMerge w:val="continue"/>
                  <w:vAlign w:val="center"/>
                </w:tcPr>
                <w:p w14:paraId="61345940">
                  <w:pPr>
                    <w:jc w:val="left"/>
                    <w:rPr>
                      <w:rFonts w:hint="default" w:ascii="Times New Roman" w:hAnsi="Times New Roman" w:eastAsia="宋体" w:cs="Times New Roman"/>
                      <w:color w:val="auto"/>
                    </w:rPr>
                  </w:pPr>
                </w:p>
              </w:tc>
              <w:tc>
                <w:tcPr>
                  <w:tcW w:w="330" w:type="pct"/>
                  <w:vMerge w:val="continue"/>
                  <w:vAlign w:val="center"/>
                </w:tcPr>
                <w:p w14:paraId="6F79A3B0">
                  <w:pPr>
                    <w:jc w:val="left"/>
                    <w:rPr>
                      <w:rFonts w:hint="default" w:ascii="Times New Roman" w:hAnsi="Times New Roman" w:eastAsia="宋体" w:cs="Times New Roman"/>
                      <w:color w:val="auto"/>
                    </w:rPr>
                  </w:pPr>
                </w:p>
              </w:tc>
            </w:tr>
            <w:tr w14:paraId="4134D8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391" w:type="pct"/>
                  <w:vMerge w:val="continue"/>
                  <w:vAlign w:val="center"/>
                </w:tcPr>
                <w:p w14:paraId="79C66206">
                  <w:pPr>
                    <w:jc w:val="left"/>
                    <w:rPr>
                      <w:rFonts w:hint="default" w:ascii="Times New Roman" w:hAnsi="Times New Roman" w:eastAsia="宋体" w:cs="Times New Roman"/>
                      <w:color w:val="auto"/>
                    </w:rPr>
                  </w:pPr>
                </w:p>
              </w:tc>
              <w:tc>
                <w:tcPr>
                  <w:tcW w:w="616" w:type="pct"/>
                  <w:vMerge w:val="continue"/>
                  <w:vAlign w:val="center"/>
                </w:tcPr>
                <w:p w14:paraId="683A1072">
                  <w:pPr>
                    <w:jc w:val="left"/>
                    <w:rPr>
                      <w:rFonts w:hint="default" w:ascii="Times New Roman" w:hAnsi="Times New Roman" w:eastAsia="宋体" w:cs="Times New Roman"/>
                      <w:color w:val="auto"/>
                    </w:rPr>
                  </w:pPr>
                </w:p>
              </w:tc>
              <w:tc>
                <w:tcPr>
                  <w:tcW w:w="2463" w:type="pct"/>
                  <w:vAlign w:val="center"/>
                </w:tcPr>
                <w:p w14:paraId="078BA6F2">
                  <w:pPr>
                    <w:jc w:val="left"/>
                    <w:rPr>
                      <w:rFonts w:hint="default" w:ascii="Times New Roman" w:hAnsi="Times New Roman" w:eastAsia="宋体" w:cs="Times New Roman"/>
                      <w:color w:val="auto"/>
                    </w:rPr>
                  </w:pPr>
                  <w:r>
                    <w:rPr>
                      <w:rFonts w:hint="default" w:ascii="Times New Roman" w:hAnsi="Times New Roman" w:eastAsia="宋体" w:cs="Times New Roman"/>
                      <w:color w:val="auto"/>
                    </w:rPr>
                    <w:t>植被恢复：加强施工人员的环境保护培训教育，限制施工人员活动范围，避免施工开挖土石方压覆施工范围外的地表植被，避免运输车辆界外碾压植被。苗木种植后加强施工人员防火知识教育，防止出现人为原因导致的火灾。</w:t>
                  </w:r>
                </w:p>
              </w:tc>
              <w:tc>
                <w:tcPr>
                  <w:tcW w:w="556" w:type="pct"/>
                  <w:vMerge w:val="continue"/>
                  <w:vAlign w:val="center"/>
                </w:tcPr>
                <w:p w14:paraId="6B6CE367">
                  <w:pPr>
                    <w:jc w:val="left"/>
                    <w:rPr>
                      <w:rFonts w:hint="default" w:ascii="Times New Roman" w:hAnsi="Times New Roman" w:eastAsia="宋体" w:cs="Times New Roman"/>
                      <w:color w:val="auto"/>
                    </w:rPr>
                  </w:pPr>
                </w:p>
              </w:tc>
              <w:tc>
                <w:tcPr>
                  <w:tcW w:w="641" w:type="pct"/>
                  <w:vMerge w:val="continue"/>
                  <w:vAlign w:val="center"/>
                </w:tcPr>
                <w:p w14:paraId="27964034">
                  <w:pPr>
                    <w:jc w:val="left"/>
                    <w:rPr>
                      <w:rFonts w:hint="default" w:ascii="Times New Roman" w:hAnsi="Times New Roman" w:eastAsia="宋体" w:cs="Times New Roman"/>
                      <w:color w:val="auto"/>
                    </w:rPr>
                  </w:pPr>
                </w:p>
              </w:tc>
              <w:tc>
                <w:tcPr>
                  <w:tcW w:w="330" w:type="pct"/>
                  <w:vMerge w:val="continue"/>
                  <w:vAlign w:val="center"/>
                </w:tcPr>
                <w:p w14:paraId="5530A60A">
                  <w:pPr>
                    <w:jc w:val="left"/>
                    <w:rPr>
                      <w:rFonts w:hint="default" w:ascii="Times New Roman" w:hAnsi="Times New Roman" w:eastAsia="宋体" w:cs="Times New Roman"/>
                      <w:color w:val="auto"/>
                    </w:rPr>
                  </w:pPr>
                </w:p>
              </w:tc>
            </w:tr>
            <w:tr w14:paraId="294320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391" w:type="pct"/>
                  <w:vMerge w:val="continue"/>
                  <w:vAlign w:val="center"/>
                </w:tcPr>
                <w:p w14:paraId="098FCC3B">
                  <w:pPr>
                    <w:jc w:val="left"/>
                    <w:rPr>
                      <w:rFonts w:hint="default" w:ascii="Times New Roman" w:hAnsi="Times New Roman" w:eastAsia="宋体" w:cs="Times New Roman"/>
                      <w:color w:val="auto"/>
                    </w:rPr>
                  </w:pPr>
                </w:p>
              </w:tc>
              <w:tc>
                <w:tcPr>
                  <w:tcW w:w="616" w:type="pct"/>
                  <w:vMerge w:val="continue"/>
                  <w:vAlign w:val="center"/>
                </w:tcPr>
                <w:p w14:paraId="25639378">
                  <w:pPr>
                    <w:jc w:val="left"/>
                    <w:rPr>
                      <w:rFonts w:hint="default" w:ascii="Times New Roman" w:hAnsi="Times New Roman" w:eastAsia="宋体" w:cs="Times New Roman"/>
                      <w:color w:val="auto"/>
                    </w:rPr>
                  </w:pPr>
                </w:p>
              </w:tc>
              <w:tc>
                <w:tcPr>
                  <w:tcW w:w="2463" w:type="pct"/>
                  <w:vAlign w:val="center"/>
                </w:tcPr>
                <w:p w14:paraId="2CB85603">
                  <w:pPr>
                    <w:jc w:val="left"/>
                    <w:rPr>
                      <w:rFonts w:hint="default" w:ascii="Times New Roman" w:hAnsi="Times New Roman" w:eastAsia="宋体" w:cs="Times New Roman"/>
                      <w:color w:val="auto"/>
                    </w:rPr>
                  </w:pPr>
                  <w:r>
                    <w:rPr>
                      <w:rFonts w:hint="default" w:ascii="Times New Roman" w:hAnsi="Times New Roman" w:eastAsia="宋体" w:cs="Times New Roman"/>
                      <w:color w:val="auto"/>
                    </w:rPr>
                    <w:t>野生动物保护：合理规划施工时序，加强施工人员的生态保护教育，严禁捕猎、捕食野生动物。如发现珍稀保护动物应立即采取妥善措施进行保护，并及时联系野生动物保护部门，不得杀害和损伤珍稀保护动物，对受伤的珍稀动物应及时联系野生动物保护部门进行救治。</w:t>
                  </w:r>
                </w:p>
              </w:tc>
              <w:tc>
                <w:tcPr>
                  <w:tcW w:w="556" w:type="pct"/>
                  <w:vMerge w:val="continue"/>
                  <w:vAlign w:val="center"/>
                </w:tcPr>
                <w:p w14:paraId="0D9702B6">
                  <w:pPr>
                    <w:jc w:val="left"/>
                    <w:rPr>
                      <w:rFonts w:hint="default" w:ascii="Times New Roman" w:hAnsi="Times New Roman" w:eastAsia="宋体" w:cs="Times New Roman"/>
                      <w:color w:val="auto"/>
                    </w:rPr>
                  </w:pPr>
                </w:p>
              </w:tc>
              <w:tc>
                <w:tcPr>
                  <w:tcW w:w="641" w:type="pct"/>
                  <w:vMerge w:val="continue"/>
                  <w:vAlign w:val="center"/>
                </w:tcPr>
                <w:p w14:paraId="3C1BB2CF">
                  <w:pPr>
                    <w:jc w:val="left"/>
                    <w:rPr>
                      <w:rFonts w:hint="default" w:ascii="Times New Roman" w:hAnsi="Times New Roman" w:eastAsia="宋体" w:cs="Times New Roman"/>
                      <w:color w:val="auto"/>
                    </w:rPr>
                  </w:pPr>
                </w:p>
              </w:tc>
              <w:tc>
                <w:tcPr>
                  <w:tcW w:w="330" w:type="pct"/>
                  <w:vMerge w:val="continue"/>
                  <w:vAlign w:val="center"/>
                </w:tcPr>
                <w:p w14:paraId="542C5101">
                  <w:pPr>
                    <w:jc w:val="left"/>
                    <w:rPr>
                      <w:rFonts w:hint="default" w:ascii="Times New Roman" w:hAnsi="Times New Roman" w:eastAsia="宋体" w:cs="Times New Roman"/>
                      <w:color w:val="auto"/>
                    </w:rPr>
                  </w:pPr>
                </w:p>
              </w:tc>
            </w:tr>
            <w:tr w14:paraId="03FE1F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391" w:type="pct"/>
                  <w:vMerge w:val="continue"/>
                  <w:vAlign w:val="center"/>
                </w:tcPr>
                <w:p w14:paraId="13D8EC80">
                  <w:pPr>
                    <w:jc w:val="left"/>
                    <w:rPr>
                      <w:rFonts w:hint="default" w:ascii="Times New Roman" w:hAnsi="Times New Roman" w:eastAsia="宋体" w:cs="Times New Roman"/>
                      <w:color w:val="auto"/>
                    </w:rPr>
                  </w:pPr>
                </w:p>
              </w:tc>
              <w:tc>
                <w:tcPr>
                  <w:tcW w:w="616" w:type="pct"/>
                  <w:vMerge w:val="continue"/>
                  <w:vAlign w:val="center"/>
                </w:tcPr>
                <w:p w14:paraId="0D7F57EE">
                  <w:pPr>
                    <w:jc w:val="left"/>
                    <w:rPr>
                      <w:rFonts w:hint="default" w:ascii="Times New Roman" w:hAnsi="Times New Roman" w:eastAsia="宋体" w:cs="Times New Roman"/>
                      <w:color w:val="auto"/>
                    </w:rPr>
                  </w:pPr>
                </w:p>
              </w:tc>
              <w:tc>
                <w:tcPr>
                  <w:tcW w:w="2463" w:type="pct"/>
                  <w:vAlign w:val="center"/>
                </w:tcPr>
                <w:p w14:paraId="6520FCAF">
                  <w:pPr>
                    <w:jc w:val="left"/>
                    <w:rPr>
                      <w:rFonts w:hint="default" w:ascii="Times New Roman" w:hAnsi="Times New Roman" w:eastAsia="宋体" w:cs="Times New Roman"/>
                      <w:color w:val="auto"/>
                    </w:rPr>
                  </w:pPr>
                  <w:r>
                    <w:rPr>
                      <w:rFonts w:hint="default" w:ascii="Times New Roman" w:hAnsi="Times New Roman" w:eastAsia="宋体" w:cs="Times New Roman"/>
                      <w:color w:val="auto"/>
                    </w:rPr>
                    <w:t>水土流失防治：合理安排土石方施工时序及施工进程；土石方施工尽量避开雨季；雨季施工时应随时关注气象变化，对雨季中不得不进行的某些施工，建设单位应随时与气象部门保持联系，在大雨到来之前作好相应的水保应急工作；工程运筹计划，尽量缩小土方工程的工作面，避免同时产生较多的裸露地表，施工范围内土石方开挖有序进行并实现调运平衡，尽可能避免大规模临时堆存；暴雨季节不应进行大规模土石方工程作业；施工面设置排水沟将径流平缓引排，不同梯级栽植面临坡一侧需设置必要的挡水堰；加强施工期管理，控制施工周期，恶劣天气条件下停止施工活动；项目设计和施工阶段设置水土保持专用资金，保证相关资金落实到位。</w:t>
                  </w:r>
                </w:p>
              </w:tc>
              <w:tc>
                <w:tcPr>
                  <w:tcW w:w="556" w:type="pct"/>
                  <w:vMerge w:val="continue"/>
                  <w:vAlign w:val="center"/>
                </w:tcPr>
                <w:p w14:paraId="32D279D4">
                  <w:pPr>
                    <w:jc w:val="left"/>
                    <w:rPr>
                      <w:rFonts w:hint="default" w:ascii="Times New Roman" w:hAnsi="Times New Roman" w:eastAsia="宋体" w:cs="Times New Roman"/>
                      <w:color w:val="auto"/>
                    </w:rPr>
                  </w:pPr>
                </w:p>
              </w:tc>
              <w:tc>
                <w:tcPr>
                  <w:tcW w:w="641" w:type="pct"/>
                  <w:vMerge w:val="continue"/>
                  <w:vAlign w:val="center"/>
                </w:tcPr>
                <w:p w14:paraId="6541AB95">
                  <w:pPr>
                    <w:jc w:val="left"/>
                    <w:rPr>
                      <w:rFonts w:hint="default" w:ascii="Times New Roman" w:hAnsi="Times New Roman" w:eastAsia="宋体" w:cs="Times New Roman"/>
                      <w:color w:val="auto"/>
                    </w:rPr>
                  </w:pPr>
                </w:p>
              </w:tc>
              <w:tc>
                <w:tcPr>
                  <w:tcW w:w="330" w:type="pct"/>
                  <w:vMerge w:val="continue"/>
                  <w:vAlign w:val="center"/>
                </w:tcPr>
                <w:p w14:paraId="3ED33790">
                  <w:pPr>
                    <w:jc w:val="left"/>
                    <w:rPr>
                      <w:rFonts w:hint="default" w:ascii="Times New Roman" w:hAnsi="Times New Roman" w:eastAsia="宋体" w:cs="Times New Roman"/>
                      <w:color w:val="auto"/>
                    </w:rPr>
                  </w:pPr>
                </w:p>
              </w:tc>
            </w:tr>
            <w:tr w14:paraId="27A262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391" w:type="pct"/>
                  <w:vMerge w:val="continue"/>
                  <w:vAlign w:val="center"/>
                </w:tcPr>
                <w:p w14:paraId="76B44FED">
                  <w:pPr>
                    <w:jc w:val="left"/>
                    <w:rPr>
                      <w:rFonts w:hint="default" w:ascii="Times New Roman" w:hAnsi="Times New Roman" w:eastAsia="宋体" w:cs="Times New Roman"/>
                      <w:color w:val="auto"/>
                    </w:rPr>
                  </w:pPr>
                </w:p>
              </w:tc>
              <w:tc>
                <w:tcPr>
                  <w:tcW w:w="616" w:type="pct"/>
                  <w:vAlign w:val="center"/>
                </w:tcPr>
                <w:p w14:paraId="42D77B75">
                  <w:pPr>
                    <w:jc w:val="left"/>
                    <w:rPr>
                      <w:rFonts w:hint="default" w:ascii="Times New Roman" w:hAnsi="Times New Roman" w:eastAsia="宋体" w:cs="Times New Roman"/>
                      <w:color w:val="auto"/>
                    </w:rPr>
                  </w:pPr>
                  <w:r>
                    <w:rPr>
                      <w:rFonts w:hint="default" w:ascii="Times New Roman" w:hAnsi="Times New Roman" w:eastAsia="宋体" w:cs="Times New Roman"/>
                      <w:color w:val="auto"/>
                    </w:rPr>
                    <w:t>运行期大气污染防治</w:t>
                  </w:r>
                </w:p>
              </w:tc>
              <w:tc>
                <w:tcPr>
                  <w:tcW w:w="2463" w:type="pct"/>
                  <w:vAlign w:val="center"/>
                </w:tcPr>
                <w:p w14:paraId="59AA07E8">
                  <w:pPr>
                    <w:jc w:val="left"/>
                    <w:rPr>
                      <w:rFonts w:hint="default" w:ascii="Times New Roman" w:hAnsi="Times New Roman" w:eastAsia="宋体" w:cs="Times New Roman"/>
                      <w:color w:val="auto"/>
                    </w:rPr>
                  </w:pPr>
                  <w:r>
                    <w:rPr>
                      <w:rFonts w:hint="default" w:ascii="Times New Roman" w:hAnsi="Times New Roman" w:eastAsia="宋体" w:cs="Times New Roman"/>
                      <w:color w:val="auto"/>
                    </w:rPr>
                    <w:t>优先选择生物技术或物理技术进行病虫害防治，选取低毒低残留农药。</w:t>
                  </w:r>
                </w:p>
              </w:tc>
              <w:tc>
                <w:tcPr>
                  <w:tcW w:w="556" w:type="pct"/>
                  <w:vMerge w:val="continue"/>
                  <w:vAlign w:val="center"/>
                </w:tcPr>
                <w:p w14:paraId="55E7BE4C">
                  <w:pPr>
                    <w:jc w:val="left"/>
                    <w:rPr>
                      <w:rFonts w:hint="default" w:ascii="Times New Roman" w:hAnsi="Times New Roman" w:eastAsia="宋体" w:cs="Times New Roman"/>
                      <w:color w:val="auto"/>
                    </w:rPr>
                  </w:pPr>
                </w:p>
              </w:tc>
              <w:tc>
                <w:tcPr>
                  <w:tcW w:w="1064" w:type="dxa"/>
                  <w:vAlign w:val="center"/>
                </w:tcPr>
                <w:p w14:paraId="1756483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549" w:type="dxa"/>
                  <w:vAlign w:val="center"/>
                </w:tcPr>
                <w:p w14:paraId="617B1B6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新建</w:t>
                  </w:r>
                </w:p>
              </w:tc>
            </w:tr>
            <w:tr w14:paraId="32A7DD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391" w:type="pct"/>
                  <w:vMerge w:val="continue"/>
                  <w:vAlign w:val="center"/>
                </w:tcPr>
                <w:p w14:paraId="29260395">
                  <w:pPr>
                    <w:jc w:val="left"/>
                    <w:rPr>
                      <w:rFonts w:hint="default" w:ascii="Times New Roman" w:hAnsi="Times New Roman" w:eastAsia="宋体" w:cs="Times New Roman"/>
                      <w:color w:val="auto"/>
                    </w:rPr>
                  </w:pPr>
                </w:p>
              </w:tc>
              <w:tc>
                <w:tcPr>
                  <w:tcW w:w="616" w:type="pct"/>
                  <w:vAlign w:val="center"/>
                </w:tcPr>
                <w:p w14:paraId="035F2CC0">
                  <w:pPr>
                    <w:jc w:val="left"/>
                    <w:rPr>
                      <w:rFonts w:hint="default" w:ascii="Times New Roman" w:hAnsi="Times New Roman" w:eastAsia="宋体" w:cs="Times New Roman"/>
                      <w:color w:val="auto"/>
                    </w:rPr>
                  </w:pPr>
                  <w:r>
                    <w:rPr>
                      <w:rFonts w:hint="default" w:ascii="Times New Roman" w:hAnsi="Times New Roman" w:eastAsia="宋体" w:cs="Times New Roman"/>
                      <w:color w:val="auto"/>
                    </w:rPr>
                    <w:t>运行期噪声污染防治</w:t>
                  </w:r>
                </w:p>
              </w:tc>
              <w:tc>
                <w:tcPr>
                  <w:tcW w:w="2463" w:type="pct"/>
                  <w:vAlign w:val="center"/>
                </w:tcPr>
                <w:p w14:paraId="57700559">
                  <w:pPr>
                    <w:jc w:val="left"/>
                    <w:rPr>
                      <w:rFonts w:hint="default" w:ascii="Times New Roman" w:hAnsi="Times New Roman" w:eastAsia="宋体" w:cs="Times New Roman"/>
                      <w:color w:val="auto"/>
                    </w:rPr>
                  </w:pPr>
                  <w:r>
                    <w:rPr>
                      <w:rFonts w:hint="default" w:ascii="Times New Roman" w:hAnsi="Times New Roman" w:eastAsia="宋体" w:cs="Times New Roman"/>
                      <w:color w:val="auto"/>
                    </w:rPr>
                    <w:t>选用先进的低噪设备，设备安装场地平整，注重设备的维保管理。</w:t>
                  </w:r>
                </w:p>
              </w:tc>
              <w:tc>
                <w:tcPr>
                  <w:tcW w:w="556" w:type="pct"/>
                  <w:vMerge w:val="continue"/>
                  <w:vAlign w:val="center"/>
                </w:tcPr>
                <w:p w14:paraId="5F125AF5">
                  <w:pPr>
                    <w:jc w:val="left"/>
                    <w:rPr>
                      <w:rFonts w:hint="default" w:ascii="Times New Roman" w:hAnsi="Times New Roman" w:eastAsia="宋体" w:cs="Times New Roman"/>
                      <w:color w:val="auto"/>
                    </w:rPr>
                  </w:pPr>
                </w:p>
              </w:tc>
              <w:tc>
                <w:tcPr>
                  <w:tcW w:w="1064" w:type="dxa"/>
                  <w:vAlign w:val="center"/>
                </w:tcPr>
                <w:p w14:paraId="7EBB766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549" w:type="dxa"/>
                  <w:vAlign w:val="center"/>
                </w:tcPr>
                <w:p w14:paraId="7D29641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新建</w:t>
                  </w:r>
                </w:p>
              </w:tc>
            </w:tr>
            <w:tr w14:paraId="6CE5B0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391" w:type="pct"/>
                  <w:vMerge w:val="continue"/>
                  <w:vAlign w:val="center"/>
                </w:tcPr>
                <w:p w14:paraId="25778FFE">
                  <w:pPr>
                    <w:jc w:val="left"/>
                    <w:rPr>
                      <w:rFonts w:hint="default" w:ascii="Times New Roman" w:hAnsi="Times New Roman" w:eastAsia="宋体" w:cs="Times New Roman"/>
                      <w:color w:val="auto"/>
                    </w:rPr>
                  </w:pPr>
                </w:p>
              </w:tc>
              <w:tc>
                <w:tcPr>
                  <w:tcW w:w="616" w:type="pct"/>
                  <w:vAlign w:val="center"/>
                </w:tcPr>
                <w:p w14:paraId="4B1E8CCB">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snapToGrid w:val="0"/>
                      <w:color w:val="auto"/>
                      <w:kern w:val="0"/>
                      <w:sz w:val="21"/>
                      <w:szCs w:val="21"/>
                      <w:lang w:val="en-US" w:eastAsia="zh-CN" w:bidi="ar"/>
                    </w:rPr>
                    <w:t>运行期固体废物污染防治</w:t>
                  </w:r>
                </w:p>
              </w:tc>
              <w:tc>
                <w:tcPr>
                  <w:tcW w:w="2463" w:type="pct"/>
                  <w:vAlign w:val="center"/>
                </w:tcPr>
                <w:p w14:paraId="199B8FBC">
                  <w:pPr>
                    <w:jc w:val="left"/>
                    <w:rPr>
                      <w:rFonts w:hint="default" w:ascii="Times New Roman" w:hAnsi="Times New Roman" w:eastAsia="宋体" w:cs="Times New Roman"/>
                      <w:color w:val="auto"/>
                    </w:rPr>
                  </w:pPr>
                  <w:r>
                    <w:rPr>
                      <w:rFonts w:hint="default" w:ascii="Times New Roman" w:hAnsi="Times New Roman" w:eastAsia="宋体" w:cs="Times New Roman"/>
                      <w:color w:val="auto"/>
                    </w:rPr>
                    <w:t>农药废包装容器属于危险废物，结合危险废物豁免管理清单，本次评价按照豁免条件要求该类危废在收集、运输、利用阶段依据</w:t>
                  </w:r>
                  <w:r>
                    <w:rPr>
                      <w:rFonts w:hint="default" w:ascii="Times New Roman" w:hAnsi="Times New Roman" w:eastAsia="宋体" w:cs="Times New Roman"/>
                      <w:color w:val="auto"/>
                    </w:rPr>
                    <w:t>《农药包装废弃物回收处理管理办法》中相关要求进行收集、运输、利用后，上述三个环节均不按危险废物管理，收集后交由厂家资源化利用，项目区内不考虑危废暂存需求。</w:t>
                  </w:r>
                </w:p>
              </w:tc>
              <w:tc>
                <w:tcPr>
                  <w:tcW w:w="556" w:type="pct"/>
                  <w:vMerge w:val="continue"/>
                  <w:vAlign w:val="center"/>
                </w:tcPr>
                <w:p w14:paraId="194E4A83">
                  <w:pPr>
                    <w:jc w:val="left"/>
                    <w:rPr>
                      <w:rFonts w:hint="default" w:ascii="Times New Roman" w:hAnsi="Times New Roman" w:eastAsia="宋体" w:cs="Times New Roman"/>
                      <w:color w:val="auto"/>
                    </w:rPr>
                  </w:pPr>
                </w:p>
              </w:tc>
              <w:tc>
                <w:tcPr>
                  <w:tcW w:w="1064" w:type="dxa"/>
                  <w:vAlign w:val="center"/>
                </w:tcPr>
                <w:p w14:paraId="7151E2D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549" w:type="dxa"/>
                  <w:vAlign w:val="center"/>
                </w:tcPr>
                <w:p w14:paraId="24CD19C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新建</w:t>
                  </w:r>
                </w:p>
              </w:tc>
            </w:tr>
            <w:tr w14:paraId="58C9D0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391" w:type="pct"/>
                  <w:vMerge w:val="continue"/>
                  <w:vAlign w:val="center"/>
                </w:tcPr>
                <w:p w14:paraId="7150576C">
                  <w:pPr>
                    <w:jc w:val="left"/>
                    <w:rPr>
                      <w:rFonts w:hint="default" w:ascii="Times New Roman" w:hAnsi="Times New Roman" w:eastAsia="宋体" w:cs="Times New Roman"/>
                      <w:color w:val="auto"/>
                    </w:rPr>
                  </w:pPr>
                </w:p>
              </w:tc>
              <w:tc>
                <w:tcPr>
                  <w:tcW w:w="616" w:type="pct"/>
                  <w:vAlign w:val="center"/>
                </w:tcPr>
                <w:p w14:paraId="7F3B8B96">
                  <w:pPr>
                    <w:jc w:val="left"/>
                    <w:rPr>
                      <w:rFonts w:hint="default" w:ascii="Times New Roman" w:hAnsi="Times New Roman" w:eastAsia="宋体" w:cs="Times New Roman"/>
                      <w:color w:val="auto"/>
                    </w:rPr>
                  </w:pPr>
                  <w:r>
                    <w:rPr>
                      <w:rFonts w:hint="default" w:ascii="Times New Roman" w:hAnsi="Times New Roman" w:eastAsia="宋体" w:cs="Times New Roman"/>
                      <w:color w:val="auto"/>
                    </w:rPr>
                    <w:t>运行期土壤污染防治</w:t>
                  </w:r>
                </w:p>
              </w:tc>
              <w:tc>
                <w:tcPr>
                  <w:tcW w:w="2463" w:type="pct"/>
                  <w:vAlign w:val="center"/>
                </w:tcPr>
                <w:p w14:paraId="3C3E4C37">
                  <w:pPr>
                    <w:jc w:val="left"/>
                    <w:rPr>
                      <w:rFonts w:hint="default" w:ascii="Times New Roman" w:hAnsi="Times New Roman" w:eastAsia="宋体" w:cs="Times New Roman"/>
                      <w:color w:val="auto"/>
                    </w:rPr>
                  </w:pPr>
                  <w:r>
                    <w:rPr>
                      <w:rFonts w:hint="default" w:ascii="Times New Roman" w:hAnsi="Times New Roman" w:eastAsia="宋体" w:cs="Times New Roman"/>
                      <w:color w:val="auto"/>
                    </w:rPr>
                    <w:t>适时适量合理使用有机肥；科学施肥，避免肥料裸露地表、避免雨水冲刷；实施营养诊断施肥和土地现状区别施肥，并增施微生物有机肥，维护地力平衡；喷洒农药使用雾滴较小的喷头，不在大风、下雨、有露水时喷药；适时适量喷洒农药，选用高效低毒低残留农药，严禁使用剧毒和残留期长的农药，采用人工诱捕、保护天敌、清除病害植株。</w:t>
                  </w:r>
                </w:p>
              </w:tc>
              <w:tc>
                <w:tcPr>
                  <w:tcW w:w="556" w:type="pct"/>
                  <w:vMerge w:val="continue"/>
                  <w:vAlign w:val="center"/>
                </w:tcPr>
                <w:p w14:paraId="6007C2FF">
                  <w:pPr>
                    <w:jc w:val="left"/>
                    <w:rPr>
                      <w:rFonts w:hint="default" w:ascii="Times New Roman" w:hAnsi="Times New Roman" w:eastAsia="宋体" w:cs="Times New Roman"/>
                      <w:color w:val="auto"/>
                    </w:rPr>
                  </w:pPr>
                </w:p>
              </w:tc>
              <w:tc>
                <w:tcPr>
                  <w:tcW w:w="1064" w:type="dxa"/>
                  <w:vAlign w:val="center"/>
                </w:tcPr>
                <w:p w14:paraId="50CBEC3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549" w:type="dxa"/>
                  <w:vAlign w:val="center"/>
                </w:tcPr>
                <w:p w14:paraId="44A853F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新建</w:t>
                  </w:r>
                </w:p>
              </w:tc>
            </w:tr>
            <w:bookmarkEnd w:id="7"/>
          </w:tbl>
          <w:p w14:paraId="798C2341">
            <w:pPr>
              <w:pStyle w:val="19"/>
              <w:ind w:left="0" w:leftChars="0"/>
              <w:rPr>
                <w:rFonts w:hint="default" w:ascii="Times New Roman" w:hAnsi="Times New Roman" w:eastAsia="宋体" w:cs="Times New Roman"/>
                <w:color w:val="auto"/>
              </w:rPr>
            </w:pPr>
          </w:p>
          <w:p w14:paraId="04AFC032">
            <w:pPr>
              <w:spacing w:before="36" w:line="360" w:lineRule="auto"/>
              <w:ind w:firstLine="612"/>
              <w:rPr>
                <w:rFonts w:hint="default" w:ascii="Times New Roman" w:hAnsi="Times New Roman" w:eastAsia="宋体" w:cs="Times New Roman"/>
                <w:b/>
                <w:bCs/>
                <w:color w:val="auto"/>
                <w:spacing w:val="-7"/>
                <w:sz w:val="24"/>
                <w:szCs w:val="24"/>
              </w:rPr>
            </w:pPr>
            <w:r>
              <w:rPr>
                <w:rFonts w:hint="default" w:ascii="Times New Roman" w:hAnsi="Times New Roman" w:eastAsia="宋体" w:cs="Times New Roman"/>
                <w:b/>
                <w:bCs/>
                <w:color w:val="auto"/>
                <w:spacing w:val="-7"/>
                <w:sz w:val="24"/>
                <w:szCs w:val="24"/>
              </w:rPr>
              <w:t>4、主要经济技术指标</w:t>
            </w:r>
          </w:p>
          <w:p w14:paraId="22AE8D6E">
            <w:pPr>
              <w:spacing w:before="61"/>
              <w:ind w:firstLine="2561"/>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表2-2  主要技术经济指标一览表</w:t>
            </w:r>
          </w:p>
          <w:tbl>
            <w:tblPr>
              <w:tblStyle w:val="32"/>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
            <w:tblGrid>
              <w:gridCol w:w="948"/>
              <w:gridCol w:w="2190"/>
              <w:gridCol w:w="2034"/>
              <w:gridCol w:w="3122"/>
            </w:tblGrid>
            <w:tr w14:paraId="6E251E7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blHeader/>
                <w:jc w:val="center"/>
              </w:trPr>
              <w:tc>
                <w:tcPr>
                  <w:tcW w:w="572" w:type="pct"/>
                  <w:tcBorders>
                    <w:tl2br w:val="nil"/>
                    <w:tr2bl w:val="nil"/>
                  </w:tcBorders>
                  <w:vAlign w:val="center"/>
                </w:tcPr>
                <w:p w14:paraId="5264E936">
                  <w:pPr>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序号</w:t>
                  </w:r>
                </w:p>
              </w:tc>
              <w:tc>
                <w:tcPr>
                  <w:tcW w:w="1320" w:type="pct"/>
                  <w:tcBorders>
                    <w:tl2br w:val="nil"/>
                    <w:tr2bl w:val="nil"/>
                  </w:tcBorders>
                  <w:vAlign w:val="center"/>
                </w:tcPr>
                <w:p w14:paraId="7407E03F">
                  <w:pPr>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名称</w:t>
                  </w:r>
                </w:p>
              </w:tc>
              <w:tc>
                <w:tcPr>
                  <w:tcW w:w="1226" w:type="pct"/>
                  <w:tcBorders>
                    <w:tl2br w:val="nil"/>
                    <w:tr2bl w:val="nil"/>
                  </w:tcBorders>
                  <w:vAlign w:val="center"/>
                </w:tcPr>
                <w:p w14:paraId="2C5F3015">
                  <w:pPr>
                    <w:pStyle w:val="53"/>
                    <w:spacing w:before="72" w:after="48" w:line="240" w:lineRule="auto"/>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单位</w:t>
                  </w:r>
                </w:p>
              </w:tc>
              <w:tc>
                <w:tcPr>
                  <w:tcW w:w="1880" w:type="pct"/>
                  <w:tcBorders>
                    <w:tl2br w:val="nil"/>
                    <w:tr2bl w:val="nil"/>
                  </w:tcBorders>
                  <w:vAlign w:val="center"/>
                </w:tcPr>
                <w:p w14:paraId="7BAAC75C">
                  <w:pPr>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数量</w:t>
                  </w:r>
                </w:p>
              </w:tc>
            </w:tr>
            <w:tr w14:paraId="7E488EB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jc w:val="center"/>
              </w:trPr>
              <w:tc>
                <w:tcPr>
                  <w:tcW w:w="5000" w:type="pct"/>
                  <w:gridSpan w:val="4"/>
                  <w:tcBorders>
                    <w:tl2br w:val="nil"/>
                    <w:tr2bl w:val="nil"/>
                  </w:tcBorders>
                  <w:vAlign w:val="center"/>
                </w:tcPr>
                <w:p w14:paraId="478781E7">
                  <w:pPr>
                    <w:jc w:val="center"/>
                    <w:rPr>
                      <w:rFonts w:hint="default" w:ascii="Times New Roman" w:hAnsi="Times New Roman" w:eastAsia="宋体" w:cs="Times New Roman"/>
                      <w:color w:val="auto"/>
                    </w:rPr>
                  </w:pPr>
                  <w:r>
                    <w:rPr>
                      <w:rFonts w:hint="default" w:ascii="Times New Roman" w:hAnsi="Times New Roman" w:eastAsia="宋体" w:cs="Times New Roman"/>
                      <w:b/>
                      <w:bCs/>
                      <w:color w:val="auto"/>
                    </w:rPr>
                    <w:t>营造林工程</w:t>
                  </w:r>
                </w:p>
              </w:tc>
            </w:tr>
            <w:tr w14:paraId="41C7AC8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jc w:val="center"/>
              </w:trPr>
              <w:tc>
                <w:tcPr>
                  <w:tcW w:w="572" w:type="pct"/>
                  <w:tcBorders>
                    <w:tl2br w:val="nil"/>
                    <w:tr2bl w:val="nil"/>
                  </w:tcBorders>
                  <w:vAlign w:val="center"/>
                </w:tcPr>
                <w:p w14:paraId="66F0180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w:t>
                  </w:r>
                </w:p>
              </w:tc>
              <w:tc>
                <w:tcPr>
                  <w:tcW w:w="1320" w:type="pct"/>
                  <w:tcBorders>
                    <w:tl2br w:val="nil"/>
                    <w:tr2bl w:val="nil"/>
                  </w:tcBorders>
                  <w:vAlign w:val="center"/>
                </w:tcPr>
                <w:p w14:paraId="2E8DEE20">
                  <w:pPr>
                    <w:pStyle w:val="60"/>
                    <w:spacing w:before="0" w:line="240" w:lineRule="auto"/>
                    <w:ind w:left="420" w:hanging="42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人工林集约栽培</w:t>
                  </w:r>
                </w:p>
              </w:tc>
              <w:tc>
                <w:tcPr>
                  <w:tcW w:w="1226" w:type="pct"/>
                  <w:tcBorders>
                    <w:tl2br w:val="nil"/>
                    <w:tr2bl w:val="nil"/>
                  </w:tcBorders>
                  <w:vAlign w:val="center"/>
                </w:tcPr>
                <w:p w14:paraId="697C1A99">
                  <w:pPr>
                    <w:pStyle w:val="53"/>
                    <w:spacing w:before="72" w:after="48"/>
                    <w:rPr>
                      <w:rFonts w:hint="default" w:ascii="Times New Roman" w:hAnsi="Times New Roman" w:eastAsia="宋体" w:cs="Times New Roman"/>
                      <w:color w:val="auto"/>
                    </w:rPr>
                  </w:pPr>
                  <w:r>
                    <w:rPr>
                      <w:rFonts w:hint="default" w:ascii="Times New Roman" w:hAnsi="Times New Roman" w:eastAsia="宋体" w:cs="Times New Roman"/>
                      <w:color w:val="auto"/>
                    </w:rPr>
                    <w:t>亩</w:t>
                  </w:r>
                </w:p>
              </w:tc>
              <w:tc>
                <w:tcPr>
                  <w:tcW w:w="1880" w:type="pct"/>
                  <w:tcBorders>
                    <w:tl2br w:val="nil"/>
                    <w:tr2bl w:val="nil"/>
                  </w:tcBorders>
                  <w:vAlign w:val="center"/>
                </w:tcPr>
                <w:p w14:paraId="54C101C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20300</w:t>
                  </w:r>
                </w:p>
              </w:tc>
            </w:tr>
            <w:tr w14:paraId="38C3D2F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52" w:hRule="atLeast"/>
                <w:jc w:val="center"/>
              </w:trPr>
              <w:tc>
                <w:tcPr>
                  <w:tcW w:w="1892" w:type="pct"/>
                  <w:gridSpan w:val="2"/>
                  <w:tcBorders>
                    <w:tl2br w:val="nil"/>
                    <w:tr2bl w:val="nil"/>
                  </w:tcBorders>
                  <w:vAlign w:val="center"/>
                </w:tcPr>
                <w:p w14:paraId="0204ECD8">
                  <w:pPr>
                    <w:pStyle w:val="60"/>
                    <w:spacing w:before="0" w:line="240" w:lineRule="auto"/>
                    <w:ind w:left="420" w:hanging="42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黄柏</w:t>
                  </w:r>
                </w:p>
              </w:tc>
              <w:tc>
                <w:tcPr>
                  <w:tcW w:w="1226" w:type="pct"/>
                  <w:tcBorders>
                    <w:tl2br w:val="nil"/>
                    <w:tr2bl w:val="nil"/>
                  </w:tcBorders>
                  <w:vAlign w:val="center"/>
                </w:tcPr>
                <w:p w14:paraId="0BCFAFEC">
                  <w:pPr>
                    <w:pStyle w:val="53"/>
                    <w:spacing w:before="72" w:after="48"/>
                    <w:rPr>
                      <w:rFonts w:hint="default" w:ascii="Times New Roman" w:hAnsi="Times New Roman" w:eastAsia="宋体" w:cs="Times New Roman"/>
                      <w:color w:val="auto"/>
                    </w:rPr>
                  </w:pPr>
                  <w:r>
                    <w:rPr>
                      <w:rFonts w:hint="default" w:ascii="Times New Roman" w:hAnsi="Times New Roman" w:eastAsia="宋体" w:cs="Times New Roman"/>
                      <w:color w:val="auto"/>
                    </w:rPr>
                    <w:t>亩</w:t>
                  </w:r>
                </w:p>
              </w:tc>
              <w:tc>
                <w:tcPr>
                  <w:tcW w:w="1880" w:type="pct"/>
                  <w:tcBorders>
                    <w:tl2br w:val="nil"/>
                    <w:tr2bl w:val="nil"/>
                  </w:tcBorders>
                  <w:vAlign w:val="center"/>
                </w:tcPr>
                <w:p w14:paraId="1B1A865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10000</w:t>
                  </w:r>
                </w:p>
              </w:tc>
            </w:tr>
            <w:tr w14:paraId="219EC62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57" w:hRule="atLeast"/>
                <w:jc w:val="center"/>
              </w:trPr>
              <w:tc>
                <w:tcPr>
                  <w:tcW w:w="1892" w:type="pct"/>
                  <w:gridSpan w:val="2"/>
                  <w:tcBorders>
                    <w:tl2br w:val="nil"/>
                    <w:tr2bl w:val="nil"/>
                  </w:tcBorders>
                  <w:vAlign w:val="center"/>
                </w:tcPr>
                <w:p w14:paraId="486911C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珍稀林木集约栽培</w:t>
                  </w:r>
                </w:p>
              </w:tc>
              <w:tc>
                <w:tcPr>
                  <w:tcW w:w="1226" w:type="pct"/>
                  <w:tcBorders>
                    <w:tl2br w:val="nil"/>
                    <w:tr2bl w:val="nil"/>
                  </w:tcBorders>
                  <w:vAlign w:val="center"/>
                </w:tcPr>
                <w:p w14:paraId="2EBE07F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亩</w:t>
                  </w:r>
                </w:p>
              </w:tc>
              <w:tc>
                <w:tcPr>
                  <w:tcW w:w="1880" w:type="pct"/>
                  <w:tcBorders>
                    <w:tl2br w:val="nil"/>
                    <w:tr2bl w:val="nil"/>
                  </w:tcBorders>
                  <w:vAlign w:val="center"/>
                </w:tcPr>
                <w:p w14:paraId="1C1E091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8000</w:t>
                  </w:r>
                </w:p>
              </w:tc>
            </w:tr>
            <w:tr w14:paraId="13DA955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70" w:hRule="atLeast"/>
                <w:jc w:val="center"/>
              </w:trPr>
              <w:tc>
                <w:tcPr>
                  <w:tcW w:w="1892" w:type="pct"/>
                  <w:gridSpan w:val="2"/>
                  <w:tcBorders>
                    <w:tl2br w:val="nil"/>
                    <w:tr2bl w:val="nil"/>
                  </w:tcBorders>
                  <w:vAlign w:val="center"/>
                </w:tcPr>
                <w:p w14:paraId="413B3C1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特色苗木培育基地</w:t>
                  </w:r>
                </w:p>
              </w:tc>
              <w:tc>
                <w:tcPr>
                  <w:tcW w:w="1226" w:type="pct"/>
                  <w:tcBorders>
                    <w:tl2br w:val="nil"/>
                    <w:tr2bl w:val="nil"/>
                  </w:tcBorders>
                  <w:vAlign w:val="center"/>
                </w:tcPr>
                <w:p w14:paraId="4A0737F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亩</w:t>
                  </w:r>
                </w:p>
              </w:tc>
              <w:tc>
                <w:tcPr>
                  <w:tcW w:w="1880" w:type="pct"/>
                  <w:tcBorders>
                    <w:tl2br w:val="nil"/>
                    <w:tr2bl w:val="nil"/>
                  </w:tcBorders>
                  <w:vAlign w:val="center"/>
                </w:tcPr>
                <w:p w14:paraId="2455B95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2300</w:t>
                  </w:r>
                </w:p>
              </w:tc>
            </w:tr>
            <w:tr w14:paraId="2E35A13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jc w:val="center"/>
              </w:trPr>
              <w:tc>
                <w:tcPr>
                  <w:tcW w:w="572" w:type="pct"/>
                  <w:tcBorders>
                    <w:tl2br w:val="nil"/>
                    <w:tr2bl w:val="nil"/>
                  </w:tcBorders>
                  <w:vAlign w:val="center"/>
                </w:tcPr>
                <w:p w14:paraId="6179068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w:t>
                  </w:r>
                </w:p>
              </w:tc>
              <w:tc>
                <w:tcPr>
                  <w:tcW w:w="1320" w:type="pct"/>
                  <w:tcBorders>
                    <w:tl2br w:val="nil"/>
                    <w:tr2bl w:val="nil"/>
                  </w:tcBorders>
                  <w:vAlign w:val="center"/>
                </w:tcPr>
                <w:p w14:paraId="4C165A69">
                  <w:pPr>
                    <w:pStyle w:val="60"/>
                    <w:spacing w:before="0" w:line="240" w:lineRule="auto"/>
                    <w:ind w:left="420" w:hanging="42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中幼林抚育</w:t>
                  </w:r>
                </w:p>
              </w:tc>
              <w:tc>
                <w:tcPr>
                  <w:tcW w:w="1226" w:type="pct"/>
                  <w:tcBorders>
                    <w:tl2br w:val="nil"/>
                    <w:tr2bl w:val="nil"/>
                  </w:tcBorders>
                  <w:vAlign w:val="center"/>
                </w:tcPr>
                <w:p w14:paraId="536C5414">
                  <w:pPr>
                    <w:pStyle w:val="53"/>
                    <w:spacing w:before="72" w:after="48"/>
                    <w:rPr>
                      <w:rFonts w:hint="default" w:ascii="Times New Roman" w:hAnsi="Times New Roman" w:eastAsia="宋体" w:cs="Times New Roman"/>
                      <w:color w:val="auto"/>
                    </w:rPr>
                  </w:pPr>
                  <w:r>
                    <w:rPr>
                      <w:rFonts w:hint="default" w:ascii="Times New Roman" w:hAnsi="Times New Roman" w:eastAsia="宋体" w:cs="Times New Roman"/>
                      <w:color w:val="auto"/>
                    </w:rPr>
                    <w:t>亩</w:t>
                  </w:r>
                </w:p>
              </w:tc>
              <w:tc>
                <w:tcPr>
                  <w:tcW w:w="1880" w:type="pct"/>
                  <w:tcBorders>
                    <w:tl2br w:val="nil"/>
                    <w:tr2bl w:val="nil"/>
                  </w:tcBorders>
                  <w:vAlign w:val="center"/>
                </w:tcPr>
                <w:p w14:paraId="382F906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81000</w:t>
                  </w:r>
                </w:p>
              </w:tc>
            </w:tr>
            <w:tr w14:paraId="7AA4B2F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jc w:val="center"/>
              </w:trPr>
              <w:tc>
                <w:tcPr>
                  <w:tcW w:w="572" w:type="pct"/>
                  <w:tcBorders>
                    <w:tl2br w:val="nil"/>
                    <w:tr2bl w:val="nil"/>
                  </w:tcBorders>
                  <w:vAlign w:val="center"/>
                </w:tcPr>
                <w:p w14:paraId="2BFB713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w:t>
                  </w:r>
                </w:p>
              </w:tc>
              <w:tc>
                <w:tcPr>
                  <w:tcW w:w="1320" w:type="pct"/>
                  <w:tcBorders>
                    <w:tl2br w:val="nil"/>
                    <w:tr2bl w:val="nil"/>
                  </w:tcBorders>
                  <w:vAlign w:val="center"/>
                </w:tcPr>
                <w:p w14:paraId="15674D0A">
                  <w:pPr>
                    <w:pStyle w:val="60"/>
                    <w:spacing w:before="0" w:line="240" w:lineRule="auto"/>
                    <w:ind w:left="420" w:hanging="42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现有林改培</w:t>
                  </w:r>
                </w:p>
              </w:tc>
              <w:tc>
                <w:tcPr>
                  <w:tcW w:w="1226" w:type="pct"/>
                  <w:tcBorders>
                    <w:tl2br w:val="nil"/>
                    <w:tr2bl w:val="nil"/>
                  </w:tcBorders>
                  <w:vAlign w:val="center"/>
                </w:tcPr>
                <w:p w14:paraId="11E79EF8">
                  <w:pPr>
                    <w:pStyle w:val="53"/>
                    <w:spacing w:before="72" w:after="48"/>
                    <w:rPr>
                      <w:rFonts w:hint="default" w:ascii="Times New Roman" w:hAnsi="Times New Roman" w:eastAsia="宋体" w:cs="Times New Roman"/>
                      <w:color w:val="auto"/>
                    </w:rPr>
                  </w:pPr>
                  <w:r>
                    <w:rPr>
                      <w:rFonts w:hint="default" w:ascii="Times New Roman" w:hAnsi="Times New Roman" w:eastAsia="宋体" w:cs="Times New Roman"/>
                      <w:color w:val="auto"/>
                    </w:rPr>
                    <w:t>亩</w:t>
                  </w:r>
                </w:p>
              </w:tc>
              <w:tc>
                <w:tcPr>
                  <w:tcW w:w="1880" w:type="pct"/>
                  <w:tcBorders>
                    <w:tl2br w:val="nil"/>
                    <w:tr2bl w:val="nil"/>
                  </w:tcBorders>
                  <w:vAlign w:val="center"/>
                </w:tcPr>
                <w:p w14:paraId="6A39A56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11000</w:t>
                  </w:r>
                </w:p>
              </w:tc>
            </w:tr>
            <w:tr w14:paraId="24A5096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jc w:val="center"/>
              </w:trPr>
              <w:tc>
                <w:tcPr>
                  <w:tcW w:w="5000" w:type="pct"/>
                  <w:gridSpan w:val="4"/>
                  <w:tcBorders>
                    <w:tl2br w:val="nil"/>
                    <w:tr2bl w:val="nil"/>
                  </w:tcBorders>
                  <w:vAlign w:val="center"/>
                </w:tcPr>
                <w:p w14:paraId="32D44E0D">
                  <w:pPr>
                    <w:jc w:val="center"/>
                    <w:rPr>
                      <w:rFonts w:hint="default" w:ascii="Times New Roman" w:hAnsi="Times New Roman" w:eastAsia="宋体" w:cs="Times New Roman"/>
                      <w:color w:val="auto"/>
                    </w:rPr>
                  </w:pPr>
                  <w:r>
                    <w:rPr>
                      <w:rFonts w:hint="default" w:ascii="Times New Roman" w:hAnsi="Times New Roman" w:eastAsia="宋体" w:cs="Times New Roman"/>
                      <w:b/>
                      <w:bCs/>
                      <w:color w:val="auto"/>
                    </w:rPr>
                    <w:t>林下经济及经济林</w:t>
                  </w:r>
                </w:p>
              </w:tc>
            </w:tr>
            <w:tr w14:paraId="17D5957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jc w:val="center"/>
              </w:trPr>
              <w:tc>
                <w:tcPr>
                  <w:tcW w:w="572" w:type="pct"/>
                  <w:tcBorders>
                    <w:tl2br w:val="nil"/>
                    <w:tr2bl w:val="nil"/>
                  </w:tcBorders>
                  <w:vAlign w:val="center"/>
                </w:tcPr>
                <w:p w14:paraId="544D12D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4</w:t>
                  </w:r>
                </w:p>
              </w:tc>
              <w:tc>
                <w:tcPr>
                  <w:tcW w:w="1320" w:type="pct"/>
                  <w:tcBorders>
                    <w:tl2br w:val="nil"/>
                    <w:tr2bl w:val="nil"/>
                  </w:tcBorders>
                  <w:vAlign w:val="center"/>
                </w:tcPr>
                <w:p w14:paraId="5E59D27A">
                  <w:pPr>
                    <w:pStyle w:val="60"/>
                    <w:spacing w:before="0" w:line="240" w:lineRule="auto"/>
                    <w:ind w:left="420" w:hanging="42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林下经济</w:t>
                  </w:r>
                </w:p>
              </w:tc>
              <w:tc>
                <w:tcPr>
                  <w:tcW w:w="1226" w:type="pct"/>
                  <w:tcBorders>
                    <w:tl2br w:val="nil"/>
                    <w:tr2bl w:val="nil"/>
                  </w:tcBorders>
                  <w:vAlign w:val="center"/>
                </w:tcPr>
                <w:p w14:paraId="30C469B8">
                  <w:pPr>
                    <w:pStyle w:val="53"/>
                    <w:spacing w:before="72" w:after="48"/>
                    <w:rPr>
                      <w:rFonts w:hint="default" w:ascii="Times New Roman" w:hAnsi="Times New Roman" w:eastAsia="宋体" w:cs="Times New Roman"/>
                      <w:color w:val="auto"/>
                    </w:rPr>
                  </w:pPr>
                  <w:r>
                    <w:rPr>
                      <w:rFonts w:hint="default" w:ascii="Times New Roman" w:hAnsi="Times New Roman" w:eastAsia="宋体" w:cs="Times New Roman"/>
                      <w:color w:val="auto"/>
                    </w:rPr>
                    <w:t>亩</w:t>
                  </w:r>
                </w:p>
              </w:tc>
              <w:tc>
                <w:tcPr>
                  <w:tcW w:w="1880" w:type="pct"/>
                  <w:tcBorders>
                    <w:tl2br w:val="nil"/>
                    <w:tr2bl w:val="nil"/>
                  </w:tcBorders>
                  <w:vAlign w:val="center"/>
                </w:tcPr>
                <w:p w14:paraId="3D3F0B4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7000</w:t>
                  </w:r>
                </w:p>
              </w:tc>
            </w:tr>
            <w:tr w14:paraId="2F6E0B7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403" w:hRule="atLeast"/>
                <w:jc w:val="center"/>
              </w:trPr>
              <w:tc>
                <w:tcPr>
                  <w:tcW w:w="1892" w:type="pct"/>
                  <w:gridSpan w:val="2"/>
                  <w:tcBorders>
                    <w:tl2br w:val="nil"/>
                    <w:tr2bl w:val="nil"/>
                  </w:tcBorders>
                  <w:vAlign w:val="center"/>
                </w:tcPr>
                <w:p w14:paraId="5B38EBB5">
                  <w:pPr>
                    <w:pStyle w:val="60"/>
                    <w:spacing w:before="0" w:line="240" w:lineRule="auto"/>
                    <w:ind w:left="420" w:hanging="42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林下种菌</w:t>
                  </w:r>
                </w:p>
              </w:tc>
              <w:tc>
                <w:tcPr>
                  <w:tcW w:w="1226" w:type="pct"/>
                  <w:tcBorders>
                    <w:tl2br w:val="nil"/>
                    <w:tr2bl w:val="nil"/>
                  </w:tcBorders>
                  <w:vAlign w:val="center"/>
                </w:tcPr>
                <w:p w14:paraId="7349DFBB">
                  <w:pPr>
                    <w:pStyle w:val="53"/>
                    <w:spacing w:before="72" w:after="48"/>
                    <w:rPr>
                      <w:rFonts w:hint="default" w:ascii="Times New Roman" w:hAnsi="Times New Roman" w:eastAsia="宋体" w:cs="Times New Roman"/>
                      <w:color w:val="auto"/>
                    </w:rPr>
                  </w:pPr>
                  <w:r>
                    <w:rPr>
                      <w:rFonts w:hint="default" w:ascii="Times New Roman" w:hAnsi="Times New Roman" w:eastAsia="宋体" w:cs="Times New Roman"/>
                      <w:color w:val="auto"/>
                    </w:rPr>
                    <w:t>亩</w:t>
                  </w:r>
                </w:p>
              </w:tc>
              <w:tc>
                <w:tcPr>
                  <w:tcW w:w="1880" w:type="pct"/>
                  <w:tcBorders>
                    <w:tl2br w:val="nil"/>
                    <w:tr2bl w:val="nil"/>
                  </w:tcBorders>
                  <w:vAlign w:val="center"/>
                </w:tcPr>
                <w:p w14:paraId="7B5A7F2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3000</w:t>
                  </w:r>
                </w:p>
              </w:tc>
            </w:tr>
            <w:tr w14:paraId="15AC8DD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51" w:hRule="atLeast"/>
                <w:jc w:val="center"/>
              </w:trPr>
              <w:tc>
                <w:tcPr>
                  <w:tcW w:w="1892" w:type="pct"/>
                  <w:gridSpan w:val="2"/>
                  <w:tcBorders>
                    <w:tl2br w:val="nil"/>
                    <w:tr2bl w:val="nil"/>
                  </w:tcBorders>
                  <w:vAlign w:val="center"/>
                </w:tcPr>
                <w:p w14:paraId="12CD85D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林下中药材</w:t>
                  </w:r>
                </w:p>
              </w:tc>
              <w:tc>
                <w:tcPr>
                  <w:tcW w:w="1226" w:type="pct"/>
                  <w:tcBorders>
                    <w:tl2br w:val="nil"/>
                    <w:tr2bl w:val="nil"/>
                  </w:tcBorders>
                  <w:vAlign w:val="center"/>
                </w:tcPr>
                <w:p w14:paraId="433A970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亩</w:t>
                  </w:r>
                </w:p>
              </w:tc>
              <w:tc>
                <w:tcPr>
                  <w:tcW w:w="1880" w:type="pct"/>
                  <w:tcBorders>
                    <w:tl2br w:val="nil"/>
                    <w:tr2bl w:val="nil"/>
                  </w:tcBorders>
                  <w:vAlign w:val="center"/>
                </w:tcPr>
                <w:p w14:paraId="5D56AD4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3000</w:t>
                  </w:r>
                </w:p>
              </w:tc>
            </w:tr>
            <w:tr w14:paraId="51D8D22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26" w:hRule="atLeast"/>
                <w:jc w:val="center"/>
              </w:trPr>
              <w:tc>
                <w:tcPr>
                  <w:tcW w:w="1892" w:type="pct"/>
                  <w:gridSpan w:val="2"/>
                  <w:tcBorders>
                    <w:tl2br w:val="nil"/>
                    <w:tr2bl w:val="nil"/>
                  </w:tcBorders>
                  <w:vAlign w:val="center"/>
                </w:tcPr>
                <w:p w14:paraId="543885F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林下花卉</w:t>
                  </w:r>
                </w:p>
              </w:tc>
              <w:tc>
                <w:tcPr>
                  <w:tcW w:w="1226" w:type="pct"/>
                  <w:tcBorders>
                    <w:tl2br w:val="nil"/>
                    <w:tr2bl w:val="nil"/>
                  </w:tcBorders>
                  <w:vAlign w:val="center"/>
                </w:tcPr>
                <w:p w14:paraId="64984C2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亩</w:t>
                  </w:r>
                </w:p>
              </w:tc>
              <w:tc>
                <w:tcPr>
                  <w:tcW w:w="1880" w:type="pct"/>
                  <w:tcBorders>
                    <w:tl2br w:val="nil"/>
                    <w:tr2bl w:val="nil"/>
                  </w:tcBorders>
                  <w:vAlign w:val="center"/>
                </w:tcPr>
                <w:p w14:paraId="55D85F7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1000</w:t>
                  </w:r>
                </w:p>
              </w:tc>
            </w:tr>
            <w:tr w14:paraId="59D0C34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jc w:val="center"/>
              </w:trPr>
              <w:tc>
                <w:tcPr>
                  <w:tcW w:w="572" w:type="pct"/>
                  <w:tcBorders>
                    <w:tl2br w:val="nil"/>
                    <w:tr2bl w:val="nil"/>
                  </w:tcBorders>
                  <w:vAlign w:val="center"/>
                </w:tcPr>
                <w:p w14:paraId="578EF41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5</w:t>
                  </w:r>
                </w:p>
              </w:tc>
              <w:tc>
                <w:tcPr>
                  <w:tcW w:w="1320" w:type="pct"/>
                  <w:tcBorders>
                    <w:tl2br w:val="nil"/>
                    <w:tr2bl w:val="nil"/>
                  </w:tcBorders>
                  <w:vAlign w:val="center"/>
                </w:tcPr>
                <w:p w14:paraId="1B516073">
                  <w:pPr>
                    <w:pStyle w:val="60"/>
                    <w:spacing w:before="0" w:line="240" w:lineRule="auto"/>
                    <w:ind w:left="420" w:hanging="42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特色经济林</w:t>
                  </w:r>
                </w:p>
              </w:tc>
              <w:tc>
                <w:tcPr>
                  <w:tcW w:w="1226" w:type="pct"/>
                  <w:tcBorders>
                    <w:tl2br w:val="nil"/>
                    <w:tr2bl w:val="nil"/>
                  </w:tcBorders>
                  <w:vAlign w:val="center"/>
                </w:tcPr>
                <w:p w14:paraId="6F027DE5">
                  <w:pPr>
                    <w:pStyle w:val="53"/>
                    <w:spacing w:before="72" w:after="48"/>
                    <w:rPr>
                      <w:rFonts w:hint="default" w:ascii="Times New Roman" w:hAnsi="Times New Roman" w:eastAsia="宋体" w:cs="Times New Roman"/>
                      <w:color w:val="auto"/>
                    </w:rPr>
                  </w:pPr>
                  <w:r>
                    <w:rPr>
                      <w:rFonts w:hint="default" w:ascii="Times New Roman" w:hAnsi="Times New Roman" w:eastAsia="宋体" w:cs="Times New Roman"/>
                      <w:color w:val="auto"/>
                    </w:rPr>
                    <w:t>亩</w:t>
                  </w:r>
                </w:p>
              </w:tc>
              <w:tc>
                <w:tcPr>
                  <w:tcW w:w="1880" w:type="pct"/>
                  <w:tcBorders>
                    <w:tl2br w:val="nil"/>
                    <w:tr2bl w:val="nil"/>
                  </w:tcBorders>
                  <w:vAlign w:val="center"/>
                </w:tcPr>
                <w:p w14:paraId="79AEAD3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2200</w:t>
                  </w:r>
                </w:p>
              </w:tc>
            </w:tr>
            <w:tr w14:paraId="59B13BF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jc w:val="center"/>
              </w:trPr>
              <w:tc>
                <w:tcPr>
                  <w:tcW w:w="5000" w:type="pct"/>
                  <w:gridSpan w:val="4"/>
                  <w:tcBorders>
                    <w:tl2br w:val="nil"/>
                    <w:tr2bl w:val="nil"/>
                  </w:tcBorders>
                  <w:vAlign w:val="center"/>
                </w:tcPr>
                <w:p w14:paraId="126F5269">
                  <w:pPr>
                    <w:jc w:val="center"/>
                    <w:rPr>
                      <w:rFonts w:hint="default" w:ascii="Times New Roman" w:hAnsi="Times New Roman" w:eastAsia="宋体" w:cs="Times New Roman"/>
                      <w:color w:val="auto"/>
                    </w:rPr>
                  </w:pPr>
                  <w:r>
                    <w:rPr>
                      <w:rFonts w:hint="default" w:ascii="Times New Roman" w:hAnsi="Times New Roman" w:eastAsia="宋体" w:cs="Times New Roman"/>
                      <w:b/>
                      <w:bCs/>
                      <w:color w:val="auto"/>
                    </w:rPr>
                    <w:t>支撑体系建设</w:t>
                  </w:r>
                </w:p>
              </w:tc>
            </w:tr>
            <w:tr w14:paraId="5891A1E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jc w:val="center"/>
              </w:trPr>
              <w:tc>
                <w:tcPr>
                  <w:tcW w:w="572" w:type="pct"/>
                  <w:tcBorders>
                    <w:tl2br w:val="nil"/>
                    <w:tr2bl w:val="nil"/>
                  </w:tcBorders>
                  <w:vAlign w:val="center"/>
                </w:tcPr>
                <w:p w14:paraId="017F92E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6</w:t>
                  </w:r>
                </w:p>
              </w:tc>
              <w:tc>
                <w:tcPr>
                  <w:tcW w:w="1320" w:type="pct"/>
                  <w:tcBorders>
                    <w:tl2br w:val="nil"/>
                    <w:tr2bl w:val="nil"/>
                  </w:tcBorders>
                  <w:vAlign w:val="center"/>
                </w:tcPr>
                <w:p w14:paraId="6B5CC5F4">
                  <w:pPr>
                    <w:pStyle w:val="60"/>
                    <w:spacing w:before="0" w:line="240" w:lineRule="auto"/>
                    <w:ind w:left="420" w:hanging="42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道路</w:t>
                  </w:r>
                </w:p>
              </w:tc>
              <w:tc>
                <w:tcPr>
                  <w:tcW w:w="1226" w:type="pct"/>
                  <w:tcBorders>
                    <w:tl2br w:val="nil"/>
                    <w:tr2bl w:val="nil"/>
                  </w:tcBorders>
                  <w:vAlign w:val="center"/>
                </w:tcPr>
                <w:p w14:paraId="5589F73A">
                  <w:pPr>
                    <w:pStyle w:val="53"/>
                    <w:spacing w:before="72" w:after="48"/>
                    <w:rPr>
                      <w:rFonts w:hint="default" w:ascii="Times New Roman" w:hAnsi="Times New Roman" w:eastAsia="宋体" w:cs="Times New Roman"/>
                      <w:color w:val="auto"/>
                    </w:rPr>
                  </w:pPr>
                  <w:r>
                    <w:rPr>
                      <w:rFonts w:hint="default" w:ascii="Times New Roman" w:hAnsi="Times New Roman" w:eastAsia="宋体" w:cs="Times New Roman"/>
                      <w:color w:val="auto"/>
                    </w:rPr>
                    <w:t>公里</w:t>
                  </w:r>
                </w:p>
              </w:tc>
              <w:tc>
                <w:tcPr>
                  <w:tcW w:w="1880" w:type="pct"/>
                  <w:tcBorders>
                    <w:tl2br w:val="nil"/>
                    <w:tr2bl w:val="nil"/>
                  </w:tcBorders>
                  <w:vAlign w:val="center"/>
                </w:tcPr>
                <w:p w14:paraId="57AB88C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4.272</w:t>
                  </w:r>
                </w:p>
              </w:tc>
            </w:tr>
            <w:tr w14:paraId="6FDC3BB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jc w:val="center"/>
              </w:trPr>
              <w:tc>
                <w:tcPr>
                  <w:tcW w:w="1892" w:type="pct"/>
                  <w:gridSpan w:val="2"/>
                  <w:tcBorders>
                    <w:tl2br w:val="nil"/>
                    <w:tr2bl w:val="nil"/>
                  </w:tcBorders>
                  <w:vAlign w:val="center"/>
                </w:tcPr>
                <w:p w14:paraId="2AAA5D89">
                  <w:pPr>
                    <w:pStyle w:val="60"/>
                    <w:spacing w:before="0" w:line="240" w:lineRule="auto"/>
                    <w:ind w:left="420" w:hanging="42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林区防火道路</w:t>
                  </w:r>
                </w:p>
              </w:tc>
              <w:tc>
                <w:tcPr>
                  <w:tcW w:w="1226" w:type="pct"/>
                  <w:tcBorders>
                    <w:tl2br w:val="nil"/>
                    <w:tr2bl w:val="nil"/>
                  </w:tcBorders>
                  <w:vAlign w:val="center"/>
                </w:tcPr>
                <w:p w14:paraId="56E5EF26">
                  <w:pPr>
                    <w:pStyle w:val="53"/>
                    <w:spacing w:before="72" w:after="48"/>
                    <w:rPr>
                      <w:rFonts w:hint="default" w:ascii="Times New Roman" w:hAnsi="Times New Roman" w:eastAsia="宋体" w:cs="Times New Roman"/>
                      <w:color w:val="auto"/>
                    </w:rPr>
                  </w:pPr>
                  <w:r>
                    <w:rPr>
                      <w:rFonts w:hint="default" w:ascii="Times New Roman" w:hAnsi="Times New Roman" w:eastAsia="宋体" w:cs="Times New Roman"/>
                      <w:color w:val="auto"/>
                    </w:rPr>
                    <w:t>公里</w:t>
                  </w:r>
                </w:p>
              </w:tc>
              <w:tc>
                <w:tcPr>
                  <w:tcW w:w="1880" w:type="pct"/>
                  <w:tcBorders>
                    <w:tl2br w:val="nil"/>
                    <w:tr2bl w:val="nil"/>
                  </w:tcBorders>
                  <w:vAlign w:val="center"/>
                </w:tcPr>
                <w:p w14:paraId="2EE1D4A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1.223</w:t>
                  </w:r>
                </w:p>
              </w:tc>
            </w:tr>
            <w:tr w14:paraId="484C532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65" w:hRule="atLeast"/>
                <w:jc w:val="center"/>
              </w:trPr>
              <w:tc>
                <w:tcPr>
                  <w:tcW w:w="1892" w:type="pct"/>
                  <w:gridSpan w:val="2"/>
                  <w:tcBorders>
                    <w:tl2br w:val="nil"/>
                    <w:tr2bl w:val="nil"/>
                  </w:tcBorders>
                  <w:vAlign w:val="center"/>
                </w:tcPr>
                <w:p w14:paraId="2F84FDBF">
                  <w:pPr>
                    <w:pStyle w:val="60"/>
                    <w:spacing w:before="0" w:line="240" w:lineRule="auto"/>
                    <w:ind w:left="420" w:hanging="42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生产作业便道</w:t>
                  </w:r>
                </w:p>
              </w:tc>
              <w:tc>
                <w:tcPr>
                  <w:tcW w:w="1226" w:type="pct"/>
                  <w:tcBorders>
                    <w:tl2br w:val="nil"/>
                    <w:tr2bl w:val="nil"/>
                  </w:tcBorders>
                  <w:vAlign w:val="center"/>
                </w:tcPr>
                <w:p w14:paraId="3877C6C1">
                  <w:pPr>
                    <w:pStyle w:val="53"/>
                    <w:spacing w:before="72" w:after="48"/>
                    <w:rPr>
                      <w:rFonts w:hint="default" w:ascii="Times New Roman" w:hAnsi="Times New Roman" w:eastAsia="宋体" w:cs="Times New Roman"/>
                      <w:color w:val="auto"/>
                    </w:rPr>
                  </w:pPr>
                  <w:r>
                    <w:rPr>
                      <w:rFonts w:hint="default" w:ascii="Times New Roman" w:hAnsi="Times New Roman" w:eastAsia="宋体" w:cs="Times New Roman"/>
                      <w:color w:val="auto"/>
                    </w:rPr>
                    <w:t>公里</w:t>
                  </w:r>
                </w:p>
              </w:tc>
              <w:tc>
                <w:tcPr>
                  <w:tcW w:w="1880" w:type="pct"/>
                  <w:tcBorders>
                    <w:tl2br w:val="nil"/>
                    <w:tr2bl w:val="nil"/>
                  </w:tcBorders>
                  <w:vAlign w:val="center"/>
                </w:tcPr>
                <w:p w14:paraId="2ECC7D2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1.313</w:t>
                  </w:r>
                </w:p>
              </w:tc>
            </w:tr>
            <w:tr w14:paraId="662EF19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jc w:val="center"/>
              </w:trPr>
              <w:tc>
                <w:tcPr>
                  <w:tcW w:w="1892" w:type="pct"/>
                  <w:gridSpan w:val="2"/>
                  <w:tcBorders>
                    <w:tl2br w:val="nil"/>
                    <w:tr2bl w:val="nil"/>
                  </w:tcBorders>
                  <w:shd w:val="clear" w:color="auto" w:fill="auto"/>
                  <w:vAlign w:val="center"/>
                </w:tcPr>
                <w:p w14:paraId="67DAB5F9">
                  <w:pPr>
                    <w:pStyle w:val="60"/>
                    <w:spacing w:before="0" w:line="240" w:lineRule="auto"/>
                    <w:ind w:left="420" w:hanging="42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巡护道路</w:t>
                  </w:r>
                </w:p>
              </w:tc>
              <w:tc>
                <w:tcPr>
                  <w:tcW w:w="1226" w:type="pct"/>
                  <w:tcBorders>
                    <w:tl2br w:val="nil"/>
                    <w:tr2bl w:val="nil"/>
                  </w:tcBorders>
                  <w:shd w:val="clear" w:color="auto" w:fill="auto"/>
                  <w:vAlign w:val="center"/>
                </w:tcPr>
                <w:p w14:paraId="11CBB6EF">
                  <w:pPr>
                    <w:pStyle w:val="53"/>
                    <w:spacing w:before="72" w:after="48"/>
                    <w:rPr>
                      <w:rFonts w:hint="default" w:ascii="Times New Roman" w:hAnsi="Times New Roman" w:eastAsia="宋体" w:cs="Times New Roman"/>
                      <w:color w:val="auto"/>
                    </w:rPr>
                  </w:pPr>
                  <w:r>
                    <w:rPr>
                      <w:rFonts w:hint="default" w:ascii="Times New Roman" w:hAnsi="Times New Roman" w:eastAsia="宋体" w:cs="Times New Roman"/>
                      <w:color w:val="auto"/>
                    </w:rPr>
                    <w:t>公里</w:t>
                  </w:r>
                </w:p>
              </w:tc>
              <w:tc>
                <w:tcPr>
                  <w:tcW w:w="1880" w:type="pct"/>
                  <w:tcBorders>
                    <w:tl2br w:val="nil"/>
                    <w:tr2bl w:val="nil"/>
                  </w:tcBorders>
                  <w:shd w:val="clear" w:color="auto" w:fill="auto"/>
                  <w:vAlign w:val="center"/>
                </w:tcPr>
                <w:p w14:paraId="6B6D5DD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1.736</w:t>
                  </w:r>
                </w:p>
              </w:tc>
            </w:tr>
            <w:tr w14:paraId="56F0C34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jc w:val="center"/>
              </w:trPr>
              <w:tc>
                <w:tcPr>
                  <w:tcW w:w="572" w:type="pct"/>
                  <w:tcBorders>
                    <w:tl2br w:val="nil"/>
                    <w:tr2bl w:val="nil"/>
                  </w:tcBorders>
                  <w:shd w:val="clear" w:color="auto" w:fill="auto"/>
                  <w:vAlign w:val="center"/>
                </w:tcPr>
                <w:p w14:paraId="03D5D03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7</w:t>
                  </w:r>
                </w:p>
              </w:tc>
              <w:tc>
                <w:tcPr>
                  <w:tcW w:w="1320" w:type="pct"/>
                  <w:tcBorders>
                    <w:tl2br w:val="nil"/>
                    <w:tr2bl w:val="nil"/>
                  </w:tcBorders>
                  <w:shd w:val="clear" w:color="auto" w:fill="auto"/>
                  <w:vAlign w:val="center"/>
                </w:tcPr>
                <w:p w14:paraId="7F044BBD">
                  <w:pPr>
                    <w:pStyle w:val="60"/>
                    <w:spacing w:before="0" w:line="240" w:lineRule="auto"/>
                    <w:ind w:left="420" w:hanging="42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硬化铺装</w:t>
                  </w:r>
                </w:p>
              </w:tc>
              <w:tc>
                <w:tcPr>
                  <w:tcW w:w="1226" w:type="pct"/>
                  <w:tcBorders>
                    <w:tl2br w:val="nil"/>
                    <w:tr2bl w:val="nil"/>
                  </w:tcBorders>
                  <w:shd w:val="clear" w:color="auto" w:fill="auto"/>
                  <w:vAlign w:val="center"/>
                </w:tcPr>
                <w:p w14:paraId="4C8F5E5C">
                  <w:pPr>
                    <w:pStyle w:val="53"/>
                    <w:spacing w:before="72" w:after="48"/>
                    <w:rPr>
                      <w:rFonts w:hint="default" w:ascii="Times New Roman" w:hAnsi="Times New Roman" w:eastAsia="宋体" w:cs="Times New Roman"/>
                      <w:color w:val="auto"/>
                    </w:rPr>
                  </w:pPr>
                  <w:r>
                    <w:rPr>
                      <w:rFonts w:hint="default" w:ascii="Times New Roman" w:hAnsi="Times New Roman" w:eastAsia="宋体" w:cs="Times New Roman"/>
                      <w:color w:val="auto"/>
                    </w:rPr>
                    <w:t>m</w:t>
                  </w:r>
                  <w:r>
                    <w:rPr>
                      <w:rFonts w:hint="default" w:ascii="Times New Roman" w:hAnsi="Times New Roman" w:eastAsia="宋体" w:cs="Times New Roman"/>
                      <w:color w:val="auto"/>
                      <w:vertAlign w:val="superscript"/>
                    </w:rPr>
                    <w:t>2</w:t>
                  </w:r>
                </w:p>
              </w:tc>
              <w:tc>
                <w:tcPr>
                  <w:tcW w:w="1880" w:type="pct"/>
                  <w:tcBorders>
                    <w:tl2br w:val="nil"/>
                    <w:tr2bl w:val="nil"/>
                  </w:tcBorders>
                  <w:shd w:val="clear" w:color="auto" w:fill="auto"/>
                  <w:vAlign w:val="center"/>
                </w:tcPr>
                <w:p w14:paraId="0DAD972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28500</w:t>
                  </w:r>
                </w:p>
              </w:tc>
            </w:tr>
            <w:tr w14:paraId="76034A0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415" w:hRule="atLeast"/>
                <w:jc w:val="center"/>
              </w:trPr>
              <w:tc>
                <w:tcPr>
                  <w:tcW w:w="1892" w:type="pct"/>
                  <w:gridSpan w:val="2"/>
                  <w:tcBorders>
                    <w:tl2br w:val="nil"/>
                    <w:tr2bl w:val="nil"/>
                  </w:tcBorders>
                  <w:shd w:val="clear" w:color="auto" w:fill="auto"/>
                  <w:vAlign w:val="center"/>
                </w:tcPr>
                <w:p w14:paraId="5A0F35EF">
                  <w:pPr>
                    <w:pStyle w:val="60"/>
                    <w:spacing w:before="0" w:line="240" w:lineRule="auto"/>
                    <w:ind w:left="420" w:hanging="42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生态停车场</w:t>
                  </w:r>
                </w:p>
              </w:tc>
              <w:tc>
                <w:tcPr>
                  <w:tcW w:w="1226" w:type="pct"/>
                  <w:tcBorders>
                    <w:tl2br w:val="nil"/>
                    <w:tr2bl w:val="nil"/>
                  </w:tcBorders>
                  <w:shd w:val="clear" w:color="auto" w:fill="auto"/>
                  <w:vAlign w:val="center"/>
                </w:tcPr>
                <w:p w14:paraId="30D5AEE6">
                  <w:pPr>
                    <w:pStyle w:val="53"/>
                    <w:spacing w:before="72" w:after="48"/>
                    <w:rPr>
                      <w:rFonts w:hint="default" w:ascii="Times New Roman" w:hAnsi="Times New Roman" w:eastAsia="宋体" w:cs="Times New Roman"/>
                      <w:color w:val="auto"/>
                    </w:rPr>
                  </w:pPr>
                  <w:r>
                    <w:rPr>
                      <w:rFonts w:hint="default" w:ascii="Times New Roman" w:hAnsi="Times New Roman" w:eastAsia="宋体" w:cs="Times New Roman"/>
                      <w:color w:val="auto"/>
                    </w:rPr>
                    <w:t>m</w:t>
                  </w:r>
                  <w:r>
                    <w:rPr>
                      <w:rFonts w:hint="default" w:ascii="Times New Roman" w:hAnsi="Times New Roman" w:eastAsia="宋体" w:cs="Times New Roman"/>
                      <w:color w:val="auto"/>
                      <w:vertAlign w:val="superscript"/>
                    </w:rPr>
                    <w:t>2</w:t>
                  </w:r>
                </w:p>
              </w:tc>
              <w:tc>
                <w:tcPr>
                  <w:tcW w:w="1880" w:type="pct"/>
                  <w:tcBorders>
                    <w:tl2br w:val="nil"/>
                    <w:tr2bl w:val="nil"/>
                  </w:tcBorders>
                  <w:shd w:val="clear" w:color="auto" w:fill="auto"/>
                  <w:vAlign w:val="center"/>
                </w:tcPr>
                <w:p w14:paraId="7432BDD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14500</w:t>
                  </w:r>
                </w:p>
              </w:tc>
            </w:tr>
            <w:tr w14:paraId="17D0229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73" w:hRule="atLeast"/>
                <w:jc w:val="center"/>
              </w:trPr>
              <w:tc>
                <w:tcPr>
                  <w:tcW w:w="1892" w:type="pct"/>
                  <w:gridSpan w:val="2"/>
                  <w:tcBorders>
                    <w:tl2br w:val="nil"/>
                    <w:tr2bl w:val="nil"/>
                  </w:tcBorders>
                  <w:shd w:val="clear" w:color="auto" w:fill="auto"/>
                  <w:vAlign w:val="center"/>
                </w:tcPr>
                <w:p w14:paraId="75A47B4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其他硬化铺装（晒坝、堆料场、苗木运输转运场等）</w:t>
                  </w:r>
                </w:p>
              </w:tc>
              <w:tc>
                <w:tcPr>
                  <w:tcW w:w="1226" w:type="pct"/>
                  <w:tcBorders>
                    <w:tl2br w:val="nil"/>
                    <w:tr2bl w:val="nil"/>
                  </w:tcBorders>
                  <w:shd w:val="clear" w:color="auto" w:fill="auto"/>
                  <w:vAlign w:val="center"/>
                </w:tcPr>
                <w:p w14:paraId="68001FE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m</w:t>
                  </w:r>
                  <w:r>
                    <w:rPr>
                      <w:rFonts w:hint="default" w:ascii="Times New Roman" w:hAnsi="Times New Roman" w:eastAsia="宋体" w:cs="Times New Roman"/>
                      <w:color w:val="auto"/>
                      <w:vertAlign w:val="superscript"/>
                    </w:rPr>
                    <w:t>2</w:t>
                  </w:r>
                </w:p>
              </w:tc>
              <w:tc>
                <w:tcPr>
                  <w:tcW w:w="1880" w:type="pct"/>
                  <w:tcBorders>
                    <w:tl2br w:val="nil"/>
                    <w:tr2bl w:val="nil"/>
                  </w:tcBorders>
                  <w:shd w:val="clear" w:color="auto" w:fill="auto"/>
                  <w:vAlign w:val="center"/>
                </w:tcPr>
                <w:p w14:paraId="58B8F5F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14000</w:t>
                  </w:r>
                </w:p>
              </w:tc>
            </w:tr>
            <w:tr w14:paraId="620F189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90" w:hRule="atLeast"/>
                <w:jc w:val="center"/>
              </w:trPr>
              <w:tc>
                <w:tcPr>
                  <w:tcW w:w="572" w:type="pct"/>
                  <w:tcBorders>
                    <w:tl2br w:val="nil"/>
                    <w:tr2bl w:val="nil"/>
                  </w:tcBorders>
                  <w:shd w:val="clear" w:color="auto" w:fill="auto"/>
                  <w:vAlign w:val="center"/>
                </w:tcPr>
                <w:p w14:paraId="607D73C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8</w:t>
                  </w:r>
                </w:p>
              </w:tc>
              <w:tc>
                <w:tcPr>
                  <w:tcW w:w="1320" w:type="pct"/>
                  <w:tcBorders>
                    <w:tl2br w:val="nil"/>
                    <w:tr2bl w:val="nil"/>
                  </w:tcBorders>
                  <w:shd w:val="clear" w:color="auto" w:fill="auto"/>
                  <w:vAlign w:val="center"/>
                </w:tcPr>
                <w:p w14:paraId="3218CBD3">
                  <w:pPr>
                    <w:pStyle w:val="60"/>
                    <w:spacing w:before="0" w:line="240" w:lineRule="auto"/>
                    <w:ind w:left="420" w:hanging="42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森林消防设施</w:t>
                  </w:r>
                </w:p>
              </w:tc>
              <w:tc>
                <w:tcPr>
                  <w:tcW w:w="1226" w:type="pct"/>
                  <w:tcBorders>
                    <w:tl2br w:val="nil"/>
                    <w:tr2bl w:val="nil"/>
                  </w:tcBorders>
                  <w:shd w:val="clear" w:color="auto" w:fill="auto"/>
                  <w:vAlign w:val="center"/>
                </w:tcPr>
                <w:p w14:paraId="0C983188">
                  <w:pPr>
                    <w:pStyle w:val="53"/>
                    <w:spacing w:before="72" w:after="48"/>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1880" w:type="pct"/>
                  <w:tcBorders>
                    <w:tl2br w:val="nil"/>
                    <w:tr2bl w:val="nil"/>
                  </w:tcBorders>
                  <w:shd w:val="clear" w:color="auto" w:fill="auto"/>
                  <w:vAlign w:val="center"/>
                </w:tcPr>
                <w:p w14:paraId="6306236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r>
            <w:tr w14:paraId="306F28F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155" w:hRule="atLeast"/>
                <w:jc w:val="center"/>
              </w:trPr>
              <w:tc>
                <w:tcPr>
                  <w:tcW w:w="1892" w:type="pct"/>
                  <w:gridSpan w:val="2"/>
                  <w:tcBorders>
                    <w:tl2br w:val="nil"/>
                    <w:tr2bl w:val="nil"/>
                  </w:tcBorders>
                  <w:shd w:val="clear" w:color="auto" w:fill="auto"/>
                  <w:vAlign w:val="center"/>
                </w:tcPr>
                <w:p w14:paraId="68DF86B6">
                  <w:pPr>
                    <w:pStyle w:val="60"/>
                    <w:spacing w:before="0" w:line="240" w:lineRule="auto"/>
                    <w:ind w:left="420" w:hanging="42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防火瞭望台</w:t>
                  </w:r>
                </w:p>
              </w:tc>
              <w:tc>
                <w:tcPr>
                  <w:tcW w:w="1226" w:type="pct"/>
                  <w:tcBorders>
                    <w:tl2br w:val="nil"/>
                    <w:tr2bl w:val="nil"/>
                  </w:tcBorders>
                  <w:shd w:val="clear" w:color="auto" w:fill="auto"/>
                  <w:vAlign w:val="center"/>
                </w:tcPr>
                <w:p w14:paraId="4F5973CD">
                  <w:pPr>
                    <w:pStyle w:val="53"/>
                    <w:spacing w:before="72" w:after="48"/>
                    <w:rPr>
                      <w:rFonts w:hint="default" w:ascii="Times New Roman" w:hAnsi="Times New Roman" w:eastAsia="宋体" w:cs="Times New Roman"/>
                      <w:color w:val="auto"/>
                    </w:rPr>
                  </w:pPr>
                  <w:r>
                    <w:rPr>
                      <w:rFonts w:hint="default" w:ascii="Times New Roman" w:hAnsi="Times New Roman" w:eastAsia="宋体" w:cs="Times New Roman"/>
                      <w:color w:val="auto"/>
                    </w:rPr>
                    <w:t>座</w:t>
                  </w:r>
                </w:p>
              </w:tc>
              <w:tc>
                <w:tcPr>
                  <w:tcW w:w="1880" w:type="pct"/>
                  <w:tcBorders>
                    <w:tl2br w:val="nil"/>
                    <w:tr2bl w:val="nil"/>
                  </w:tcBorders>
                  <w:shd w:val="clear" w:color="auto" w:fill="auto"/>
                  <w:vAlign w:val="center"/>
                </w:tcPr>
                <w:p w14:paraId="7FA1252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15</w:t>
                  </w:r>
                </w:p>
              </w:tc>
            </w:tr>
            <w:tr w14:paraId="1B2B5E1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94" w:hRule="atLeast"/>
                <w:jc w:val="center"/>
              </w:trPr>
              <w:tc>
                <w:tcPr>
                  <w:tcW w:w="1892" w:type="pct"/>
                  <w:gridSpan w:val="2"/>
                  <w:tcBorders>
                    <w:tl2br w:val="nil"/>
                    <w:tr2bl w:val="nil"/>
                  </w:tcBorders>
                  <w:shd w:val="clear" w:color="auto" w:fill="auto"/>
                  <w:vAlign w:val="center"/>
                </w:tcPr>
                <w:p w14:paraId="47B0972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消防水池</w:t>
                  </w:r>
                </w:p>
              </w:tc>
              <w:tc>
                <w:tcPr>
                  <w:tcW w:w="1226" w:type="pct"/>
                  <w:tcBorders>
                    <w:tl2br w:val="nil"/>
                    <w:tr2bl w:val="nil"/>
                  </w:tcBorders>
                  <w:shd w:val="clear" w:color="auto" w:fill="auto"/>
                  <w:vAlign w:val="center"/>
                </w:tcPr>
                <w:p w14:paraId="0FCCA34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口</w:t>
                  </w:r>
                </w:p>
              </w:tc>
              <w:tc>
                <w:tcPr>
                  <w:tcW w:w="1880" w:type="pct"/>
                  <w:tcBorders>
                    <w:tl2br w:val="nil"/>
                    <w:tr2bl w:val="nil"/>
                  </w:tcBorders>
                  <w:shd w:val="clear" w:color="auto" w:fill="auto"/>
                  <w:vAlign w:val="center"/>
                </w:tcPr>
                <w:p w14:paraId="2EFF0B4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w:t>
                  </w:r>
                </w:p>
              </w:tc>
            </w:tr>
            <w:tr w14:paraId="6E615E3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57" w:hRule="atLeast"/>
                <w:jc w:val="center"/>
              </w:trPr>
              <w:tc>
                <w:tcPr>
                  <w:tcW w:w="1892" w:type="pct"/>
                  <w:gridSpan w:val="2"/>
                  <w:tcBorders>
                    <w:tl2br w:val="nil"/>
                    <w:tr2bl w:val="nil"/>
                  </w:tcBorders>
                  <w:shd w:val="clear" w:color="auto" w:fill="auto"/>
                  <w:vAlign w:val="center"/>
                </w:tcPr>
                <w:p w14:paraId="560BB42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林火视频监控点</w:t>
                  </w:r>
                </w:p>
              </w:tc>
              <w:tc>
                <w:tcPr>
                  <w:tcW w:w="1226" w:type="pct"/>
                  <w:tcBorders>
                    <w:tl2br w:val="nil"/>
                    <w:tr2bl w:val="nil"/>
                  </w:tcBorders>
                  <w:shd w:val="clear" w:color="auto" w:fill="auto"/>
                  <w:vAlign w:val="center"/>
                </w:tcPr>
                <w:p w14:paraId="005C1F6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套</w:t>
                  </w:r>
                </w:p>
              </w:tc>
              <w:tc>
                <w:tcPr>
                  <w:tcW w:w="1880" w:type="pct"/>
                  <w:tcBorders>
                    <w:tl2br w:val="nil"/>
                    <w:tr2bl w:val="nil"/>
                  </w:tcBorders>
                  <w:shd w:val="clear" w:color="auto" w:fill="auto"/>
                  <w:vAlign w:val="center"/>
                </w:tcPr>
                <w:p w14:paraId="306CF04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w:t>
                  </w:r>
                </w:p>
              </w:tc>
            </w:tr>
            <w:tr w14:paraId="121E54C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401" w:hRule="atLeast"/>
                <w:jc w:val="center"/>
              </w:trPr>
              <w:tc>
                <w:tcPr>
                  <w:tcW w:w="572" w:type="pct"/>
                  <w:tcBorders>
                    <w:tl2br w:val="nil"/>
                    <w:tr2bl w:val="nil"/>
                  </w:tcBorders>
                  <w:shd w:val="clear" w:color="auto" w:fill="auto"/>
                  <w:vAlign w:val="center"/>
                </w:tcPr>
                <w:p w14:paraId="3169F51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9</w:t>
                  </w:r>
                </w:p>
              </w:tc>
              <w:tc>
                <w:tcPr>
                  <w:tcW w:w="1320" w:type="pct"/>
                  <w:tcBorders>
                    <w:tl2br w:val="nil"/>
                    <w:tr2bl w:val="nil"/>
                  </w:tcBorders>
                  <w:shd w:val="clear" w:color="auto" w:fill="auto"/>
                  <w:vAlign w:val="center"/>
                </w:tcPr>
                <w:p w14:paraId="5611AE5E">
                  <w:pPr>
                    <w:pStyle w:val="60"/>
                    <w:spacing w:before="0" w:line="240" w:lineRule="auto"/>
                    <w:ind w:left="420" w:hanging="42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林区管理及服务用房</w:t>
                  </w:r>
                </w:p>
              </w:tc>
              <w:tc>
                <w:tcPr>
                  <w:tcW w:w="1226" w:type="pct"/>
                  <w:tcBorders>
                    <w:tl2br w:val="nil"/>
                    <w:tr2bl w:val="nil"/>
                  </w:tcBorders>
                  <w:shd w:val="clear" w:color="auto" w:fill="auto"/>
                  <w:vAlign w:val="center"/>
                </w:tcPr>
                <w:p w14:paraId="6102DA9A">
                  <w:pPr>
                    <w:pStyle w:val="53"/>
                    <w:spacing w:before="72" w:after="48"/>
                    <w:rPr>
                      <w:rFonts w:hint="default" w:ascii="Times New Roman" w:hAnsi="Times New Roman" w:eastAsia="宋体" w:cs="Times New Roman"/>
                      <w:color w:val="auto"/>
                    </w:rPr>
                  </w:pPr>
                  <w:r>
                    <w:rPr>
                      <w:rFonts w:hint="default" w:ascii="Times New Roman" w:hAnsi="Times New Roman" w:eastAsia="宋体" w:cs="Times New Roman"/>
                      <w:color w:val="auto"/>
                    </w:rPr>
                    <w:t>m</w:t>
                  </w:r>
                  <w:r>
                    <w:rPr>
                      <w:rFonts w:hint="default" w:ascii="Times New Roman" w:hAnsi="Times New Roman" w:eastAsia="宋体" w:cs="Times New Roman"/>
                      <w:color w:val="auto"/>
                      <w:vertAlign w:val="superscript"/>
                    </w:rPr>
                    <w:t>2</w:t>
                  </w:r>
                </w:p>
              </w:tc>
              <w:tc>
                <w:tcPr>
                  <w:tcW w:w="1880" w:type="pct"/>
                  <w:tcBorders>
                    <w:tl2br w:val="nil"/>
                    <w:tr2bl w:val="nil"/>
                  </w:tcBorders>
                  <w:shd w:val="clear" w:color="auto" w:fill="auto"/>
                  <w:vAlign w:val="center"/>
                </w:tcPr>
                <w:p w14:paraId="412B085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9000</w:t>
                  </w:r>
                </w:p>
              </w:tc>
            </w:tr>
            <w:tr w14:paraId="6E44656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401" w:hRule="atLeast"/>
                <w:jc w:val="center"/>
              </w:trPr>
              <w:tc>
                <w:tcPr>
                  <w:tcW w:w="572" w:type="pct"/>
                  <w:tcBorders>
                    <w:tl2br w:val="nil"/>
                    <w:tr2bl w:val="nil"/>
                  </w:tcBorders>
                  <w:shd w:val="clear" w:color="auto" w:fill="auto"/>
                  <w:vAlign w:val="center"/>
                </w:tcPr>
                <w:p w14:paraId="3EE77F5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w:t>
                  </w:r>
                </w:p>
              </w:tc>
              <w:tc>
                <w:tcPr>
                  <w:tcW w:w="1320" w:type="pct"/>
                  <w:tcBorders>
                    <w:tl2br w:val="nil"/>
                    <w:tr2bl w:val="nil"/>
                  </w:tcBorders>
                  <w:shd w:val="clear" w:color="auto" w:fill="auto"/>
                  <w:vAlign w:val="center"/>
                </w:tcPr>
                <w:p w14:paraId="18C301E3">
                  <w:pPr>
                    <w:pStyle w:val="60"/>
                    <w:spacing w:before="0" w:line="240" w:lineRule="auto"/>
                    <w:ind w:left="420" w:hanging="42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休憩设施</w:t>
                  </w:r>
                </w:p>
              </w:tc>
              <w:tc>
                <w:tcPr>
                  <w:tcW w:w="1226" w:type="pct"/>
                  <w:tcBorders>
                    <w:tl2br w:val="nil"/>
                    <w:tr2bl w:val="nil"/>
                  </w:tcBorders>
                  <w:shd w:val="clear" w:color="auto" w:fill="auto"/>
                  <w:vAlign w:val="center"/>
                </w:tcPr>
                <w:p w14:paraId="217515C9">
                  <w:pPr>
                    <w:pStyle w:val="53"/>
                    <w:spacing w:before="72" w:after="48"/>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1880" w:type="pct"/>
                  <w:tcBorders>
                    <w:tl2br w:val="nil"/>
                    <w:tr2bl w:val="nil"/>
                  </w:tcBorders>
                  <w:shd w:val="clear" w:color="auto" w:fill="auto"/>
                  <w:vAlign w:val="center"/>
                </w:tcPr>
                <w:p w14:paraId="04B90C5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r>
            <w:tr w14:paraId="5856F24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2" w:hRule="atLeast"/>
                <w:jc w:val="center"/>
              </w:trPr>
              <w:tc>
                <w:tcPr>
                  <w:tcW w:w="1892" w:type="pct"/>
                  <w:gridSpan w:val="2"/>
                  <w:tcBorders>
                    <w:tl2br w:val="nil"/>
                    <w:tr2bl w:val="nil"/>
                  </w:tcBorders>
                  <w:shd w:val="clear" w:color="auto" w:fill="auto"/>
                  <w:vAlign w:val="center"/>
                </w:tcPr>
                <w:p w14:paraId="3BD92CEC">
                  <w:pPr>
                    <w:pStyle w:val="60"/>
                    <w:spacing w:before="0" w:line="240" w:lineRule="auto"/>
                    <w:ind w:left="420" w:hanging="42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观景平台</w:t>
                  </w:r>
                </w:p>
              </w:tc>
              <w:tc>
                <w:tcPr>
                  <w:tcW w:w="1226" w:type="pct"/>
                  <w:tcBorders>
                    <w:tl2br w:val="nil"/>
                    <w:tr2bl w:val="nil"/>
                  </w:tcBorders>
                  <w:shd w:val="clear" w:color="auto" w:fill="auto"/>
                  <w:vAlign w:val="center"/>
                </w:tcPr>
                <w:p w14:paraId="4A4F12AC">
                  <w:pPr>
                    <w:pStyle w:val="53"/>
                    <w:spacing w:before="72" w:after="48"/>
                    <w:rPr>
                      <w:rFonts w:hint="default" w:ascii="Times New Roman" w:hAnsi="Times New Roman" w:eastAsia="宋体" w:cs="Times New Roman"/>
                      <w:color w:val="auto"/>
                    </w:rPr>
                  </w:pPr>
                  <w:r>
                    <w:rPr>
                      <w:rFonts w:hint="default" w:ascii="Times New Roman" w:hAnsi="Times New Roman" w:eastAsia="宋体" w:cs="Times New Roman"/>
                      <w:color w:val="auto"/>
                    </w:rPr>
                    <w:t>座</w:t>
                  </w:r>
                </w:p>
              </w:tc>
              <w:tc>
                <w:tcPr>
                  <w:tcW w:w="1880" w:type="pct"/>
                  <w:tcBorders>
                    <w:tl2br w:val="nil"/>
                    <w:tr2bl w:val="nil"/>
                  </w:tcBorders>
                  <w:shd w:val="clear" w:color="auto" w:fill="auto"/>
                  <w:vAlign w:val="center"/>
                </w:tcPr>
                <w:p w14:paraId="705DB56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25</w:t>
                  </w:r>
                </w:p>
              </w:tc>
            </w:tr>
            <w:tr w14:paraId="06C59FC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20" w:hRule="atLeast"/>
                <w:jc w:val="center"/>
              </w:trPr>
              <w:tc>
                <w:tcPr>
                  <w:tcW w:w="1892" w:type="pct"/>
                  <w:gridSpan w:val="2"/>
                  <w:tcBorders>
                    <w:tl2br w:val="nil"/>
                    <w:tr2bl w:val="nil"/>
                  </w:tcBorders>
                  <w:shd w:val="clear" w:color="auto" w:fill="auto"/>
                  <w:vAlign w:val="center"/>
                </w:tcPr>
                <w:p w14:paraId="0C5274F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座凳</w:t>
                  </w:r>
                </w:p>
              </w:tc>
              <w:tc>
                <w:tcPr>
                  <w:tcW w:w="1226" w:type="pct"/>
                  <w:tcBorders>
                    <w:tl2br w:val="nil"/>
                    <w:tr2bl w:val="nil"/>
                  </w:tcBorders>
                  <w:shd w:val="clear" w:color="auto" w:fill="auto"/>
                  <w:vAlign w:val="center"/>
                </w:tcPr>
                <w:p w14:paraId="5E41DAF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个</w:t>
                  </w:r>
                </w:p>
              </w:tc>
              <w:tc>
                <w:tcPr>
                  <w:tcW w:w="1880" w:type="pct"/>
                  <w:tcBorders>
                    <w:tl2br w:val="nil"/>
                    <w:tr2bl w:val="nil"/>
                  </w:tcBorders>
                  <w:shd w:val="clear" w:color="auto" w:fill="auto"/>
                  <w:vAlign w:val="center"/>
                </w:tcPr>
                <w:p w14:paraId="535C2CA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700</w:t>
                  </w:r>
                </w:p>
              </w:tc>
            </w:tr>
            <w:tr w14:paraId="1EF2A17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401" w:hRule="atLeast"/>
                <w:jc w:val="center"/>
              </w:trPr>
              <w:tc>
                <w:tcPr>
                  <w:tcW w:w="572" w:type="pct"/>
                  <w:tcBorders>
                    <w:tl2br w:val="nil"/>
                    <w:tr2bl w:val="nil"/>
                  </w:tcBorders>
                  <w:shd w:val="clear" w:color="auto" w:fill="auto"/>
                  <w:vAlign w:val="center"/>
                </w:tcPr>
                <w:p w14:paraId="79FD710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11</w:t>
                  </w:r>
                </w:p>
              </w:tc>
              <w:tc>
                <w:tcPr>
                  <w:tcW w:w="1320" w:type="pct"/>
                  <w:tcBorders>
                    <w:tl2br w:val="nil"/>
                    <w:tr2bl w:val="nil"/>
                  </w:tcBorders>
                  <w:shd w:val="clear" w:color="auto" w:fill="auto"/>
                  <w:vAlign w:val="center"/>
                </w:tcPr>
                <w:p w14:paraId="389448B5">
                  <w:pPr>
                    <w:pStyle w:val="60"/>
                    <w:spacing w:before="0" w:line="240" w:lineRule="auto"/>
                    <w:ind w:left="420" w:hanging="42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垃圾处理站</w:t>
                  </w:r>
                </w:p>
              </w:tc>
              <w:tc>
                <w:tcPr>
                  <w:tcW w:w="1226" w:type="pct"/>
                  <w:tcBorders>
                    <w:tl2br w:val="nil"/>
                    <w:tr2bl w:val="nil"/>
                  </w:tcBorders>
                  <w:shd w:val="clear" w:color="auto" w:fill="auto"/>
                  <w:vAlign w:val="center"/>
                </w:tcPr>
                <w:p w14:paraId="25CEF6A6">
                  <w:pPr>
                    <w:pStyle w:val="53"/>
                    <w:spacing w:before="72" w:after="48"/>
                    <w:rPr>
                      <w:rFonts w:hint="default" w:ascii="Times New Roman" w:hAnsi="Times New Roman" w:eastAsia="宋体" w:cs="Times New Roman"/>
                      <w:color w:val="auto"/>
                    </w:rPr>
                  </w:pPr>
                  <w:r>
                    <w:rPr>
                      <w:rFonts w:hint="default" w:ascii="Times New Roman" w:hAnsi="Times New Roman" w:eastAsia="宋体" w:cs="Times New Roman"/>
                      <w:color w:val="auto"/>
                    </w:rPr>
                    <w:t>座</w:t>
                  </w:r>
                </w:p>
              </w:tc>
              <w:tc>
                <w:tcPr>
                  <w:tcW w:w="1880" w:type="pct"/>
                  <w:tcBorders>
                    <w:tl2br w:val="nil"/>
                    <w:tr2bl w:val="nil"/>
                  </w:tcBorders>
                  <w:shd w:val="clear" w:color="auto" w:fill="auto"/>
                  <w:vAlign w:val="center"/>
                </w:tcPr>
                <w:p w14:paraId="268FBE6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w:t>
                  </w:r>
                </w:p>
              </w:tc>
            </w:tr>
            <w:tr w14:paraId="0D286F2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401" w:hRule="atLeast"/>
                <w:jc w:val="center"/>
              </w:trPr>
              <w:tc>
                <w:tcPr>
                  <w:tcW w:w="572" w:type="pct"/>
                  <w:tcBorders>
                    <w:tl2br w:val="nil"/>
                    <w:tr2bl w:val="nil"/>
                  </w:tcBorders>
                  <w:shd w:val="clear" w:color="auto" w:fill="auto"/>
                  <w:vAlign w:val="center"/>
                </w:tcPr>
                <w:p w14:paraId="378BB23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w:t>
                  </w:r>
                </w:p>
              </w:tc>
              <w:tc>
                <w:tcPr>
                  <w:tcW w:w="1320" w:type="pct"/>
                  <w:tcBorders>
                    <w:tl2br w:val="nil"/>
                    <w:tr2bl w:val="nil"/>
                  </w:tcBorders>
                  <w:shd w:val="clear" w:color="auto" w:fill="auto"/>
                  <w:vAlign w:val="center"/>
                </w:tcPr>
                <w:p w14:paraId="694ADFB4">
                  <w:pPr>
                    <w:pStyle w:val="60"/>
                    <w:spacing w:before="0" w:line="240" w:lineRule="auto"/>
                    <w:ind w:left="420" w:hanging="42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垃圾桶</w:t>
                  </w:r>
                </w:p>
              </w:tc>
              <w:tc>
                <w:tcPr>
                  <w:tcW w:w="1226" w:type="pct"/>
                  <w:tcBorders>
                    <w:tl2br w:val="nil"/>
                    <w:tr2bl w:val="nil"/>
                  </w:tcBorders>
                  <w:shd w:val="clear" w:color="auto" w:fill="auto"/>
                  <w:vAlign w:val="center"/>
                </w:tcPr>
                <w:p w14:paraId="6C4922BD">
                  <w:pPr>
                    <w:pStyle w:val="53"/>
                    <w:spacing w:before="72" w:after="48"/>
                    <w:rPr>
                      <w:rFonts w:hint="default" w:ascii="Times New Roman" w:hAnsi="Times New Roman" w:eastAsia="宋体" w:cs="Times New Roman"/>
                      <w:color w:val="auto"/>
                    </w:rPr>
                  </w:pPr>
                  <w:r>
                    <w:rPr>
                      <w:rFonts w:hint="default" w:ascii="Times New Roman" w:hAnsi="Times New Roman" w:eastAsia="宋体" w:cs="Times New Roman"/>
                      <w:color w:val="auto"/>
                    </w:rPr>
                    <w:t>个</w:t>
                  </w:r>
                </w:p>
              </w:tc>
              <w:tc>
                <w:tcPr>
                  <w:tcW w:w="1880" w:type="pct"/>
                  <w:tcBorders>
                    <w:tl2br w:val="nil"/>
                    <w:tr2bl w:val="nil"/>
                  </w:tcBorders>
                  <w:shd w:val="clear" w:color="auto" w:fill="auto"/>
                  <w:vAlign w:val="center"/>
                </w:tcPr>
                <w:p w14:paraId="281182C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360</w:t>
                  </w:r>
                </w:p>
              </w:tc>
            </w:tr>
            <w:tr w14:paraId="6368249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401" w:hRule="atLeast"/>
                <w:jc w:val="center"/>
              </w:trPr>
              <w:tc>
                <w:tcPr>
                  <w:tcW w:w="572" w:type="pct"/>
                  <w:tcBorders>
                    <w:tl2br w:val="nil"/>
                    <w:tr2bl w:val="nil"/>
                  </w:tcBorders>
                  <w:shd w:val="clear" w:color="auto" w:fill="auto"/>
                  <w:vAlign w:val="center"/>
                </w:tcPr>
                <w:p w14:paraId="7DBAA8A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13</w:t>
                  </w:r>
                </w:p>
              </w:tc>
              <w:tc>
                <w:tcPr>
                  <w:tcW w:w="1320" w:type="pct"/>
                  <w:tcBorders>
                    <w:tl2br w:val="nil"/>
                    <w:tr2bl w:val="nil"/>
                  </w:tcBorders>
                  <w:shd w:val="clear" w:color="auto" w:fill="auto"/>
                  <w:vAlign w:val="center"/>
                </w:tcPr>
                <w:p w14:paraId="4A2CEDAA">
                  <w:pPr>
                    <w:pStyle w:val="60"/>
                    <w:spacing w:before="0" w:line="240" w:lineRule="auto"/>
                    <w:ind w:left="420" w:hanging="42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森林病虫害防治</w:t>
                  </w:r>
                </w:p>
              </w:tc>
              <w:tc>
                <w:tcPr>
                  <w:tcW w:w="1226" w:type="pct"/>
                  <w:tcBorders>
                    <w:tl2br w:val="nil"/>
                    <w:tr2bl w:val="nil"/>
                  </w:tcBorders>
                  <w:shd w:val="clear" w:color="auto" w:fill="auto"/>
                  <w:vAlign w:val="center"/>
                </w:tcPr>
                <w:p w14:paraId="1F65C915">
                  <w:pPr>
                    <w:pStyle w:val="53"/>
                    <w:spacing w:before="72" w:after="48"/>
                    <w:rPr>
                      <w:rFonts w:hint="default" w:ascii="Times New Roman" w:hAnsi="Times New Roman" w:eastAsia="宋体" w:cs="Times New Roman"/>
                      <w:color w:val="auto"/>
                    </w:rPr>
                  </w:pPr>
                  <w:r>
                    <w:rPr>
                      <w:rFonts w:hint="default" w:ascii="Times New Roman" w:hAnsi="Times New Roman" w:eastAsia="宋体" w:cs="Times New Roman"/>
                      <w:color w:val="auto"/>
                    </w:rPr>
                    <w:t>项</w:t>
                  </w:r>
                </w:p>
              </w:tc>
              <w:tc>
                <w:tcPr>
                  <w:tcW w:w="1880" w:type="pct"/>
                  <w:tcBorders>
                    <w:tl2br w:val="nil"/>
                    <w:tr2bl w:val="nil"/>
                  </w:tcBorders>
                  <w:shd w:val="clear" w:color="auto" w:fill="auto"/>
                  <w:vAlign w:val="center"/>
                </w:tcPr>
                <w:p w14:paraId="3203414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w:t>
                  </w:r>
                </w:p>
              </w:tc>
            </w:tr>
          </w:tbl>
          <w:p w14:paraId="79CB1A48">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rPr>
              <w:t>5、</w:t>
            </w:r>
            <w:r>
              <w:rPr>
                <w:rFonts w:hint="default" w:ascii="Times New Roman" w:hAnsi="Times New Roman" w:eastAsia="宋体" w:cs="Times New Roman"/>
                <w:b/>
                <w:bCs/>
                <w:color w:val="auto"/>
                <w:spacing w:val="-7"/>
                <w:sz w:val="24"/>
                <w:szCs w:val="24"/>
                <w:lang w:val="en-US" w:eastAsia="zh-CN"/>
              </w:rPr>
              <w:t>分期建设内容</w:t>
            </w:r>
          </w:p>
          <w:p w14:paraId="51B4318A">
            <w:pPr>
              <w:spacing w:before="36" w:line="360" w:lineRule="auto"/>
              <w:ind w:firstLine="612"/>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val="en-US" w:eastAsia="zh-CN"/>
              </w:rPr>
              <w:t>本</w:t>
            </w:r>
            <w:r>
              <w:rPr>
                <w:rFonts w:hint="default" w:ascii="Times New Roman" w:hAnsi="Times New Roman" w:eastAsia="宋体" w:cs="Times New Roman"/>
                <w:color w:val="auto"/>
                <w:sz w:val="24"/>
                <w:szCs w:val="24"/>
              </w:rPr>
              <w:t>项目</w:t>
            </w:r>
            <w:r>
              <w:rPr>
                <w:rFonts w:hint="default" w:ascii="Times New Roman" w:hAnsi="Times New Roman" w:eastAsia="宋体" w:cs="Times New Roman"/>
                <w:color w:val="auto"/>
                <w:sz w:val="24"/>
                <w:szCs w:val="24"/>
                <w:lang w:val="en-US" w:eastAsia="zh-CN"/>
              </w:rPr>
              <w:t>总</w:t>
            </w:r>
            <w:r>
              <w:rPr>
                <w:rFonts w:hint="default" w:ascii="Times New Roman" w:hAnsi="Times New Roman" w:eastAsia="宋体" w:cs="Times New Roman"/>
                <w:color w:val="auto"/>
                <w:sz w:val="24"/>
                <w:szCs w:val="24"/>
              </w:rPr>
              <w:t>建设内容为集约人工造林2.03万亩、现有林改培1.1万亩、中幼林抚育8.1万亩；特色经济林0.22万亩；林下经济（种菌、中药材、花卉等）0.7万亩</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总</w:t>
            </w:r>
            <w:r>
              <w:rPr>
                <w:rFonts w:hint="default" w:ascii="Times New Roman" w:hAnsi="Times New Roman" w:eastAsia="宋体" w:cs="Times New Roman"/>
                <w:color w:val="auto"/>
                <w:sz w:val="24"/>
                <w:szCs w:val="24"/>
                <w:lang w:eastAsia="zh-CN"/>
              </w:rPr>
              <w:t>建设范围：天池街道、大佛镇、宝林镇、良安镇、高寺镇、劳动镇、中天镇、盛池镇、金顺镇、中和场镇。</w:t>
            </w:r>
          </w:p>
          <w:p w14:paraId="21B25482">
            <w:pPr>
              <w:spacing w:before="36" w:line="360" w:lineRule="auto"/>
              <w:ind w:firstLine="612"/>
              <w:jc w:val="left"/>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2023年-2024年作业设计</w:t>
            </w:r>
            <w:r>
              <w:rPr>
                <w:rFonts w:hint="default" w:ascii="Times New Roman" w:hAnsi="Times New Roman" w:eastAsia="宋体" w:cs="Times New Roman"/>
                <w:color w:val="auto"/>
                <w:sz w:val="24"/>
                <w:szCs w:val="24"/>
                <w:lang w:val="en-US" w:eastAsia="zh-CN"/>
              </w:rPr>
              <w:t>建设内容集约人工林栽培7628.4亩；现有林改培5081.6亩；中幼林抚育39791.2亩；特色经济林3000.0亩；珍稀林木2081.0亩；珍稀林地块中套种林下中药材1035.9亩；特色经济林地块中套种林下花卉205.0亩；林下种菌500.0亩</w:t>
            </w:r>
            <w:r>
              <w:rPr>
                <w:rFonts w:hint="default" w:ascii="Times New Roman" w:hAnsi="Times New Roman" w:eastAsia="宋体" w:cs="Times New Roman"/>
                <w:color w:val="auto"/>
                <w:sz w:val="24"/>
                <w:szCs w:val="24"/>
                <w:lang w:eastAsia="zh-CN"/>
              </w:rPr>
              <w:t>。建设范围为宝林镇、大佛镇、高寺镇、劳动镇、良安镇、天池镇、中和场镇、中天镇。</w:t>
            </w:r>
          </w:p>
          <w:p w14:paraId="3389E362">
            <w:pPr>
              <w:spacing w:before="36" w:line="360" w:lineRule="auto"/>
              <w:ind w:firstLine="612"/>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表2-3  项</w:t>
            </w:r>
            <w:r>
              <w:rPr>
                <w:rFonts w:hint="default" w:ascii="Times New Roman" w:hAnsi="Times New Roman" w:eastAsia="宋体" w:cs="Times New Roman"/>
                <w:b/>
                <w:bCs/>
                <w:color w:val="auto"/>
                <w:lang w:val="en-US" w:eastAsia="zh-CN"/>
              </w:rPr>
              <w:t>目</w:t>
            </w:r>
            <w:r>
              <w:rPr>
                <w:rFonts w:hint="default" w:ascii="Times New Roman" w:hAnsi="Times New Roman" w:eastAsia="宋体" w:cs="Times New Roman"/>
                <w:b/>
                <w:bCs/>
                <w:color w:val="auto"/>
              </w:rPr>
              <w:t>2023年-2024年作业设计建设内容布局统计表</w:t>
            </w:r>
          </w:p>
          <w:tbl>
            <w:tblPr>
              <w:tblStyle w:val="32"/>
              <w:tblW w:w="4998" w:type="pct"/>
              <w:tblInd w:w="5" w:type="dxa"/>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873"/>
              <w:gridCol w:w="3131"/>
              <w:gridCol w:w="3290"/>
            </w:tblGrid>
            <w:tr w14:paraId="102D5F59">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1129" w:type="pct"/>
                  <w:tcBorders>
                    <w:bottom w:val="single" w:color="000000" w:sz="4" w:space="0"/>
                    <w:right w:val="single" w:color="000000" w:sz="4" w:space="0"/>
                  </w:tcBorders>
                  <w:shd w:val="clear" w:color="auto" w:fill="auto"/>
                  <w:noWrap/>
                  <w:vAlign w:val="center"/>
                </w:tcPr>
                <w:p w14:paraId="1009F441">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kern w:val="0"/>
                      <w:sz w:val="21"/>
                      <w:szCs w:val="21"/>
                      <w:lang w:val="en-US" w:eastAsia="zh-CN"/>
                    </w:rPr>
                    <w:t>建设内容</w:t>
                  </w:r>
                </w:p>
              </w:tc>
              <w:tc>
                <w:tcPr>
                  <w:tcW w:w="1887" w:type="pct"/>
                  <w:tcBorders>
                    <w:left w:val="single" w:color="000000" w:sz="4" w:space="0"/>
                    <w:bottom w:val="single" w:color="000000" w:sz="4" w:space="0"/>
                    <w:right w:val="single" w:color="000000" w:sz="4" w:space="0"/>
                  </w:tcBorders>
                  <w:shd w:val="clear" w:color="auto" w:fill="auto"/>
                  <w:noWrap/>
                  <w:vAlign w:val="center"/>
                </w:tcPr>
                <w:p w14:paraId="46A94AE8">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kern w:val="0"/>
                      <w:sz w:val="21"/>
                      <w:szCs w:val="21"/>
                      <w:lang w:val="en-US" w:eastAsia="zh-CN"/>
                    </w:rPr>
                    <w:t>乡镇</w:t>
                  </w:r>
                </w:p>
              </w:tc>
              <w:tc>
                <w:tcPr>
                  <w:tcW w:w="1983" w:type="pct"/>
                  <w:tcBorders>
                    <w:left w:val="single" w:color="000000" w:sz="4" w:space="0"/>
                    <w:bottom w:val="single" w:color="000000" w:sz="4" w:space="0"/>
                  </w:tcBorders>
                  <w:shd w:val="clear" w:color="auto" w:fill="auto"/>
                  <w:noWrap/>
                  <w:vAlign w:val="center"/>
                </w:tcPr>
                <w:p w14:paraId="444D708F">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kern w:val="0"/>
                      <w:sz w:val="21"/>
                      <w:szCs w:val="21"/>
                      <w:lang w:val="en-US" w:eastAsia="zh-CN"/>
                    </w:rPr>
                    <w:t>面积（亩）</w:t>
                  </w:r>
                </w:p>
              </w:tc>
            </w:tr>
            <w:tr w14:paraId="653CBE13">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1129" w:type="pct"/>
                  <w:vMerge w:val="restart"/>
                  <w:tcBorders>
                    <w:top w:val="single" w:color="000000" w:sz="4" w:space="0"/>
                    <w:bottom w:val="single" w:color="000000" w:sz="4" w:space="0"/>
                    <w:right w:val="single" w:color="000000" w:sz="4" w:space="0"/>
                  </w:tcBorders>
                  <w:shd w:val="clear" w:color="auto" w:fill="auto"/>
                  <w:noWrap/>
                  <w:vAlign w:val="center"/>
                </w:tcPr>
                <w:p w14:paraId="60482AE0">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kern w:val="0"/>
                      <w:sz w:val="21"/>
                      <w:szCs w:val="21"/>
                      <w:lang w:val="en-US" w:eastAsia="zh-CN"/>
                    </w:rPr>
                    <w:t>黄柏集约栽培</w:t>
                  </w:r>
                </w:p>
              </w:tc>
              <w:tc>
                <w:tcPr>
                  <w:tcW w:w="18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289C44">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kern w:val="0"/>
                      <w:sz w:val="21"/>
                      <w:szCs w:val="21"/>
                      <w:lang w:val="en-US" w:eastAsia="zh-CN"/>
                    </w:rPr>
                    <w:t>天池镇</w:t>
                  </w:r>
                </w:p>
              </w:tc>
              <w:tc>
                <w:tcPr>
                  <w:tcW w:w="1983" w:type="pct"/>
                  <w:tcBorders>
                    <w:top w:val="single" w:color="000000" w:sz="4" w:space="0"/>
                    <w:left w:val="single" w:color="000000" w:sz="4" w:space="0"/>
                    <w:bottom w:val="single" w:color="000000" w:sz="4" w:space="0"/>
                  </w:tcBorders>
                  <w:shd w:val="clear" w:color="auto" w:fill="auto"/>
                  <w:noWrap/>
                  <w:vAlign w:val="center"/>
                </w:tcPr>
                <w:p w14:paraId="5706490A">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kern w:val="0"/>
                      <w:sz w:val="21"/>
                      <w:szCs w:val="21"/>
                      <w:lang w:val="en-US" w:eastAsia="zh-CN"/>
                    </w:rPr>
                    <w:t>902.6</w:t>
                  </w:r>
                </w:p>
              </w:tc>
            </w:tr>
            <w:tr w14:paraId="41B573F7">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1129" w:type="pct"/>
                  <w:vMerge w:val="continue"/>
                  <w:tcBorders>
                    <w:top w:val="single" w:color="000000" w:sz="4" w:space="0"/>
                    <w:bottom w:val="single" w:color="000000" w:sz="4" w:space="0"/>
                    <w:right w:val="single" w:color="000000" w:sz="4" w:space="0"/>
                  </w:tcBorders>
                  <w:shd w:val="clear" w:color="auto" w:fill="auto"/>
                  <w:noWrap/>
                  <w:vAlign w:val="center"/>
                </w:tcPr>
                <w:p w14:paraId="0DDD13C8">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p>
              </w:tc>
              <w:tc>
                <w:tcPr>
                  <w:tcW w:w="18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9CB8C6">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kern w:val="0"/>
                      <w:sz w:val="21"/>
                      <w:szCs w:val="21"/>
                      <w:lang w:val="en-US" w:eastAsia="zh-CN"/>
                    </w:rPr>
                    <w:t>中和场镇</w:t>
                  </w:r>
                </w:p>
              </w:tc>
              <w:tc>
                <w:tcPr>
                  <w:tcW w:w="1983" w:type="pct"/>
                  <w:tcBorders>
                    <w:top w:val="single" w:color="000000" w:sz="4" w:space="0"/>
                    <w:left w:val="single" w:color="000000" w:sz="4" w:space="0"/>
                    <w:bottom w:val="single" w:color="000000" w:sz="4" w:space="0"/>
                  </w:tcBorders>
                  <w:shd w:val="clear" w:color="auto" w:fill="auto"/>
                  <w:vAlign w:val="center"/>
                </w:tcPr>
                <w:p w14:paraId="721F4300">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kern w:val="0"/>
                      <w:sz w:val="21"/>
                      <w:szCs w:val="21"/>
                      <w:lang w:val="en-US" w:eastAsia="zh-CN"/>
                    </w:rPr>
                    <w:t>455.3</w:t>
                  </w:r>
                </w:p>
              </w:tc>
            </w:tr>
            <w:tr w14:paraId="68E42C3E">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1129" w:type="pct"/>
                  <w:vMerge w:val="continue"/>
                  <w:tcBorders>
                    <w:top w:val="single" w:color="000000" w:sz="4" w:space="0"/>
                    <w:bottom w:val="single" w:color="000000" w:sz="4" w:space="0"/>
                    <w:right w:val="single" w:color="000000" w:sz="4" w:space="0"/>
                  </w:tcBorders>
                  <w:shd w:val="clear" w:color="auto" w:fill="auto"/>
                  <w:noWrap/>
                  <w:vAlign w:val="center"/>
                </w:tcPr>
                <w:p w14:paraId="2DF22809">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p>
              </w:tc>
              <w:tc>
                <w:tcPr>
                  <w:tcW w:w="18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46A78A">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kern w:val="0"/>
                      <w:sz w:val="21"/>
                      <w:szCs w:val="21"/>
                      <w:lang w:val="en-US" w:eastAsia="zh-CN"/>
                    </w:rPr>
                    <w:t>良安镇</w:t>
                  </w:r>
                </w:p>
              </w:tc>
              <w:tc>
                <w:tcPr>
                  <w:tcW w:w="1983" w:type="pct"/>
                  <w:tcBorders>
                    <w:top w:val="single" w:color="000000" w:sz="4" w:space="0"/>
                    <w:left w:val="single" w:color="000000" w:sz="4" w:space="0"/>
                    <w:bottom w:val="single" w:color="000000" w:sz="4" w:space="0"/>
                  </w:tcBorders>
                  <w:shd w:val="clear" w:color="auto" w:fill="auto"/>
                  <w:noWrap/>
                  <w:vAlign w:val="center"/>
                </w:tcPr>
                <w:p w14:paraId="7662B6EB">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kern w:val="0"/>
                      <w:sz w:val="21"/>
                      <w:szCs w:val="21"/>
                      <w:lang w:val="en-US" w:eastAsia="zh-CN"/>
                    </w:rPr>
                    <w:t>3421.0</w:t>
                  </w:r>
                </w:p>
              </w:tc>
            </w:tr>
            <w:tr w14:paraId="751FD552">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1129" w:type="pct"/>
                  <w:vMerge w:val="continue"/>
                  <w:tcBorders>
                    <w:top w:val="single" w:color="000000" w:sz="4" w:space="0"/>
                    <w:bottom w:val="single" w:color="000000" w:sz="4" w:space="0"/>
                    <w:right w:val="single" w:color="000000" w:sz="4" w:space="0"/>
                  </w:tcBorders>
                  <w:shd w:val="clear" w:color="auto" w:fill="auto"/>
                  <w:noWrap/>
                  <w:vAlign w:val="center"/>
                </w:tcPr>
                <w:p w14:paraId="26DA08E7">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p>
              </w:tc>
              <w:tc>
                <w:tcPr>
                  <w:tcW w:w="18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AA4D64">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kern w:val="0"/>
                      <w:sz w:val="21"/>
                      <w:szCs w:val="21"/>
                      <w:lang w:val="en-US" w:eastAsia="zh-CN"/>
                    </w:rPr>
                    <w:t>劳动镇</w:t>
                  </w:r>
                </w:p>
              </w:tc>
              <w:tc>
                <w:tcPr>
                  <w:tcW w:w="1983" w:type="pct"/>
                  <w:tcBorders>
                    <w:top w:val="single" w:color="000000" w:sz="4" w:space="0"/>
                    <w:left w:val="single" w:color="000000" w:sz="4" w:space="0"/>
                    <w:bottom w:val="single" w:color="000000" w:sz="4" w:space="0"/>
                  </w:tcBorders>
                  <w:shd w:val="clear" w:color="auto" w:fill="auto"/>
                  <w:noWrap/>
                  <w:vAlign w:val="center"/>
                </w:tcPr>
                <w:p w14:paraId="4CEF4EED">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kern w:val="0"/>
                      <w:sz w:val="21"/>
                      <w:szCs w:val="21"/>
                      <w:lang w:val="en-US" w:eastAsia="zh-CN"/>
                    </w:rPr>
                    <w:t>554.1</w:t>
                  </w:r>
                </w:p>
              </w:tc>
            </w:tr>
            <w:tr w14:paraId="587A7D59">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1129" w:type="pct"/>
                  <w:vMerge w:val="continue"/>
                  <w:tcBorders>
                    <w:top w:val="single" w:color="000000" w:sz="4" w:space="0"/>
                    <w:bottom w:val="single" w:color="000000" w:sz="4" w:space="0"/>
                    <w:right w:val="single" w:color="000000" w:sz="4" w:space="0"/>
                  </w:tcBorders>
                  <w:shd w:val="clear" w:color="auto" w:fill="auto"/>
                  <w:noWrap/>
                  <w:vAlign w:val="center"/>
                </w:tcPr>
                <w:p w14:paraId="7511A9E7">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p>
              </w:tc>
              <w:tc>
                <w:tcPr>
                  <w:tcW w:w="18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82E1E9">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kern w:val="0"/>
                      <w:sz w:val="21"/>
                      <w:szCs w:val="21"/>
                      <w:lang w:val="en-US" w:eastAsia="zh-CN"/>
                    </w:rPr>
                    <w:t>大佛镇</w:t>
                  </w:r>
                </w:p>
              </w:tc>
              <w:tc>
                <w:tcPr>
                  <w:tcW w:w="1983" w:type="pct"/>
                  <w:tcBorders>
                    <w:top w:val="single" w:color="000000" w:sz="4" w:space="0"/>
                    <w:left w:val="single" w:color="000000" w:sz="4" w:space="0"/>
                    <w:bottom w:val="single" w:color="000000" w:sz="4" w:space="0"/>
                  </w:tcBorders>
                  <w:shd w:val="clear" w:color="auto" w:fill="auto"/>
                  <w:noWrap/>
                  <w:vAlign w:val="center"/>
                </w:tcPr>
                <w:p w14:paraId="5B8FF75E">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kern w:val="0"/>
                      <w:sz w:val="21"/>
                      <w:szCs w:val="21"/>
                      <w:lang w:val="en-US" w:eastAsia="zh-CN"/>
                    </w:rPr>
                    <w:t>2295.4</w:t>
                  </w:r>
                </w:p>
              </w:tc>
            </w:tr>
            <w:tr w14:paraId="2AA055BB">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1129" w:type="pct"/>
                  <w:vMerge w:val="continue"/>
                  <w:tcBorders>
                    <w:top w:val="single" w:color="000000" w:sz="4" w:space="0"/>
                    <w:bottom w:val="single" w:color="000000" w:sz="4" w:space="0"/>
                    <w:right w:val="single" w:color="000000" w:sz="4" w:space="0"/>
                  </w:tcBorders>
                  <w:shd w:val="clear" w:color="auto" w:fill="auto"/>
                  <w:noWrap/>
                  <w:vAlign w:val="center"/>
                </w:tcPr>
                <w:p w14:paraId="43D13FB4">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p>
              </w:tc>
              <w:tc>
                <w:tcPr>
                  <w:tcW w:w="18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9E0F27">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kern w:val="0"/>
                      <w:sz w:val="21"/>
                      <w:szCs w:val="21"/>
                      <w:lang w:val="en-US" w:eastAsia="zh-CN"/>
                    </w:rPr>
                    <w:t>小计</w:t>
                  </w:r>
                </w:p>
              </w:tc>
              <w:tc>
                <w:tcPr>
                  <w:tcW w:w="1983" w:type="pct"/>
                  <w:tcBorders>
                    <w:top w:val="single" w:color="000000" w:sz="4" w:space="0"/>
                    <w:left w:val="single" w:color="000000" w:sz="4" w:space="0"/>
                    <w:bottom w:val="single" w:color="000000" w:sz="4" w:space="0"/>
                  </w:tcBorders>
                  <w:shd w:val="clear" w:color="auto" w:fill="auto"/>
                  <w:noWrap/>
                  <w:vAlign w:val="center"/>
                </w:tcPr>
                <w:p w14:paraId="205D7884">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b/>
                      <w:bCs/>
                      <w:snapToGrid w:val="0"/>
                      <w:color w:val="auto"/>
                      <w:kern w:val="0"/>
                      <w:sz w:val="21"/>
                      <w:szCs w:val="21"/>
                      <w:lang w:val="en-US" w:eastAsia="zh-CN"/>
                    </w:rPr>
                    <w:t>7628.4</w:t>
                  </w:r>
                </w:p>
              </w:tc>
            </w:tr>
            <w:tr w14:paraId="4C9A9B48">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1129" w:type="pct"/>
                  <w:vMerge w:val="restart"/>
                  <w:tcBorders>
                    <w:top w:val="single" w:color="000000" w:sz="4" w:space="0"/>
                    <w:bottom w:val="single" w:color="000000" w:sz="4" w:space="0"/>
                    <w:right w:val="single" w:color="000000" w:sz="4" w:space="0"/>
                  </w:tcBorders>
                  <w:shd w:val="clear" w:color="auto" w:fill="auto"/>
                  <w:noWrap/>
                  <w:vAlign w:val="center"/>
                </w:tcPr>
                <w:p w14:paraId="6AA18C3C">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kern w:val="0"/>
                      <w:sz w:val="21"/>
                      <w:szCs w:val="21"/>
                      <w:lang w:val="en-US" w:eastAsia="zh-CN"/>
                    </w:rPr>
                    <w:t>现有林改培</w:t>
                  </w:r>
                </w:p>
              </w:tc>
              <w:tc>
                <w:tcPr>
                  <w:tcW w:w="18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41D74B">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kern w:val="0"/>
                      <w:sz w:val="21"/>
                      <w:szCs w:val="21"/>
                      <w:lang w:val="en-US" w:eastAsia="zh-CN"/>
                    </w:rPr>
                    <w:t>高寺镇</w:t>
                  </w:r>
                </w:p>
              </w:tc>
              <w:tc>
                <w:tcPr>
                  <w:tcW w:w="1983" w:type="pct"/>
                  <w:tcBorders>
                    <w:top w:val="single" w:color="000000" w:sz="4" w:space="0"/>
                    <w:left w:val="single" w:color="000000" w:sz="4" w:space="0"/>
                    <w:bottom w:val="single" w:color="000000" w:sz="4" w:space="0"/>
                  </w:tcBorders>
                  <w:shd w:val="clear" w:color="auto" w:fill="auto"/>
                  <w:noWrap/>
                  <w:vAlign w:val="center"/>
                </w:tcPr>
                <w:p w14:paraId="46C41E34">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kern w:val="0"/>
                      <w:sz w:val="21"/>
                      <w:szCs w:val="21"/>
                      <w:lang w:val="en-US" w:eastAsia="zh-CN"/>
                    </w:rPr>
                    <w:t>2369.8</w:t>
                  </w:r>
                </w:p>
              </w:tc>
            </w:tr>
            <w:tr w14:paraId="147656BA">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1129" w:type="pct"/>
                  <w:vMerge w:val="continue"/>
                  <w:tcBorders>
                    <w:top w:val="single" w:color="000000" w:sz="4" w:space="0"/>
                    <w:bottom w:val="single" w:color="000000" w:sz="4" w:space="0"/>
                    <w:right w:val="single" w:color="000000" w:sz="4" w:space="0"/>
                  </w:tcBorders>
                  <w:shd w:val="clear" w:color="auto" w:fill="auto"/>
                  <w:noWrap/>
                  <w:vAlign w:val="center"/>
                </w:tcPr>
                <w:p w14:paraId="33AF2C2B">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p>
              </w:tc>
              <w:tc>
                <w:tcPr>
                  <w:tcW w:w="18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69D8B9">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kern w:val="0"/>
                      <w:sz w:val="21"/>
                      <w:szCs w:val="21"/>
                      <w:lang w:val="en-US" w:eastAsia="zh-CN"/>
                    </w:rPr>
                    <w:t>劳动镇</w:t>
                  </w:r>
                </w:p>
              </w:tc>
              <w:tc>
                <w:tcPr>
                  <w:tcW w:w="1983" w:type="pct"/>
                  <w:tcBorders>
                    <w:top w:val="single" w:color="000000" w:sz="4" w:space="0"/>
                    <w:left w:val="single" w:color="000000" w:sz="4" w:space="0"/>
                    <w:bottom w:val="single" w:color="000000" w:sz="4" w:space="0"/>
                  </w:tcBorders>
                  <w:shd w:val="clear" w:color="auto" w:fill="auto"/>
                  <w:vAlign w:val="center"/>
                </w:tcPr>
                <w:p w14:paraId="4A2F0C7E">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kern w:val="0"/>
                      <w:sz w:val="21"/>
                      <w:szCs w:val="21"/>
                      <w:lang w:val="en-US" w:eastAsia="zh-CN"/>
                    </w:rPr>
                    <w:t>470.0</w:t>
                  </w:r>
                </w:p>
              </w:tc>
            </w:tr>
            <w:tr w14:paraId="557DCFF1">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1129" w:type="pct"/>
                  <w:vMerge w:val="continue"/>
                  <w:tcBorders>
                    <w:top w:val="single" w:color="000000" w:sz="4" w:space="0"/>
                    <w:bottom w:val="single" w:color="000000" w:sz="4" w:space="0"/>
                    <w:right w:val="single" w:color="000000" w:sz="4" w:space="0"/>
                  </w:tcBorders>
                  <w:shd w:val="clear" w:color="auto" w:fill="auto"/>
                  <w:noWrap/>
                  <w:vAlign w:val="center"/>
                </w:tcPr>
                <w:p w14:paraId="4507BE36">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p>
              </w:tc>
              <w:tc>
                <w:tcPr>
                  <w:tcW w:w="18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F67899">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kern w:val="0"/>
                      <w:sz w:val="21"/>
                      <w:szCs w:val="21"/>
                      <w:lang w:val="en-US" w:eastAsia="zh-CN"/>
                    </w:rPr>
                    <w:t>天池镇</w:t>
                  </w:r>
                </w:p>
              </w:tc>
              <w:tc>
                <w:tcPr>
                  <w:tcW w:w="1983" w:type="pct"/>
                  <w:tcBorders>
                    <w:top w:val="single" w:color="000000" w:sz="4" w:space="0"/>
                    <w:left w:val="single" w:color="000000" w:sz="4" w:space="0"/>
                    <w:bottom w:val="single" w:color="000000" w:sz="4" w:space="0"/>
                  </w:tcBorders>
                  <w:shd w:val="clear" w:color="auto" w:fill="auto"/>
                  <w:noWrap/>
                  <w:vAlign w:val="center"/>
                </w:tcPr>
                <w:p w14:paraId="1027E98E">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kern w:val="0"/>
                      <w:sz w:val="21"/>
                      <w:szCs w:val="21"/>
                      <w:lang w:val="en-US" w:eastAsia="zh-CN"/>
                    </w:rPr>
                    <w:t>2101.7</w:t>
                  </w:r>
                </w:p>
              </w:tc>
            </w:tr>
            <w:tr w14:paraId="654C3B8A">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1129" w:type="pct"/>
                  <w:vMerge w:val="continue"/>
                  <w:tcBorders>
                    <w:top w:val="single" w:color="000000" w:sz="4" w:space="0"/>
                    <w:bottom w:val="single" w:color="000000" w:sz="4" w:space="0"/>
                    <w:right w:val="single" w:color="000000" w:sz="4" w:space="0"/>
                  </w:tcBorders>
                  <w:shd w:val="clear" w:color="auto" w:fill="auto"/>
                  <w:noWrap/>
                  <w:vAlign w:val="center"/>
                </w:tcPr>
                <w:p w14:paraId="435EC3A4">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p>
              </w:tc>
              <w:tc>
                <w:tcPr>
                  <w:tcW w:w="18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2536D7">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kern w:val="0"/>
                      <w:sz w:val="21"/>
                      <w:szCs w:val="21"/>
                      <w:lang w:val="en-US" w:eastAsia="zh-CN"/>
                    </w:rPr>
                    <w:t>中天镇</w:t>
                  </w:r>
                </w:p>
              </w:tc>
              <w:tc>
                <w:tcPr>
                  <w:tcW w:w="1983" w:type="pct"/>
                  <w:tcBorders>
                    <w:top w:val="single" w:color="000000" w:sz="4" w:space="0"/>
                    <w:left w:val="single" w:color="000000" w:sz="4" w:space="0"/>
                    <w:bottom w:val="single" w:color="000000" w:sz="4" w:space="0"/>
                  </w:tcBorders>
                  <w:shd w:val="clear" w:color="auto" w:fill="auto"/>
                  <w:noWrap/>
                  <w:vAlign w:val="center"/>
                </w:tcPr>
                <w:p w14:paraId="0098ABA8">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kern w:val="0"/>
                      <w:sz w:val="21"/>
                      <w:szCs w:val="21"/>
                      <w:lang w:val="en-US" w:eastAsia="zh-CN"/>
                    </w:rPr>
                    <w:t>140.1</w:t>
                  </w:r>
                </w:p>
              </w:tc>
            </w:tr>
            <w:tr w14:paraId="0DD51D24">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1129" w:type="pct"/>
                  <w:vMerge w:val="continue"/>
                  <w:tcBorders>
                    <w:top w:val="single" w:color="000000" w:sz="4" w:space="0"/>
                    <w:bottom w:val="single" w:color="000000" w:sz="4" w:space="0"/>
                    <w:right w:val="single" w:color="000000" w:sz="4" w:space="0"/>
                  </w:tcBorders>
                  <w:shd w:val="clear" w:color="auto" w:fill="auto"/>
                  <w:noWrap/>
                  <w:vAlign w:val="center"/>
                </w:tcPr>
                <w:p w14:paraId="00279A94">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p>
              </w:tc>
              <w:tc>
                <w:tcPr>
                  <w:tcW w:w="18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33D5F4">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kern w:val="0"/>
                      <w:sz w:val="21"/>
                      <w:szCs w:val="21"/>
                      <w:lang w:val="en-US" w:eastAsia="zh-CN"/>
                    </w:rPr>
                    <w:t>小计</w:t>
                  </w:r>
                </w:p>
              </w:tc>
              <w:tc>
                <w:tcPr>
                  <w:tcW w:w="1983" w:type="pct"/>
                  <w:tcBorders>
                    <w:top w:val="single" w:color="000000" w:sz="4" w:space="0"/>
                    <w:left w:val="single" w:color="000000" w:sz="4" w:space="0"/>
                    <w:bottom w:val="single" w:color="000000" w:sz="4" w:space="0"/>
                  </w:tcBorders>
                  <w:shd w:val="clear" w:color="auto" w:fill="auto"/>
                  <w:noWrap/>
                  <w:vAlign w:val="center"/>
                </w:tcPr>
                <w:p w14:paraId="005754EC">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b/>
                      <w:bCs/>
                      <w:snapToGrid w:val="0"/>
                      <w:color w:val="auto"/>
                      <w:kern w:val="0"/>
                      <w:sz w:val="21"/>
                      <w:szCs w:val="21"/>
                      <w:lang w:val="en-US" w:eastAsia="zh-CN"/>
                    </w:rPr>
                    <w:t>5081.6</w:t>
                  </w:r>
                </w:p>
              </w:tc>
            </w:tr>
            <w:tr w14:paraId="42253416">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1129" w:type="pct"/>
                  <w:vMerge w:val="restart"/>
                  <w:tcBorders>
                    <w:top w:val="single" w:color="000000" w:sz="4" w:space="0"/>
                    <w:bottom w:val="single" w:color="000000" w:sz="4" w:space="0"/>
                    <w:right w:val="single" w:color="000000" w:sz="4" w:space="0"/>
                  </w:tcBorders>
                  <w:shd w:val="clear" w:color="auto" w:fill="auto"/>
                  <w:noWrap/>
                  <w:vAlign w:val="center"/>
                </w:tcPr>
                <w:p w14:paraId="45A1F6ED">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kern w:val="0"/>
                      <w:sz w:val="21"/>
                      <w:szCs w:val="21"/>
                      <w:lang w:val="en-US" w:eastAsia="zh-CN"/>
                    </w:rPr>
                    <w:t>中幼林抚育</w:t>
                  </w:r>
                </w:p>
              </w:tc>
              <w:tc>
                <w:tcPr>
                  <w:tcW w:w="18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A80FB7">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kern w:val="0"/>
                      <w:sz w:val="21"/>
                      <w:szCs w:val="21"/>
                      <w:lang w:val="en-US" w:eastAsia="zh-CN"/>
                    </w:rPr>
                    <w:t>宝林镇</w:t>
                  </w:r>
                </w:p>
              </w:tc>
              <w:tc>
                <w:tcPr>
                  <w:tcW w:w="1983" w:type="pct"/>
                  <w:tcBorders>
                    <w:top w:val="single" w:color="000000" w:sz="4" w:space="0"/>
                    <w:left w:val="single" w:color="000000" w:sz="4" w:space="0"/>
                    <w:bottom w:val="single" w:color="000000" w:sz="4" w:space="0"/>
                  </w:tcBorders>
                  <w:shd w:val="clear" w:color="auto" w:fill="auto"/>
                  <w:noWrap/>
                  <w:vAlign w:val="center"/>
                </w:tcPr>
                <w:p w14:paraId="19D7D6FF">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kern w:val="0"/>
                      <w:sz w:val="21"/>
                      <w:szCs w:val="21"/>
                      <w:lang w:val="en-US" w:eastAsia="zh-CN"/>
                    </w:rPr>
                    <w:t>8750.1</w:t>
                  </w:r>
                </w:p>
              </w:tc>
            </w:tr>
            <w:tr w14:paraId="1BEB54CC">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1129" w:type="pct"/>
                  <w:vMerge w:val="continue"/>
                  <w:tcBorders>
                    <w:top w:val="single" w:color="000000" w:sz="4" w:space="0"/>
                    <w:bottom w:val="single" w:color="000000" w:sz="4" w:space="0"/>
                    <w:right w:val="single" w:color="000000" w:sz="4" w:space="0"/>
                  </w:tcBorders>
                  <w:shd w:val="clear" w:color="auto" w:fill="auto"/>
                  <w:noWrap/>
                  <w:vAlign w:val="center"/>
                </w:tcPr>
                <w:p w14:paraId="66E9903B">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p>
              </w:tc>
              <w:tc>
                <w:tcPr>
                  <w:tcW w:w="18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883318">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kern w:val="0"/>
                      <w:sz w:val="21"/>
                      <w:szCs w:val="21"/>
                      <w:lang w:val="en-US" w:eastAsia="zh-CN"/>
                    </w:rPr>
                    <w:t>大佛镇</w:t>
                  </w:r>
                </w:p>
              </w:tc>
              <w:tc>
                <w:tcPr>
                  <w:tcW w:w="1983" w:type="pct"/>
                  <w:tcBorders>
                    <w:top w:val="single" w:color="000000" w:sz="4" w:space="0"/>
                    <w:left w:val="single" w:color="000000" w:sz="4" w:space="0"/>
                    <w:bottom w:val="single" w:color="000000" w:sz="4" w:space="0"/>
                  </w:tcBorders>
                  <w:shd w:val="clear" w:color="auto" w:fill="auto"/>
                  <w:noWrap/>
                  <w:vAlign w:val="center"/>
                </w:tcPr>
                <w:p w14:paraId="41460234">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kern w:val="0"/>
                      <w:sz w:val="21"/>
                      <w:szCs w:val="21"/>
                      <w:lang w:val="en-US" w:eastAsia="zh-CN"/>
                    </w:rPr>
                    <w:t>7549.7</w:t>
                  </w:r>
                </w:p>
              </w:tc>
            </w:tr>
            <w:tr w14:paraId="5BB1115F">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1129" w:type="pct"/>
                  <w:vMerge w:val="continue"/>
                  <w:tcBorders>
                    <w:top w:val="single" w:color="000000" w:sz="4" w:space="0"/>
                    <w:bottom w:val="single" w:color="000000" w:sz="4" w:space="0"/>
                    <w:right w:val="single" w:color="000000" w:sz="4" w:space="0"/>
                  </w:tcBorders>
                  <w:shd w:val="clear" w:color="auto" w:fill="auto"/>
                  <w:noWrap/>
                  <w:vAlign w:val="center"/>
                </w:tcPr>
                <w:p w14:paraId="4CA407C1">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p>
              </w:tc>
              <w:tc>
                <w:tcPr>
                  <w:tcW w:w="18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CF9A31">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kern w:val="0"/>
                      <w:sz w:val="21"/>
                      <w:szCs w:val="21"/>
                      <w:lang w:val="en-US" w:eastAsia="zh-CN"/>
                    </w:rPr>
                    <w:t>高寺镇</w:t>
                  </w:r>
                </w:p>
              </w:tc>
              <w:tc>
                <w:tcPr>
                  <w:tcW w:w="1983" w:type="pct"/>
                  <w:tcBorders>
                    <w:top w:val="single" w:color="000000" w:sz="4" w:space="0"/>
                    <w:left w:val="single" w:color="000000" w:sz="4" w:space="0"/>
                    <w:bottom w:val="single" w:color="000000" w:sz="4" w:space="0"/>
                  </w:tcBorders>
                  <w:shd w:val="clear" w:color="auto" w:fill="auto"/>
                  <w:noWrap/>
                  <w:vAlign w:val="center"/>
                </w:tcPr>
                <w:p w14:paraId="2666CA1F">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kern w:val="0"/>
                      <w:sz w:val="21"/>
                      <w:szCs w:val="21"/>
                      <w:lang w:val="en-US" w:eastAsia="zh-CN"/>
                    </w:rPr>
                    <w:t>16577.4</w:t>
                  </w:r>
                </w:p>
              </w:tc>
            </w:tr>
            <w:tr w14:paraId="3C8AA072">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1129" w:type="pct"/>
                  <w:vMerge w:val="continue"/>
                  <w:tcBorders>
                    <w:top w:val="single" w:color="000000" w:sz="4" w:space="0"/>
                    <w:bottom w:val="single" w:color="000000" w:sz="4" w:space="0"/>
                    <w:right w:val="single" w:color="000000" w:sz="4" w:space="0"/>
                  </w:tcBorders>
                  <w:shd w:val="clear" w:color="auto" w:fill="auto"/>
                  <w:noWrap/>
                  <w:vAlign w:val="center"/>
                </w:tcPr>
                <w:p w14:paraId="5E853BC1">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p>
              </w:tc>
              <w:tc>
                <w:tcPr>
                  <w:tcW w:w="18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B3C267">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kern w:val="0"/>
                      <w:sz w:val="21"/>
                      <w:szCs w:val="21"/>
                      <w:lang w:val="en-US" w:eastAsia="zh-CN"/>
                    </w:rPr>
                    <w:t>劳动镇</w:t>
                  </w:r>
                </w:p>
              </w:tc>
              <w:tc>
                <w:tcPr>
                  <w:tcW w:w="1983" w:type="pct"/>
                  <w:tcBorders>
                    <w:top w:val="single" w:color="000000" w:sz="4" w:space="0"/>
                    <w:left w:val="single" w:color="000000" w:sz="4" w:space="0"/>
                    <w:bottom w:val="single" w:color="000000" w:sz="4" w:space="0"/>
                  </w:tcBorders>
                  <w:shd w:val="clear" w:color="auto" w:fill="auto"/>
                  <w:noWrap/>
                  <w:vAlign w:val="center"/>
                </w:tcPr>
                <w:p w14:paraId="17E1E0BE">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kern w:val="0"/>
                      <w:sz w:val="21"/>
                      <w:szCs w:val="21"/>
                      <w:lang w:val="en-US" w:eastAsia="zh-CN"/>
                    </w:rPr>
                    <w:t>6914.0</w:t>
                  </w:r>
                </w:p>
              </w:tc>
            </w:tr>
            <w:tr w14:paraId="40AE7A45">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1129" w:type="pct"/>
                  <w:vMerge w:val="continue"/>
                  <w:tcBorders>
                    <w:top w:val="single" w:color="000000" w:sz="4" w:space="0"/>
                    <w:bottom w:val="single" w:color="000000" w:sz="4" w:space="0"/>
                    <w:right w:val="single" w:color="000000" w:sz="4" w:space="0"/>
                  </w:tcBorders>
                  <w:shd w:val="clear" w:color="auto" w:fill="auto"/>
                  <w:noWrap/>
                  <w:vAlign w:val="center"/>
                </w:tcPr>
                <w:p w14:paraId="428ED846">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p>
              </w:tc>
              <w:tc>
                <w:tcPr>
                  <w:tcW w:w="18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8D9C70">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kern w:val="0"/>
                      <w:sz w:val="21"/>
                      <w:szCs w:val="21"/>
                      <w:lang w:val="en-US" w:eastAsia="zh-CN"/>
                    </w:rPr>
                    <w:t>小计</w:t>
                  </w:r>
                </w:p>
              </w:tc>
              <w:tc>
                <w:tcPr>
                  <w:tcW w:w="1983" w:type="pct"/>
                  <w:tcBorders>
                    <w:top w:val="single" w:color="000000" w:sz="4" w:space="0"/>
                    <w:left w:val="single" w:color="000000" w:sz="4" w:space="0"/>
                    <w:bottom w:val="single" w:color="000000" w:sz="4" w:space="0"/>
                  </w:tcBorders>
                  <w:shd w:val="clear" w:color="auto" w:fill="auto"/>
                  <w:noWrap/>
                  <w:vAlign w:val="center"/>
                </w:tcPr>
                <w:p w14:paraId="31FA4450">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b/>
                      <w:bCs/>
                      <w:snapToGrid w:val="0"/>
                      <w:color w:val="auto"/>
                      <w:kern w:val="0"/>
                      <w:sz w:val="21"/>
                      <w:szCs w:val="21"/>
                      <w:lang w:val="en-US" w:eastAsia="zh-CN"/>
                    </w:rPr>
                    <w:t>39791.2</w:t>
                  </w:r>
                </w:p>
              </w:tc>
            </w:tr>
            <w:tr w14:paraId="10AC95FC">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1129" w:type="pct"/>
                  <w:tcBorders>
                    <w:top w:val="single" w:color="000000" w:sz="4" w:space="0"/>
                    <w:bottom w:val="single" w:color="000000" w:sz="4" w:space="0"/>
                    <w:right w:val="single" w:color="000000" w:sz="4" w:space="0"/>
                  </w:tcBorders>
                  <w:shd w:val="clear" w:color="auto" w:fill="auto"/>
                  <w:noWrap/>
                  <w:vAlign w:val="center"/>
                </w:tcPr>
                <w:p w14:paraId="0D1D19A5">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kern w:val="0"/>
                      <w:sz w:val="21"/>
                      <w:szCs w:val="21"/>
                      <w:lang w:val="en-US" w:eastAsia="zh-CN"/>
                    </w:rPr>
                    <w:t>林下种菌</w:t>
                  </w:r>
                </w:p>
              </w:tc>
              <w:tc>
                <w:tcPr>
                  <w:tcW w:w="18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C3D173">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kern w:val="0"/>
                      <w:sz w:val="21"/>
                      <w:szCs w:val="21"/>
                      <w:lang w:val="en-US" w:eastAsia="zh-CN"/>
                    </w:rPr>
                    <w:t>高寺镇</w:t>
                  </w:r>
                </w:p>
              </w:tc>
              <w:tc>
                <w:tcPr>
                  <w:tcW w:w="1983" w:type="pct"/>
                  <w:tcBorders>
                    <w:top w:val="single" w:color="000000" w:sz="4" w:space="0"/>
                    <w:left w:val="single" w:color="000000" w:sz="4" w:space="0"/>
                    <w:bottom w:val="single" w:color="000000" w:sz="4" w:space="0"/>
                  </w:tcBorders>
                  <w:shd w:val="clear" w:color="auto" w:fill="auto"/>
                  <w:noWrap/>
                  <w:vAlign w:val="center"/>
                </w:tcPr>
                <w:p w14:paraId="6355C6B7">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kern w:val="0"/>
                      <w:sz w:val="21"/>
                      <w:szCs w:val="21"/>
                      <w:lang w:val="en-US" w:eastAsia="zh-CN"/>
                    </w:rPr>
                    <w:t>500</w:t>
                  </w:r>
                </w:p>
              </w:tc>
            </w:tr>
            <w:tr w14:paraId="6A230B97">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1129" w:type="pct"/>
                  <w:tcBorders>
                    <w:top w:val="single" w:color="000000" w:sz="4" w:space="0"/>
                    <w:bottom w:val="single" w:color="000000" w:sz="4" w:space="0"/>
                    <w:right w:val="single" w:color="000000" w:sz="4" w:space="0"/>
                  </w:tcBorders>
                  <w:shd w:val="clear" w:color="auto" w:fill="auto"/>
                  <w:vAlign w:val="center"/>
                </w:tcPr>
                <w:p w14:paraId="72551F8F">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kern w:val="0"/>
                      <w:sz w:val="21"/>
                      <w:szCs w:val="21"/>
                      <w:lang w:val="en-US" w:eastAsia="zh-CN"/>
                    </w:rPr>
                    <w:t>特色经济林</w:t>
                  </w:r>
                </w:p>
              </w:tc>
              <w:tc>
                <w:tcPr>
                  <w:tcW w:w="18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16DBEE">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kern w:val="0"/>
                      <w:sz w:val="21"/>
                      <w:szCs w:val="21"/>
                      <w:lang w:val="en-US" w:eastAsia="zh-CN"/>
                    </w:rPr>
                    <w:t>高寺镇</w:t>
                  </w:r>
                </w:p>
              </w:tc>
              <w:tc>
                <w:tcPr>
                  <w:tcW w:w="1983" w:type="pct"/>
                  <w:tcBorders>
                    <w:top w:val="single" w:color="000000" w:sz="4" w:space="0"/>
                    <w:left w:val="single" w:color="000000" w:sz="4" w:space="0"/>
                    <w:bottom w:val="single" w:color="000000" w:sz="4" w:space="0"/>
                  </w:tcBorders>
                  <w:shd w:val="clear" w:color="auto" w:fill="auto"/>
                  <w:noWrap/>
                  <w:vAlign w:val="center"/>
                </w:tcPr>
                <w:p w14:paraId="4F10C5E7">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kern w:val="0"/>
                      <w:sz w:val="21"/>
                      <w:szCs w:val="21"/>
                      <w:lang w:val="en-US" w:eastAsia="zh-CN"/>
                    </w:rPr>
                    <w:t>3000.0</w:t>
                  </w:r>
                </w:p>
              </w:tc>
            </w:tr>
            <w:tr w14:paraId="3FBCC0FF">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1129" w:type="pct"/>
                  <w:tcBorders>
                    <w:top w:val="single" w:color="000000" w:sz="4" w:space="0"/>
                    <w:bottom w:val="nil"/>
                    <w:right w:val="single" w:color="000000" w:sz="4" w:space="0"/>
                  </w:tcBorders>
                  <w:shd w:val="clear" w:color="auto" w:fill="auto"/>
                  <w:vAlign w:val="center"/>
                </w:tcPr>
                <w:p w14:paraId="762E99FE">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lang w:val="en-US" w:eastAsia="zh-CN"/>
                    </w:rPr>
                  </w:pPr>
                  <w:r>
                    <w:rPr>
                      <w:rFonts w:hint="default" w:ascii="Times New Roman" w:hAnsi="Times New Roman" w:eastAsia="宋体" w:cs="Times New Roman"/>
                      <w:snapToGrid w:val="0"/>
                      <w:color w:val="auto"/>
                      <w:kern w:val="0"/>
                      <w:sz w:val="21"/>
                      <w:szCs w:val="21"/>
                      <w:lang w:val="en-US" w:eastAsia="zh-CN"/>
                    </w:rPr>
                    <w:t>林下花卉</w:t>
                  </w:r>
                </w:p>
                <w:p w14:paraId="5A30A835">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kern w:val="0"/>
                      <w:sz w:val="21"/>
                      <w:szCs w:val="21"/>
                      <w:lang w:val="en-US" w:eastAsia="zh-CN"/>
                    </w:rPr>
                    <w:t>(特色经济林下套种</w:t>
                  </w:r>
                </w:p>
              </w:tc>
              <w:tc>
                <w:tcPr>
                  <w:tcW w:w="18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72A373">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kern w:val="0"/>
                      <w:sz w:val="21"/>
                      <w:szCs w:val="21"/>
                      <w:lang w:val="en-US" w:eastAsia="zh-CN"/>
                    </w:rPr>
                    <w:t>高寺镇</w:t>
                  </w:r>
                </w:p>
              </w:tc>
              <w:tc>
                <w:tcPr>
                  <w:tcW w:w="1983" w:type="pct"/>
                  <w:tcBorders>
                    <w:top w:val="single" w:color="000000" w:sz="4" w:space="0"/>
                    <w:left w:val="single" w:color="000000" w:sz="4" w:space="0"/>
                    <w:bottom w:val="single" w:color="000000" w:sz="4" w:space="0"/>
                  </w:tcBorders>
                  <w:shd w:val="clear" w:color="auto" w:fill="auto"/>
                  <w:noWrap/>
                  <w:vAlign w:val="center"/>
                </w:tcPr>
                <w:p w14:paraId="7A852935">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kern w:val="0"/>
                      <w:sz w:val="21"/>
                      <w:szCs w:val="21"/>
                      <w:lang w:val="en-US" w:eastAsia="zh-CN"/>
                    </w:rPr>
                    <w:t>205</w:t>
                  </w:r>
                </w:p>
              </w:tc>
            </w:tr>
            <w:tr w14:paraId="5858F691">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1129" w:type="pct"/>
                  <w:tcBorders>
                    <w:top w:val="single" w:color="000000" w:sz="4" w:space="0"/>
                    <w:bottom w:val="single" w:color="000000" w:sz="4" w:space="0"/>
                    <w:right w:val="single" w:color="000000" w:sz="4" w:space="0"/>
                  </w:tcBorders>
                  <w:shd w:val="clear" w:color="auto" w:fill="auto"/>
                  <w:noWrap/>
                  <w:vAlign w:val="center"/>
                </w:tcPr>
                <w:p w14:paraId="02096CC3">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kern w:val="0"/>
                      <w:sz w:val="21"/>
                      <w:szCs w:val="21"/>
                      <w:lang w:val="en-US" w:eastAsia="zh-CN"/>
                    </w:rPr>
                    <w:t>珍稀林木</w:t>
                  </w:r>
                </w:p>
              </w:tc>
              <w:tc>
                <w:tcPr>
                  <w:tcW w:w="18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A027D9">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kern w:val="0"/>
                      <w:sz w:val="21"/>
                      <w:szCs w:val="21"/>
                      <w:lang w:val="en-US" w:eastAsia="zh-CN"/>
                    </w:rPr>
                    <w:t>高寺镇</w:t>
                  </w:r>
                </w:p>
              </w:tc>
              <w:tc>
                <w:tcPr>
                  <w:tcW w:w="1983" w:type="pct"/>
                  <w:tcBorders>
                    <w:top w:val="single" w:color="000000" w:sz="4" w:space="0"/>
                    <w:left w:val="single" w:color="000000" w:sz="4" w:space="0"/>
                    <w:bottom w:val="single" w:color="000000" w:sz="4" w:space="0"/>
                  </w:tcBorders>
                  <w:shd w:val="clear" w:color="auto" w:fill="auto"/>
                  <w:noWrap/>
                  <w:vAlign w:val="center"/>
                </w:tcPr>
                <w:p w14:paraId="2CDFEADE">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kern w:val="0"/>
                      <w:sz w:val="21"/>
                      <w:szCs w:val="21"/>
                      <w:lang w:val="en-US" w:eastAsia="zh-CN"/>
                    </w:rPr>
                    <w:t>2081</w:t>
                  </w:r>
                </w:p>
              </w:tc>
            </w:tr>
            <w:tr w14:paraId="6E9FC30D">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1129" w:type="pct"/>
                  <w:tcBorders>
                    <w:top w:val="single" w:color="000000" w:sz="4" w:space="0"/>
                    <w:bottom w:val="single" w:color="000000" w:sz="4" w:space="0"/>
                    <w:right w:val="single" w:color="000000" w:sz="4" w:space="0"/>
                  </w:tcBorders>
                  <w:shd w:val="clear" w:color="auto" w:fill="auto"/>
                  <w:vAlign w:val="center"/>
                </w:tcPr>
                <w:p w14:paraId="65557D98">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lang w:val="en-US" w:eastAsia="zh-CN"/>
                    </w:rPr>
                  </w:pPr>
                  <w:r>
                    <w:rPr>
                      <w:rFonts w:hint="default" w:ascii="Times New Roman" w:hAnsi="Times New Roman" w:eastAsia="宋体" w:cs="Times New Roman"/>
                      <w:snapToGrid w:val="0"/>
                      <w:color w:val="auto"/>
                      <w:kern w:val="0"/>
                      <w:sz w:val="21"/>
                      <w:szCs w:val="21"/>
                      <w:lang w:val="en-US" w:eastAsia="zh-CN"/>
                    </w:rPr>
                    <w:t>林下中药材</w:t>
                  </w:r>
                </w:p>
                <w:p w14:paraId="47B45B68">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kern w:val="0"/>
                      <w:sz w:val="21"/>
                      <w:szCs w:val="21"/>
                      <w:lang w:val="en-US" w:eastAsia="zh-CN"/>
                    </w:rPr>
                    <w:t>（珍稀林木下套种）</w:t>
                  </w:r>
                </w:p>
              </w:tc>
              <w:tc>
                <w:tcPr>
                  <w:tcW w:w="18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5976F0">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kern w:val="0"/>
                      <w:sz w:val="21"/>
                      <w:szCs w:val="21"/>
                      <w:lang w:val="en-US" w:eastAsia="zh-CN"/>
                    </w:rPr>
                    <w:t>高寺镇</w:t>
                  </w:r>
                </w:p>
              </w:tc>
              <w:tc>
                <w:tcPr>
                  <w:tcW w:w="1983" w:type="pct"/>
                  <w:tcBorders>
                    <w:top w:val="single" w:color="000000" w:sz="4" w:space="0"/>
                    <w:left w:val="single" w:color="000000" w:sz="4" w:space="0"/>
                    <w:bottom w:val="single" w:color="000000" w:sz="4" w:space="0"/>
                  </w:tcBorders>
                  <w:shd w:val="clear" w:color="auto" w:fill="auto"/>
                  <w:noWrap/>
                  <w:vAlign w:val="center"/>
                </w:tcPr>
                <w:p w14:paraId="2C1EE232">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kern w:val="0"/>
                      <w:sz w:val="21"/>
                      <w:szCs w:val="21"/>
                      <w:lang w:val="en-US" w:eastAsia="zh-CN"/>
                    </w:rPr>
                    <w:t>1035.9</w:t>
                  </w:r>
                </w:p>
              </w:tc>
            </w:tr>
            <w:tr w14:paraId="76691F4F">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3016" w:type="pct"/>
                  <w:gridSpan w:val="2"/>
                  <w:tcBorders>
                    <w:top w:val="single" w:color="000000" w:sz="4" w:space="0"/>
                    <w:right w:val="single" w:color="000000" w:sz="4" w:space="0"/>
                  </w:tcBorders>
                  <w:shd w:val="clear" w:color="auto" w:fill="auto"/>
                  <w:vAlign w:val="center"/>
                </w:tcPr>
                <w:p w14:paraId="530FCE2E">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lang w:val="en-US" w:eastAsia="zh-CN"/>
                    </w:rPr>
                  </w:pPr>
                  <w:r>
                    <w:rPr>
                      <w:rFonts w:hint="default" w:ascii="Times New Roman" w:hAnsi="Times New Roman" w:eastAsia="宋体" w:cs="Times New Roman"/>
                      <w:snapToGrid w:val="0"/>
                      <w:color w:val="auto"/>
                      <w:kern w:val="0"/>
                      <w:sz w:val="21"/>
                      <w:szCs w:val="21"/>
                      <w:lang w:val="en-US" w:eastAsia="zh-CN"/>
                    </w:rPr>
                    <w:t>总计</w:t>
                  </w:r>
                </w:p>
              </w:tc>
              <w:tc>
                <w:tcPr>
                  <w:tcW w:w="1983" w:type="pct"/>
                  <w:tcBorders>
                    <w:top w:val="single" w:color="000000" w:sz="4" w:space="0"/>
                    <w:left w:val="single" w:color="000000" w:sz="4" w:space="0"/>
                  </w:tcBorders>
                  <w:shd w:val="clear" w:color="auto" w:fill="auto"/>
                  <w:noWrap/>
                  <w:vAlign w:val="center"/>
                </w:tcPr>
                <w:p w14:paraId="71AAA3E5">
                  <w:pPr>
                    <w:pStyle w:val="60"/>
                    <w:widowControl/>
                    <w:kinsoku w:val="0"/>
                    <w:autoSpaceDE w:val="0"/>
                    <w:autoSpaceDN w:val="0"/>
                    <w:adjustRightInd w:val="0"/>
                    <w:snapToGrid w:val="0"/>
                    <w:spacing w:before="0" w:line="240" w:lineRule="auto"/>
                    <w:ind w:left="420" w:hanging="420"/>
                    <w:jc w:val="center"/>
                    <w:textAlignment w:val="baseline"/>
                    <w:rPr>
                      <w:rFonts w:hint="default" w:ascii="Times New Roman" w:hAnsi="Times New Roman" w:eastAsia="宋体" w:cs="Times New Roman"/>
                      <w:snapToGrid w:val="0"/>
                      <w:color w:val="auto"/>
                      <w:kern w:val="0"/>
                      <w:sz w:val="21"/>
                      <w:szCs w:val="21"/>
                      <w:lang w:val="en-US" w:eastAsia="zh-CN"/>
                    </w:rPr>
                  </w:pPr>
                  <w:r>
                    <w:rPr>
                      <w:rFonts w:hint="default" w:ascii="Times New Roman" w:hAnsi="Times New Roman" w:eastAsia="宋体" w:cs="Times New Roman"/>
                      <w:b/>
                      <w:bCs/>
                      <w:snapToGrid w:val="0"/>
                      <w:color w:val="auto"/>
                      <w:kern w:val="0"/>
                      <w:sz w:val="21"/>
                      <w:szCs w:val="21"/>
                      <w:lang w:val="en-US" w:eastAsia="zh-CN"/>
                    </w:rPr>
                    <w:t>58082.2</w:t>
                  </w:r>
                </w:p>
              </w:tc>
            </w:tr>
          </w:tbl>
          <w:p w14:paraId="1C9FA562">
            <w:pPr>
              <w:spacing w:before="36" w:line="360" w:lineRule="auto"/>
              <w:ind w:firstLine="612"/>
              <w:rPr>
                <w:rFonts w:hint="default" w:ascii="Times New Roman" w:hAnsi="Times New Roman" w:eastAsia="宋体" w:cs="Times New Roman"/>
                <w:b/>
                <w:bCs/>
                <w:color w:val="auto"/>
                <w:spacing w:val="-7"/>
                <w:sz w:val="24"/>
                <w:szCs w:val="24"/>
              </w:rPr>
            </w:pPr>
            <w:r>
              <w:rPr>
                <w:rFonts w:hint="default" w:ascii="Times New Roman" w:hAnsi="Times New Roman" w:eastAsia="宋体" w:cs="Times New Roman"/>
                <w:b/>
                <w:bCs/>
                <w:color w:val="auto"/>
                <w:spacing w:val="-7"/>
                <w:sz w:val="24"/>
                <w:szCs w:val="24"/>
                <w:lang w:val="en-US" w:eastAsia="zh-CN"/>
              </w:rPr>
              <w:t>6</w:t>
            </w:r>
            <w:r>
              <w:rPr>
                <w:rFonts w:hint="default" w:ascii="Times New Roman" w:hAnsi="Times New Roman" w:eastAsia="宋体" w:cs="Times New Roman"/>
                <w:b/>
                <w:bCs/>
                <w:color w:val="auto"/>
                <w:spacing w:val="-7"/>
                <w:sz w:val="24"/>
                <w:szCs w:val="24"/>
              </w:rPr>
              <w:t>、主要设备</w:t>
            </w:r>
          </w:p>
          <w:p w14:paraId="1CC4574E">
            <w:pPr>
              <w:spacing w:before="36" w:line="360" w:lineRule="auto"/>
              <w:ind w:firstLine="612"/>
              <w:rPr>
                <w:rFonts w:hint="default" w:ascii="Times New Roman" w:hAnsi="Times New Roman" w:eastAsia="宋体" w:cs="Times New Roman"/>
                <w:color w:val="auto"/>
                <w:spacing w:val="-7"/>
                <w:sz w:val="24"/>
                <w:szCs w:val="24"/>
              </w:rPr>
            </w:pPr>
            <w:r>
              <w:rPr>
                <w:rFonts w:hint="default" w:ascii="Times New Roman" w:hAnsi="Times New Roman" w:eastAsia="宋体" w:cs="Times New Roman"/>
                <w:color w:val="auto"/>
                <w:spacing w:val="-7"/>
                <w:sz w:val="24"/>
                <w:szCs w:val="24"/>
              </w:rPr>
              <w:t>项目施工期主要设备见下表。</w:t>
            </w:r>
          </w:p>
          <w:p w14:paraId="55C61B42">
            <w:pPr>
              <w:spacing w:before="61"/>
              <w:jc w:val="center"/>
              <w:rPr>
                <w:rFonts w:hint="default" w:ascii="Times New Roman" w:hAnsi="Times New Roman" w:eastAsia="宋体" w:cs="Times New Roman"/>
                <w:b/>
                <w:bCs/>
                <w:color w:val="auto"/>
              </w:rPr>
            </w:pPr>
          </w:p>
          <w:p w14:paraId="17A1DB81">
            <w:pPr>
              <w:spacing w:before="61"/>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表2-</w:t>
            </w:r>
            <w:r>
              <w:rPr>
                <w:rFonts w:hint="default" w:ascii="Times New Roman" w:hAnsi="Times New Roman" w:eastAsia="宋体" w:cs="Times New Roman"/>
                <w:b/>
                <w:bCs/>
                <w:color w:val="auto"/>
                <w:lang w:val="en-US" w:eastAsia="zh-CN"/>
              </w:rPr>
              <w:t>4</w:t>
            </w:r>
            <w:r>
              <w:rPr>
                <w:rFonts w:hint="default" w:ascii="Times New Roman" w:hAnsi="Times New Roman" w:eastAsia="宋体" w:cs="Times New Roman"/>
                <w:b/>
                <w:bCs/>
                <w:color w:val="auto"/>
              </w:rPr>
              <w:t xml:space="preserve">  项目施工期主要设备一览表</w:t>
            </w:r>
          </w:p>
          <w:tbl>
            <w:tblPr>
              <w:tblStyle w:val="32"/>
              <w:tblW w:w="4999"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046"/>
              <w:gridCol w:w="3865"/>
              <w:gridCol w:w="1694"/>
              <w:gridCol w:w="1690"/>
            </w:tblGrid>
            <w:tr w14:paraId="201E2E1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3" w:hRule="atLeast"/>
                <w:jc w:val="center"/>
              </w:trPr>
              <w:tc>
                <w:tcPr>
                  <w:tcW w:w="630" w:type="pct"/>
                  <w:tcBorders>
                    <w:tl2br w:val="nil"/>
                    <w:tr2bl w:val="nil"/>
                  </w:tcBorders>
                  <w:vAlign w:val="center"/>
                </w:tcPr>
                <w:p w14:paraId="7EDFDC3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序号</w:t>
                  </w:r>
                </w:p>
              </w:tc>
              <w:tc>
                <w:tcPr>
                  <w:tcW w:w="2329" w:type="pct"/>
                  <w:tcBorders>
                    <w:tl2br w:val="nil"/>
                    <w:tr2bl w:val="nil"/>
                  </w:tcBorders>
                  <w:vAlign w:val="center"/>
                </w:tcPr>
                <w:p w14:paraId="64BA8FF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名称</w:t>
                  </w:r>
                </w:p>
              </w:tc>
              <w:tc>
                <w:tcPr>
                  <w:tcW w:w="1021" w:type="pct"/>
                  <w:tcBorders>
                    <w:tl2br w:val="nil"/>
                    <w:tr2bl w:val="nil"/>
                  </w:tcBorders>
                  <w:vAlign w:val="center"/>
                </w:tcPr>
                <w:p w14:paraId="36EAC0A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单位</w:t>
                  </w:r>
                </w:p>
              </w:tc>
              <w:tc>
                <w:tcPr>
                  <w:tcW w:w="1018" w:type="pct"/>
                  <w:tcBorders>
                    <w:tl2br w:val="nil"/>
                    <w:tr2bl w:val="nil"/>
                  </w:tcBorders>
                  <w:vAlign w:val="center"/>
                </w:tcPr>
                <w:p w14:paraId="6A694DD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数量</w:t>
                  </w:r>
                </w:p>
              </w:tc>
            </w:tr>
            <w:tr w14:paraId="0CBA74E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3" w:hRule="atLeast"/>
                <w:jc w:val="center"/>
              </w:trPr>
              <w:tc>
                <w:tcPr>
                  <w:tcW w:w="630" w:type="pct"/>
                  <w:tcBorders>
                    <w:tl2br w:val="nil"/>
                    <w:tr2bl w:val="nil"/>
                  </w:tcBorders>
                  <w:vAlign w:val="center"/>
                </w:tcPr>
                <w:p w14:paraId="2BF818F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w:t>
                  </w:r>
                </w:p>
              </w:tc>
              <w:tc>
                <w:tcPr>
                  <w:tcW w:w="2329" w:type="pct"/>
                  <w:tcBorders>
                    <w:tl2br w:val="nil"/>
                    <w:tr2bl w:val="nil"/>
                  </w:tcBorders>
                  <w:vAlign w:val="center"/>
                </w:tcPr>
                <w:p w14:paraId="231AF47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挖掘机</w:t>
                  </w:r>
                </w:p>
              </w:tc>
              <w:tc>
                <w:tcPr>
                  <w:tcW w:w="1021" w:type="pct"/>
                  <w:tcBorders>
                    <w:tl2br w:val="nil"/>
                    <w:tr2bl w:val="nil"/>
                  </w:tcBorders>
                  <w:vAlign w:val="center"/>
                </w:tcPr>
                <w:p w14:paraId="5B3A11A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台</w:t>
                  </w:r>
                </w:p>
              </w:tc>
              <w:tc>
                <w:tcPr>
                  <w:tcW w:w="1018" w:type="pct"/>
                  <w:tcBorders>
                    <w:tl2br w:val="nil"/>
                    <w:tr2bl w:val="nil"/>
                  </w:tcBorders>
                  <w:vAlign w:val="center"/>
                </w:tcPr>
                <w:p w14:paraId="010BF09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w:t>
                  </w:r>
                </w:p>
              </w:tc>
            </w:tr>
            <w:tr w14:paraId="45DC24B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33" w:hRule="atLeast"/>
                <w:jc w:val="center"/>
              </w:trPr>
              <w:tc>
                <w:tcPr>
                  <w:tcW w:w="630" w:type="pct"/>
                  <w:tcBorders>
                    <w:tl2br w:val="nil"/>
                    <w:tr2bl w:val="nil"/>
                  </w:tcBorders>
                  <w:vAlign w:val="center"/>
                </w:tcPr>
                <w:p w14:paraId="04CD653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w:t>
                  </w:r>
                </w:p>
              </w:tc>
              <w:tc>
                <w:tcPr>
                  <w:tcW w:w="2329" w:type="pct"/>
                  <w:tcBorders>
                    <w:tl2br w:val="nil"/>
                    <w:tr2bl w:val="nil"/>
                  </w:tcBorders>
                  <w:vAlign w:val="center"/>
                </w:tcPr>
                <w:p w14:paraId="0C58A5E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推土机</w:t>
                  </w:r>
                </w:p>
              </w:tc>
              <w:tc>
                <w:tcPr>
                  <w:tcW w:w="1021" w:type="pct"/>
                  <w:tcBorders>
                    <w:tl2br w:val="nil"/>
                    <w:tr2bl w:val="nil"/>
                  </w:tcBorders>
                  <w:vAlign w:val="center"/>
                </w:tcPr>
                <w:p w14:paraId="12292E4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台</w:t>
                  </w:r>
                </w:p>
              </w:tc>
              <w:tc>
                <w:tcPr>
                  <w:tcW w:w="1018" w:type="pct"/>
                  <w:tcBorders>
                    <w:tl2br w:val="nil"/>
                    <w:tr2bl w:val="nil"/>
                  </w:tcBorders>
                  <w:vAlign w:val="center"/>
                </w:tcPr>
                <w:p w14:paraId="48A7C1A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w:t>
                  </w:r>
                </w:p>
              </w:tc>
            </w:tr>
            <w:tr w14:paraId="58454EA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8" w:hRule="atLeast"/>
                <w:jc w:val="center"/>
              </w:trPr>
              <w:tc>
                <w:tcPr>
                  <w:tcW w:w="630" w:type="pct"/>
                  <w:tcBorders>
                    <w:tl2br w:val="nil"/>
                    <w:tr2bl w:val="nil"/>
                  </w:tcBorders>
                  <w:vAlign w:val="center"/>
                </w:tcPr>
                <w:p w14:paraId="5CA48BD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w:t>
                  </w:r>
                </w:p>
              </w:tc>
              <w:tc>
                <w:tcPr>
                  <w:tcW w:w="2329" w:type="pct"/>
                  <w:tcBorders>
                    <w:tl2br w:val="nil"/>
                    <w:tr2bl w:val="nil"/>
                  </w:tcBorders>
                  <w:vAlign w:val="center"/>
                </w:tcPr>
                <w:p w14:paraId="32E3595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轮式装载机</w:t>
                  </w:r>
                </w:p>
              </w:tc>
              <w:tc>
                <w:tcPr>
                  <w:tcW w:w="1021" w:type="pct"/>
                  <w:tcBorders>
                    <w:tl2br w:val="nil"/>
                    <w:tr2bl w:val="nil"/>
                  </w:tcBorders>
                  <w:vAlign w:val="center"/>
                </w:tcPr>
                <w:p w14:paraId="6731698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台</w:t>
                  </w:r>
                </w:p>
              </w:tc>
              <w:tc>
                <w:tcPr>
                  <w:tcW w:w="1018" w:type="pct"/>
                  <w:tcBorders>
                    <w:tl2br w:val="nil"/>
                    <w:tr2bl w:val="nil"/>
                  </w:tcBorders>
                  <w:vAlign w:val="center"/>
                </w:tcPr>
                <w:p w14:paraId="4E8D9E2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w:t>
                  </w:r>
                </w:p>
              </w:tc>
            </w:tr>
            <w:tr w14:paraId="1B34316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08" w:hRule="atLeast"/>
                <w:jc w:val="center"/>
              </w:trPr>
              <w:tc>
                <w:tcPr>
                  <w:tcW w:w="630" w:type="pct"/>
                  <w:tcBorders>
                    <w:tl2br w:val="nil"/>
                    <w:tr2bl w:val="nil"/>
                  </w:tcBorders>
                  <w:vAlign w:val="center"/>
                </w:tcPr>
                <w:p w14:paraId="5E0397F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4</w:t>
                  </w:r>
                </w:p>
              </w:tc>
              <w:tc>
                <w:tcPr>
                  <w:tcW w:w="2329" w:type="pct"/>
                  <w:tcBorders>
                    <w:tl2br w:val="nil"/>
                    <w:tr2bl w:val="nil"/>
                  </w:tcBorders>
                  <w:vAlign w:val="center"/>
                </w:tcPr>
                <w:p w14:paraId="4E5AB65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混凝土罐装车</w:t>
                  </w:r>
                </w:p>
              </w:tc>
              <w:tc>
                <w:tcPr>
                  <w:tcW w:w="1021" w:type="pct"/>
                  <w:tcBorders>
                    <w:tl2br w:val="nil"/>
                    <w:tr2bl w:val="nil"/>
                  </w:tcBorders>
                  <w:vAlign w:val="center"/>
                </w:tcPr>
                <w:p w14:paraId="3AA66DC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台</w:t>
                  </w:r>
                </w:p>
              </w:tc>
              <w:tc>
                <w:tcPr>
                  <w:tcW w:w="1018" w:type="pct"/>
                  <w:tcBorders>
                    <w:tl2br w:val="nil"/>
                    <w:tr2bl w:val="nil"/>
                  </w:tcBorders>
                  <w:vAlign w:val="center"/>
                </w:tcPr>
                <w:p w14:paraId="696E58E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w:t>
                  </w:r>
                </w:p>
              </w:tc>
            </w:tr>
            <w:tr w14:paraId="2FFCF3B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3" w:hRule="atLeast"/>
                <w:jc w:val="center"/>
              </w:trPr>
              <w:tc>
                <w:tcPr>
                  <w:tcW w:w="630" w:type="pct"/>
                  <w:tcBorders>
                    <w:tl2br w:val="nil"/>
                    <w:tr2bl w:val="nil"/>
                  </w:tcBorders>
                  <w:vAlign w:val="center"/>
                </w:tcPr>
                <w:p w14:paraId="5FC5B8E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5</w:t>
                  </w:r>
                </w:p>
              </w:tc>
              <w:tc>
                <w:tcPr>
                  <w:tcW w:w="2329" w:type="pct"/>
                  <w:tcBorders>
                    <w:tl2br w:val="nil"/>
                    <w:tr2bl w:val="nil"/>
                  </w:tcBorders>
                  <w:vAlign w:val="center"/>
                </w:tcPr>
                <w:p w14:paraId="535D201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搅拌机</w:t>
                  </w:r>
                </w:p>
              </w:tc>
              <w:tc>
                <w:tcPr>
                  <w:tcW w:w="1021" w:type="pct"/>
                  <w:tcBorders>
                    <w:tl2br w:val="nil"/>
                    <w:tr2bl w:val="nil"/>
                  </w:tcBorders>
                  <w:vAlign w:val="center"/>
                </w:tcPr>
                <w:p w14:paraId="6ABC01F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台</w:t>
                  </w:r>
                </w:p>
              </w:tc>
              <w:tc>
                <w:tcPr>
                  <w:tcW w:w="1018" w:type="pct"/>
                  <w:tcBorders>
                    <w:tl2br w:val="nil"/>
                    <w:tr2bl w:val="nil"/>
                  </w:tcBorders>
                  <w:vAlign w:val="center"/>
                </w:tcPr>
                <w:p w14:paraId="0E8DA7C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w:t>
                  </w:r>
                </w:p>
              </w:tc>
            </w:tr>
            <w:tr w14:paraId="4BB83DC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3" w:hRule="atLeast"/>
                <w:jc w:val="center"/>
              </w:trPr>
              <w:tc>
                <w:tcPr>
                  <w:tcW w:w="630" w:type="pct"/>
                  <w:tcBorders>
                    <w:tl2br w:val="nil"/>
                    <w:tr2bl w:val="nil"/>
                  </w:tcBorders>
                  <w:vAlign w:val="center"/>
                </w:tcPr>
                <w:p w14:paraId="57494E3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6</w:t>
                  </w:r>
                </w:p>
              </w:tc>
              <w:tc>
                <w:tcPr>
                  <w:tcW w:w="2329" w:type="pct"/>
                  <w:tcBorders>
                    <w:tl2br w:val="nil"/>
                    <w:tr2bl w:val="nil"/>
                  </w:tcBorders>
                  <w:vAlign w:val="center"/>
                </w:tcPr>
                <w:p w14:paraId="6205965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打夯机</w:t>
                  </w:r>
                </w:p>
              </w:tc>
              <w:tc>
                <w:tcPr>
                  <w:tcW w:w="1021" w:type="pct"/>
                  <w:tcBorders>
                    <w:tl2br w:val="nil"/>
                    <w:tr2bl w:val="nil"/>
                  </w:tcBorders>
                  <w:vAlign w:val="center"/>
                </w:tcPr>
                <w:p w14:paraId="79D8161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台</w:t>
                  </w:r>
                </w:p>
              </w:tc>
              <w:tc>
                <w:tcPr>
                  <w:tcW w:w="1018" w:type="pct"/>
                  <w:tcBorders>
                    <w:tl2br w:val="nil"/>
                    <w:tr2bl w:val="nil"/>
                  </w:tcBorders>
                  <w:vAlign w:val="center"/>
                </w:tcPr>
                <w:p w14:paraId="236E453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w:t>
                  </w:r>
                </w:p>
              </w:tc>
            </w:tr>
            <w:tr w14:paraId="56C6551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6" w:hRule="atLeast"/>
                <w:jc w:val="center"/>
              </w:trPr>
              <w:tc>
                <w:tcPr>
                  <w:tcW w:w="630" w:type="pct"/>
                  <w:tcBorders>
                    <w:tl2br w:val="nil"/>
                    <w:tr2bl w:val="nil"/>
                  </w:tcBorders>
                  <w:vAlign w:val="center"/>
                </w:tcPr>
                <w:p w14:paraId="32E1D16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7</w:t>
                  </w:r>
                </w:p>
              </w:tc>
              <w:tc>
                <w:tcPr>
                  <w:tcW w:w="2329" w:type="pct"/>
                  <w:tcBorders>
                    <w:tl2br w:val="nil"/>
                    <w:tr2bl w:val="nil"/>
                  </w:tcBorders>
                  <w:vAlign w:val="center"/>
                </w:tcPr>
                <w:p w14:paraId="4B8E0DE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吊车</w:t>
                  </w:r>
                </w:p>
              </w:tc>
              <w:tc>
                <w:tcPr>
                  <w:tcW w:w="1021" w:type="pct"/>
                  <w:tcBorders>
                    <w:tl2br w:val="nil"/>
                    <w:tr2bl w:val="nil"/>
                  </w:tcBorders>
                  <w:vAlign w:val="center"/>
                </w:tcPr>
                <w:p w14:paraId="4EA14CC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台</w:t>
                  </w:r>
                </w:p>
              </w:tc>
              <w:tc>
                <w:tcPr>
                  <w:tcW w:w="1018" w:type="pct"/>
                  <w:tcBorders>
                    <w:tl2br w:val="nil"/>
                    <w:tr2bl w:val="nil"/>
                  </w:tcBorders>
                  <w:vAlign w:val="center"/>
                </w:tcPr>
                <w:p w14:paraId="0DB82B3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w:t>
                  </w:r>
                </w:p>
              </w:tc>
            </w:tr>
            <w:tr w14:paraId="0F775E6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3" w:hRule="atLeast"/>
                <w:jc w:val="center"/>
              </w:trPr>
              <w:tc>
                <w:tcPr>
                  <w:tcW w:w="630" w:type="pct"/>
                  <w:tcBorders>
                    <w:tl2br w:val="nil"/>
                    <w:tr2bl w:val="nil"/>
                  </w:tcBorders>
                  <w:vAlign w:val="center"/>
                </w:tcPr>
                <w:p w14:paraId="3793D63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8</w:t>
                  </w:r>
                </w:p>
              </w:tc>
              <w:tc>
                <w:tcPr>
                  <w:tcW w:w="2329" w:type="pct"/>
                  <w:tcBorders>
                    <w:tl2br w:val="nil"/>
                    <w:tr2bl w:val="nil"/>
                  </w:tcBorders>
                  <w:vAlign w:val="center"/>
                </w:tcPr>
                <w:p w14:paraId="57BA17C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角磨机</w:t>
                  </w:r>
                </w:p>
              </w:tc>
              <w:tc>
                <w:tcPr>
                  <w:tcW w:w="1021" w:type="pct"/>
                  <w:tcBorders>
                    <w:tl2br w:val="nil"/>
                    <w:tr2bl w:val="nil"/>
                  </w:tcBorders>
                  <w:vAlign w:val="center"/>
                </w:tcPr>
                <w:p w14:paraId="06A9EA9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台</w:t>
                  </w:r>
                </w:p>
              </w:tc>
              <w:tc>
                <w:tcPr>
                  <w:tcW w:w="1018" w:type="pct"/>
                  <w:tcBorders>
                    <w:tl2br w:val="nil"/>
                    <w:tr2bl w:val="nil"/>
                  </w:tcBorders>
                  <w:vAlign w:val="center"/>
                </w:tcPr>
                <w:p w14:paraId="0D5D995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w:t>
                  </w:r>
                </w:p>
              </w:tc>
            </w:tr>
            <w:tr w14:paraId="2C8FE51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3" w:hRule="atLeast"/>
                <w:jc w:val="center"/>
              </w:trPr>
              <w:tc>
                <w:tcPr>
                  <w:tcW w:w="630" w:type="pct"/>
                  <w:tcBorders>
                    <w:tl2br w:val="nil"/>
                    <w:tr2bl w:val="nil"/>
                  </w:tcBorders>
                  <w:vAlign w:val="center"/>
                </w:tcPr>
                <w:p w14:paraId="35C8FC2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9</w:t>
                  </w:r>
                </w:p>
              </w:tc>
              <w:tc>
                <w:tcPr>
                  <w:tcW w:w="2329" w:type="pct"/>
                  <w:tcBorders>
                    <w:tl2br w:val="nil"/>
                    <w:tr2bl w:val="nil"/>
                  </w:tcBorders>
                  <w:vAlign w:val="center"/>
                </w:tcPr>
                <w:p w14:paraId="19AA378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振动机</w:t>
                  </w:r>
                </w:p>
              </w:tc>
              <w:tc>
                <w:tcPr>
                  <w:tcW w:w="1021" w:type="pct"/>
                  <w:tcBorders>
                    <w:tl2br w:val="nil"/>
                    <w:tr2bl w:val="nil"/>
                  </w:tcBorders>
                  <w:vAlign w:val="center"/>
                </w:tcPr>
                <w:p w14:paraId="6D43900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台</w:t>
                  </w:r>
                </w:p>
              </w:tc>
              <w:tc>
                <w:tcPr>
                  <w:tcW w:w="1018" w:type="pct"/>
                  <w:tcBorders>
                    <w:tl2br w:val="nil"/>
                    <w:tr2bl w:val="nil"/>
                  </w:tcBorders>
                  <w:vAlign w:val="center"/>
                </w:tcPr>
                <w:p w14:paraId="58D846A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w:t>
                  </w:r>
                </w:p>
              </w:tc>
            </w:tr>
            <w:tr w14:paraId="402A76E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3" w:hRule="atLeast"/>
                <w:jc w:val="center"/>
              </w:trPr>
              <w:tc>
                <w:tcPr>
                  <w:tcW w:w="630" w:type="pct"/>
                  <w:tcBorders>
                    <w:tl2br w:val="nil"/>
                    <w:tr2bl w:val="nil"/>
                  </w:tcBorders>
                  <w:vAlign w:val="center"/>
                </w:tcPr>
                <w:p w14:paraId="46735A7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w:t>
                  </w:r>
                </w:p>
              </w:tc>
              <w:tc>
                <w:tcPr>
                  <w:tcW w:w="2329" w:type="pct"/>
                  <w:tcBorders>
                    <w:tl2br w:val="nil"/>
                    <w:tr2bl w:val="nil"/>
                  </w:tcBorders>
                  <w:vAlign w:val="center"/>
                </w:tcPr>
                <w:p w14:paraId="066F052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喷雾空压机</w:t>
                  </w:r>
                </w:p>
              </w:tc>
              <w:tc>
                <w:tcPr>
                  <w:tcW w:w="1021" w:type="pct"/>
                  <w:tcBorders>
                    <w:tl2br w:val="nil"/>
                    <w:tr2bl w:val="nil"/>
                  </w:tcBorders>
                  <w:vAlign w:val="center"/>
                </w:tcPr>
                <w:p w14:paraId="440BF07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台</w:t>
                  </w:r>
                </w:p>
              </w:tc>
              <w:tc>
                <w:tcPr>
                  <w:tcW w:w="1018" w:type="pct"/>
                  <w:tcBorders>
                    <w:tl2br w:val="nil"/>
                    <w:tr2bl w:val="nil"/>
                  </w:tcBorders>
                  <w:vAlign w:val="center"/>
                </w:tcPr>
                <w:p w14:paraId="5B264A1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5</w:t>
                  </w:r>
                </w:p>
              </w:tc>
            </w:tr>
          </w:tbl>
          <w:p w14:paraId="59DCEFDC">
            <w:pPr>
              <w:spacing w:before="36" w:line="360" w:lineRule="auto"/>
              <w:ind w:firstLine="612"/>
              <w:rPr>
                <w:rFonts w:hint="default" w:ascii="Times New Roman" w:hAnsi="Times New Roman" w:eastAsia="宋体" w:cs="Times New Roman"/>
                <w:color w:val="auto"/>
                <w:spacing w:val="-7"/>
                <w:sz w:val="24"/>
                <w:szCs w:val="24"/>
              </w:rPr>
            </w:pPr>
            <w:r>
              <w:rPr>
                <w:rFonts w:hint="default" w:ascii="Times New Roman" w:hAnsi="Times New Roman" w:eastAsia="宋体" w:cs="Times New Roman"/>
                <w:color w:val="auto"/>
                <w:spacing w:val="-7"/>
                <w:sz w:val="24"/>
                <w:szCs w:val="24"/>
              </w:rPr>
              <w:t>项目运营期主要设备见下表。</w:t>
            </w:r>
          </w:p>
          <w:p w14:paraId="6134B642">
            <w:pPr>
              <w:spacing w:before="61"/>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表2-</w:t>
            </w:r>
            <w:r>
              <w:rPr>
                <w:rFonts w:hint="default" w:ascii="Times New Roman" w:hAnsi="Times New Roman" w:eastAsia="宋体" w:cs="Times New Roman"/>
                <w:b/>
                <w:bCs/>
                <w:color w:val="auto"/>
                <w:lang w:val="en-US" w:eastAsia="zh-CN"/>
              </w:rPr>
              <w:t>5</w:t>
            </w:r>
            <w:r>
              <w:rPr>
                <w:rFonts w:hint="default" w:ascii="Times New Roman" w:hAnsi="Times New Roman" w:eastAsia="宋体" w:cs="Times New Roman"/>
                <w:b/>
                <w:bCs/>
                <w:color w:val="auto"/>
              </w:rPr>
              <w:t xml:space="preserve">  项目运营期主要设备一览表</w:t>
            </w:r>
          </w:p>
          <w:tbl>
            <w:tblPr>
              <w:tblStyle w:val="32"/>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044"/>
              <w:gridCol w:w="2652"/>
              <w:gridCol w:w="1105"/>
              <w:gridCol w:w="1135"/>
              <w:gridCol w:w="2358"/>
            </w:tblGrid>
            <w:tr w14:paraId="3FB7899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3" w:hRule="atLeast"/>
                <w:jc w:val="center"/>
              </w:trPr>
              <w:tc>
                <w:tcPr>
                  <w:tcW w:w="629" w:type="pct"/>
                  <w:tcBorders>
                    <w:tl2br w:val="nil"/>
                    <w:tr2bl w:val="nil"/>
                  </w:tcBorders>
                  <w:vAlign w:val="center"/>
                </w:tcPr>
                <w:p w14:paraId="7677DB3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序号</w:t>
                  </w:r>
                </w:p>
              </w:tc>
              <w:tc>
                <w:tcPr>
                  <w:tcW w:w="1598" w:type="pct"/>
                  <w:tcBorders>
                    <w:tl2br w:val="nil"/>
                    <w:tr2bl w:val="nil"/>
                  </w:tcBorders>
                  <w:vAlign w:val="center"/>
                </w:tcPr>
                <w:p w14:paraId="029A57C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名称</w:t>
                  </w:r>
                </w:p>
              </w:tc>
              <w:tc>
                <w:tcPr>
                  <w:tcW w:w="666" w:type="pct"/>
                  <w:tcBorders>
                    <w:tl2br w:val="nil"/>
                    <w:tr2bl w:val="nil"/>
                  </w:tcBorders>
                  <w:vAlign w:val="center"/>
                </w:tcPr>
                <w:p w14:paraId="074ADFE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单位</w:t>
                  </w:r>
                </w:p>
              </w:tc>
              <w:tc>
                <w:tcPr>
                  <w:tcW w:w="684" w:type="pct"/>
                  <w:tcBorders>
                    <w:tl2br w:val="nil"/>
                    <w:tr2bl w:val="nil"/>
                  </w:tcBorders>
                  <w:vAlign w:val="center"/>
                </w:tcPr>
                <w:p w14:paraId="57BD407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数量</w:t>
                  </w:r>
                </w:p>
              </w:tc>
              <w:tc>
                <w:tcPr>
                  <w:tcW w:w="1421" w:type="pct"/>
                  <w:tcBorders>
                    <w:tl2br w:val="nil"/>
                    <w:tr2bl w:val="nil"/>
                  </w:tcBorders>
                  <w:vAlign w:val="center"/>
                </w:tcPr>
                <w:p w14:paraId="5243134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备注</w:t>
                  </w:r>
                </w:p>
              </w:tc>
            </w:tr>
            <w:tr w14:paraId="3A30D43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3" w:hRule="atLeast"/>
                <w:jc w:val="center"/>
              </w:trPr>
              <w:tc>
                <w:tcPr>
                  <w:tcW w:w="629" w:type="pct"/>
                  <w:tcBorders>
                    <w:tl2br w:val="nil"/>
                    <w:tr2bl w:val="nil"/>
                  </w:tcBorders>
                  <w:vAlign w:val="center"/>
                </w:tcPr>
                <w:p w14:paraId="07FB288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w:t>
                  </w:r>
                </w:p>
              </w:tc>
              <w:tc>
                <w:tcPr>
                  <w:tcW w:w="1598" w:type="pct"/>
                  <w:tcBorders>
                    <w:tl2br w:val="nil"/>
                    <w:tr2bl w:val="nil"/>
                  </w:tcBorders>
                  <w:vAlign w:val="center"/>
                </w:tcPr>
                <w:p w14:paraId="09EFEB5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瞭望塔</w:t>
                  </w:r>
                </w:p>
              </w:tc>
              <w:tc>
                <w:tcPr>
                  <w:tcW w:w="666" w:type="pct"/>
                  <w:tcBorders>
                    <w:tl2br w:val="nil"/>
                    <w:tr2bl w:val="nil"/>
                  </w:tcBorders>
                  <w:vAlign w:val="center"/>
                </w:tcPr>
                <w:p w14:paraId="2E9850C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座</w:t>
                  </w:r>
                </w:p>
              </w:tc>
              <w:tc>
                <w:tcPr>
                  <w:tcW w:w="684" w:type="pct"/>
                  <w:tcBorders>
                    <w:tl2br w:val="nil"/>
                    <w:tr2bl w:val="nil"/>
                  </w:tcBorders>
                  <w:vAlign w:val="center"/>
                </w:tcPr>
                <w:p w14:paraId="7B54602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15</w:t>
                  </w:r>
                </w:p>
              </w:tc>
              <w:tc>
                <w:tcPr>
                  <w:tcW w:w="1421" w:type="pct"/>
                  <w:tcBorders>
                    <w:tl2br w:val="nil"/>
                    <w:tr2bl w:val="nil"/>
                  </w:tcBorders>
                  <w:vAlign w:val="center"/>
                </w:tcPr>
                <w:p w14:paraId="71B531E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分布于各个林区</w:t>
                  </w:r>
                </w:p>
              </w:tc>
            </w:tr>
            <w:tr w14:paraId="3067A9A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33" w:hRule="atLeast"/>
                <w:jc w:val="center"/>
              </w:trPr>
              <w:tc>
                <w:tcPr>
                  <w:tcW w:w="629" w:type="pct"/>
                  <w:tcBorders>
                    <w:tl2br w:val="nil"/>
                    <w:tr2bl w:val="nil"/>
                  </w:tcBorders>
                  <w:vAlign w:val="center"/>
                </w:tcPr>
                <w:p w14:paraId="42366FB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w:t>
                  </w:r>
                </w:p>
              </w:tc>
              <w:tc>
                <w:tcPr>
                  <w:tcW w:w="1598" w:type="pct"/>
                  <w:tcBorders>
                    <w:tl2br w:val="nil"/>
                    <w:tr2bl w:val="nil"/>
                  </w:tcBorders>
                  <w:vAlign w:val="center"/>
                </w:tcPr>
                <w:p w14:paraId="6041561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林火视频监控系统</w:t>
                  </w:r>
                </w:p>
              </w:tc>
              <w:tc>
                <w:tcPr>
                  <w:tcW w:w="666" w:type="pct"/>
                  <w:tcBorders>
                    <w:tl2br w:val="nil"/>
                    <w:tr2bl w:val="nil"/>
                  </w:tcBorders>
                  <w:vAlign w:val="center"/>
                </w:tcPr>
                <w:p w14:paraId="7F959D4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套</w:t>
                  </w:r>
                </w:p>
              </w:tc>
              <w:tc>
                <w:tcPr>
                  <w:tcW w:w="684" w:type="pct"/>
                  <w:tcBorders>
                    <w:tl2br w:val="nil"/>
                    <w:tr2bl w:val="nil"/>
                  </w:tcBorders>
                  <w:vAlign w:val="center"/>
                </w:tcPr>
                <w:p w14:paraId="5747804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w:t>
                  </w:r>
                </w:p>
              </w:tc>
              <w:tc>
                <w:tcPr>
                  <w:tcW w:w="1421" w:type="pct"/>
                  <w:tcBorders>
                    <w:tl2br w:val="nil"/>
                    <w:tr2bl w:val="nil"/>
                  </w:tcBorders>
                  <w:vAlign w:val="center"/>
                </w:tcPr>
                <w:p w14:paraId="44E9E1E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分布于各个林区</w:t>
                  </w:r>
                </w:p>
              </w:tc>
            </w:tr>
            <w:tr w14:paraId="23F749F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8" w:hRule="atLeast"/>
                <w:jc w:val="center"/>
              </w:trPr>
              <w:tc>
                <w:tcPr>
                  <w:tcW w:w="629" w:type="pct"/>
                  <w:tcBorders>
                    <w:tl2br w:val="nil"/>
                    <w:tr2bl w:val="nil"/>
                  </w:tcBorders>
                  <w:vAlign w:val="center"/>
                </w:tcPr>
                <w:p w14:paraId="7E76DE9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w:t>
                  </w:r>
                </w:p>
              </w:tc>
              <w:tc>
                <w:tcPr>
                  <w:tcW w:w="1598" w:type="pct"/>
                  <w:tcBorders>
                    <w:tl2br w:val="nil"/>
                    <w:tr2bl w:val="nil"/>
                  </w:tcBorders>
                  <w:vAlign w:val="center"/>
                </w:tcPr>
                <w:p w14:paraId="2B9A7E2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消防水池</w:t>
                  </w:r>
                </w:p>
              </w:tc>
              <w:tc>
                <w:tcPr>
                  <w:tcW w:w="666" w:type="pct"/>
                  <w:tcBorders>
                    <w:tl2br w:val="nil"/>
                    <w:tr2bl w:val="nil"/>
                  </w:tcBorders>
                  <w:vAlign w:val="center"/>
                </w:tcPr>
                <w:p w14:paraId="23AD692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口</w:t>
                  </w:r>
                </w:p>
              </w:tc>
              <w:tc>
                <w:tcPr>
                  <w:tcW w:w="684" w:type="pct"/>
                  <w:tcBorders>
                    <w:tl2br w:val="nil"/>
                    <w:tr2bl w:val="nil"/>
                  </w:tcBorders>
                  <w:vAlign w:val="center"/>
                </w:tcPr>
                <w:p w14:paraId="180BA5A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w:t>
                  </w:r>
                </w:p>
              </w:tc>
              <w:tc>
                <w:tcPr>
                  <w:tcW w:w="1421" w:type="pct"/>
                  <w:tcBorders>
                    <w:tl2br w:val="nil"/>
                    <w:tr2bl w:val="nil"/>
                  </w:tcBorders>
                  <w:vAlign w:val="center"/>
                </w:tcPr>
                <w:p w14:paraId="3B8F9C0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分布于各个林区</w:t>
                  </w:r>
                </w:p>
              </w:tc>
            </w:tr>
            <w:tr w14:paraId="1D3D0F4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08" w:hRule="atLeast"/>
                <w:jc w:val="center"/>
              </w:trPr>
              <w:tc>
                <w:tcPr>
                  <w:tcW w:w="629" w:type="pct"/>
                  <w:tcBorders>
                    <w:tl2br w:val="nil"/>
                    <w:tr2bl w:val="nil"/>
                  </w:tcBorders>
                  <w:vAlign w:val="center"/>
                </w:tcPr>
                <w:p w14:paraId="3BDD08B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4</w:t>
                  </w:r>
                </w:p>
              </w:tc>
              <w:tc>
                <w:tcPr>
                  <w:tcW w:w="1598" w:type="pct"/>
                  <w:tcBorders>
                    <w:tl2br w:val="nil"/>
                    <w:tr2bl w:val="nil"/>
                  </w:tcBorders>
                  <w:vAlign w:val="center"/>
                </w:tcPr>
                <w:p w14:paraId="7F66C32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森林有害生物防治设施</w:t>
                  </w:r>
                </w:p>
              </w:tc>
              <w:tc>
                <w:tcPr>
                  <w:tcW w:w="666" w:type="pct"/>
                  <w:tcBorders>
                    <w:tl2br w:val="nil"/>
                    <w:tr2bl w:val="nil"/>
                  </w:tcBorders>
                  <w:vAlign w:val="center"/>
                </w:tcPr>
                <w:p w14:paraId="70BE125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684" w:type="pct"/>
                  <w:tcBorders>
                    <w:tl2br w:val="nil"/>
                    <w:tr2bl w:val="nil"/>
                  </w:tcBorders>
                  <w:vAlign w:val="center"/>
                </w:tcPr>
                <w:p w14:paraId="2B4848E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若干</w:t>
                  </w:r>
                </w:p>
              </w:tc>
              <w:tc>
                <w:tcPr>
                  <w:tcW w:w="1421" w:type="pct"/>
                  <w:tcBorders>
                    <w:tl2br w:val="nil"/>
                    <w:tr2bl w:val="nil"/>
                  </w:tcBorders>
                  <w:vAlign w:val="center"/>
                </w:tcPr>
                <w:p w14:paraId="2B68B12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森林病虫害防治</w:t>
                  </w:r>
                </w:p>
              </w:tc>
            </w:tr>
            <w:tr w14:paraId="40ED932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3" w:hRule="atLeast"/>
                <w:jc w:val="center"/>
              </w:trPr>
              <w:tc>
                <w:tcPr>
                  <w:tcW w:w="629" w:type="pct"/>
                  <w:tcBorders>
                    <w:tl2br w:val="nil"/>
                    <w:tr2bl w:val="nil"/>
                  </w:tcBorders>
                  <w:vAlign w:val="center"/>
                </w:tcPr>
                <w:p w14:paraId="0218F62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5</w:t>
                  </w:r>
                </w:p>
              </w:tc>
              <w:tc>
                <w:tcPr>
                  <w:tcW w:w="1598" w:type="pct"/>
                  <w:tcBorders>
                    <w:tl2br w:val="nil"/>
                    <w:tr2bl w:val="nil"/>
                  </w:tcBorders>
                  <w:vAlign w:val="center"/>
                </w:tcPr>
                <w:p w14:paraId="2522EB7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喷灌设备</w:t>
                  </w:r>
                </w:p>
              </w:tc>
              <w:tc>
                <w:tcPr>
                  <w:tcW w:w="666" w:type="pct"/>
                  <w:tcBorders>
                    <w:tl2br w:val="nil"/>
                    <w:tr2bl w:val="nil"/>
                  </w:tcBorders>
                  <w:vAlign w:val="center"/>
                </w:tcPr>
                <w:p w14:paraId="6D2E893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684" w:type="pct"/>
                  <w:tcBorders>
                    <w:tl2br w:val="nil"/>
                    <w:tr2bl w:val="nil"/>
                  </w:tcBorders>
                  <w:vAlign w:val="center"/>
                </w:tcPr>
                <w:p w14:paraId="7A6A0C8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若干</w:t>
                  </w:r>
                </w:p>
              </w:tc>
              <w:tc>
                <w:tcPr>
                  <w:tcW w:w="1421" w:type="pct"/>
                  <w:tcBorders>
                    <w:tl2br w:val="nil"/>
                    <w:tr2bl w:val="nil"/>
                  </w:tcBorders>
                  <w:vAlign w:val="center"/>
                </w:tcPr>
                <w:p w14:paraId="6375F0B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灌溉设施</w:t>
                  </w:r>
                </w:p>
              </w:tc>
            </w:tr>
            <w:tr w14:paraId="54243F7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3" w:hRule="atLeast"/>
                <w:jc w:val="center"/>
              </w:trPr>
              <w:tc>
                <w:tcPr>
                  <w:tcW w:w="629" w:type="pct"/>
                  <w:tcBorders>
                    <w:tl2br w:val="nil"/>
                    <w:tr2bl w:val="nil"/>
                  </w:tcBorders>
                  <w:vAlign w:val="center"/>
                </w:tcPr>
                <w:p w14:paraId="2037B3A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6</w:t>
                  </w:r>
                </w:p>
              </w:tc>
              <w:tc>
                <w:tcPr>
                  <w:tcW w:w="1598" w:type="pct"/>
                  <w:tcBorders>
                    <w:tl2br w:val="nil"/>
                    <w:tr2bl w:val="nil"/>
                  </w:tcBorders>
                  <w:vAlign w:val="center"/>
                </w:tcPr>
                <w:p w14:paraId="4C63EC4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森林防火标识标牌</w:t>
                  </w:r>
                </w:p>
              </w:tc>
              <w:tc>
                <w:tcPr>
                  <w:tcW w:w="666" w:type="pct"/>
                  <w:tcBorders>
                    <w:tl2br w:val="nil"/>
                    <w:tr2bl w:val="nil"/>
                  </w:tcBorders>
                  <w:vAlign w:val="center"/>
                </w:tcPr>
                <w:p w14:paraId="64A1FC7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684" w:type="pct"/>
                  <w:tcBorders>
                    <w:tl2br w:val="nil"/>
                    <w:tr2bl w:val="nil"/>
                  </w:tcBorders>
                  <w:vAlign w:val="center"/>
                </w:tcPr>
                <w:p w14:paraId="7A37166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若干</w:t>
                  </w:r>
                </w:p>
              </w:tc>
              <w:tc>
                <w:tcPr>
                  <w:tcW w:w="1421" w:type="pct"/>
                  <w:tcBorders>
                    <w:tl2br w:val="nil"/>
                    <w:tr2bl w:val="nil"/>
                  </w:tcBorders>
                  <w:vAlign w:val="center"/>
                </w:tcPr>
                <w:p w14:paraId="0BDC9EB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项目区主要的交通道路岔路口、道路交接处、重要节点位置设置</w:t>
                  </w:r>
                </w:p>
              </w:tc>
            </w:tr>
          </w:tbl>
          <w:p w14:paraId="18627191">
            <w:pPr>
              <w:spacing w:before="36" w:line="360" w:lineRule="auto"/>
              <w:ind w:firstLine="612"/>
              <w:rPr>
                <w:rFonts w:hint="default" w:ascii="Times New Roman" w:hAnsi="Times New Roman" w:eastAsia="宋体" w:cs="Times New Roman"/>
                <w:b/>
                <w:bCs/>
                <w:color w:val="auto"/>
                <w:spacing w:val="-7"/>
                <w:sz w:val="24"/>
                <w:szCs w:val="24"/>
              </w:rPr>
            </w:pPr>
            <w:r>
              <w:rPr>
                <w:rFonts w:hint="default" w:ascii="Times New Roman" w:hAnsi="Times New Roman" w:eastAsia="宋体" w:cs="Times New Roman"/>
                <w:b/>
                <w:bCs/>
                <w:color w:val="auto"/>
                <w:spacing w:val="-7"/>
                <w:sz w:val="24"/>
                <w:szCs w:val="24"/>
              </w:rPr>
              <w:t>6、主要原辅材料、能源消耗</w:t>
            </w:r>
          </w:p>
          <w:p w14:paraId="49E6F6EA">
            <w:pPr>
              <w:spacing w:before="36" w:line="360" w:lineRule="auto"/>
              <w:ind w:firstLine="612"/>
              <w:rPr>
                <w:rFonts w:hint="default" w:ascii="Times New Roman" w:hAnsi="Times New Roman" w:eastAsia="宋体" w:cs="Times New Roman"/>
                <w:color w:val="auto"/>
                <w:spacing w:val="-7"/>
                <w:sz w:val="24"/>
                <w:szCs w:val="24"/>
              </w:rPr>
            </w:pPr>
            <w:r>
              <w:rPr>
                <w:rFonts w:hint="default" w:ascii="Times New Roman" w:hAnsi="Times New Roman" w:eastAsia="宋体" w:cs="Times New Roman"/>
                <w:color w:val="auto"/>
                <w:spacing w:val="-7"/>
                <w:sz w:val="24"/>
                <w:szCs w:val="24"/>
              </w:rPr>
              <w:t>项目主要原辅材料、能源消耗见下表。</w:t>
            </w:r>
          </w:p>
          <w:p w14:paraId="4161B0AE">
            <w:pPr>
              <w:spacing w:before="61"/>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表2-</w:t>
            </w:r>
            <w:r>
              <w:rPr>
                <w:rFonts w:hint="default" w:ascii="Times New Roman" w:hAnsi="Times New Roman" w:eastAsia="宋体" w:cs="Times New Roman"/>
                <w:b/>
                <w:bCs/>
                <w:color w:val="auto"/>
                <w:lang w:val="en-US" w:eastAsia="zh-CN"/>
              </w:rPr>
              <w:t>6</w:t>
            </w:r>
            <w:r>
              <w:rPr>
                <w:rFonts w:hint="default" w:ascii="Times New Roman" w:hAnsi="Times New Roman" w:eastAsia="宋体" w:cs="Times New Roman"/>
                <w:b/>
                <w:bCs/>
                <w:color w:val="auto"/>
              </w:rPr>
              <w:t xml:space="preserve">  项目主要原辅材料、能源消耗一览表</w:t>
            </w:r>
          </w:p>
          <w:tbl>
            <w:tblPr>
              <w:tblStyle w:val="32"/>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044"/>
              <w:gridCol w:w="2651"/>
              <w:gridCol w:w="1105"/>
              <w:gridCol w:w="1135"/>
              <w:gridCol w:w="2359"/>
            </w:tblGrid>
            <w:tr w14:paraId="50FFDEE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3" w:hRule="atLeast"/>
                <w:jc w:val="center"/>
              </w:trPr>
              <w:tc>
                <w:tcPr>
                  <w:tcW w:w="629" w:type="pct"/>
                  <w:tcBorders>
                    <w:tl2br w:val="nil"/>
                    <w:tr2bl w:val="nil"/>
                  </w:tcBorders>
                  <w:vAlign w:val="center"/>
                </w:tcPr>
                <w:p w14:paraId="5B36461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序号</w:t>
                  </w:r>
                </w:p>
              </w:tc>
              <w:tc>
                <w:tcPr>
                  <w:tcW w:w="1598" w:type="pct"/>
                  <w:tcBorders>
                    <w:tl2br w:val="nil"/>
                    <w:tr2bl w:val="nil"/>
                  </w:tcBorders>
                  <w:vAlign w:val="center"/>
                </w:tcPr>
                <w:p w14:paraId="04F7CE5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名称</w:t>
                  </w:r>
                </w:p>
              </w:tc>
              <w:tc>
                <w:tcPr>
                  <w:tcW w:w="666" w:type="pct"/>
                  <w:tcBorders>
                    <w:tl2br w:val="nil"/>
                    <w:tr2bl w:val="nil"/>
                  </w:tcBorders>
                  <w:vAlign w:val="center"/>
                </w:tcPr>
                <w:p w14:paraId="117DB83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单位</w:t>
                  </w:r>
                </w:p>
              </w:tc>
              <w:tc>
                <w:tcPr>
                  <w:tcW w:w="684" w:type="pct"/>
                  <w:tcBorders>
                    <w:tl2br w:val="nil"/>
                    <w:tr2bl w:val="nil"/>
                  </w:tcBorders>
                  <w:vAlign w:val="center"/>
                </w:tcPr>
                <w:p w14:paraId="0506F6E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用量</w:t>
                  </w:r>
                </w:p>
              </w:tc>
              <w:tc>
                <w:tcPr>
                  <w:tcW w:w="1422" w:type="pct"/>
                  <w:tcBorders>
                    <w:tl2br w:val="nil"/>
                    <w:tr2bl w:val="nil"/>
                  </w:tcBorders>
                  <w:vAlign w:val="center"/>
                </w:tcPr>
                <w:p w14:paraId="3C88BF9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备注</w:t>
                  </w:r>
                </w:p>
              </w:tc>
            </w:tr>
            <w:tr w14:paraId="4E607F8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3" w:hRule="atLeast"/>
                <w:jc w:val="center"/>
              </w:trPr>
              <w:tc>
                <w:tcPr>
                  <w:tcW w:w="629" w:type="pct"/>
                  <w:tcBorders>
                    <w:tl2br w:val="nil"/>
                    <w:tr2bl w:val="nil"/>
                  </w:tcBorders>
                  <w:vAlign w:val="center"/>
                </w:tcPr>
                <w:p w14:paraId="77D078C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一</w:t>
                  </w:r>
                </w:p>
              </w:tc>
              <w:tc>
                <w:tcPr>
                  <w:tcW w:w="4370" w:type="pct"/>
                  <w:gridSpan w:val="4"/>
                  <w:tcBorders>
                    <w:tl2br w:val="nil"/>
                    <w:tr2bl w:val="nil"/>
                  </w:tcBorders>
                  <w:vAlign w:val="center"/>
                </w:tcPr>
                <w:p w14:paraId="75F0C5D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施工期</w:t>
                  </w:r>
                </w:p>
              </w:tc>
            </w:tr>
            <w:tr w14:paraId="6B437CC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3" w:hRule="atLeast"/>
                <w:jc w:val="center"/>
              </w:trPr>
              <w:tc>
                <w:tcPr>
                  <w:tcW w:w="629" w:type="pct"/>
                  <w:tcBorders>
                    <w:tl2br w:val="nil"/>
                    <w:tr2bl w:val="nil"/>
                  </w:tcBorders>
                  <w:vAlign w:val="center"/>
                </w:tcPr>
                <w:p w14:paraId="3673867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w:t>
                  </w:r>
                </w:p>
              </w:tc>
              <w:tc>
                <w:tcPr>
                  <w:tcW w:w="1598" w:type="pct"/>
                  <w:tcBorders>
                    <w:tl2br w:val="nil"/>
                    <w:tr2bl w:val="nil"/>
                  </w:tcBorders>
                  <w:vAlign w:val="center"/>
                </w:tcPr>
                <w:p w14:paraId="201E399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沥青</w:t>
                  </w:r>
                </w:p>
              </w:tc>
              <w:tc>
                <w:tcPr>
                  <w:tcW w:w="666" w:type="pct"/>
                  <w:tcBorders>
                    <w:tl2br w:val="nil"/>
                    <w:tr2bl w:val="nil"/>
                  </w:tcBorders>
                  <w:vAlign w:val="center"/>
                </w:tcPr>
                <w:p w14:paraId="3292627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m</w:t>
                  </w:r>
                  <w:r>
                    <w:rPr>
                      <w:rFonts w:hint="default" w:ascii="Times New Roman" w:hAnsi="Times New Roman" w:eastAsia="宋体" w:cs="Times New Roman"/>
                      <w:color w:val="auto"/>
                      <w:vertAlign w:val="superscript"/>
                    </w:rPr>
                    <w:t>3</w:t>
                  </w:r>
                </w:p>
              </w:tc>
              <w:tc>
                <w:tcPr>
                  <w:tcW w:w="684" w:type="pct"/>
                  <w:tcBorders>
                    <w:tl2br w:val="nil"/>
                    <w:tr2bl w:val="nil"/>
                  </w:tcBorders>
                  <w:vAlign w:val="center"/>
                </w:tcPr>
                <w:p w14:paraId="4DD9709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1000</w:t>
                  </w:r>
                </w:p>
              </w:tc>
              <w:tc>
                <w:tcPr>
                  <w:tcW w:w="1422" w:type="pct"/>
                  <w:tcBorders>
                    <w:tl2br w:val="nil"/>
                    <w:tr2bl w:val="nil"/>
                  </w:tcBorders>
                  <w:vAlign w:val="center"/>
                </w:tcPr>
                <w:p w14:paraId="11B3B29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r>
            <w:tr w14:paraId="03904D6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33" w:hRule="atLeast"/>
                <w:jc w:val="center"/>
              </w:trPr>
              <w:tc>
                <w:tcPr>
                  <w:tcW w:w="629" w:type="pct"/>
                  <w:tcBorders>
                    <w:tl2br w:val="nil"/>
                    <w:tr2bl w:val="nil"/>
                  </w:tcBorders>
                  <w:vAlign w:val="center"/>
                </w:tcPr>
                <w:p w14:paraId="7C228EB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w:t>
                  </w:r>
                </w:p>
              </w:tc>
              <w:tc>
                <w:tcPr>
                  <w:tcW w:w="1598" w:type="pct"/>
                  <w:tcBorders>
                    <w:tl2br w:val="nil"/>
                    <w:tr2bl w:val="nil"/>
                  </w:tcBorders>
                  <w:vAlign w:val="center"/>
                </w:tcPr>
                <w:p w14:paraId="0F1398B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混凝土</w:t>
                  </w:r>
                </w:p>
              </w:tc>
              <w:tc>
                <w:tcPr>
                  <w:tcW w:w="666" w:type="pct"/>
                  <w:tcBorders>
                    <w:tl2br w:val="nil"/>
                    <w:tr2bl w:val="nil"/>
                  </w:tcBorders>
                  <w:vAlign w:val="center"/>
                </w:tcPr>
                <w:p w14:paraId="64E65C3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m</w:t>
                  </w:r>
                  <w:r>
                    <w:rPr>
                      <w:rFonts w:hint="default" w:ascii="Times New Roman" w:hAnsi="Times New Roman" w:eastAsia="宋体" w:cs="Times New Roman"/>
                      <w:color w:val="auto"/>
                      <w:vertAlign w:val="superscript"/>
                    </w:rPr>
                    <w:t>3</w:t>
                  </w:r>
                </w:p>
              </w:tc>
              <w:tc>
                <w:tcPr>
                  <w:tcW w:w="684" w:type="pct"/>
                  <w:tcBorders>
                    <w:tl2br w:val="nil"/>
                    <w:tr2bl w:val="nil"/>
                  </w:tcBorders>
                  <w:vAlign w:val="center"/>
                </w:tcPr>
                <w:p w14:paraId="757557D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1500</w:t>
                  </w:r>
                </w:p>
              </w:tc>
              <w:tc>
                <w:tcPr>
                  <w:tcW w:w="1422" w:type="pct"/>
                  <w:tcBorders>
                    <w:tl2br w:val="nil"/>
                    <w:tr2bl w:val="nil"/>
                  </w:tcBorders>
                  <w:vAlign w:val="center"/>
                </w:tcPr>
                <w:p w14:paraId="6B27594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r>
            <w:tr w14:paraId="6C65CF4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8" w:hRule="atLeast"/>
                <w:jc w:val="center"/>
              </w:trPr>
              <w:tc>
                <w:tcPr>
                  <w:tcW w:w="629" w:type="pct"/>
                  <w:tcBorders>
                    <w:tl2br w:val="nil"/>
                    <w:tr2bl w:val="nil"/>
                  </w:tcBorders>
                  <w:vAlign w:val="center"/>
                </w:tcPr>
                <w:p w14:paraId="3755D20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w:t>
                  </w:r>
                </w:p>
              </w:tc>
              <w:tc>
                <w:tcPr>
                  <w:tcW w:w="1598" w:type="pct"/>
                  <w:tcBorders>
                    <w:tl2br w:val="nil"/>
                    <w:tr2bl w:val="nil"/>
                  </w:tcBorders>
                  <w:vAlign w:val="center"/>
                </w:tcPr>
                <w:p w14:paraId="7472842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砂</w:t>
                  </w:r>
                </w:p>
              </w:tc>
              <w:tc>
                <w:tcPr>
                  <w:tcW w:w="666" w:type="pct"/>
                  <w:tcBorders>
                    <w:tl2br w:val="nil"/>
                    <w:tr2bl w:val="nil"/>
                  </w:tcBorders>
                  <w:vAlign w:val="center"/>
                </w:tcPr>
                <w:p w14:paraId="7B18991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m</w:t>
                  </w:r>
                  <w:r>
                    <w:rPr>
                      <w:rFonts w:hint="default" w:ascii="Times New Roman" w:hAnsi="Times New Roman" w:eastAsia="宋体" w:cs="Times New Roman"/>
                      <w:color w:val="auto"/>
                      <w:vertAlign w:val="superscript"/>
                    </w:rPr>
                    <w:t>3</w:t>
                  </w:r>
                </w:p>
              </w:tc>
              <w:tc>
                <w:tcPr>
                  <w:tcW w:w="684" w:type="pct"/>
                  <w:tcBorders>
                    <w:tl2br w:val="nil"/>
                    <w:tr2bl w:val="nil"/>
                  </w:tcBorders>
                  <w:vAlign w:val="center"/>
                </w:tcPr>
                <w:p w14:paraId="76AF7BD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1000</w:t>
                  </w:r>
                </w:p>
              </w:tc>
              <w:tc>
                <w:tcPr>
                  <w:tcW w:w="1422" w:type="pct"/>
                  <w:tcBorders>
                    <w:tl2br w:val="nil"/>
                    <w:tr2bl w:val="nil"/>
                  </w:tcBorders>
                  <w:vAlign w:val="center"/>
                </w:tcPr>
                <w:p w14:paraId="6109D0F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r>
            <w:tr w14:paraId="2BF05D7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08" w:hRule="atLeast"/>
                <w:jc w:val="center"/>
              </w:trPr>
              <w:tc>
                <w:tcPr>
                  <w:tcW w:w="629" w:type="pct"/>
                  <w:tcBorders>
                    <w:tl2br w:val="nil"/>
                    <w:tr2bl w:val="nil"/>
                  </w:tcBorders>
                  <w:vAlign w:val="center"/>
                </w:tcPr>
                <w:p w14:paraId="0685592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4</w:t>
                  </w:r>
                </w:p>
              </w:tc>
              <w:tc>
                <w:tcPr>
                  <w:tcW w:w="1598" w:type="pct"/>
                  <w:tcBorders>
                    <w:tl2br w:val="nil"/>
                    <w:tr2bl w:val="nil"/>
                  </w:tcBorders>
                  <w:vAlign w:val="center"/>
                </w:tcPr>
                <w:p w14:paraId="3449583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石子</w:t>
                  </w:r>
                </w:p>
              </w:tc>
              <w:tc>
                <w:tcPr>
                  <w:tcW w:w="666" w:type="pct"/>
                  <w:tcBorders>
                    <w:tl2br w:val="nil"/>
                    <w:tr2bl w:val="nil"/>
                  </w:tcBorders>
                  <w:vAlign w:val="center"/>
                </w:tcPr>
                <w:p w14:paraId="3FEA5CC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m</w:t>
                  </w:r>
                  <w:r>
                    <w:rPr>
                      <w:rFonts w:hint="default" w:ascii="Times New Roman" w:hAnsi="Times New Roman" w:eastAsia="宋体" w:cs="Times New Roman"/>
                      <w:color w:val="auto"/>
                      <w:vertAlign w:val="superscript"/>
                    </w:rPr>
                    <w:t>3</w:t>
                  </w:r>
                </w:p>
              </w:tc>
              <w:tc>
                <w:tcPr>
                  <w:tcW w:w="684" w:type="pct"/>
                  <w:tcBorders>
                    <w:tl2br w:val="nil"/>
                    <w:tr2bl w:val="nil"/>
                  </w:tcBorders>
                  <w:vAlign w:val="center"/>
                </w:tcPr>
                <w:p w14:paraId="5CB3537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800</w:t>
                  </w:r>
                </w:p>
              </w:tc>
              <w:tc>
                <w:tcPr>
                  <w:tcW w:w="1422" w:type="pct"/>
                  <w:tcBorders>
                    <w:tl2br w:val="nil"/>
                    <w:tr2bl w:val="nil"/>
                  </w:tcBorders>
                  <w:vAlign w:val="center"/>
                </w:tcPr>
                <w:p w14:paraId="7D872C1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r>
            <w:tr w14:paraId="3AC31E4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3" w:hRule="atLeast"/>
                <w:jc w:val="center"/>
              </w:trPr>
              <w:tc>
                <w:tcPr>
                  <w:tcW w:w="629" w:type="pct"/>
                  <w:tcBorders>
                    <w:tl2br w:val="nil"/>
                    <w:tr2bl w:val="nil"/>
                  </w:tcBorders>
                  <w:vAlign w:val="center"/>
                </w:tcPr>
                <w:p w14:paraId="223FC18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二</w:t>
                  </w:r>
                </w:p>
              </w:tc>
              <w:tc>
                <w:tcPr>
                  <w:tcW w:w="4370" w:type="pct"/>
                  <w:gridSpan w:val="4"/>
                  <w:tcBorders>
                    <w:tl2br w:val="nil"/>
                    <w:tr2bl w:val="nil"/>
                  </w:tcBorders>
                  <w:vAlign w:val="center"/>
                </w:tcPr>
                <w:p w14:paraId="64FE015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运营期</w:t>
                  </w:r>
                </w:p>
              </w:tc>
            </w:tr>
            <w:tr w14:paraId="6B8A876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3" w:hRule="atLeast"/>
                <w:jc w:val="center"/>
              </w:trPr>
              <w:tc>
                <w:tcPr>
                  <w:tcW w:w="629" w:type="pct"/>
                  <w:tcBorders>
                    <w:tl2br w:val="nil"/>
                    <w:tr2bl w:val="nil"/>
                  </w:tcBorders>
                  <w:vAlign w:val="center"/>
                </w:tcPr>
                <w:p w14:paraId="65B229E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w:t>
                  </w:r>
                </w:p>
              </w:tc>
              <w:tc>
                <w:tcPr>
                  <w:tcW w:w="1598" w:type="pct"/>
                  <w:tcBorders>
                    <w:tl2br w:val="nil"/>
                    <w:tr2bl w:val="nil"/>
                  </w:tcBorders>
                  <w:vAlign w:val="center"/>
                </w:tcPr>
                <w:p w14:paraId="6D20E0E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水</w:t>
                  </w:r>
                </w:p>
              </w:tc>
              <w:tc>
                <w:tcPr>
                  <w:tcW w:w="666" w:type="pct"/>
                  <w:tcBorders>
                    <w:tl2br w:val="nil"/>
                    <w:tr2bl w:val="nil"/>
                  </w:tcBorders>
                  <w:vAlign w:val="center"/>
                </w:tcPr>
                <w:p w14:paraId="7A47B8C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m</w:t>
                  </w:r>
                  <w:r>
                    <w:rPr>
                      <w:rFonts w:hint="default" w:ascii="Times New Roman" w:hAnsi="Times New Roman" w:eastAsia="宋体" w:cs="Times New Roman"/>
                      <w:color w:val="auto"/>
                      <w:vertAlign w:val="superscript"/>
                    </w:rPr>
                    <w:t>3</w:t>
                  </w:r>
                  <w:r>
                    <w:rPr>
                      <w:rFonts w:hint="default" w:ascii="Times New Roman" w:hAnsi="Times New Roman" w:eastAsia="宋体" w:cs="Times New Roman"/>
                      <w:color w:val="auto"/>
                    </w:rPr>
                    <w:t>/a</w:t>
                  </w:r>
                </w:p>
              </w:tc>
              <w:tc>
                <w:tcPr>
                  <w:tcW w:w="684" w:type="pct"/>
                  <w:tcBorders>
                    <w:tl2br w:val="nil"/>
                    <w:tr2bl w:val="nil"/>
                  </w:tcBorders>
                  <w:vAlign w:val="center"/>
                </w:tcPr>
                <w:p w14:paraId="35C1097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8万</w:t>
                  </w:r>
                </w:p>
              </w:tc>
              <w:tc>
                <w:tcPr>
                  <w:tcW w:w="1422" w:type="pct"/>
                  <w:tcBorders>
                    <w:tl2br w:val="nil"/>
                    <w:tr2bl w:val="nil"/>
                  </w:tcBorders>
                  <w:vAlign w:val="center"/>
                </w:tcPr>
                <w:p w14:paraId="132C75F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附近水源</w:t>
                  </w:r>
                </w:p>
              </w:tc>
            </w:tr>
            <w:tr w14:paraId="5EC7757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3" w:hRule="atLeast"/>
                <w:jc w:val="center"/>
              </w:trPr>
              <w:tc>
                <w:tcPr>
                  <w:tcW w:w="629" w:type="pct"/>
                  <w:tcBorders>
                    <w:tl2br w:val="nil"/>
                    <w:tr2bl w:val="nil"/>
                  </w:tcBorders>
                  <w:vAlign w:val="center"/>
                </w:tcPr>
                <w:p w14:paraId="785D829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w:t>
                  </w:r>
                </w:p>
              </w:tc>
              <w:tc>
                <w:tcPr>
                  <w:tcW w:w="1598" w:type="pct"/>
                  <w:tcBorders>
                    <w:tl2br w:val="nil"/>
                    <w:tr2bl w:val="nil"/>
                  </w:tcBorders>
                  <w:vAlign w:val="center"/>
                </w:tcPr>
                <w:p w14:paraId="0D04832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电</w:t>
                  </w:r>
                </w:p>
              </w:tc>
              <w:tc>
                <w:tcPr>
                  <w:tcW w:w="666" w:type="pct"/>
                  <w:tcBorders>
                    <w:tl2br w:val="nil"/>
                    <w:tr2bl w:val="nil"/>
                  </w:tcBorders>
                  <w:vAlign w:val="center"/>
                </w:tcPr>
                <w:p w14:paraId="632DCEC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m</w:t>
                  </w:r>
                  <w:r>
                    <w:rPr>
                      <w:rFonts w:hint="default" w:ascii="Times New Roman" w:hAnsi="Times New Roman" w:eastAsia="宋体" w:cs="Times New Roman"/>
                      <w:color w:val="auto"/>
                      <w:vertAlign w:val="superscript"/>
                    </w:rPr>
                    <w:t>3</w:t>
                  </w:r>
                  <w:r>
                    <w:rPr>
                      <w:rFonts w:hint="default" w:ascii="Times New Roman" w:hAnsi="Times New Roman" w:eastAsia="宋体" w:cs="Times New Roman"/>
                      <w:color w:val="auto"/>
                    </w:rPr>
                    <w:t>/a</w:t>
                  </w:r>
                </w:p>
              </w:tc>
              <w:tc>
                <w:tcPr>
                  <w:tcW w:w="684" w:type="pct"/>
                  <w:tcBorders>
                    <w:tl2br w:val="nil"/>
                    <w:tr2bl w:val="nil"/>
                  </w:tcBorders>
                  <w:vAlign w:val="center"/>
                </w:tcPr>
                <w:p w14:paraId="66BC68B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30000</w:t>
                  </w:r>
                </w:p>
              </w:tc>
              <w:tc>
                <w:tcPr>
                  <w:tcW w:w="1422" w:type="pct"/>
                  <w:tcBorders>
                    <w:tl2br w:val="nil"/>
                    <w:tr2bl w:val="nil"/>
                  </w:tcBorders>
                  <w:vAlign w:val="center"/>
                </w:tcPr>
                <w:p w14:paraId="39DB728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由区域电网供给</w:t>
                  </w:r>
                </w:p>
              </w:tc>
            </w:tr>
            <w:tr w14:paraId="0BEE51C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3" w:hRule="atLeast"/>
                <w:jc w:val="center"/>
              </w:trPr>
              <w:tc>
                <w:tcPr>
                  <w:tcW w:w="629" w:type="pct"/>
                  <w:tcBorders>
                    <w:tl2br w:val="nil"/>
                    <w:tr2bl w:val="nil"/>
                  </w:tcBorders>
                  <w:vAlign w:val="center"/>
                </w:tcPr>
                <w:p w14:paraId="58A2552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w:t>
                  </w:r>
                </w:p>
              </w:tc>
              <w:tc>
                <w:tcPr>
                  <w:tcW w:w="1598" w:type="pct"/>
                  <w:tcBorders>
                    <w:tl2br w:val="nil"/>
                    <w:tr2bl w:val="nil"/>
                  </w:tcBorders>
                  <w:vAlign w:val="center"/>
                </w:tcPr>
                <w:p w14:paraId="530F71F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肥料</w:t>
                  </w:r>
                </w:p>
              </w:tc>
              <w:tc>
                <w:tcPr>
                  <w:tcW w:w="666" w:type="pct"/>
                  <w:tcBorders>
                    <w:tl2br w:val="nil"/>
                    <w:tr2bl w:val="nil"/>
                  </w:tcBorders>
                  <w:vAlign w:val="center"/>
                </w:tcPr>
                <w:p w14:paraId="50371EF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t/a</w:t>
                  </w:r>
                </w:p>
              </w:tc>
              <w:tc>
                <w:tcPr>
                  <w:tcW w:w="684" w:type="pct"/>
                  <w:tcBorders>
                    <w:tl2br w:val="nil"/>
                    <w:tr2bl w:val="nil"/>
                  </w:tcBorders>
                  <w:vAlign w:val="center"/>
                </w:tcPr>
                <w:p w14:paraId="485F368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1000</w:t>
                  </w:r>
                </w:p>
              </w:tc>
              <w:tc>
                <w:tcPr>
                  <w:tcW w:w="1422" w:type="pct"/>
                  <w:tcBorders>
                    <w:tl2br w:val="nil"/>
                    <w:tr2bl w:val="nil"/>
                  </w:tcBorders>
                  <w:vAlign w:val="center"/>
                </w:tcPr>
                <w:p w14:paraId="3627C72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r>
          </w:tbl>
          <w:p w14:paraId="3D6364A3">
            <w:pPr>
              <w:spacing w:before="36" w:line="360" w:lineRule="auto"/>
              <w:ind w:firstLine="612"/>
              <w:rPr>
                <w:rFonts w:hint="default" w:ascii="Times New Roman" w:hAnsi="Times New Roman" w:eastAsia="宋体" w:cs="Times New Roman"/>
                <w:b/>
                <w:bCs/>
                <w:color w:val="auto"/>
                <w:spacing w:val="-7"/>
                <w:sz w:val="24"/>
                <w:szCs w:val="24"/>
              </w:rPr>
            </w:pPr>
          </w:p>
          <w:p w14:paraId="504FB1EA">
            <w:pPr>
              <w:spacing w:before="36" w:line="360" w:lineRule="auto"/>
              <w:ind w:firstLine="612"/>
              <w:rPr>
                <w:rFonts w:hint="default" w:ascii="Times New Roman" w:hAnsi="Times New Roman" w:eastAsia="宋体" w:cs="Times New Roman"/>
                <w:b/>
                <w:bCs/>
                <w:color w:val="auto"/>
                <w:spacing w:val="-7"/>
                <w:sz w:val="24"/>
                <w:szCs w:val="24"/>
              </w:rPr>
            </w:pPr>
          </w:p>
          <w:p w14:paraId="2E000206">
            <w:pPr>
              <w:spacing w:before="36" w:line="360" w:lineRule="auto"/>
              <w:ind w:firstLine="612"/>
              <w:rPr>
                <w:rFonts w:hint="default" w:ascii="Times New Roman" w:hAnsi="Times New Roman" w:eastAsia="宋体" w:cs="Times New Roman"/>
                <w:b/>
                <w:bCs/>
                <w:color w:val="auto"/>
                <w:spacing w:val="-7"/>
                <w:sz w:val="24"/>
                <w:szCs w:val="24"/>
              </w:rPr>
            </w:pPr>
            <w:r>
              <w:rPr>
                <w:rFonts w:hint="default" w:ascii="Times New Roman" w:hAnsi="Times New Roman" w:eastAsia="宋体" w:cs="Times New Roman"/>
                <w:b/>
                <w:bCs/>
                <w:color w:val="auto"/>
                <w:spacing w:val="-7"/>
                <w:sz w:val="24"/>
                <w:szCs w:val="24"/>
              </w:rPr>
              <w:t>7、技术工艺设计</w:t>
            </w:r>
          </w:p>
          <w:p w14:paraId="5A483087">
            <w:pPr>
              <w:spacing w:before="36" w:line="360" w:lineRule="auto"/>
              <w:ind w:firstLine="612"/>
              <w:rPr>
                <w:rFonts w:hint="default" w:ascii="Times New Roman" w:hAnsi="Times New Roman" w:eastAsia="宋体" w:cs="Times New Roman"/>
                <w:b/>
                <w:bCs/>
                <w:color w:val="auto"/>
                <w:spacing w:val="-7"/>
                <w:sz w:val="24"/>
                <w:szCs w:val="24"/>
                <w:u w:val="single"/>
              </w:rPr>
            </w:pPr>
            <w:r>
              <w:rPr>
                <w:rFonts w:hint="default" w:ascii="Times New Roman" w:hAnsi="Times New Roman" w:eastAsia="宋体" w:cs="Times New Roman"/>
                <w:b/>
                <w:bCs/>
                <w:color w:val="auto"/>
                <w:spacing w:val="-7"/>
                <w:sz w:val="24"/>
                <w:szCs w:val="24"/>
                <w:u w:val="single"/>
              </w:rPr>
              <w:t>7.1立地类型划分</w:t>
            </w:r>
          </w:p>
          <w:p w14:paraId="22734439">
            <w:pPr>
              <w:spacing w:before="36" w:line="360" w:lineRule="auto"/>
              <w:ind w:firstLine="612"/>
              <w:rPr>
                <w:rFonts w:hint="default" w:ascii="Times New Roman" w:hAnsi="Times New Roman" w:eastAsia="宋体" w:cs="Times New Roman"/>
                <w:color w:val="auto"/>
                <w:spacing w:val="-7"/>
                <w:sz w:val="24"/>
                <w:szCs w:val="24"/>
              </w:rPr>
            </w:pPr>
            <w:r>
              <w:rPr>
                <w:rFonts w:hint="default" w:ascii="Times New Roman" w:hAnsi="Times New Roman" w:eastAsia="宋体" w:cs="Times New Roman"/>
                <w:color w:val="auto"/>
                <w:spacing w:val="-7"/>
                <w:sz w:val="24"/>
                <w:szCs w:val="24"/>
              </w:rPr>
              <w:t>采用类型区-类型亚区-类型组-立地类型的划分系统，按照土壤厚度为主导因子，划分立地类型，编制立地类型划分表。</w:t>
            </w:r>
          </w:p>
          <w:p w14:paraId="4CE1B58D">
            <w:pPr>
              <w:spacing w:before="36" w:line="360" w:lineRule="auto"/>
              <w:ind w:firstLine="612"/>
              <w:rPr>
                <w:rFonts w:hint="default" w:ascii="Times New Roman" w:hAnsi="Times New Roman" w:eastAsia="宋体" w:cs="Times New Roman"/>
                <w:b/>
                <w:bCs/>
                <w:color w:val="auto"/>
                <w:spacing w:val="-7"/>
                <w:sz w:val="24"/>
                <w:szCs w:val="24"/>
              </w:rPr>
            </w:pPr>
            <w:r>
              <w:rPr>
                <w:rFonts w:hint="default" w:ascii="Times New Roman" w:hAnsi="Times New Roman" w:eastAsia="宋体" w:cs="Times New Roman"/>
                <w:b/>
                <w:bCs/>
                <w:color w:val="auto"/>
                <w:spacing w:val="-7"/>
                <w:sz w:val="24"/>
                <w:szCs w:val="24"/>
              </w:rPr>
              <w:t>7.1.1划分原则</w:t>
            </w:r>
          </w:p>
          <w:p w14:paraId="665C2B4F">
            <w:pPr>
              <w:spacing w:before="36" w:line="360" w:lineRule="auto"/>
              <w:ind w:firstLine="612"/>
              <w:rPr>
                <w:rFonts w:hint="default" w:ascii="Times New Roman" w:hAnsi="Times New Roman" w:eastAsia="宋体" w:cs="Times New Roman"/>
                <w:color w:val="auto"/>
                <w:spacing w:val="-7"/>
                <w:sz w:val="24"/>
                <w:szCs w:val="24"/>
              </w:rPr>
            </w:pPr>
            <w:r>
              <w:rPr>
                <w:rFonts w:hint="default" w:ascii="Times New Roman" w:hAnsi="Times New Roman" w:eastAsia="宋体" w:cs="Times New Roman"/>
                <w:color w:val="auto"/>
                <w:spacing w:val="-7"/>
                <w:sz w:val="24"/>
                <w:szCs w:val="24"/>
              </w:rPr>
              <w:t>为求科学与实用，尽可能使立地类型划分简单明了，便于掌握，应用方便。因此，立地分类和林业区划结合起来，在林业区划的基础上进行分类。</w:t>
            </w:r>
          </w:p>
          <w:p w14:paraId="7E85CA7E">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7</w:t>
            </w:r>
            <w:r>
              <w:rPr>
                <w:rFonts w:hint="default" w:ascii="Times New Roman" w:hAnsi="Times New Roman" w:eastAsia="宋体" w:cs="Times New Roman"/>
                <w:b/>
                <w:bCs/>
                <w:color w:val="auto"/>
                <w:spacing w:val="-7"/>
                <w:sz w:val="24"/>
                <w:szCs w:val="24"/>
              </w:rPr>
              <w:t>.1.</w:t>
            </w:r>
            <w:r>
              <w:rPr>
                <w:rFonts w:hint="default" w:ascii="Times New Roman" w:hAnsi="Times New Roman" w:eastAsia="宋体" w:cs="Times New Roman"/>
                <w:b/>
                <w:bCs/>
                <w:color w:val="auto"/>
                <w:spacing w:val="-7"/>
                <w:sz w:val="24"/>
                <w:szCs w:val="24"/>
                <w:lang w:val="en-US" w:eastAsia="zh-CN"/>
              </w:rPr>
              <w:t>2</w:t>
            </w:r>
            <w:r>
              <w:rPr>
                <w:rFonts w:hint="default" w:ascii="Times New Roman" w:hAnsi="Times New Roman" w:eastAsia="宋体" w:cs="Times New Roman"/>
                <w:b/>
                <w:bCs/>
                <w:color w:val="auto"/>
                <w:spacing w:val="-7"/>
                <w:sz w:val="24"/>
                <w:szCs w:val="24"/>
              </w:rPr>
              <w:t xml:space="preserve"> </w:t>
            </w:r>
            <w:r>
              <w:rPr>
                <w:rFonts w:hint="default" w:ascii="Times New Roman" w:hAnsi="Times New Roman" w:eastAsia="宋体" w:cs="Times New Roman"/>
                <w:b/>
                <w:bCs/>
                <w:color w:val="auto"/>
                <w:spacing w:val="-7"/>
                <w:sz w:val="24"/>
                <w:szCs w:val="24"/>
                <w:lang w:val="en-US" w:eastAsia="zh-CN"/>
              </w:rPr>
              <w:t>立地类型分类系统</w:t>
            </w:r>
          </w:p>
          <w:p w14:paraId="04699082">
            <w:pPr>
              <w:spacing w:before="36" w:line="360" w:lineRule="auto"/>
              <w:ind w:firstLine="612"/>
              <w:rPr>
                <w:rFonts w:hint="default" w:ascii="Times New Roman" w:hAnsi="Times New Roman" w:eastAsia="宋体" w:cs="Times New Roman"/>
                <w:color w:val="auto"/>
                <w:spacing w:val="-7"/>
                <w:sz w:val="24"/>
                <w:szCs w:val="24"/>
              </w:rPr>
            </w:pPr>
            <w:r>
              <w:rPr>
                <w:rFonts w:hint="default" w:ascii="Times New Roman" w:hAnsi="Times New Roman" w:eastAsia="宋体" w:cs="Times New Roman"/>
                <w:color w:val="auto"/>
                <w:spacing w:val="-7"/>
                <w:sz w:val="24"/>
                <w:szCs w:val="24"/>
              </w:rPr>
              <w:t>立地类型采用立地区——立地亚区——类型组——类型四级分类系统。</w:t>
            </w:r>
          </w:p>
          <w:p w14:paraId="737EDFED">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7.1.3 立地类型</w:t>
            </w:r>
          </w:p>
          <w:p w14:paraId="1FE5882E">
            <w:pPr>
              <w:spacing w:before="36" w:line="360" w:lineRule="auto"/>
              <w:ind w:firstLine="612"/>
              <w:rPr>
                <w:rFonts w:hint="default" w:ascii="Times New Roman" w:hAnsi="Times New Roman" w:eastAsia="宋体" w:cs="Times New Roman"/>
                <w:color w:val="auto"/>
                <w:spacing w:val="-7"/>
                <w:sz w:val="24"/>
                <w:szCs w:val="24"/>
              </w:rPr>
            </w:pPr>
            <w:r>
              <w:rPr>
                <w:rFonts w:hint="default" w:ascii="Times New Roman" w:hAnsi="Times New Roman" w:eastAsia="宋体" w:cs="Times New Roman"/>
                <w:color w:val="auto"/>
                <w:spacing w:val="-7"/>
                <w:sz w:val="24"/>
                <w:szCs w:val="24"/>
              </w:rPr>
              <w:t>依据乐至县2020年森林资源管理一张图成果，以《四川省立地类型表》为基础，结合外业调查成果，按照区域生态环境因子与植物适生性特点，选择土壤厚度因子作为划分立地类型的主导因子，项目区建设划分为1个立地类型组，及1个立地类型。详见</w:t>
            </w:r>
            <w:r>
              <w:rPr>
                <w:rFonts w:hint="default" w:ascii="Times New Roman" w:hAnsi="Times New Roman" w:eastAsia="宋体" w:cs="Times New Roman"/>
                <w:color w:val="auto"/>
                <w:spacing w:val="-7"/>
                <w:sz w:val="24"/>
                <w:szCs w:val="24"/>
                <w:lang w:val="en-US" w:eastAsia="zh-CN"/>
              </w:rPr>
              <w:t>下</w:t>
            </w:r>
            <w:r>
              <w:rPr>
                <w:rFonts w:hint="default" w:ascii="Times New Roman" w:hAnsi="Times New Roman" w:eastAsia="宋体" w:cs="Times New Roman"/>
                <w:color w:val="auto"/>
                <w:spacing w:val="-7"/>
                <w:sz w:val="24"/>
                <w:szCs w:val="24"/>
              </w:rPr>
              <w:t>表。</w:t>
            </w:r>
          </w:p>
          <w:p w14:paraId="150A8FC0">
            <w:pPr>
              <w:spacing w:before="61"/>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表</w:t>
            </w:r>
            <w:r>
              <w:rPr>
                <w:rFonts w:hint="default" w:ascii="Times New Roman" w:hAnsi="Times New Roman" w:eastAsia="宋体" w:cs="Times New Roman"/>
                <w:b/>
                <w:bCs/>
                <w:color w:val="auto"/>
                <w:lang w:val="en-US" w:eastAsia="zh-CN"/>
              </w:rPr>
              <w:t xml:space="preserve">2-7 </w:t>
            </w:r>
            <w:r>
              <w:rPr>
                <w:rFonts w:hint="default" w:ascii="Times New Roman" w:hAnsi="Times New Roman" w:eastAsia="宋体" w:cs="Times New Roman"/>
                <w:b/>
                <w:bCs/>
                <w:color w:val="auto"/>
              </w:rPr>
              <w:t xml:space="preserve"> 项目区立地类型表</w:t>
            </w:r>
          </w:p>
          <w:tbl>
            <w:tblPr>
              <w:tblStyle w:val="32"/>
              <w:tblW w:w="8220" w:type="dxa"/>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
            <w:tblGrid>
              <w:gridCol w:w="416"/>
              <w:gridCol w:w="416"/>
              <w:gridCol w:w="677"/>
              <w:gridCol w:w="804"/>
              <w:gridCol w:w="1071"/>
              <w:gridCol w:w="1403"/>
              <w:gridCol w:w="2770"/>
              <w:gridCol w:w="663"/>
            </w:tblGrid>
            <w:tr w14:paraId="35A0A4D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15" w:hRule="atLeast"/>
                <w:jc w:val="center"/>
              </w:trPr>
              <w:tc>
                <w:tcPr>
                  <w:tcW w:w="427" w:type="dxa"/>
                  <w:vMerge w:val="restart"/>
                  <w:tcBorders>
                    <w:tl2br w:val="nil"/>
                    <w:tr2bl w:val="nil"/>
                  </w:tcBorders>
                  <w:shd w:val="clear" w:color="auto" w:fill="auto"/>
                  <w:vAlign w:val="center"/>
                </w:tcPr>
                <w:p w14:paraId="790F2DD0">
                  <w:pPr>
                    <w:widowControl/>
                    <w:jc w:val="center"/>
                    <w:rPr>
                      <w:rFonts w:hint="default" w:ascii="Times New Roman" w:hAnsi="Times New Roman" w:cs="Times New Roman" w:eastAsiaTheme="minorEastAsia"/>
                      <w:b/>
                      <w:bCs/>
                      <w:color w:val="auto"/>
                      <w:kern w:val="0"/>
                      <w:sz w:val="21"/>
                      <w:szCs w:val="21"/>
                      <w:highlight w:val="none"/>
                    </w:rPr>
                  </w:pPr>
                  <w:r>
                    <w:rPr>
                      <w:rFonts w:hint="default" w:ascii="Times New Roman" w:hAnsi="Times New Roman" w:cs="Times New Roman" w:eastAsiaTheme="minorEastAsia"/>
                      <w:b/>
                      <w:bCs/>
                      <w:color w:val="auto"/>
                      <w:kern w:val="0"/>
                      <w:sz w:val="21"/>
                      <w:szCs w:val="21"/>
                      <w:highlight w:val="none"/>
                    </w:rPr>
                    <w:t>立地区</w:t>
                  </w:r>
                </w:p>
              </w:tc>
              <w:tc>
                <w:tcPr>
                  <w:tcW w:w="427" w:type="dxa"/>
                  <w:vMerge w:val="restart"/>
                  <w:tcBorders>
                    <w:tl2br w:val="nil"/>
                    <w:tr2bl w:val="nil"/>
                  </w:tcBorders>
                  <w:shd w:val="clear" w:color="auto" w:fill="auto"/>
                  <w:vAlign w:val="center"/>
                </w:tcPr>
                <w:p w14:paraId="1210C205">
                  <w:pPr>
                    <w:widowControl/>
                    <w:jc w:val="center"/>
                    <w:rPr>
                      <w:rFonts w:hint="default" w:ascii="Times New Roman" w:hAnsi="Times New Roman" w:cs="Times New Roman" w:eastAsiaTheme="minorEastAsia"/>
                      <w:b/>
                      <w:bCs/>
                      <w:color w:val="auto"/>
                      <w:kern w:val="0"/>
                      <w:sz w:val="21"/>
                      <w:szCs w:val="21"/>
                      <w:highlight w:val="none"/>
                    </w:rPr>
                  </w:pPr>
                  <w:r>
                    <w:rPr>
                      <w:rFonts w:hint="default" w:ascii="Times New Roman" w:hAnsi="Times New Roman" w:cs="Times New Roman" w:eastAsiaTheme="minorEastAsia"/>
                      <w:b/>
                      <w:bCs/>
                      <w:color w:val="auto"/>
                      <w:kern w:val="0"/>
                      <w:sz w:val="21"/>
                      <w:szCs w:val="21"/>
                      <w:highlight w:val="none"/>
                    </w:rPr>
                    <w:t>立地亚区</w:t>
                  </w:r>
                </w:p>
              </w:tc>
              <w:tc>
                <w:tcPr>
                  <w:tcW w:w="701" w:type="dxa"/>
                  <w:tcBorders>
                    <w:tl2br w:val="nil"/>
                    <w:tr2bl w:val="nil"/>
                  </w:tcBorders>
                  <w:shd w:val="clear" w:color="auto" w:fill="auto"/>
                  <w:vAlign w:val="center"/>
                </w:tcPr>
                <w:p w14:paraId="4B24A90A">
                  <w:pPr>
                    <w:widowControl/>
                    <w:jc w:val="center"/>
                    <w:rPr>
                      <w:rFonts w:hint="default" w:ascii="Times New Roman" w:hAnsi="Times New Roman" w:cs="Times New Roman" w:eastAsiaTheme="minorEastAsia"/>
                      <w:b/>
                      <w:bCs/>
                      <w:color w:val="auto"/>
                      <w:kern w:val="0"/>
                      <w:sz w:val="21"/>
                      <w:szCs w:val="21"/>
                      <w:highlight w:val="none"/>
                    </w:rPr>
                  </w:pPr>
                  <w:r>
                    <w:rPr>
                      <w:rFonts w:hint="default" w:ascii="Times New Roman" w:hAnsi="Times New Roman" w:cs="Times New Roman" w:eastAsiaTheme="minorEastAsia"/>
                      <w:b/>
                      <w:bCs/>
                      <w:color w:val="auto"/>
                      <w:kern w:val="0"/>
                      <w:sz w:val="21"/>
                      <w:szCs w:val="21"/>
                      <w:highlight w:val="none"/>
                    </w:rPr>
                    <w:t>立地</w:t>
                  </w:r>
                </w:p>
              </w:tc>
              <w:tc>
                <w:tcPr>
                  <w:tcW w:w="835" w:type="dxa"/>
                  <w:vMerge w:val="restart"/>
                  <w:tcBorders>
                    <w:tl2br w:val="nil"/>
                    <w:tr2bl w:val="nil"/>
                  </w:tcBorders>
                  <w:shd w:val="clear" w:color="auto" w:fill="auto"/>
                  <w:vAlign w:val="center"/>
                </w:tcPr>
                <w:p w14:paraId="7C4BCD3F">
                  <w:pPr>
                    <w:widowControl/>
                    <w:jc w:val="center"/>
                    <w:rPr>
                      <w:rFonts w:hint="default" w:ascii="Times New Roman" w:hAnsi="Times New Roman" w:cs="Times New Roman" w:eastAsiaTheme="minorEastAsia"/>
                      <w:b/>
                      <w:bCs/>
                      <w:color w:val="auto"/>
                      <w:kern w:val="0"/>
                      <w:sz w:val="21"/>
                      <w:szCs w:val="21"/>
                      <w:highlight w:val="none"/>
                    </w:rPr>
                  </w:pPr>
                  <w:r>
                    <w:rPr>
                      <w:rFonts w:hint="default" w:ascii="Times New Roman" w:hAnsi="Times New Roman" w:cs="Times New Roman" w:eastAsiaTheme="minorEastAsia"/>
                      <w:b/>
                      <w:bCs/>
                      <w:color w:val="auto"/>
                      <w:kern w:val="0"/>
                      <w:sz w:val="21"/>
                      <w:szCs w:val="21"/>
                      <w:highlight w:val="none"/>
                    </w:rPr>
                    <w:t>立地类型</w:t>
                  </w:r>
                </w:p>
              </w:tc>
              <w:tc>
                <w:tcPr>
                  <w:tcW w:w="5488" w:type="dxa"/>
                  <w:gridSpan w:val="3"/>
                  <w:tcBorders>
                    <w:tl2br w:val="nil"/>
                    <w:tr2bl w:val="nil"/>
                  </w:tcBorders>
                  <w:shd w:val="clear" w:color="auto" w:fill="auto"/>
                  <w:vAlign w:val="center"/>
                </w:tcPr>
                <w:p w14:paraId="2AD0470A">
                  <w:pPr>
                    <w:widowControl/>
                    <w:jc w:val="center"/>
                    <w:rPr>
                      <w:rFonts w:hint="default" w:ascii="Times New Roman" w:hAnsi="Times New Roman" w:cs="Times New Roman" w:eastAsiaTheme="minorEastAsia"/>
                      <w:b/>
                      <w:bCs/>
                      <w:color w:val="auto"/>
                      <w:kern w:val="0"/>
                      <w:sz w:val="21"/>
                      <w:szCs w:val="21"/>
                      <w:highlight w:val="none"/>
                    </w:rPr>
                  </w:pPr>
                  <w:r>
                    <w:rPr>
                      <w:rFonts w:hint="default" w:ascii="Times New Roman" w:hAnsi="Times New Roman" w:cs="Times New Roman" w:eastAsiaTheme="minorEastAsia"/>
                      <w:b/>
                      <w:bCs/>
                      <w:color w:val="auto"/>
                      <w:kern w:val="0"/>
                      <w:sz w:val="21"/>
                      <w:szCs w:val="21"/>
                      <w:highlight w:val="none"/>
                    </w:rPr>
                    <w:t>立地特征</w:t>
                  </w:r>
                </w:p>
              </w:tc>
              <w:tc>
                <w:tcPr>
                  <w:tcW w:w="687" w:type="dxa"/>
                  <w:vMerge w:val="restart"/>
                  <w:tcBorders>
                    <w:tl2br w:val="nil"/>
                    <w:tr2bl w:val="nil"/>
                  </w:tcBorders>
                  <w:shd w:val="clear" w:color="auto" w:fill="auto"/>
                  <w:vAlign w:val="center"/>
                </w:tcPr>
                <w:p w14:paraId="211DCA23">
                  <w:pPr>
                    <w:widowControl/>
                    <w:jc w:val="center"/>
                    <w:rPr>
                      <w:rFonts w:hint="default" w:ascii="Times New Roman" w:hAnsi="Times New Roman" w:cs="Times New Roman" w:eastAsiaTheme="minorEastAsia"/>
                      <w:b/>
                      <w:bCs/>
                      <w:color w:val="auto"/>
                      <w:kern w:val="0"/>
                      <w:sz w:val="21"/>
                      <w:szCs w:val="21"/>
                      <w:highlight w:val="none"/>
                    </w:rPr>
                  </w:pPr>
                  <w:r>
                    <w:rPr>
                      <w:rFonts w:hint="default" w:ascii="Times New Roman" w:hAnsi="Times New Roman" w:cs="Times New Roman" w:eastAsiaTheme="minorEastAsia"/>
                      <w:b/>
                      <w:bCs/>
                      <w:color w:val="auto"/>
                      <w:kern w:val="0"/>
                      <w:sz w:val="21"/>
                      <w:szCs w:val="21"/>
                      <w:highlight w:val="none"/>
                    </w:rPr>
                    <w:t>立地类型编号</w:t>
                  </w:r>
                </w:p>
              </w:tc>
            </w:tr>
            <w:tr w14:paraId="7F4CDA48">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20" w:hRule="atLeast"/>
                <w:jc w:val="center"/>
              </w:trPr>
              <w:tc>
                <w:tcPr>
                  <w:tcW w:w="427" w:type="dxa"/>
                  <w:vMerge w:val="continue"/>
                  <w:tcBorders>
                    <w:tl2br w:val="nil"/>
                    <w:tr2bl w:val="nil"/>
                  </w:tcBorders>
                  <w:vAlign w:val="center"/>
                </w:tcPr>
                <w:p w14:paraId="1A3CA763">
                  <w:pPr>
                    <w:widowControl/>
                    <w:jc w:val="center"/>
                    <w:rPr>
                      <w:rFonts w:hint="default" w:ascii="Times New Roman" w:hAnsi="Times New Roman" w:cs="Times New Roman" w:eastAsiaTheme="minorEastAsia"/>
                      <w:b/>
                      <w:bCs/>
                      <w:color w:val="auto"/>
                      <w:kern w:val="0"/>
                      <w:sz w:val="21"/>
                      <w:szCs w:val="21"/>
                      <w:highlight w:val="none"/>
                    </w:rPr>
                  </w:pPr>
                </w:p>
              </w:tc>
              <w:tc>
                <w:tcPr>
                  <w:tcW w:w="427" w:type="dxa"/>
                  <w:vMerge w:val="continue"/>
                  <w:tcBorders>
                    <w:tl2br w:val="nil"/>
                    <w:tr2bl w:val="nil"/>
                  </w:tcBorders>
                  <w:vAlign w:val="center"/>
                </w:tcPr>
                <w:p w14:paraId="2656292D">
                  <w:pPr>
                    <w:widowControl/>
                    <w:jc w:val="center"/>
                    <w:rPr>
                      <w:rFonts w:hint="default" w:ascii="Times New Roman" w:hAnsi="Times New Roman" w:cs="Times New Roman" w:eastAsiaTheme="minorEastAsia"/>
                      <w:b/>
                      <w:bCs/>
                      <w:color w:val="auto"/>
                      <w:kern w:val="0"/>
                      <w:sz w:val="21"/>
                      <w:szCs w:val="21"/>
                      <w:highlight w:val="none"/>
                    </w:rPr>
                  </w:pPr>
                </w:p>
              </w:tc>
              <w:tc>
                <w:tcPr>
                  <w:tcW w:w="701" w:type="dxa"/>
                  <w:tcBorders>
                    <w:tl2br w:val="nil"/>
                    <w:tr2bl w:val="nil"/>
                  </w:tcBorders>
                  <w:shd w:val="clear" w:color="auto" w:fill="auto"/>
                  <w:vAlign w:val="center"/>
                </w:tcPr>
                <w:p w14:paraId="6C770EB2">
                  <w:pPr>
                    <w:widowControl/>
                    <w:jc w:val="center"/>
                    <w:rPr>
                      <w:rFonts w:hint="default" w:ascii="Times New Roman" w:hAnsi="Times New Roman" w:cs="Times New Roman" w:eastAsiaTheme="minorEastAsia"/>
                      <w:b/>
                      <w:bCs/>
                      <w:color w:val="auto"/>
                      <w:kern w:val="0"/>
                      <w:sz w:val="21"/>
                      <w:szCs w:val="21"/>
                      <w:highlight w:val="none"/>
                    </w:rPr>
                  </w:pPr>
                  <w:r>
                    <w:rPr>
                      <w:rFonts w:hint="default" w:ascii="Times New Roman" w:hAnsi="Times New Roman" w:cs="Times New Roman" w:eastAsiaTheme="minorEastAsia"/>
                      <w:b/>
                      <w:bCs/>
                      <w:color w:val="auto"/>
                      <w:kern w:val="0"/>
                      <w:sz w:val="21"/>
                      <w:szCs w:val="21"/>
                      <w:highlight w:val="none"/>
                    </w:rPr>
                    <w:t>类型组</w:t>
                  </w:r>
                </w:p>
              </w:tc>
              <w:tc>
                <w:tcPr>
                  <w:tcW w:w="835" w:type="dxa"/>
                  <w:vMerge w:val="continue"/>
                  <w:tcBorders>
                    <w:tl2br w:val="nil"/>
                    <w:tr2bl w:val="nil"/>
                  </w:tcBorders>
                  <w:vAlign w:val="center"/>
                </w:tcPr>
                <w:p w14:paraId="0CAF983A">
                  <w:pPr>
                    <w:widowControl/>
                    <w:jc w:val="center"/>
                    <w:rPr>
                      <w:rFonts w:hint="default" w:ascii="Times New Roman" w:hAnsi="Times New Roman" w:cs="Times New Roman" w:eastAsiaTheme="minorEastAsia"/>
                      <w:b/>
                      <w:bCs/>
                      <w:color w:val="auto"/>
                      <w:kern w:val="0"/>
                      <w:sz w:val="21"/>
                      <w:szCs w:val="21"/>
                      <w:highlight w:val="none"/>
                    </w:rPr>
                  </w:pPr>
                </w:p>
              </w:tc>
              <w:tc>
                <w:tcPr>
                  <w:tcW w:w="1116" w:type="dxa"/>
                  <w:tcBorders>
                    <w:tl2br w:val="nil"/>
                    <w:tr2bl w:val="nil"/>
                  </w:tcBorders>
                  <w:shd w:val="clear" w:color="auto" w:fill="auto"/>
                  <w:vAlign w:val="center"/>
                </w:tcPr>
                <w:p w14:paraId="677745DF">
                  <w:pPr>
                    <w:widowControl/>
                    <w:jc w:val="center"/>
                    <w:rPr>
                      <w:rFonts w:hint="default" w:ascii="Times New Roman" w:hAnsi="Times New Roman" w:cs="Times New Roman" w:eastAsiaTheme="minorEastAsia"/>
                      <w:b/>
                      <w:bCs/>
                      <w:color w:val="auto"/>
                      <w:kern w:val="0"/>
                      <w:sz w:val="21"/>
                      <w:szCs w:val="21"/>
                      <w:highlight w:val="none"/>
                    </w:rPr>
                  </w:pPr>
                  <w:r>
                    <w:rPr>
                      <w:rFonts w:hint="default" w:ascii="Times New Roman" w:hAnsi="Times New Roman" w:cs="Times New Roman" w:eastAsiaTheme="minorEastAsia"/>
                      <w:b/>
                      <w:bCs/>
                      <w:color w:val="auto"/>
                      <w:kern w:val="0"/>
                      <w:sz w:val="21"/>
                      <w:szCs w:val="21"/>
                      <w:highlight w:val="none"/>
                    </w:rPr>
                    <w:t>土壤类型</w:t>
                  </w:r>
                </w:p>
              </w:tc>
              <w:tc>
                <w:tcPr>
                  <w:tcW w:w="1466" w:type="dxa"/>
                  <w:tcBorders>
                    <w:tl2br w:val="nil"/>
                    <w:tr2bl w:val="nil"/>
                  </w:tcBorders>
                  <w:shd w:val="clear" w:color="auto" w:fill="auto"/>
                  <w:vAlign w:val="center"/>
                </w:tcPr>
                <w:p w14:paraId="76AA1289">
                  <w:pPr>
                    <w:widowControl/>
                    <w:jc w:val="center"/>
                    <w:rPr>
                      <w:rFonts w:hint="default" w:ascii="Times New Roman" w:hAnsi="Times New Roman" w:cs="Times New Roman" w:eastAsiaTheme="minorEastAsia"/>
                      <w:b/>
                      <w:bCs/>
                      <w:color w:val="auto"/>
                      <w:kern w:val="0"/>
                      <w:sz w:val="21"/>
                      <w:szCs w:val="21"/>
                      <w:highlight w:val="none"/>
                    </w:rPr>
                  </w:pPr>
                  <w:r>
                    <w:rPr>
                      <w:rFonts w:hint="default" w:ascii="Times New Roman" w:hAnsi="Times New Roman" w:cs="Times New Roman" w:eastAsiaTheme="minorEastAsia"/>
                      <w:b/>
                      <w:bCs/>
                      <w:color w:val="auto"/>
                      <w:kern w:val="0"/>
                      <w:sz w:val="21"/>
                      <w:szCs w:val="21"/>
                      <w:highlight w:val="none"/>
                    </w:rPr>
                    <w:t>土壤厚度</w:t>
                  </w:r>
                </w:p>
              </w:tc>
              <w:tc>
                <w:tcPr>
                  <w:tcW w:w="2906" w:type="dxa"/>
                  <w:tcBorders>
                    <w:tl2br w:val="nil"/>
                    <w:tr2bl w:val="nil"/>
                  </w:tcBorders>
                  <w:shd w:val="clear" w:color="auto" w:fill="auto"/>
                  <w:vAlign w:val="center"/>
                </w:tcPr>
                <w:p w14:paraId="1F4F98E4">
                  <w:pPr>
                    <w:widowControl/>
                    <w:jc w:val="center"/>
                    <w:rPr>
                      <w:rFonts w:hint="default" w:ascii="Times New Roman" w:hAnsi="Times New Roman" w:cs="Times New Roman" w:eastAsiaTheme="minorEastAsia"/>
                      <w:b/>
                      <w:bCs/>
                      <w:color w:val="auto"/>
                      <w:kern w:val="0"/>
                      <w:sz w:val="21"/>
                      <w:szCs w:val="21"/>
                      <w:highlight w:val="none"/>
                    </w:rPr>
                  </w:pPr>
                  <w:r>
                    <w:rPr>
                      <w:rFonts w:hint="default" w:ascii="Times New Roman" w:hAnsi="Times New Roman" w:cs="Times New Roman" w:eastAsiaTheme="minorEastAsia"/>
                      <w:b/>
                      <w:bCs/>
                      <w:color w:val="auto"/>
                      <w:kern w:val="0"/>
                      <w:sz w:val="21"/>
                      <w:szCs w:val="21"/>
                      <w:highlight w:val="none"/>
                    </w:rPr>
                    <w:t>植被类型</w:t>
                  </w:r>
                </w:p>
              </w:tc>
              <w:tc>
                <w:tcPr>
                  <w:tcW w:w="687" w:type="dxa"/>
                  <w:vMerge w:val="continue"/>
                  <w:tcBorders>
                    <w:tl2br w:val="nil"/>
                    <w:tr2bl w:val="nil"/>
                  </w:tcBorders>
                  <w:vAlign w:val="center"/>
                </w:tcPr>
                <w:p w14:paraId="003388E0">
                  <w:pPr>
                    <w:widowControl/>
                    <w:jc w:val="center"/>
                    <w:rPr>
                      <w:rFonts w:hint="default" w:ascii="Times New Roman" w:hAnsi="Times New Roman" w:cs="Times New Roman" w:eastAsiaTheme="minorEastAsia"/>
                      <w:b/>
                      <w:bCs/>
                      <w:color w:val="auto"/>
                      <w:kern w:val="0"/>
                      <w:sz w:val="21"/>
                      <w:szCs w:val="21"/>
                      <w:highlight w:val="none"/>
                    </w:rPr>
                  </w:pPr>
                </w:p>
              </w:tc>
            </w:tr>
            <w:tr w14:paraId="33444E4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835" w:hRule="atLeast"/>
                <w:jc w:val="center"/>
              </w:trPr>
              <w:tc>
                <w:tcPr>
                  <w:tcW w:w="427" w:type="dxa"/>
                  <w:vMerge w:val="restart"/>
                  <w:tcBorders>
                    <w:tl2br w:val="nil"/>
                    <w:tr2bl w:val="nil"/>
                  </w:tcBorders>
                  <w:shd w:val="clear" w:color="auto" w:fill="auto"/>
                  <w:vAlign w:val="center"/>
                </w:tcPr>
                <w:p w14:paraId="42631D82">
                  <w:pPr>
                    <w:widowControl/>
                    <w:jc w:val="center"/>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四川盆地立地区</w:t>
                  </w:r>
                </w:p>
              </w:tc>
              <w:tc>
                <w:tcPr>
                  <w:tcW w:w="427" w:type="dxa"/>
                  <w:vMerge w:val="restart"/>
                  <w:tcBorders>
                    <w:tl2br w:val="nil"/>
                    <w:tr2bl w:val="nil"/>
                  </w:tcBorders>
                  <w:shd w:val="clear" w:color="auto" w:fill="auto"/>
                  <w:vAlign w:val="center"/>
                </w:tcPr>
                <w:p w14:paraId="4929F484">
                  <w:pPr>
                    <w:widowControl/>
                    <w:jc w:val="center"/>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盆中丘陵森林立地亚区</w:t>
                  </w:r>
                </w:p>
              </w:tc>
              <w:tc>
                <w:tcPr>
                  <w:tcW w:w="701" w:type="dxa"/>
                  <w:vMerge w:val="restart"/>
                  <w:tcBorders>
                    <w:tl2br w:val="nil"/>
                    <w:tr2bl w:val="nil"/>
                  </w:tcBorders>
                  <w:shd w:val="clear" w:color="auto" w:fill="auto"/>
                  <w:vAlign w:val="center"/>
                </w:tcPr>
                <w:p w14:paraId="757BE81F">
                  <w:pPr>
                    <w:widowControl/>
                    <w:jc w:val="center"/>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中性紫色土立地类型组</w:t>
                  </w:r>
                </w:p>
              </w:tc>
              <w:tc>
                <w:tcPr>
                  <w:tcW w:w="835" w:type="dxa"/>
                  <w:tcBorders>
                    <w:tl2br w:val="nil"/>
                    <w:tr2bl w:val="nil"/>
                  </w:tcBorders>
                  <w:shd w:val="clear" w:color="auto" w:fill="auto"/>
                  <w:vAlign w:val="center"/>
                </w:tcPr>
                <w:p w14:paraId="19BBF80D">
                  <w:pPr>
                    <w:widowControl/>
                    <w:jc w:val="center"/>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丘陵（低山）坡部薄层中性紫色土立地类型</w:t>
                  </w:r>
                </w:p>
              </w:tc>
              <w:tc>
                <w:tcPr>
                  <w:tcW w:w="1116" w:type="dxa"/>
                  <w:tcBorders>
                    <w:tl2br w:val="nil"/>
                    <w:tr2bl w:val="nil"/>
                  </w:tcBorders>
                  <w:shd w:val="clear" w:color="auto" w:fill="auto"/>
                  <w:vAlign w:val="center"/>
                </w:tcPr>
                <w:p w14:paraId="1411F8BD">
                  <w:pPr>
                    <w:widowControl/>
                    <w:jc w:val="center"/>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中性紫色</w:t>
                  </w:r>
                  <w:r>
                    <w:rPr>
                      <w:rFonts w:hint="default" w:ascii="Times New Roman" w:hAnsi="Times New Roman" w:cs="Times New Roman" w:eastAsiaTheme="minorEastAsia"/>
                      <w:color w:val="auto"/>
                      <w:kern w:val="0"/>
                      <w:sz w:val="21"/>
                      <w:szCs w:val="21"/>
                      <w:highlight w:val="none"/>
                      <w:lang w:val="en-US" w:eastAsia="zh-CN"/>
                    </w:rPr>
                    <w:t>土</w:t>
                  </w:r>
                </w:p>
              </w:tc>
              <w:tc>
                <w:tcPr>
                  <w:tcW w:w="1466" w:type="dxa"/>
                  <w:tcBorders>
                    <w:tl2br w:val="nil"/>
                    <w:tr2bl w:val="nil"/>
                  </w:tcBorders>
                  <w:shd w:val="clear" w:color="auto" w:fill="auto"/>
                  <w:vAlign w:val="center"/>
                </w:tcPr>
                <w:p w14:paraId="1E49A523">
                  <w:pPr>
                    <w:widowControl/>
                    <w:jc w:val="center"/>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主要有棕紫泥土属的半砂泥土、石骨土和红棕紫泥土属的大泥土、 土层厚度40-70cm之间</w:t>
                  </w:r>
                </w:p>
              </w:tc>
              <w:tc>
                <w:tcPr>
                  <w:tcW w:w="2906" w:type="dxa"/>
                  <w:tcBorders>
                    <w:tl2br w:val="nil"/>
                    <w:tr2bl w:val="nil"/>
                  </w:tcBorders>
                  <w:shd w:val="clear" w:color="auto" w:fill="auto"/>
                  <w:vAlign w:val="center"/>
                </w:tcPr>
                <w:p w14:paraId="39F4E455">
                  <w:pPr>
                    <w:widowControl/>
                    <w:jc w:val="center"/>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主要以黄荆、马桑、构树、悬钩子等为主；草本植物沿江河两岸以芭茅、铁线草为主；山地植被以莎草、蜈蚣草、黄茅、白茅、菊科等占优势</w:t>
                  </w:r>
                </w:p>
              </w:tc>
              <w:tc>
                <w:tcPr>
                  <w:tcW w:w="687" w:type="dxa"/>
                  <w:tcBorders>
                    <w:tl2br w:val="nil"/>
                    <w:tr2bl w:val="nil"/>
                  </w:tcBorders>
                  <w:shd w:val="clear" w:color="auto" w:fill="auto"/>
                  <w:vAlign w:val="center"/>
                </w:tcPr>
                <w:p w14:paraId="67D1AA99">
                  <w:pPr>
                    <w:widowControl/>
                    <w:jc w:val="center"/>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LD1</w:t>
                  </w:r>
                </w:p>
              </w:tc>
            </w:tr>
            <w:tr w14:paraId="799F236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835" w:hRule="atLeast"/>
                <w:jc w:val="center"/>
              </w:trPr>
              <w:tc>
                <w:tcPr>
                  <w:tcW w:w="427" w:type="dxa"/>
                  <w:vMerge w:val="continue"/>
                  <w:tcBorders>
                    <w:tl2br w:val="nil"/>
                    <w:tr2bl w:val="nil"/>
                  </w:tcBorders>
                  <w:shd w:val="clear" w:color="auto" w:fill="auto"/>
                  <w:vAlign w:val="center"/>
                </w:tcPr>
                <w:p w14:paraId="595448E8">
                  <w:pPr>
                    <w:widowControl/>
                    <w:jc w:val="center"/>
                    <w:rPr>
                      <w:rFonts w:hint="default" w:ascii="Times New Roman" w:hAnsi="Times New Roman" w:cs="Times New Roman" w:eastAsiaTheme="minorEastAsia"/>
                      <w:color w:val="auto"/>
                      <w:kern w:val="0"/>
                      <w:sz w:val="21"/>
                      <w:szCs w:val="21"/>
                      <w:highlight w:val="none"/>
                    </w:rPr>
                  </w:pPr>
                </w:p>
              </w:tc>
              <w:tc>
                <w:tcPr>
                  <w:tcW w:w="427" w:type="dxa"/>
                  <w:vMerge w:val="continue"/>
                  <w:tcBorders>
                    <w:tl2br w:val="nil"/>
                    <w:tr2bl w:val="nil"/>
                  </w:tcBorders>
                  <w:shd w:val="clear" w:color="auto" w:fill="auto"/>
                  <w:vAlign w:val="center"/>
                </w:tcPr>
                <w:p w14:paraId="17D42711">
                  <w:pPr>
                    <w:widowControl/>
                    <w:jc w:val="center"/>
                    <w:rPr>
                      <w:rFonts w:hint="default" w:ascii="Times New Roman" w:hAnsi="Times New Roman" w:cs="Times New Roman" w:eastAsiaTheme="minorEastAsia"/>
                      <w:color w:val="auto"/>
                      <w:kern w:val="0"/>
                      <w:sz w:val="21"/>
                      <w:szCs w:val="21"/>
                      <w:highlight w:val="none"/>
                    </w:rPr>
                  </w:pPr>
                </w:p>
              </w:tc>
              <w:tc>
                <w:tcPr>
                  <w:tcW w:w="701" w:type="dxa"/>
                  <w:vMerge w:val="continue"/>
                  <w:tcBorders>
                    <w:tl2br w:val="nil"/>
                    <w:tr2bl w:val="nil"/>
                  </w:tcBorders>
                  <w:shd w:val="clear" w:color="auto" w:fill="auto"/>
                  <w:vAlign w:val="center"/>
                </w:tcPr>
                <w:p w14:paraId="0D698A26">
                  <w:pPr>
                    <w:widowControl/>
                    <w:jc w:val="center"/>
                    <w:rPr>
                      <w:rFonts w:hint="default" w:ascii="Times New Roman" w:hAnsi="Times New Roman" w:cs="Times New Roman" w:eastAsiaTheme="minorEastAsia"/>
                      <w:color w:val="auto"/>
                      <w:kern w:val="0"/>
                      <w:sz w:val="21"/>
                      <w:szCs w:val="21"/>
                      <w:highlight w:val="none"/>
                    </w:rPr>
                  </w:pPr>
                </w:p>
              </w:tc>
              <w:tc>
                <w:tcPr>
                  <w:tcW w:w="835" w:type="dxa"/>
                  <w:tcBorders>
                    <w:tl2br w:val="nil"/>
                    <w:tr2bl w:val="nil"/>
                  </w:tcBorders>
                  <w:shd w:val="clear" w:color="auto" w:fill="auto"/>
                  <w:vAlign w:val="center"/>
                </w:tcPr>
                <w:p w14:paraId="1E7DC852">
                  <w:pPr>
                    <w:widowControl/>
                    <w:jc w:val="center"/>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丘陵中厚层中性紫色土立地类型</w:t>
                  </w:r>
                </w:p>
              </w:tc>
              <w:tc>
                <w:tcPr>
                  <w:tcW w:w="1116" w:type="dxa"/>
                  <w:tcBorders>
                    <w:tl2br w:val="nil"/>
                    <w:tr2bl w:val="nil"/>
                  </w:tcBorders>
                  <w:shd w:val="clear" w:color="auto" w:fill="auto"/>
                  <w:vAlign w:val="center"/>
                </w:tcPr>
                <w:p w14:paraId="768A16AD">
                  <w:pPr>
                    <w:widowControl/>
                    <w:jc w:val="center"/>
                    <w:rPr>
                      <w:rFonts w:hint="default" w:ascii="Times New Roman" w:hAnsi="Times New Roman" w:cs="Times New Roman" w:eastAsiaTheme="minorEastAsia"/>
                      <w:color w:val="auto"/>
                      <w:kern w:val="0"/>
                      <w:sz w:val="21"/>
                      <w:szCs w:val="21"/>
                      <w:highlight w:val="none"/>
                      <w:lang w:val="en-US" w:eastAsia="zh-CN"/>
                    </w:rPr>
                  </w:pPr>
                  <w:r>
                    <w:rPr>
                      <w:rFonts w:hint="default" w:ascii="Times New Roman" w:hAnsi="Times New Roman" w:cs="Times New Roman" w:eastAsiaTheme="minorEastAsia"/>
                      <w:color w:val="auto"/>
                      <w:kern w:val="0"/>
                      <w:sz w:val="21"/>
                      <w:szCs w:val="21"/>
                      <w:highlight w:val="none"/>
                    </w:rPr>
                    <w:t>中性紫色土</w:t>
                  </w:r>
                </w:p>
              </w:tc>
              <w:tc>
                <w:tcPr>
                  <w:tcW w:w="1466" w:type="dxa"/>
                  <w:tcBorders>
                    <w:tl2br w:val="nil"/>
                    <w:tr2bl w:val="nil"/>
                  </w:tcBorders>
                  <w:shd w:val="clear" w:color="auto" w:fill="auto"/>
                  <w:vAlign w:val="center"/>
                </w:tcPr>
                <w:p w14:paraId="23D61969">
                  <w:pPr>
                    <w:widowControl/>
                    <w:jc w:val="center"/>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土厚≥40cm，壤质， pH值6.5~7.5。</w:t>
                  </w:r>
                </w:p>
              </w:tc>
              <w:tc>
                <w:tcPr>
                  <w:tcW w:w="2906" w:type="dxa"/>
                  <w:tcBorders>
                    <w:tl2br w:val="nil"/>
                    <w:tr2bl w:val="nil"/>
                  </w:tcBorders>
                  <w:shd w:val="clear" w:color="auto" w:fill="auto"/>
                  <w:vAlign w:val="center"/>
                </w:tcPr>
                <w:p w14:paraId="3DF78799">
                  <w:pPr>
                    <w:widowControl/>
                    <w:jc w:val="center"/>
                    <w:rPr>
                      <w:rFonts w:hint="default" w:ascii="Times New Roman" w:hAnsi="Times New Roman" w:cs="Times New Roman" w:eastAsiaTheme="minorEastAsia"/>
                      <w:color w:val="auto"/>
                      <w:kern w:val="0"/>
                      <w:sz w:val="21"/>
                      <w:szCs w:val="21"/>
                      <w:highlight w:val="none"/>
                      <w:lang w:eastAsia="zh-CN"/>
                    </w:rPr>
                  </w:pPr>
                  <w:r>
                    <w:rPr>
                      <w:rFonts w:hint="default" w:ascii="Times New Roman" w:hAnsi="Times New Roman" w:cs="Times New Roman" w:eastAsiaTheme="minorEastAsia"/>
                      <w:color w:val="auto"/>
                      <w:kern w:val="0"/>
                      <w:sz w:val="21"/>
                      <w:szCs w:val="21"/>
                      <w:highlight w:val="none"/>
                    </w:rPr>
                    <w:t>禾草~柏木林，总盖度0.4~0.</w:t>
                  </w:r>
                  <w:r>
                    <w:rPr>
                      <w:rFonts w:hint="default" w:ascii="Times New Roman" w:hAnsi="Times New Roman" w:cs="Times New Roman" w:eastAsiaTheme="minorEastAsia"/>
                      <w:color w:val="auto"/>
                      <w:kern w:val="0"/>
                      <w:sz w:val="21"/>
                      <w:szCs w:val="21"/>
                      <w:highlight w:val="none"/>
                      <w:lang w:val="en-US" w:eastAsia="zh-CN"/>
                    </w:rPr>
                    <w:t>9</w:t>
                  </w:r>
                  <w:r>
                    <w:rPr>
                      <w:rFonts w:hint="default" w:ascii="Times New Roman" w:hAnsi="Times New Roman" w:cs="Times New Roman" w:eastAsiaTheme="minorEastAsia"/>
                      <w:color w:val="auto"/>
                      <w:kern w:val="0"/>
                      <w:sz w:val="21"/>
                      <w:szCs w:val="21"/>
                      <w:highlight w:val="none"/>
                      <w:lang w:eastAsia="zh-CN"/>
                    </w:rPr>
                    <w:t>；</w:t>
                  </w:r>
                </w:p>
                <w:p w14:paraId="48EE7538">
                  <w:pPr>
                    <w:widowControl/>
                    <w:jc w:val="center"/>
                    <w:rPr>
                      <w:rFonts w:hint="default" w:ascii="Times New Roman" w:hAnsi="Times New Roman" w:cs="Times New Roman" w:eastAsiaTheme="minorEastAsia"/>
                      <w:color w:val="auto"/>
                      <w:kern w:val="0"/>
                      <w:sz w:val="21"/>
                      <w:szCs w:val="21"/>
                      <w:highlight w:val="none"/>
                      <w:lang w:eastAsia="zh-CN"/>
                    </w:rPr>
                  </w:pPr>
                  <w:r>
                    <w:rPr>
                      <w:rFonts w:hint="default" w:ascii="Times New Roman" w:hAnsi="Times New Roman" w:cs="Times New Roman" w:eastAsiaTheme="minorEastAsia"/>
                      <w:color w:val="auto"/>
                      <w:kern w:val="0"/>
                      <w:sz w:val="21"/>
                      <w:szCs w:val="21"/>
                      <w:highlight w:val="none"/>
                    </w:rPr>
                    <w:t>禾草~</w:t>
                  </w:r>
                  <w:r>
                    <w:rPr>
                      <w:rFonts w:hint="default" w:ascii="Times New Roman" w:hAnsi="Times New Roman" w:cs="Times New Roman" w:eastAsiaTheme="minorEastAsia"/>
                      <w:color w:val="auto"/>
                      <w:kern w:val="0"/>
                      <w:sz w:val="21"/>
                      <w:szCs w:val="21"/>
                      <w:highlight w:val="none"/>
                      <w:lang w:val="en-US" w:eastAsia="zh-CN"/>
                    </w:rPr>
                    <w:t>香椿</w:t>
                  </w:r>
                  <w:r>
                    <w:rPr>
                      <w:rFonts w:hint="default" w:ascii="Times New Roman" w:hAnsi="Times New Roman" w:cs="Times New Roman" w:eastAsiaTheme="minorEastAsia"/>
                      <w:color w:val="auto"/>
                      <w:kern w:val="0"/>
                      <w:sz w:val="21"/>
                      <w:szCs w:val="21"/>
                      <w:highlight w:val="none"/>
                    </w:rPr>
                    <w:t>林，总盖度0.4~0.</w:t>
                  </w:r>
                  <w:r>
                    <w:rPr>
                      <w:rFonts w:hint="default" w:ascii="Times New Roman" w:hAnsi="Times New Roman" w:cs="Times New Roman" w:eastAsiaTheme="minorEastAsia"/>
                      <w:color w:val="auto"/>
                      <w:kern w:val="0"/>
                      <w:sz w:val="21"/>
                      <w:szCs w:val="21"/>
                      <w:highlight w:val="none"/>
                      <w:lang w:val="en-US" w:eastAsia="zh-CN"/>
                    </w:rPr>
                    <w:t>8</w:t>
                  </w:r>
                  <w:r>
                    <w:rPr>
                      <w:rFonts w:hint="default" w:ascii="Times New Roman" w:hAnsi="Times New Roman" w:cs="Times New Roman" w:eastAsiaTheme="minorEastAsia"/>
                      <w:color w:val="auto"/>
                      <w:kern w:val="0"/>
                      <w:sz w:val="21"/>
                      <w:szCs w:val="21"/>
                      <w:highlight w:val="none"/>
                      <w:lang w:eastAsia="zh-CN"/>
                    </w:rPr>
                    <w:t>；</w:t>
                  </w:r>
                </w:p>
                <w:p w14:paraId="6487295F">
                  <w:pPr>
                    <w:widowControl/>
                    <w:jc w:val="center"/>
                    <w:rPr>
                      <w:rFonts w:hint="default" w:ascii="Times New Roman" w:hAnsi="Times New Roman" w:cs="Times New Roman" w:eastAsiaTheme="minorEastAsia"/>
                      <w:color w:val="auto"/>
                      <w:kern w:val="0"/>
                      <w:sz w:val="21"/>
                      <w:szCs w:val="21"/>
                      <w:highlight w:val="none"/>
                      <w:lang w:eastAsia="zh-CN"/>
                    </w:rPr>
                  </w:pPr>
                  <w:r>
                    <w:rPr>
                      <w:rFonts w:hint="default" w:ascii="Times New Roman" w:hAnsi="Times New Roman" w:cs="Times New Roman" w:eastAsiaTheme="minorEastAsia"/>
                      <w:color w:val="auto"/>
                      <w:kern w:val="0"/>
                      <w:sz w:val="21"/>
                      <w:szCs w:val="21"/>
                      <w:highlight w:val="none"/>
                    </w:rPr>
                    <w:t>禾草~</w:t>
                  </w:r>
                  <w:r>
                    <w:rPr>
                      <w:rFonts w:hint="default" w:ascii="Times New Roman" w:hAnsi="Times New Roman" w:cs="Times New Roman" w:eastAsiaTheme="minorEastAsia"/>
                      <w:color w:val="auto"/>
                      <w:kern w:val="0"/>
                      <w:sz w:val="21"/>
                      <w:szCs w:val="21"/>
                      <w:highlight w:val="none"/>
                      <w:lang w:val="en-US" w:eastAsia="zh-CN"/>
                    </w:rPr>
                    <w:t>青冈</w:t>
                  </w:r>
                  <w:r>
                    <w:rPr>
                      <w:rFonts w:hint="default" w:ascii="Times New Roman" w:hAnsi="Times New Roman" w:cs="Times New Roman" w:eastAsiaTheme="minorEastAsia"/>
                      <w:color w:val="auto"/>
                      <w:kern w:val="0"/>
                      <w:sz w:val="21"/>
                      <w:szCs w:val="21"/>
                      <w:highlight w:val="none"/>
                    </w:rPr>
                    <w:t>林，总盖度0.4~0.</w:t>
                  </w:r>
                  <w:r>
                    <w:rPr>
                      <w:rFonts w:hint="default" w:ascii="Times New Roman" w:hAnsi="Times New Roman" w:cs="Times New Roman" w:eastAsiaTheme="minorEastAsia"/>
                      <w:color w:val="auto"/>
                      <w:kern w:val="0"/>
                      <w:sz w:val="21"/>
                      <w:szCs w:val="21"/>
                      <w:highlight w:val="none"/>
                      <w:lang w:val="en-US" w:eastAsia="zh-CN"/>
                    </w:rPr>
                    <w:t>9</w:t>
                  </w:r>
                  <w:r>
                    <w:rPr>
                      <w:rFonts w:hint="default" w:ascii="Times New Roman" w:hAnsi="Times New Roman" w:cs="Times New Roman" w:eastAsiaTheme="minorEastAsia"/>
                      <w:color w:val="auto"/>
                      <w:kern w:val="0"/>
                      <w:sz w:val="21"/>
                      <w:szCs w:val="21"/>
                      <w:highlight w:val="none"/>
                      <w:lang w:eastAsia="zh-CN"/>
                    </w:rPr>
                    <w:t>；</w:t>
                  </w:r>
                </w:p>
                <w:p w14:paraId="34AA57B2">
                  <w:pPr>
                    <w:widowControl/>
                    <w:jc w:val="center"/>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禾草~桉树林，总盖度0.4~0.7</w:t>
                  </w:r>
                  <w:r>
                    <w:rPr>
                      <w:rFonts w:hint="default" w:ascii="Times New Roman" w:hAnsi="Times New Roman" w:cs="Times New Roman" w:eastAsiaTheme="minorEastAsia"/>
                      <w:color w:val="auto"/>
                      <w:kern w:val="0"/>
                      <w:sz w:val="21"/>
                      <w:szCs w:val="21"/>
                      <w:highlight w:val="none"/>
                      <w:lang w:eastAsia="zh-CN"/>
                    </w:rPr>
                    <w:t>；</w:t>
                  </w:r>
                </w:p>
                <w:p w14:paraId="18DF7F70">
                  <w:pPr>
                    <w:widowControl/>
                    <w:jc w:val="center"/>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慈竹林;</w:t>
                  </w:r>
                </w:p>
                <w:p w14:paraId="64470128">
                  <w:pPr>
                    <w:widowControl/>
                    <w:jc w:val="center"/>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白茅草坡，总盖度0.9</w:t>
                  </w:r>
                  <w:r>
                    <w:rPr>
                      <w:rFonts w:hint="default" w:ascii="Times New Roman" w:hAnsi="Times New Roman" w:cs="Times New Roman" w:eastAsiaTheme="minorEastAsia"/>
                      <w:color w:val="auto"/>
                      <w:kern w:val="0"/>
                      <w:sz w:val="21"/>
                      <w:szCs w:val="21"/>
                      <w:highlight w:val="none"/>
                      <w:lang w:eastAsia="zh-CN"/>
                    </w:rPr>
                    <w:t>；</w:t>
                  </w:r>
                </w:p>
                <w:p w14:paraId="094784C0">
                  <w:pPr>
                    <w:widowControl/>
                    <w:jc w:val="center"/>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芭茅草坡，总盖度0.7~0.8</w:t>
                  </w:r>
                </w:p>
              </w:tc>
              <w:tc>
                <w:tcPr>
                  <w:tcW w:w="687" w:type="dxa"/>
                  <w:tcBorders>
                    <w:tl2br w:val="nil"/>
                    <w:tr2bl w:val="nil"/>
                  </w:tcBorders>
                  <w:shd w:val="clear" w:color="auto" w:fill="auto"/>
                  <w:vAlign w:val="center"/>
                </w:tcPr>
                <w:p w14:paraId="42DE82D1">
                  <w:pPr>
                    <w:widowControl/>
                    <w:jc w:val="center"/>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LD2</w:t>
                  </w:r>
                </w:p>
              </w:tc>
            </w:tr>
          </w:tbl>
          <w:p w14:paraId="2A8B4B46">
            <w:pPr>
              <w:spacing w:before="36" w:line="360" w:lineRule="auto"/>
              <w:ind w:firstLine="612"/>
              <w:rPr>
                <w:rFonts w:hint="default" w:ascii="Times New Roman" w:hAnsi="Times New Roman" w:eastAsia="宋体" w:cs="Times New Roman"/>
                <w:b/>
                <w:bCs/>
                <w:color w:val="auto"/>
                <w:spacing w:val="-7"/>
                <w:sz w:val="24"/>
                <w:szCs w:val="24"/>
                <w:u w:val="single"/>
                <w:lang w:eastAsia="zh-CN"/>
              </w:rPr>
            </w:pPr>
            <w:bookmarkStart w:id="8" w:name="_Toc13410"/>
            <w:r>
              <w:rPr>
                <w:rFonts w:hint="default" w:ascii="Times New Roman" w:hAnsi="Times New Roman" w:eastAsia="宋体" w:cs="Times New Roman"/>
                <w:b/>
                <w:bCs/>
                <w:color w:val="auto"/>
                <w:spacing w:val="-7"/>
                <w:sz w:val="24"/>
                <w:szCs w:val="24"/>
                <w:u w:val="single"/>
                <w:lang w:val="en-US" w:eastAsia="zh-CN"/>
              </w:rPr>
              <w:t>7</w:t>
            </w:r>
            <w:r>
              <w:rPr>
                <w:rFonts w:hint="default" w:ascii="Times New Roman" w:hAnsi="Times New Roman" w:eastAsia="宋体" w:cs="Times New Roman"/>
                <w:b/>
                <w:bCs/>
                <w:color w:val="auto"/>
                <w:spacing w:val="-7"/>
                <w:sz w:val="24"/>
                <w:szCs w:val="24"/>
                <w:u w:val="single"/>
              </w:rPr>
              <w:t>.</w:t>
            </w:r>
            <w:r>
              <w:rPr>
                <w:rFonts w:hint="default" w:ascii="Times New Roman" w:hAnsi="Times New Roman" w:eastAsia="宋体" w:cs="Times New Roman"/>
                <w:b/>
                <w:bCs/>
                <w:color w:val="auto"/>
                <w:spacing w:val="-7"/>
                <w:sz w:val="24"/>
                <w:szCs w:val="24"/>
                <w:u w:val="single"/>
                <w:lang w:val="en-US" w:eastAsia="zh-CN"/>
              </w:rPr>
              <w:t>2</w:t>
            </w:r>
            <w:r>
              <w:rPr>
                <w:rFonts w:hint="default" w:ascii="Times New Roman" w:hAnsi="Times New Roman" w:eastAsia="宋体" w:cs="Times New Roman"/>
                <w:b/>
                <w:bCs/>
                <w:color w:val="auto"/>
                <w:spacing w:val="-7"/>
                <w:sz w:val="24"/>
                <w:szCs w:val="24"/>
                <w:u w:val="single"/>
              </w:rPr>
              <w:t xml:space="preserve"> </w:t>
            </w:r>
            <w:r>
              <w:rPr>
                <w:rFonts w:hint="default" w:ascii="Times New Roman" w:hAnsi="Times New Roman" w:eastAsia="宋体" w:cs="Times New Roman"/>
                <w:b/>
                <w:bCs/>
                <w:color w:val="auto"/>
                <w:spacing w:val="-7"/>
                <w:sz w:val="24"/>
                <w:szCs w:val="24"/>
                <w:u w:val="single"/>
                <w:lang w:val="en-US" w:eastAsia="zh-CN"/>
              </w:rPr>
              <w:t>黄柏集约人工林栽培</w:t>
            </w:r>
            <w:bookmarkEnd w:id="8"/>
          </w:p>
          <w:p w14:paraId="1383B422">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rPr>
              <w:t>采用类型区-类型亚区-类型组-立地类型的划分系统，按照土壤厚度为主导因子，划分立地类型</w:t>
            </w:r>
            <w:r>
              <w:rPr>
                <w:rFonts w:hint="default" w:ascii="Times New Roman" w:hAnsi="Times New Roman" w:eastAsia="宋体" w:cs="Times New Roman"/>
                <w:color w:val="auto"/>
                <w:spacing w:val="-7"/>
                <w:sz w:val="24"/>
                <w:szCs w:val="24"/>
                <w:lang w:eastAsia="zh-CN"/>
              </w:rPr>
              <w:t>。</w:t>
            </w:r>
          </w:p>
          <w:p w14:paraId="3C24E82A">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7.2.1 模型设计</w:t>
            </w:r>
          </w:p>
          <w:p w14:paraId="5C4EA7A5">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rPr>
              <w:t>根据《造林技术规程》（GB/T15776-2023）等技术规程结合外业调查、培育目的等全面考虑，本项目集约人工林栽培设计1个模型，详见</w:t>
            </w:r>
            <w:r>
              <w:rPr>
                <w:rFonts w:hint="default" w:ascii="Times New Roman" w:hAnsi="Times New Roman" w:eastAsia="宋体" w:cs="Times New Roman"/>
                <w:color w:val="auto"/>
                <w:spacing w:val="-7"/>
                <w:sz w:val="24"/>
                <w:szCs w:val="24"/>
                <w:lang w:val="en-US" w:eastAsia="zh-CN"/>
              </w:rPr>
              <w:t>下</w:t>
            </w:r>
            <w:r>
              <w:rPr>
                <w:rFonts w:hint="default" w:ascii="Times New Roman" w:hAnsi="Times New Roman" w:eastAsia="宋体" w:cs="Times New Roman"/>
                <w:color w:val="auto"/>
                <w:spacing w:val="-7"/>
                <w:sz w:val="24"/>
                <w:szCs w:val="24"/>
              </w:rPr>
              <w:t>表</w:t>
            </w:r>
            <w:r>
              <w:rPr>
                <w:rFonts w:hint="default" w:ascii="Times New Roman" w:hAnsi="Times New Roman" w:eastAsia="宋体" w:cs="Times New Roman"/>
                <w:color w:val="auto"/>
                <w:spacing w:val="-7"/>
                <w:sz w:val="24"/>
                <w:szCs w:val="24"/>
                <w:lang w:eastAsia="zh-CN"/>
              </w:rPr>
              <w:t>。</w:t>
            </w:r>
          </w:p>
          <w:p w14:paraId="31731B34">
            <w:pPr>
              <w:spacing w:before="61"/>
              <w:jc w:val="center"/>
              <w:rPr>
                <w:rFonts w:hint="default" w:ascii="Times New Roman" w:hAnsi="Times New Roman" w:eastAsia="宋体" w:cs="Times New Roman"/>
                <w:b/>
                <w:bCs/>
                <w:color w:val="auto"/>
                <w:lang w:eastAsia="zh-CN"/>
              </w:rPr>
            </w:pPr>
            <w:r>
              <w:rPr>
                <w:rFonts w:hint="default" w:ascii="Times New Roman" w:hAnsi="Times New Roman" w:eastAsia="宋体" w:cs="Times New Roman"/>
                <w:b/>
                <w:bCs/>
                <w:color w:val="auto"/>
              </w:rPr>
              <w:t>表</w:t>
            </w:r>
            <w:r>
              <w:rPr>
                <w:rFonts w:hint="default" w:ascii="Times New Roman" w:hAnsi="Times New Roman" w:eastAsia="宋体" w:cs="Times New Roman"/>
                <w:b/>
                <w:bCs/>
                <w:color w:val="auto"/>
                <w:lang w:val="en-US" w:eastAsia="zh-CN"/>
              </w:rPr>
              <w:t xml:space="preserve">2-8 </w:t>
            </w:r>
            <w:r>
              <w:rPr>
                <w:rFonts w:hint="default" w:ascii="Times New Roman" w:hAnsi="Times New Roman" w:eastAsia="宋体" w:cs="Times New Roman"/>
                <w:b/>
                <w:bCs/>
                <w:color w:val="auto"/>
              </w:rPr>
              <w:t xml:space="preserve"> 集约人工林栽培模型表</w:t>
            </w:r>
          </w:p>
          <w:tbl>
            <w:tblPr>
              <w:tblStyle w:val="32"/>
              <w:tblW w:w="8220"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559"/>
              <w:gridCol w:w="668"/>
              <w:gridCol w:w="780"/>
              <w:gridCol w:w="970"/>
              <w:gridCol w:w="803"/>
              <w:gridCol w:w="878"/>
              <w:gridCol w:w="3562"/>
            </w:tblGrid>
            <w:tr w14:paraId="727173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5" w:hRule="atLeast"/>
                <w:jc w:val="center"/>
              </w:trPr>
              <w:tc>
                <w:tcPr>
                  <w:tcW w:w="3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43CB5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项目</w:t>
                  </w: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F92D0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序号</w:t>
                  </w:r>
                </w:p>
              </w:tc>
              <w:tc>
                <w:tcPr>
                  <w:tcW w:w="1552"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6B39B8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项目内容</w:t>
                  </w:r>
                </w:p>
              </w:tc>
              <w:tc>
                <w:tcPr>
                  <w:tcW w:w="5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E837E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单位</w:t>
                  </w:r>
                </w:p>
              </w:tc>
              <w:tc>
                <w:tcPr>
                  <w:tcW w:w="21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E20AD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r>
            <w:tr w14:paraId="2A31EA6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jc w:val="center"/>
              </w:trPr>
              <w:tc>
                <w:tcPr>
                  <w:tcW w:w="3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0C25C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分类</w:t>
                  </w: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0F3F4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552"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815017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造林模式</w:t>
                  </w:r>
                </w:p>
              </w:tc>
              <w:tc>
                <w:tcPr>
                  <w:tcW w:w="5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6E01B7">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21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C859C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r>
            <w:tr w14:paraId="265B5E0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jc w:val="center"/>
              </w:trPr>
              <w:tc>
                <w:tcPr>
                  <w:tcW w:w="34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9A6C85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适宜对象</w:t>
                  </w: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B616A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1552"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293289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立地类型</w:t>
                  </w:r>
                </w:p>
              </w:tc>
              <w:tc>
                <w:tcPr>
                  <w:tcW w:w="5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5059BF">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21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4E8FD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一</w:t>
                  </w:r>
                </w:p>
              </w:tc>
            </w:tr>
            <w:tr w14:paraId="355D9AE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jc w:val="center"/>
              </w:trPr>
              <w:tc>
                <w:tcPr>
                  <w:tcW w:w="34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11B4960">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66774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w:t>
                  </w:r>
                </w:p>
              </w:tc>
              <w:tc>
                <w:tcPr>
                  <w:tcW w:w="1552"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48F4CE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造林面积</w:t>
                  </w:r>
                </w:p>
              </w:tc>
              <w:tc>
                <w:tcPr>
                  <w:tcW w:w="5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5389C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亩</w:t>
                  </w:r>
                </w:p>
              </w:tc>
              <w:tc>
                <w:tcPr>
                  <w:tcW w:w="21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EF667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7628.40</w:t>
                  </w:r>
                </w:p>
              </w:tc>
            </w:tr>
            <w:tr w14:paraId="5677693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jc w:val="center"/>
              </w:trPr>
              <w:tc>
                <w:tcPr>
                  <w:tcW w:w="34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48B6D83">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BA2D6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1552"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0B737B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地类</w:t>
                  </w:r>
                </w:p>
              </w:tc>
              <w:tc>
                <w:tcPr>
                  <w:tcW w:w="5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7263F9">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21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8DA32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宜林地、采伐迹地、竹林地、灌木林地</w:t>
                  </w:r>
                </w:p>
              </w:tc>
            </w:tr>
            <w:tr w14:paraId="5F163D2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jc w:val="center"/>
              </w:trPr>
              <w:tc>
                <w:tcPr>
                  <w:tcW w:w="34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BEAA1A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造林技术措施</w:t>
                  </w: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1CDAE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w:t>
                  </w:r>
                </w:p>
              </w:tc>
              <w:tc>
                <w:tcPr>
                  <w:tcW w:w="1552"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9A6F5E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造林方式</w:t>
                  </w:r>
                </w:p>
              </w:tc>
              <w:tc>
                <w:tcPr>
                  <w:tcW w:w="5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CB03B1">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21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E72D4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人工植苗（新植）</w:t>
                  </w:r>
                </w:p>
              </w:tc>
            </w:tr>
            <w:tr w14:paraId="1E52365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2" w:hRule="atLeast"/>
                <w:jc w:val="center"/>
              </w:trPr>
              <w:tc>
                <w:tcPr>
                  <w:tcW w:w="34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90977F2">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96A79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w:t>
                  </w:r>
                </w:p>
              </w:tc>
              <w:tc>
                <w:tcPr>
                  <w:tcW w:w="47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EE6DC2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树种</w:t>
                  </w:r>
                </w:p>
              </w:tc>
              <w:tc>
                <w:tcPr>
                  <w:tcW w:w="59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0956AE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首选</w:t>
                  </w: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548D8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类型</w:t>
                  </w:r>
                </w:p>
              </w:tc>
              <w:tc>
                <w:tcPr>
                  <w:tcW w:w="5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2FADA8">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21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30940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黄柏</w:t>
                  </w:r>
                </w:p>
              </w:tc>
            </w:tr>
            <w:tr w14:paraId="46C4856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jc w:val="center"/>
              </w:trPr>
              <w:tc>
                <w:tcPr>
                  <w:tcW w:w="34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0A5F0B7">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54316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w:t>
                  </w:r>
                </w:p>
              </w:tc>
              <w:tc>
                <w:tcPr>
                  <w:tcW w:w="47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C283730">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59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FC258FB">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8B955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苗木规格</w:t>
                  </w:r>
                </w:p>
              </w:tc>
              <w:tc>
                <w:tcPr>
                  <w:tcW w:w="5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8C8471">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21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745CDF">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1年生、营养钵苗，地径≥0.8cm、苗高≥0.8m、根系发达无机械损伤、无病虫害</w:t>
                  </w:r>
                </w:p>
              </w:tc>
            </w:tr>
            <w:tr w14:paraId="019772E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jc w:val="center"/>
              </w:trPr>
              <w:tc>
                <w:tcPr>
                  <w:tcW w:w="34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A522838">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70153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w:t>
                  </w:r>
                </w:p>
              </w:tc>
              <w:tc>
                <w:tcPr>
                  <w:tcW w:w="47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65D4DFF">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590" w:type="pct"/>
                  <w:tcBorders>
                    <w:top w:val="single" w:color="000000" w:sz="4" w:space="0"/>
                    <w:left w:val="single" w:color="000000" w:sz="4" w:space="0"/>
                    <w:bottom w:val="nil"/>
                    <w:right w:val="single" w:color="000000" w:sz="4" w:space="0"/>
                  </w:tcBorders>
                  <w:shd w:val="clear" w:color="auto" w:fill="auto"/>
                  <w:vAlign w:val="center"/>
                </w:tcPr>
                <w:p w14:paraId="19E323D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配置</w:t>
                  </w: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EDE98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栽植方式</w:t>
                  </w:r>
                </w:p>
              </w:tc>
              <w:tc>
                <w:tcPr>
                  <w:tcW w:w="5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33F3CE">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21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C00DE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纯林</w:t>
                  </w:r>
                </w:p>
              </w:tc>
            </w:tr>
            <w:tr w14:paraId="5526230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jc w:val="center"/>
              </w:trPr>
              <w:tc>
                <w:tcPr>
                  <w:tcW w:w="34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8388688">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7FC5A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w:t>
                  </w:r>
                </w:p>
              </w:tc>
              <w:tc>
                <w:tcPr>
                  <w:tcW w:w="1552"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6F5F63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初植密度</w:t>
                  </w:r>
                </w:p>
              </w:tc>
              <w:tc>
                <w:tcPr>
                  <w:tcW w:w="5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88031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株/亩</w:t>
                  </w:r>
                </w:p>
              </w:tc>
              <w:tc>
                <w:tcPr>
                  <w:tcW w:w="21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54E97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167</w:t>
                  </w:r>
                </w:p>
              </w:tc>
            </w:tr>
            <w:tr w14:paraId="0A0B72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jc w:val="center"/>
              </w:trPr>
              <w:tc>
                <w:tcPr>
                  <w:tcW w:w="34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3F06DAE">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26DC7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12</w:t>
                  </w:r>
                </w:p>
              </w:tc>
              <w:tc>
                <w:tcPr>
                  <w:tcW w:w="1552"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32213E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株行距</w:t>
                  </w:r>
                </w:p>
              </w:tc>
              <w:tc>
                <w:tcPr>
                  <w:tcW w:w="5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FD6FA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m×m</w:t>
                  </w:r>
                </w:p>
              </w:tc>
              <w:tc>
                <w:tcPr>
                  <w:tcW w:w="21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DC107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2×2</w:t>
                  </w:r>
                </w:p>
              </w:tc>
            </w:tr>
            <w:tr w14:paraId="65B90DA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jc w:val="center"/>
              </w:trPr>
              <w:tc>
                <w:tcPr>
                  <w:tcW w:w="34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5EE95E8">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EEC5CE">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552" w:type="pct"/>
                  <w:gridSpan w:val="3"/>
                  <w:tcBorders>
                    <w:top w:val="single" w:color="000000" w:sz="4" w:space="0"/>
                    <w:left w:val="single" w:color="000000" w:sz="4" w:space="0"/>
                    <w:bottom w:val="nil"/>
                    <w:right w:val="single" w:color="000000" w:sz="4" w:space="0"/>
                  </w:tcBorders>
                  <w:shd w:val="clear" w:color="auto" w:fill="auto"/>
                  <w:vAlign w:val="center"/>
                </w:tcPr>
                <w:p w14:paraId="41AFCBB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配置方式</w:t>
                  </w:r>
                </w:p>
              </w:tc>
              <w:tc>
                <w:tcPr>
                  <w:tcW w:w="5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0AC65A">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21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800DE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品字型</w:t>
                  </w:r>
                </w:p>
              </w:tc>
            </w:tr>
            <w:tr w14:paraId="7CA0852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jc w:val="center"/>
              </w:trPr>
              <w:tc>
                <w:tcPr>
                  <w:tcW w:w="34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15CE5A5">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4FF51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13</w:t>
                  </w:r>
                </w:p>
              </w:tc>
              <w:tc>
                <w:tcPr>
                  <w:tcW w:w="47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81AEC1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土地整地</w:t>
                  </w:r>
                </w:p>
              </w:tc>
              <w:tc>
                <w:tcPr>
                  <w:tcW w:w="1078"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D9A4EE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清林</w:t>
                  </w:r>
                </w:p>
              </w:tc>
              <w:tc>
                <w:tcPr>
                  <w:tcW w:w="5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82B928">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21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A46A9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清理林地上杂草、杂灌</w:t>
                  </w:r>
                </w:p>
              </w:tc>
            </w:tr>
            <w:tr w14:paraId="3A2C697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jc w:val="center"/>
              </w:trPr>
              <w:tc>
                <w:tcPr>
                  <w:tcW w:w="34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F90F1DB">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DD106E">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47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3EAB3D4">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59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05D965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垦复</w:t>
                  </w: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C8D70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深翻</w:t>
                  </w:r>
                </w:p>
              </w:tc>
              <w:tc>
                <w:tcPr>
                  <w:tcW w:w="5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A48B8D">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21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04222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深翻原土</w:t>
                  </w:r>
                </w:p>
              </w:tc>
            </w:tr>
            <w:tr w14:paraId="7037330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jc w:val="center"/>
              </w:trPr>
              <w:tc>
                <w:tcPr>
                  <w:tcW w:w="34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372F45B">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C16023">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47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7B5ED5C">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59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1DE2EEA">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3060F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客土</w:t>
                  </w:r>
                </w:p>
              </w:tc>
              <w:tc>
                <w:tcPr>
                  <w:tcW w:w="5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FEBD1A">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21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70C7A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种植土</w:t>
                  </w:r>
                </w:p>
              </w:tc>
            </w:tr>
            <w:tr w14:paraId="7A8F051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34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4759088">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3A105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47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AD8A562">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59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9DDC37E">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8A619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拌肥</w:t>
                  </w:r>
                </w:p>
              </w:tc>
              <w:tc>
                <w:tcPr>
                  <w:tcW w:w="5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6A1F8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肥料品种</w:t>
                  </w:r>
                </w:p>
              </w:tc>
              <w:tc>
                <w:tcPr>
                  <w:tcW w:w="21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94926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生物有机肥</w:t>
                  </w:r>
                </w:p>
              </w:tc>
            </w:tr>
            <w:tr w14:paraId="1FB1DAB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jc w:val="center"/>
              </w:trPr>
              <w:tc>
                <w:tcPr>
                  <w:tcW w:w="34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365D292">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69A437">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47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D20D5D2">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5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CADA0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土壤消毒</w:t>
                  </w:r>
                </w:p>
              </w:tc>
              <w:tc>
                <w:tcPr>
                  <w:tcW w:w="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C6EFD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高效氯氰菊酯</w:t>
                  </w:r>
                </w:p>
              </w:tc>
              <w:tc>
                <w:tcPr>
                  <w:tcW w:w="5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7AAF4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用量</w:t>
                  </w:r>
                </w:p>
              </w:tc>
              <w:tc>
                <w:tcPr>
                  <w:tcW w:w="21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41634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50ml/亩</w:t>
                  </w:r>
                </w:p>
              </w:tc>
            </w:tr>
            <w:tr w14:paraId="6EA42C9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jc w:val="center"/>
              </w:trPr>
              <w:tc>
                <w:tcPr>
                  <w:tcW w:w="34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EF2259C">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CB922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17</w:t>
                  </w:r>
                </w:p>
              </w:tc>
              <w:tc>
                <w:tcPr>
                  <w:tcW w:w="47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703F0F7">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078"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B98229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时间</w:t>
                  </w:r>
                </w:p>
              </w:tc>
              <w:tc>
                <w:tcPr>
                  <w:tcW w:w="5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0F8070">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21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30FA2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2023年3月至5月</w:t>
                  </w:r>
                </w:p>
              </w:tc>
            </w:tr>
            <w:tr w14:paraId="27E130B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jc w:val="center"/>
              </w:trPr>
              <w:tc>
                <w:tcPr>
                  <w:tcW w:w="34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43A5B2C">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DDBBB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18</w:t>
                  </w:r>
                </w:p>
              </w:tc>
              <w:tc>
                <w:tcPr>
                  <w:tcW w:w="47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7C3545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植苗造林</w:t>
                  </w:r>
                </w:p>
              </w:tc>
              <w:tc>
                <w:tcPr>
                  <w:tcW w:w="1078"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F6A05A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造林时间</w:t>
                  </w:r>
                </w:p>
              </w:tc>
              <w:tc>
                <w:tcPr>
                  <w:tcW w:w="5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64A49D">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21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CD03F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2023年3月至5月</w:t>
                  </w:r>
                </w:p>
              </w:tc>
            </w:tr>
            <w:tr w14:paraId="41758DD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jc w:val="center"/>
              </w:trPr>
              <w:tc>
                <w:tcPr>
                  <w:tcW w:w="34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9A559F5">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47BEE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19</w:t>
                  </w:r>
                </w:p>
              </w:tc>
              <w:tc>
                <w:tcPr>
                  <w:tcW w:w="47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8544A09">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078"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31E8EF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植苗密度</w:t>
                  </w:r>
                </w:p>
              </w:tc>
              <w:tc>
                <w:tcPr>
                  <w:tcW w:w="5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83627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株/亩</w:t>
                  </w:r>
                </w:p>
              </w:tc>
              <w:tc>
                <w:tcPr>
                  <w:tcW w:w="21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FA774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见初植密度</w:t>
                  </w:r>
                </w:p>
              </w:tc>
            </w:tr>
            <w:tr w14:paraId="51B025F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jc w:val="center"/>
              </w:trPr>
              <w:tc>
                <w:tcPr>
                  <w:tcW w:w="34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C136527">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2630E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w:t>
                  </w:r>
                </w:p>
              </w:tc>
              <w:tc>
                <w:tcPr>
                  <w:tcW w:w="47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DCAA81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补植</w:t>
                  </w:r>
                </w:p>
              </w:tc>
              <w:tc>
                <w:tcPr>
                  <w:tcW w:w="1078"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8E9514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时间</w:t>
                  </w:r>
                </w:p>
              </w:tc>
              <w:tc>
                <w:tcPr>
                  <w:tcW w:w="5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656969">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21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7A1A3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2024年3月至5月、2025年3月至5月</w:t>
                  </w:r>
                </w:p>
              </w:tc>
            </w:tr>
            <w:tr w14:paraId="02BA849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55" w:hRule="atLeast"/>
                <w:jc w:val="center"/>
              </w:trPr>
              <w:tc>
                <w:tcPr>
                  <w:tcW w:w="34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08872EE">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94D39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21</w:t>
                  </w:r>
                </w:p>
              </w:tc>
              <w:tc>
                <w:tcPr>
                  <w:tcW w:w="47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0F90AB4">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078"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C0C8F8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补植率</w:t>
                  </w:r>
                </w:p>
              </w:tc>
              <w:tc>
                <w:tcPr>
                  <w:tcW w:w="5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E915B2">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21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E36A3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2024年补植10%、2025年补植5%</w:t>
                  </w:r>
                </w:p>
              </w:tc>
            </w:tr>
            <w:tr w14:paraId="3DB6173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jc w:val="center"/>
              </w:trPr>
              <w:tc>
                <w:tcPr>
                  <w:tcW w:w="34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E19812E">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A0220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22</w:t>
                  </w:r>
                </w:p>
              </w:tc>
              <w:tc>
                <w:tcPr>
                  <w:tcW w:w="47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B19639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灌溉</w:t>
                  </w:r>
                </w:p>
              </w:tc>
              <w:tc>
                <w:tcPr>
                  <w:tcW w:w="1078"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5D77DA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年限</w:t>
                  </w:r>
                </w:p>
              </w:tc>
              <w:tc>
                <w:tcPr>
                  <w:tcW w:w="5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328E4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年</w:t>
                  </w:r>
                </w:p>
              </w:tc>
              <w:tc>
                <w:tcPr>
                  <w:tcW w:w="21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BBA42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r>
            <w:tr w14:paraId="26C0FB2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jc w:val="center"/>
              </w:trPr>
              <w:tc>
                <w:tcPr>
                  <w:tcW w:w="34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3A8C44F">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0F228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23</w:t>
                  </w:r>
                </w:p>
              </w:tc>
              <w:tc>
                <w:tcPr>
                  <w:tcW w:w="47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F62E209">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078"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A10198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起止年</w:t>
                  </w:r>
                </w:p>
              </w:tc>
              <w:tc>
                <w:tcPr>
                  <w:tcW w:w="5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1E998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年</w:t>
                  </w:r>
                </w:p>
              </w:tc>
              <w:tc>
                <w:tcPr>
                  <w:tcW w:w="21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52298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2023年6月-2026年5月</w:t>
                  </w:r>
                </w:p>
              </w:tc>
            </w:tr>
            <w:tr w14:paraId="115FF9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jc w:val="center"/>
              </w:trPr>
              <w:tc>
                <w:tcPr>
                  <w:tcW w:w="34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4A17322">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7074D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24</w:t>
                  </w:r>
                </w:p>
              </w:tc>
              <w:tc>
                <w:tcPr>
                  <w:tcW w:w="47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1F81044">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078"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8189E9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次数</w:t>
                  </w:r>
                </w:p>
              </w:tc>
              <w:tc>
                <w:tcPr>
                  <w:tcW w:w="5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7C775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次/年</w:t>
                  </w:r>
                </w:p>
              </w:tc>
              <w:tc>
                <w:tcPr>
                  <w:tcW w:w="21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96DF7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春秋每月各1次，7-9月每月各2次</w:t>
                  </w:r>
                </w:p>
              </w:tc>
            </w:tr>
            <w:tr w14:paraId="02789FB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jc w:val="center"/>
              </w:trPr>
              <w:tc>
                <w:tcPr>
                  <w:tcW w:w="34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9F6D052">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E1DC7F">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47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E89B25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追肥</w:t>
                  </w:r>
                </w:p>
              </w:tc>
              <w:tc>
                <w:tcPr>
                  <w:tcW w:w="1078" w:type="pct"/>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DA7EFC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尿素</w:t>
                  </w:r>
                </w:p>
              </w:tc>
              <w:tc>
                <w:tcPr>
                  <w:tcW w:w="5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41F64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施肥量</w:t>
                  </w:r>
                </w:p>
              </w:tc>
              <w:tc>
                <w:tcPr>
                  <w:tcW w:w="21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B70E0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0.1kg/株·次</w:t>
                  </w:r>
                </w:p>
              </w:tc>
            </w:tr>
            <w:tr w14:paraId="2FCEA57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jc w:val="center"/>
              </w:trPr>
              <w:tc>
                <w:tcPr>
                  <w:tcW w:w="34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12985A5">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98817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25</w:t>
                  </w:r>
                </w:p>
              </w:tc>
              <w:tc>
                <w:tcPr>
                  <w:tcW w:w="47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2B32FA8">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078"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8C9C704">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5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6FF43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时间</w:t>
                  </w:r>
                </w:p>
              </w:tc>
              <w:tc>
                <w:tcPr>
                  <w:tcW w:w="21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CF900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2024年、2025年、2026年3月各一次</w:t>
                  </w:r>
                </w:p>
              </w:tc>
            </w:tr>
            <w:tr w14:paraId="5CC2306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jc w:val="center"/>
              </w:trPr>
              <w:tc>
                <w:tcPr>
                  <w:tcW w:w="34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9FDBD39">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7ECAE2">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47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A915156">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078" w:type="pct"/>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FB058D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复合肥</w:t>
                  </w:r>
                </w:p>
              </w:tc>
              <w:tc>
                <w:tcPr>
                  <w:tcW w:w="5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925AD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施肥量</w:t>
                  </w:r>
                </w:p>
              </w:tc>
              <w:tc>
                <w:tcPr>
                  <w:tcW w:w="21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9CE80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0.1kg/株·次</w:t>
                  </w:r>
                </w:p>
              </w:tc>
            </w:tr>
            <w:tr w14:paraId="10E24B4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0" w:hRule="atLeast"/>
                <w:jc w:val="center"/>
              </w:trPr>
              <w:tc>
                <w:tcPr>
                  <w:tcW w:w="34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0A66F43">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0F8A2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w:t>
                  </w:r>
                </w:p>
              </w:tc>
              <w:tc>
                <w:tcPr>
                  <w:tcW w:w="47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6AF1072">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078"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7AEE9EA">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5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83871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时间</w:t>
                  </w:r>
                </w:p>
              </w:tc>
              <w:tc>
                <w:tcPr>
                  <w:tcW w:w="21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61D6A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2023年、2024年、2025年、2026年10月各一次</w:t>
                  </w:r>
                </w:p>
              </w:tc>
            </w:tr>
            <w:tr w14:paraId="5908CE3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jc w:val="center"/>
              </w:trPr>
              <w:tc>
                <w:tcPr>
                  <w:tcW w:w="34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562EA0D">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A355C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27</w:t>
                  </w:r>
                </w:p>
              </w:tc>
              <w:tc>
                <w:tcPr>
                  <w:tcW w:w="47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F5A7F0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其他抚育措施</w:t>
                  </w:r>
                </w:p>
              </w:tc>
              <w:tc>
                <w:tcPr>
                  <w:tcW w:w="1612"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A1D3CB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抚育措施</w:t>
                  </w:r>
                </w:p>
              </w:tc>
              <w:tc>
                <w:tcPr>
                  <w:tcW w:w="21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AACFF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松土、培土、扶苗、杂草清理、林业有害生物防治，一年4次</w:t>
                  </w:r>
                </w:p>
              </w:tc>
            </w:tr>
            <w:tr w14:paraId="09E6815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jc w:val="center"/>
              </w:trPr>
              <w:tc>
                <w:tcPr>
                  <w:tcW w:w="34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F082909">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D15D6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28</w:t>
                  </w:r>
                </w:p>
              </w:tc>
              <w:tc>
                <w:tcPr>
                  <w:tcW w:w="47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87401FC">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612"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DFFAE6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年限</w:t>
                  </w:r>
                </w:p>
              </w:tc>
              <w:tc>
                <w:tcPr>
                  <w:tcW w:w="21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FAC1E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2023年6月-2026年5月</w:t>
                  </w:r>
                </w:p>
              </w:tc>
            </w:tr>
            <w:tr w14:paraId="3132BF4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jc w:val="center"/>
              </w:trPr>
              <w:tc>
                <w:tcPr>
                  <w:tcW w:w="34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49A4DC8">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DE1C9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29</w:t>
                  </w:r>
                </w:p>
              </w:tc>
              <w:tc>
                <w:tcPr>
                  <w:tcW w:w="47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E002E8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养护管理</w:t>
                  </w:r>
                </w:p>
              </w:tc>
              <w:tc>
                <w:tcPr>
                  <w:tcW w:w="1612"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560D39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人工巡护</w:t>
                  </w:r>
                </w:p>
              </w:tc>
              <w:tc>
                <w:tcPr>
                  <w:tcW w:w="21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B2FCC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防火、病虫害监测、防人为牲畜破坏</w:t>
                  </w:r>
                </w:p>
              </w:tc>
            </w:tr>
            <w:tr w14:paraId="288E1CB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jc w:val="center"/>
              </w:trPr>
              <w:tc>
                <w:tcPr>
                  <w:tcW w:w="34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302095E">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2DDCD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w:t>
                  </w:r>
                </w:p>
              </w:tc>
              <w:tc>
                <w:tcPr>
                  <w:tcW w:w="47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7793658">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078"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927DFE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年限</w:t>
                  </w:r>
                </w:p>
              </w:tc>
              <w:tc>
                <w:tcPr>
                  <w:tcW w:w="5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A85A1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年</w:t>
                  </w:r>
                </w:p>
              </w:tc>
              <w:tc>
                <w:tcPr>
                  <w:tcW w:w="21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426BA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r>
            <w:tr w14:paraId="39D6A53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jc w:val="center"/>
              </w:trPr>
              <w:tc>
                <w:tcPr>
                  <w:tcW w:w="34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942184B">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F16A9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31</w:t>
                  </w:r>
                </w:p>
              </w:tc>
              <w:tc>
                <w:tcPr>
                  <w:tcW w:w="47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C43D50E">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078"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1CE2D8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起止年</w:t>
                  </w:r>
                </w:p>
              </w:tc>
              <w:tc>
                <w:tcPr>
                  <w:tcW w:w="5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CC91F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年</w:t>
                  </w:r>
                </w:p>
              </w:tc>
              <w:tc>
                <w:tcPr>
                  <w:tcW w:w="21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AB2AB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2024年-2026年</w:t>
                  </w:r>
                </w:p>
              </w:tc>
            </w:tr>
          </w:tbl>
          <w:p w14:paraId="67CBD423">
            <w:pPr>
              <w:spacing w:before="36" w:line="360" w:lineRule="auto"/>
              <w:ind w:firstLine="612"/>
              <w:jc w:val="center"/>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z w:val="28"/>
                <w:szCs w:val="28"/>
                <w:highlight w:val="none"/>
                <w:lang w:eastAsia="zh-CN"/>
              </w:rPr>
              <w:drawing>
                <wp:inline distT="0" distB="0" distL="114300" distR="114300">
                  <wp:extent cx="3945890" cy="5581650"/>
                  <wp:effectExtent l="0" t="0" r="16510" b="0"/>
                  <wp:docPr id="4" name="图片 4" descr="黄柏模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黄柏模型图"/>
                          <pic:cNvPicPr>
                            <a:picLocks noChangeAspect="1"/>
                          </pic:cNvPicPr>
                        </pic:nvPicPr>
                        <pic:blipFill>
                          <a:blip r:embed="rId32"/>
                          <a:stretch>
                            <a:fillRect/>
                          </a:stretch>
                        </pic:blipFill>
                        <pic:spPr>
                          <a:xfrm>
                            <a:off x="0" y="0"/>
                            <a:ext cx="3945890" cy="5581650"/>
                          </a:xfrm>
                          <a:prstGeom prst="rect">
                            <a:avLst/>
                          </a:prstGeom>
                        </pic:spPr>
                      </pic:pic>
                    </a:graphicData>
                  </a:graphic>
                </wp:inline>
              </w:drawing>
            </w:r>
          </w:p>
          <w:p w14:paraId="4F1C095B">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7.2.2 树种选择</w:t>
            </w:r>
          </w:p>
          <w:p w14:paraId="0C961443">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本项目集约人工林栽培各地块面积较小且较为分散，与周围林分均可形成块状混交，各地块间由其他树种、天然植被或非林地形成的缓冲区间充足，根据四川省林业和草原局关于印发《四川省储备林树种目录》的通知（川林规函〔2023〕759号），严格遵循“适地、适树、适种源、适品种”的原则，以培育目标为导向，以近自然森林林业理念为指导，兼顾近期效益与远期效益，根据树种生物学特性、立地条件、造林技术和社会经济条件等全面考虑，确定本项目集约人工林栽培的主要树种为川黄檗，川黄檗配置为纯林。</w:t>
            </w:r>
          </w:p>
          <w:p w14:paraId="1E21D694">
            <w:pPr>
              <w:spacing w:before="36" w:line="360" w:lineRule="auto"/>
              <w:ind w:firstLine="612"/>
              <w:jc w:val="both"/>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黄柏：学名黄檗，四川栽培一般用</w:t>
            </w:r>
            <w:r>
              <w:rPr>
                <w:rFonts w:hint="eastAsia" w:ascii="Times New Roman" w:hAnsi="Times New Roman" w:eastAsia="宋体" w:cs="Times New Roman"/>
                <w:color w:val="auto"/>
                <w:spacing w:val="-7"/>
                <w:sz w:val="24"/>
                <w:szCs w:val="24"/>
                <w:lang w:eastAsia="zh-CN"/>
              </w:rPr>
              <w:t>川黄檗</w:t>
            </w:r>
            <w:r>
              <w:rPr>
                <w:rFonts w:hint="default" w:ascii="Times New Roman" w:hAnsi="Times New Roman" w:eastAsia="宋体" w:cs="Times New Roman"/>
                <w:color w:val="auto"/>
                <w:spacing w:val="-7"/>
                <w:sz w:val="24"/>
                <w:szCs w:val="24"/>
                <w:lang w:eastAsia="zh-CN"/>
              </w:rPr>
              <w:t>。拉丁学名Phellodendronchinense Schneid.，阳性树种，喜温暖湿润气候，苗期稍耐荫，成年树喜阳光不耐荫蔽。在海拔400～1200m的紫色土、黄棕壤、黄壤等均宜栽培。</w:t>
            </w:r>
          </w:p>
          <w:p w14:paraId="68408591">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7.2.3 黄柏集约人工林栽培技术措施</w:t>
            </w:r>
          </w:p>
          <w:p w14:paraId="76E78EA0">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7.2.3.1 栽植密度</w:t>
            </w:r>
          </w:p>
          <w:p w14:paraId="376AA64A">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根据培育目标、立地条件、造林品种和经营管理措施来确定栽植密度。集约人工林栽植密度采用167株/亩（株行距2×2米）。</w:t>
            </w:r>
          </w:p>
          <w:p w14:paraId="62BFA732">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7.2.3.2 种植点配置</w:t>
            </w:r>
          </w:p>
          <w:p w14:paraId="13CC8C5A">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种植点沿等高线呈品字形设置。</w:t>
            </w:r>
          </w:p>
          <w:p w14:paraId="55910604">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7.2.3.3 混交方式</w:t>
            </w:r>
          </w:p>
          <w:p w14:paraId="6DCEA4F3">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纯林。</w:t>
            </w:r>
          </w:p>
          <w:p w14:paraId="07781C05">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7.2.3.4 清林整地</w:t>
            </w:r>
          </w:p>
          <w:p w14:paraId="66693B57">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（1）清林</w:t>
            </w:r>
          </w:p>
          <w:p w14:paraId="04B6DCF3">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保护已有植被，限制全面清除。除杂草杂灌丛生、采伐剩余物堆积、林业有害生物发生严重等，不进行清理无法进行整地的造林地外，不进行林地全面清理。根据需要，在整地前，采用1×1m块状方式进行林地清理，清除残留木、杂灌、树篼、石块等。</w:t>
            </w:r>
          </w:p>
          <w:p w14:paraId="45EFF83F">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（2）整地</w:t>
            </w:r>
          </w:p>
          <w:p w14:paraId="182CCC00">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采用穴状整地，规格为40×40×50cm，种植穴的上下底同宽，严禁挖成“锅底形”。整地时将表土放成一堆，将深层土另放成一堆。整地时施用高效氯氰菊酯，有效成分含量4.5%，用量50ml/亩。</w:t>
            </w:r>
          </w:p>
          <w:p w14:paraId="3F4C8E3F">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7.2.3.5 植苗</w:t>
            </w:r>
          </w:p>
          <w:p w14:paraId="57791077">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人工植苗。按照“三埋两踩一提苗”的要领：</w:t>
            </w:r>
          </w:p>
          <w:p w14:paraId="33213180">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一埋：整地时将表土放成一堆，将深层土另放成一堆，种植穴挖好后，将基肥施于穴底，然后将表层土均匀的埋放在肥料上面。</w:t>
            </w:r>
          </w:p>
          <w:p w14:paraId="2D95EF4A">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二埋：将苗木放入穴内，保持根系舒展，把表层土继续填埋到穴高的一半。</w:t>
            </w:r>
          </w:p>
          <w:p w14:paraId="757F7C11">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一提：把苗木轻轻的往上提一下，防止树苗根系窝在一起不利于根系的生长。</w:t>
            </w:r>
          </w:p>
          <w:p w14:paraId="3B4BEA68">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一踩：把填埋到一半的土壤进行踩实，让苗木的根系与土壤仅仅接触没有空隙，能够尽快的吸收营养和水分提高成活率。</w:t>
            </w:r>
          </w:p>
          <w:p w14:paraId="29B5C9A6">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三埋：将整地剩下的深层土埋入，一直埋到与地面齐平之后。</w:t>
            </w:r>
          </w:p>
          <w:p w14:paraId="3F1E9412">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二踩：埋完土之后，对土面进行第二次踩实。这样能够使树苗树干挺直，同时树苗根部与土壤紧密结合，防止被风吹歪。</w:t>
            </w:r>
          </w:p>
          <w:p w14:paraId="7B3734AA">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7.2.3.6 客土</w:t>
            </w:r>
          </w:p>
          <w:p w14:paraId="3D60B494">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对土壤厚度小于40cm的地块和土球苗栽植地块采取客土措施，0.02m3/穴或0.01m3/穴，详见模型表。主要向项目区周边施工工地购买本地普通土壤。</w:t>
            </w:r>
          </w:p>
          <w:p w14:paraId="79562616">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7.2.3.7 施肥与灌溉</w:t>
            </w:r>
          </w:p>
          <w:p w14:paraId="74D303CD">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（1）施基肥：施用腐熟农家肥，0.3kg/株。各项指标需参照《有机肥料》（NY/T525-2021）标准并确保肥料充分发酵腐熟。基肥在栽植前施于穴底，并回填部分表土。</w:t>
            </w:r>
          </w:p>
          <w:p w14:paraId="7ED7D9E5">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（2）浇定根水：在栽植后及时浇水，浇足浇透，10kg/株，同时使用保水剂和生根粉，保水剂0.01kg/株，稀释1000倍液，生根粉0.002kg/株，ABT3号生根粉。</w:t>
            </w:r>
          </w:p>
          <w:p w14:paraId="28E98A24">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7.2.3.8 铺设地膜</w:t>
            </w:r>
          </w:p>
          <w:p w14:paraId="5D34C6DB">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幼苗栽植后以种植穴为中心铺设0.8×0.8m保水地膜。</w:t>
            </w:r>
          </w:p>
          <w:p w14:paraId="79D9FDC4">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7.2.3.9 幼林抚育管护</w:t>
            </w:r>
          </w:p>
          <w:p w14:paraId="5DFC0B72">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新造林的目的是增加森林植被，并按全周期、近自然经营的理念经营管理。未成林（幼林）抚育管护可促进林木生长，使林分尽快郁闭成林或提高植被盖度，是植被恢复重要的技术措施。</w:t>
            </w:r>
          </w:p>
          <w:p w14:paraId="1AAA0B9C">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（1）未成林（幼林）抚育</w:t>
            </w:r>
          </w:p>
          <w:p w14:paraId="20791C01">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未成林（幼林）抚育包括松土、除草、割灌、浇水等措施。连续抚育3年，每年1次， 8月进行。</w:t>
            </w:r>
          </w:p>
          <w:p w14:paraId="48D3BD6E">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1）松土、除草、割灌</w:t>
            </w:r>
          </w:p>
          <w:p w14:paraId="59A9B931">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为减少对原生植被的不利影响，又能促进林木生长，要适时松土、除草、割灌，2024年开始抚育，连续抚育3年，未郁闭的第4年继续抚育1次。第1次抚育为锄抚，锄抚深度10－15cm；第2、3次为刀抚，砍除幼苗周围1m的杂灌、杂草。松土时注意里浅外深，不伤害苗木根系。</w:t>
            </w:r>
          </w:p>
          <w:p w14:paraId="00056AA0">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2）灌溉浇水</w:t>
            </w:r>
          </w:p>
          <w:p w14:paraId="0771C6B5">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如遇干旱时，在每月7号、17号、27号逢“7”浇水，保持栽植穴土壤湿度。</w:t>
            </w:r>
          </w:p>
          <w:p w14:paraId="2790300B">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（2）补植、施追肥（复合肥）</w:t>
            </w:r>
          </w:p>
          <w:p w14:paraId="44748FB8">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1）补植</w:t>
            </w:r>
          </w:p>
          <w:p w14:paraId="5CF79695">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造林后连续3年进行成活（保存）率检查，对当年成活率在85%以下（第2、3年保存率在80%以下）的造林小班应按设计密度适时进行补植，保证造林成效。</w:t>
            </w:r>
          </w:p>
          <w:p w14:paraId="6F929074">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2）施追肥</w:t>
            </w:r>
          </w:p>
          <w:p w14:paraId="3B46FA2F">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根据4.4.1土壤调查结果，施用复合肥（氮磷肥），相关标准参照《复合肥料》（GB/T15063-2022），总养分（N+P2O5+K2O）的质量分数（%）≥30%，水溶性磷占有效磷（%）≥50%，硝态氮的质量分数（%）≥1.5%，水分的质量分数（%）≤2.5%，粒度占比（%）（1.0mm~4.75mm）≥90%。每年8月施用1次，一共3次，每次用量0.05kg/株。采用沟施，在距幼树上坡位50cm处挖开一条深20cm的弧形沟，施用后及时回土。</w:t>
            </w:r>
          </w:p>
          <w:p w14:paraId="6A9AC2EE">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（3）未成林（幼林）管护</w:t>
            </w:r>
          </w:p>
          <w:p w14:paraId="3050BF35">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管护时间3年，主要管护内容包括日常巡护、森林防火、病虫害防治等。造林后，加强日常巡山防护和森林防火，实时监控病虫、有害生物灾害的发生，严禁在造林地内放牧、打柴、开垦、采石等人畜活动，以提高造林成效。</w:t>
            </w:r>
          </w:p>
          <w:p w14:paraId="3734967B">
            <w:pPr>
              <w:spacing w:before="36" w:line="360" w:lineRule="auto"/>
              <w:ind w:firstLine="612"/>
              <w:rPr>
                <w:rFonts w:hint="default" w:ascii="Times New Roman" w:hAnsi="Times New Roman" w:eastAsia="宋体" w:cs="Times New Roman"/>
                <w:b/>
                <w:bCs/>
                <w:color w:val="auto"/>
                <w:spacing w:val="-7"/>
                <w:sz w:val="24"/>
                <w:szCs w:val="24"/>
                <w:u w:val="single"/>
                <w:lang w:val="en-US" w:eastAsia="zh-CN"/>
              </w:rPr>
            </w:pPr>
            <w:r>
              <w:rPr>
                <w:rFonts w:hint="default" w:ascii="Times New Roman" w:hAnsi="Times New Roman" w:eastAsia="宋体" w:cs="Times New Roman"/>
                <w:b/>
                <w:bCs/>
                <w:color w:val="auto"/>
                <w:spacing w:val="-7"/>
                <w:sz w:val="24"/>
                <w:szCs w:val="24"/>
                <w:u w:val="single"/>
                <w:lang w:val="en-US" w:eastAsia="zh-CN"/>
              </w:rPr>
              <w:t>7.3 现有林改培技术设计</w:t>
            </w:r>
          </w:p>
          <w:p w14:paraId="3E1A564E">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7.3.1 模型设计</w:t>
            </w:r>
          </w:p>
          <w:p w14:paraId="6944DCAE">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根据《国家储备林改培技术规程》（LY/T2787-2017）、《低效林改造技术规程》（LY/T1690-2017）、《四川省林木采伐技术规程》（DB51/T 2918-2022）等技术规程结合外业调查结果，共设置3个现有林改培模型，详见</w:t>
            </w:r>
            <w:r>
              <w:rPr>
                <w:rFonts w:hint="default" w:ascii="Times New Roman" w:hAnsi="Times New Roman" w:eastAsia="宋体" w:cs="Times New Roman"/>
                <w:color w:val="auto"/>
                <w:spacing w:val="-7"/>
                <w:sz w:val="24"/>
                <w:szCs w:val="24"/>
                <w:lang w:val="en-US" w:eastAsia="zh-CN"/>
              </w:rPr>
              <w:t>下</w:t>
            </w:r>
            <w:r>
              <w:rPr>
                <w:rFonts w:hint="default" w:ascii="Times New Roman" w:hAnsi="Times New Roman" w:eastAsia="宋体" w:cs="Times New Roman"/>
                <w:color w:val="auto"/>
                <w:spacing w:val="-7"/>
                <w:sz w:val="24"/>
                <w:szCs w:val="24"/>
                <w:lang w:eastAsia="zh-CN"/>
              </w:rPr>
              <w:t>表。</w:t>
            </w:r>
          </w:p>
          <w:p w14:paraId="7934A153">
            <w:pPr>
              <w:spacing w:before="61"/>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表</w:t>
            </w:r>
            <w:r>
              <w:rPr>
                <w:rFonts w:hint="default" w:ascii="Times New Roman" w:hAnsi="Times New Roman" w:eastAsia="宋体" w:cs="Times New Roman"/>
                <w:b/>
                <w:bCs/>
                <w:color w:val="auto"/>
                <w:lang w:val="en-US" w:eastAsia="zh-CN"/>
              </w:rPr>
              <w:t xml:space="preserve">2-9  </w:t>
            </w:r>
            <w:r>
              <w:rPr>
                <w:rFonts w:hint="default" w:ascii="Times New Roman" w:hAnsi="Times New Roman" w:eastAsia="宋体" w:cs="Times New Roman"/>
                <w:b/>
                <w:bCs/>
                <w:color w:val="auto"/>
              </w:rPr>
              <w:t>现有林改培模型表</w:t>
            </w:r>
          </w:p>
          <w:tbl>
            <w:tblPr>
              <w:tblStyle w:val="32"/>
              <w:tblW w:w="8294"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36"/>
              <w:gridCol w:w="665"/>
              <w:gridCol w:w="825"/>
              <w:gridCol w:w="1925"/>
              <w:gridCol w:w="1988"/>
              <w:gridCol w:w="1955"/>
            </w:tblGrid>
            <w:tr w14:paraId="1EB6784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exact"/>
                <w:jc w:val="center"/>
              </w:trPr>
              <w:tc>
                <w:tcPr>
                  <w:tcW w:w="1462" w:type="pct"/>
                  <w:gridSpan w:val="3"/>
                  <w:tcBorders>
                    <w:top w:val="single" w:color="000000" w:sz="4" w:space="0"/>
                    <w:left w:val="single" w:color="000000" w:sz="4" w:space="0"/>
                    <w:bottom w:val="single" w:color="000000" w:sz="4" w:space="0"/>
                    <w:right w:val="nil"/>
                  </w:tcBorders>
                  <w:shd w:val="clear" w:color="auto" w:fill="auto"/>
                  <w:noWrap/>
                  <w:vAlign w:val="center"/>
                </w:tcPr>
                <w:p w14:paraId="3E72A194">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模型号</w:t>
                  </w:r>
                </w:p>
              </w:tc>
              <w:tc>
                <w:tcPr>
                  <w:tcW w:w="11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196A35">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GP01</w:t>
                  </w:r>
                </w:p>
              </w:tc>
              <w:tc>
                <w:tcPr>
                  <w:tcW w:w="11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A95161">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GP02</w:t>
                  </w:r>
                </w:p>
              </w:tc>
              <w:tc>
                <w:tcPr>
                  <w:tcW w:w="11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E901F8">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GP03</w:t>
                  </w:r>
                </w:p>
              </w:tc>
            </w:tr>
            <w:tr w14:paraId="62026D8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exact"/>
                <w:jc w:val="center"/>
              </w:trPr>
              <w:tc>
                <w:tcPr>
                  <w:tcW w:w="1462" w:type="pct"/>
                  <w:gridSpan w:val="3"/>
                  <w:tcBorders>
                    <w:top w:val="single" w:color="000000" w:sz="4" w:space="0"/>
                    <w:left w:val="single" w:color="000000" w:sz="4" w:space="0"/>
                    <w:bottom w:val="single" w:color="000000" w:sz="4" w:space="0"/>
                    <w:right w:val="nil"/>
                  </w:tcBorders>
                  <w:shd w:val="clear" w:color="auto" w:fill="auto"/>
                  <w:noWrap/>
                  <w:vAlign w:val="center"/>
                </w:tcPr>
                <w:p w14:paraId="4940FC3D">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森林类别</w:t>
                  </w:r>
                </w:p>
              </w:tc>
              <w:tc>
                <w:tcPr>
                  <w:tcW w:w="11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A35880">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商品林</w:t>
                  </w:r>
                </w:p>
              </w:tc>
              <w:tc>
                <w:tcPr>
                  <w:tcW w:w="11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FE7408">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商品林</w:t>
                  </w:r>
                </w:p>
              </w:tc>
              <w:tc>
                <w:tcPr>
                  <w:tcW w:w="11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054084">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商品林</w:t>
                  </w:r>
                </w:p>
              </w:tc>
            </w:tr>
            <w:tr w14:paraId="3DC2014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exact"/>
                <w:jc w:val="center"/>
              </w:trPr>
              <w:tc>
                <w:tcPr>
                  <w:tcW w:w="1462" w:type="pct"/>
                  <w:gridSpan w:val="3"/>
                  <w:tcBorders>
                    <w:top w:val="single" w:color="000000" w:sz="4" w:space="0"/>
                    <w:left w:val="single" w:color="000000" w:sz="4" w:space="0"/>
                    <w:bottom w:val="single" w:color="000000" w:sz="4" w:space="0"/>
                    <w:right w:val="nil"/>
                  </w:tcBorders>
                  <w:shd w:val="clear" w:color="auto" w:fill="auto"/>
                  <w:noWrap/>
                  <w:vAlign w:val="center"/>
                </w:tcPr>
                <w:p w14:paraId="5FE090E6">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森林起源</w:t>
                  </w:r>
                </w:p>
              </w:tc>
              <w:tc>
                <w:tcPr>
                  <w:tcW w:w="11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E09BDE">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人工林</w:t>
                  </w:r>
                </w:p>
              </w:tc>
              <w:tc>
                <w:tcPr>
                  <w:tcW w:w="11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318A7A">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人工林</w:t>
                  </w:r>
                </w:p>
              </w:tc>
              <w:tc>
                <w:tcPr>
                  <w:tcW w:w="11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A6D93D">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人工林</w:t>
                  </w:r>
                </w:p>
              </w:tc>
            </w:tr>
            <w:tr w14:paraId="2E6D228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exact"/>
                <w:jc w:val="center"/>
              </w:trPr>
              <w:tc>
                <w:tcPr>
                  <w:tcW w:w="1462" w:type="pct"/>
                  <w:gridSpan w:val="3"/>
                  <w:tcBorders>
                    <w:top w:val="single" w:color="000000" w:sz="4" w:space="0"/>
                    <w:left w:val="single" w:color="000000" w:sz="4" w:space="0"/>
                    <w:bottom w:val="single" w:color="000000" w:sz="4" w:space="0"/>
                    <w:right w:val="nil"/>
                  </w:tcBorders>
                  <w:shd w:val="clear" w:color="auto" w:fill="auto"/>
                  <w:noWrap/>
                  <w:vAlign w:val="center"/>
                </w:tcPr>
                <w:p w14:paraId="6403B74C">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有效面积（亩）</w:t>
                  </w:r>
                </w:p>
              </w:tc>
              <w:tc>
                <w:tcPr>
                  <w:tcW w:w="11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1CF575">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1657.5 </w:t>
                  </w:r>
                </w:p>
              </w:tc>
              <w:tc>
                <w:tcPr>
                  <w:tcW w:w="1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8019CE">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852.4</w:t>
                  </w:r>
                </w:p>
              </w:tc>
              <w:tc>
                <w:tcPr>
                  <w:tcW w:w="11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EB52F8">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2571.7</w:t>
                  </w:r>
                </w:p>
              </w:tc>
            </w:tr>
            <w:tr w14:paraId="1794BCA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exact"/>
                <w:jc w:val="center"/>
              </w:trPr>
              <w:tc>
                <w:tcPr>
                  <w:tcW w:w="1462" w:type="pct"/>
                  <w:gridSpan w:val="3"/>
                  <w:tcBorders>
                    <w:top w:val="single" w:color="000000" w:sz="4" w:space="0"/>
                    <w:left w:val="single" w:color="000000" w:sz="4" w:space="0"/>
                    <w:bottom w:val="nil"/>
                    <w:right w:val="nil"/>
                  </w:tcBorders>
                  <w:shd w:val="clear" w:color="auto" w:fill="auto"/>
                  <w:noWrap/>
                  <w:vAlign w:val="center"/>
                </w:tcPr>
                <w:p w14:paraId="21F4F36C">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树种</w:t>
                  </w:r>
                </w:p>
              </w:tc>
              <w:tc>
                <w:tcPr>
                  <w:tcW w:w="11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7DD0AE">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柏木为主、其他软阔等</w:t>
                  </w:r>
                </w:p>
              </w:tc>
              <w:tc>
                <w:tcPr>
                  <w:tcW w:w="11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A7E61A">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柏木为主、其他软阔等</w:t>
                  </w:r>
                </w:p>
              </w:tc>
              <w:tc>
                <w:tcPr>
                  <w:tcW w:w="11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FC96C1">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柏木为主、其他软阔等</w:t>
                  </w:r>
                </w:p>
              </w:tc>
            </w:tr>
            <w:tr w14:paraId="409AD8F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exact"/>
                <w:jc w:val="center"/>
              </w:trPr>
              <w:tc>
                <w:tcPr>
                  <w:tcW w:w="1462"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C546B0">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林组</w:t>
                  </w:r>
                </w:p>
              </w:tc>
              <w:tc>
                <w:tcPr>
                  <w:tcW w:w="11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75EF63">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中龄林、近熟林</w:t>
                  </w:r>
                </w:p>
              </w:tc>
              <w:tc>
                <w:tcPr>
                  <w:tcW w:w="11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899259">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中龄林、近熟林</w:t>
                  </w:r>
                </w:p>
              </w:tc>
              <w:tc>
                <w:tcPr>
                  <w:tcW w:w="11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BA280D">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中龄林、近熟林</w:t>
                  </w:r>
                </w:p>
              </w:tc>
            </w:tr>
            <w:tr w14:paraId="0B33391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exact"/>
                <w:jc w:val="center"/>
              </w:trPr>
              <w:tc>
                <w:tcPr>
                  <w:tcW w:w="1462"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6E10E4">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郁闭度</w:t>
                  </w:r>
                </w:p>
              </w:tc>
              <w:tc>
                <w:tcPr>
                  <w:tcW w:w="11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CF4694">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0.7-0.8</w:t>
                  </w:r>
                </w:p>
              </w:tc>
              <w:tc>
                <w:tcPr>
                  <w:tcW w:w="1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ADE128">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0.7-0.9</w:t>
                  </w:r>
                </w:p>
              </w:tc>
              <w:tc>
                <w:tcPr>
                  <w:tcW w:w="11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2FF46F">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0.8-0.9</w:t>
                  </w:r>
                </w:p>
              </w:tc>
            </w:tr>
            <w:tr w14:paraId="1D6844F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exact"/>
                <w:jc w:val="center"/>
              </w:trPr>
              <w:tc>
                <w:tcPr>
                  <w:tcW w:w="1462" w:type="pct"/>
                  <w:gridSpan w:val="3"/>
                  <w:tcBorders>
                    <w:top w:val="single" w:color="000000" w:sz="4" w:space="0"/>
                    <w:left w:val="single" w:color="000000" w:sz="4" w:space="0"/>
                    <w:bottom w:val="nil"/>
                    <w:right w:val="nil"/>
                  </w:tcBorders>
                  <w:shd w:val="clear" w:color="auto" w:fill="auto"/>
                  <w:noWrap/>
                  <w:vAlign w:val="center"/>
                </w:tcPr>
                <w:p w14:paraId="58ED3139">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改造培育型</w:t>
                  </w:r>
                </w:p>
              </w:tc>
              <w:tc>
                <w:tcPr>
                  <w:tcW w:w="11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305170">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改造培育型</w:t>
                  </w:r>
                </w:p>
              </w:tc>
              <w:tc>
                <w:tcPr>
                  <w:tcW w:w="1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2FE744">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改造培育型</w:t>
                  </w:r>
                </w:p>
              </w:tc>
              <w:tc>
                <w:tcPr>
                  <w:tcW w:w="11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2216B9">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改造培育型</w:t>
                  </w:r>
                </w:p>
              </w:tc>
            </w:tr>
            <w:tr w14:paraId="2BD45F3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exact"/>
                <w:jc w:val="center"/>
              </w:trPr>
              <w:tc>
                <w:tcPr>
                  <w:tcW w:w="1462" w:type="pct"/>
                  <w:gridSpan w:val="3"/>
                  <w:tcBorders>
                    <w:top w:val="single" w:color="000000" w:sz="4" w:space="0"/>
                    <w:left w:val="single" w:color="000000" w:sz="4" w:space="0"/>
                    <w:bottom w:val="nil"/>
                    <w:right w:val="nil"/>
                  </w:tcBorders>
                  <w:shd w:val="clear" w:color="auto" w:fill="auto"/>
                  <w:noWrap/>
                  <w:vAlign w:val="center"/>
                </w:tcPr>
                <w:p w14:paraId="14508336">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改培措施</w:t>
                  </w:r>
                </w:p>
              </w:tc>
              <w:tc>
                <w:tcPr>
                  <w:tcW w:w="11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A0E379">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疏伐+补植</w:t>
                  </w:r>
                </w:p>
              </w:tc>
              <w:tc>
                <w:tcPr>
                  <w:tcW w:w="11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C66705">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疏伐+补植</w:t>
                  </w:r>
                </w:p>
              </w:tc>
              <w:tc>
                <w:tcPr>
                  <w:tcW w:w="11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AFBC86">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疏伐+补植</w:t>
                  </w:r>
                </w:p>
              </w:tc>
            </w:tr>
            <w:tr w14:paraId="213C35F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exact"/>
                <w:jc w:val="center"/>
              </w:trPr>
              <w:tc>
                <w:tcPr>
                  <w:tcW w:w="56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ADF9CB">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采伐</w:t>
                  </w:r>
                </w:p>
              </w:tc>
              <w:tc>
                <w:tcPr>
                  <w:tcW w:w="898"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E532DC">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方法</w:t>
                  </w:r>
                </w:p>
              </w:tc>
              <w:tc>
                <w:tcPr>
                  <w:tcW w:w="1160" w:type="pct"/>
                  <w:tcBorders>
                    <w:top w:val="single" w:color="000000" w:sz="4" w:space="0"/>
                    <w:left w:val="nil"/>
                    <w:bottom w:val="single" w:color="000000" w:sz="4" w:space="0"/>
                    <w:right w:val="single" w:color="000000" w:sz="4" w:space="0"/>
                  </w:tcBorders>
                  <w:shd w:val="clear" w:color="auto" w:fill="FFFFFF"/>
                  <w:vAlign w:val="center"/>
                </w:tcPr>
                <w:p w14:paraId="271A0509">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疏伐</w:t>
                  </w:r>
                </w:p>
              </w:tc>
              <w:tc>
                <w:tcPr>
                  <w:tcW w:w="1198" w:type="pct"/>
                  <w:tcBorders>
                    <w:top w:val="single" w:color="000000" w:sz="4" w:space="0"/>
                    <w:left w:val="nil"/>
                    <w:bottom w:val="single" w:color="000000" w:sz="4" w:space="0"/>
                    <w:right w:val="single" w:color="000000" w:sz="4" w:space="0"/>
                  </w:tcBorders>
                  <w:shd w:val="clear" w:color="auto" w:fill="FFFFFF"/>
                  <w:vAlign w:val="center"/>
                </w:tcPr>
                <w:p w14:paraId="025FBDF7">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疏伐</w:t>
                  </w:r>
                </w:p>
              </w:tc>
              <w:tc>
                <w:tcPr>
                  <w:tcW w:w="1178" w:type="pct"/>
                  <w:tcBorders>
                    <w:top w:val="single" w:color="000000" w:sz="4" w:space="0"/>
                    <w:left w:val="nil"/>
                    <w:bottom w:val="single" w:color="000000" w:sz="4" w:space="0"/>
                    <w:right w:val="single" w:color="000000" w:sz="4" w:space="0"/>
                  </w:tcBorders>
                  <w:shd w:val="clear" w:color="auto" w:fill="FFFFFF"/>
                  <w:vAlign w:val="center"/>
                </w:tcPr>
                <w:p w14:paraId="6C4F8A1A">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疏伐</w:t>
                  </w:r>
                </w:p>
              </w:tc>
            </w:tr>
            <w:tr w14:paraId="7BCE0EC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exact"/>
                <w:jc w:val="center"/>
              </w:trPr>
              <w:tc>
                <w:tcPr>
                  <w:tcW w:w="56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6943C4">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eastAsia="宋体" w:cs="Times New Roman"/>
                      <w:i w:val="0"/>
                      <w:iCs w:val="0"/>
                      <w:color w:val="auto"/>
                      <w:sz w:val="21"/>
                      <w:szCs w:val="21"/>
                      <w:highlight w:val="none"/>
                      <w:u w:val="none"/>
                    </w:rPr>
                  </w:pPr>
                </w:p>
              </w:tc>
              <w:tc>
                <w:tcPr>
                  <w:tcW w:w="898"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36E6C5">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强度</w:t>
                  </w:r>
                </w:p>
              </w:tc>
              <w:tc>
                <w:tcPr>
                  <w:tcW w:w="1160" w:type="pct"/>
                  <w:tcBorders>
                    <w:top w:val="single" w:color="000000" w:sz="4" w:space="0"/>
                    <w:left w:val="nil"/>
                    <w:bottom w:val="single" w:color="000000" w:sz="4" w:space="0"/>
                    <w:right w:val="single" w:color="000000" w:sz="4" w:space="0"/>
                  </w:tcBorders>
                  <w:shd w:val="clear" w:color="auto" w:fill="auto"/>
                  <w:noWrap/>
                  <w:vAlign w:val="center"/>
                </w:tcPr>
                <w:p w14:paraId="36C2FF8D">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≤15.1%伐前蓄积</w:t>
                  </w:r>
                </w:p>
              </w:tc>
              <w:tc>
                <w:tcPr>
                  <w:tcW w:w="1198" w:type="pct"/>
                  <w:tcBorders>
                    <w:top w:val="single" w:color="000000" w:sz="4" w:space="0"/>
                    <w:left w:val="nil"/>
                    <w:bottom w:val="single" w:color="000000" w:sz="4" w:space="0"/>
                    <w:right w:val="single" w:color="000000" w:sz="4" w:space="0"/>
                  </w:tcBorders>
                  <w:shd w:val="clear" w:color="auto" w:fill="auto"/>
                  <w:noWrap/>
                  <w:vAlign w:val="center"/>
                </w:tcPr>
                <w:p w14:paraId="3F8A0542">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≤20.1%伐前蓄积</w:t>
                  </w:r>
                </w:p>
              </w:tc>
              <w:tc>
                <w:tcPr>
                  <w:tcW w:w="1178" w:type="pct"/>
                  <w:tcBorders>
                    <w:top w:val="single" w:color="000000" w:sz="4" w:space="0"/>
                    <w:left w:val="nil"/>
                    <w:bottom w:val="single" w:color="000000" w:sz="4" w:space="0"/>
                    <w:right w:val="single" w:color="000000" w:sz="4" w:space="0"/>
                  </w:tcBorders>
                  <w:shd w:val="clear" w:color="auto" w:fill="auto"/>
                  <w:noWrap/>
                  <w:vAlign w:val="center"/>
                </w:tcPr>
                <w:p w14:paraId="7AF9ECE1">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≤19.6%伐前蓄积</w:t>
                  </w:r>
                </w:p>
              </w:tc>
            </w:tr>
            <w:tr w14:paraId="4B8E2E2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exact"/>
                <w:jc w:val="center"/>
              </w:trPr>
              <w:tc>
                <w:tcPr>
                  <w:tcW w:w="56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69FC9F">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eastAsia="宋体" w:cs="Times New Roman"/>
                      <w:i w:val="0"/>
                      <w:iCs w:val="0"/>
                      <w:color w:val="auto"/>
                      <w:sz w:val="21"/>
                      <w:szCs w:val="21"/>
                      <w:highlight w:val="none"/>
                      <w:u w:val="none"/>
                    </w:rPr>
                  </w:pPr>
                </w:p>
              </w:tc>
              <w:tc>
                <w:tcPr>
                  <w:tcW w:w="898"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7A6132">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时间</w:t>
                  </w:r>
                </w:p>
              </w:tc>
              <w:tc>
                <w:tcPr>
                  <w:tcW w:w="11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CFA73E">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2023年2月~2024年2月</w:t>
                  </w:r>
                </w:p>
              </w:tc>
              <w:tc>
                <w:tcPr>
                  <w:tcW w:w="11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FDBD04">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2023年2月~2024年2月</w:t>
                  </w:r>
                </w:p>
              </w:tc>
              <w:tc>
                <w:tcPr>
                  <w:tcW w:w="11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136996">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2023年2月~2024年2月</w:t>
                  </w:r>
                </w:p>
              </w:tc>
            </w:tr>
            <w:tr w14:paraId="51F4952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exact"/>
                <w:jc w:val="center"/>
              </w:trPr>
              <w:tc>
                <w:tcPr>
                  <w:tcW w:w="56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E8F665">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补植</w:t>
                  </w:r>
                </w:p>
              </w:tc>
              <w:tc>
                <w:tcPr>
                  <w:tcW w:w="898"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E0292B">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方法</w:t>
                  </w:r>
                </w:p>
              </w:tc>
              <w:tc>
                <w:tcPr>
                  <w:tcW w:w="11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EABF8C">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林窗块状补植</w:t>
                  </w:r>
                </w:p>
              </w:tc>
              <w:tc>
                <w:tcPr>
                  <w:tcW w:w="11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D19431">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林窗块状补植</w:t>
                  </w:r>
                </w:p>
              </w:tc>
              <w:tc>
                <w:tcPr>
                  <w:tcW w:w="11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36CBCE">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林窗块状补植</w:t>
                  </w:r>
                </w:p>
              </w:tc>
            </w:tr>
            <w:tr w14:paraId="6AF3954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exact"/>
                <w:jc w:val="center"/>
              </w:trPr>
              <w:tc>
                <w:tcPr>
                  <w:tcW w:w="56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51919E">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eastAsia="宋体" w:cs="Times New Roman"/>
                      <w:i w:val="0"/>
                      <w:iCs w:val="0"/>
                      <w:color w:val="auto"/>
                      <w:sz w:val="21"/>
                      <w:szCs w:val="21"/>
                      <w:highlight w:val="none"/>
                      <w:u w:val="none"/>
                    </w:rPr>
                  </w:pPr>
                </w:p>
              </w:tc>
              <w:tc>
                <w:tcPr>
                  <w:tcW w:w="898"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41248B">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补植树种</w:t>
                  </w:r>
                </w:p>
              </w:tc>
              <w:tc>
                <w:tcPr>
                  <w:tcW w:w="11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1A46BE">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枫香+乌桕</w:t>
                  </w:r>
                </w:p>
              </w:tc>
              <w:tc>
                <w:tcPr>
                  <w:tcW w:w="1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AB8052">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银杏+栾树</w:t>
                  </w:r>
                </w:p>
              </w:tc>
              <w:tc>
                <w:tcPr>
                  <w:tcW w:w="11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BE5018">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枫香+银杏</w:t>
                  </w:r>
                </w:p>
              </w:tc>
            </w:tr>
            <w:tr w14:paraId="439F2CC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exact"/>
                <w:jc w:val="center"/>
              </w:trPr>
              <w:tc>
                <w:tcPr>
                  <w:tcW w:w="56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74ABF7">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eastAsia="宋体" w:cs="Times New Roman"/>
                      <w:i w:val="0"/>
                      <w:iCs w:val="0"/>
                      <w:color w:val="auto"/>
                      <w:sz w:val="21"/>
                      <w:szCs w:val="21"/>
                      <w:highlight w:val="none"/>
                      <w:u w:val="none"/>
                    </w:rPr>
                  </w:pPr>
                </w:p>
              </w:tc>
              <w:tc>
                <w:tcPr>
                  <w:tcW w:w="898"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F37934">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树种比例</w:t>
                  </w:r>
                </w:p>
              </w:tc>
              <w:tc>
                <w:tcPr>
                  <w:tcW w:w="11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95FB0C">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7:3</w:t>
                  </w:r>
                </w:p>
              </w:tc>
              <w:tc>
                <w:tcPr>
                  <w:tcW w:w="11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E6BFEB">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6:4</w:t>
                  </w:r>
                </w:p>
              </w:tc>
              <w:tc>
                <w:tcPr>
                  <w:tcW w:w="11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9D1E95">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5:5</w:t>
                  </w:r>
                </w:p>
              </w:tc>
            </w:tr>
            <w:tr w14:paraId="4C58014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exact"/>
                <w:jc w:val="center"/>
              </w:trPr>
              <w:tc>
                <w:tcPr>
                  <w:tcW w:w="56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833861">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eastAsia="宋体" w:cs="Times New Roman"/>
                      <w:i w:val="0"/>
                      <w:iCs w:val="0"/>
                      <w:color w:val="auto"/>
                      <w:sz w:val="21"/>
                      <w:szCs w:val="21"/>
                      <w:highlight w:val="none"/>
                      <w:u w:val="none"/>
                    </w:rPr>
                  </w:pPr>
                </w:p>
              </w:tc>
              <w:tc>
                <w:tcPr>
                  <w:tcW w:w="898"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AB420C">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补植株×行距（米）</w:t>
                  </w:r>
                </w:p>
              </w:tc>
              <w:tc>
                <w:tcPr>
                  <w:tcW w:w="11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2D58A1">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3×3</w:t>
                  </w:r>
                </w:p>
              </w:tc>
              <w:tc>
                <w:tcPr>
                  <w:tcW w:w="11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E12392">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3×3</w:t>
                  </w:r>
                </w:p>
              </w:tc>
              <w:tc>
                <w:tcPr>
                  <w:tcW w:w="11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885DF2">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3×3</w:t>
                  </w:r>
                </w:p>
              </w:tc>
            </w:tr>
            <w:tr w14:paraId="190D664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exact"/>
                <w:jc w:val="center"/>
              </w:trPr>
              <w:tc>
                <w:tcPr>
                  <w:tcW w:w="56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31DC54">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eastAsia="宋体" w:cs="Times New Roman"/>
                      <w:i w:val="0"/>
                      <w:iCs w:val="0"/>
                      <w:color w:val="auto"/>
                      <w:sz w:val="21"/>
                      <w:szCs w:val="21"/>
                      <w:highlight w:val="none"/>
                      <w:u w:val="none"/>
                    </w:rPr>
                  </w:pPr>
                </w:p>
              </w:tc>
              <w:tc>
                <w:tcPr>
                  <w:tcW w:w="40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D38C3EC">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基肥</w:t>
                  </w:r>
                </w:p>
              </w:tc>
              <w:tc>
                <w:tcPr>
                  <w:tcW w:w="49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8571B0">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规格</w:t>
                  </w:r>
                </w:p>
              </w:tc>
              <w:tc>
                <w:tcPr>
                  <w:tcW w:w="11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7CFA22">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有机肥</w:t>
                  </w:r>
                </w:p>
              </w:tc>
              <w:tc>
                <w:tcPr>
                  <w:tcW w:w="11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D20C81">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有机肥</w:t>
                  </w:r>
                </w:p>
              </w:tc>
              <w:tc>
                <w:tcPr>
                  <w:tcW w:w="11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7DE5E4">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有机肥</w:t>
                  </w:r>
                </w:p>
              </w:tc>
            </w:tr>
            <w:tr w14:paraId="09B5F83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exact"/>
                <w:jc w:val="center"/>
              </w:trPr>
              <w:tc>
                <w:tcPr>
                  <w:tcW w:w="56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2DBD89">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eastAsia="宋体" w:cs="Times New Roman"/>
                      <w:i w:val="0"/>
                      <w:iCs w:val="0"/>
                      <w:color w:val="auto"/>
                      <w:sz w:val="21"/>
                      <w:szCs w:val="21"/>
                      <w:highlight w:val="none"/>
                      <w:u w:val="none"/>
                    </w:rPr>
                  </w:pPr>
                </w:p>
              </w:tc>
              <w:tc>
                <w:tcPr>
                  <w:tcW w:w="40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53433F4">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eastAsia="宋体" w:cs="Times New Roman"/>
                      <w:i w:val="0"/>
                      <w:iCs w:val="0"/>
                      <w:color w:val="auto"/>
                      <w:sz w:val="21"/>
                      <w:szCs w:val="21"/>
                      <w:highlight w:val="none"/>
                      <w:u w:val="none"/>
                    </w:rPr>
                  </w:pPr>
                </w:p>
              </w:tc>
              <w:tc>
                <w:tcPr>
                  <w:tcW w:w="49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1160C7">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用量（kg/株）</w:t>
                  </w:r>
                </w:p>
              </w:tc>
              <w:tc>
                <w:tcPr>
                  <w:tcW w:w="11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D8BA43">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C42AF7">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1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B57751">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r>
            <w:tr w14:paraId="762E7F6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exact"/>
                <w:jc w:val="center"/>
              </w:trPr>
              <w:tc>
                <w:tcPr>
                  <w:tcW w:w="56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8D3B47">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eastAsia="宋体" w:cs="Times New Roman"/>
                      <w:i w:val="0"/>
                      <w:iCs w:val="0"/>
                      <w:color w:val="auto"/>
                      <w:sz w:val="21"/>
                      <w:szCs w:val="21"/>
                      <w:highlight w:val="none"/>
                      <w:u w:val="none"/>
                    </w:rPr>
                  </w:pPr>
                </w:p>
              </w:tc>
              <w:tc>
                <w:tcPr>
                  <w:tcW w:w="898"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20E39FE">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植苗方式</w:t>
                  </w:r>
                </w:p>
              </w:tc>
              <w:tc>
                <w:tcPr>
                  <w:tcW w:w="1160" w:type="pct"/>
                  <w:tcBorders>
                    <w:top w:val="single" w:color="000000" w:sz="4" w:space="0"/>
                    <w:left w:val="nil"/>
                    <w:bottom w:val="single" w:color="000000" w:sz="4" w:space="0"/>
                    <w:right w:val="single" w:color="000000" w:sz="4" w:space="0"/>
                  </w:tcBorders>
                  <w:shd w:val="clear" w:color="auto" w:fill="auto"/>
                  <w:vAlign w:val="center"/>
                </w:tcPr>
                <w:p w14:paraId="25AC084C">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品字形</w:t>
                  </w:r>
                </w:p>
              </w:tc>
              <w:tc>
                <w:tcPr>
                  <w:tcW w:w="1198" w:type="pct"/>
                  <w:tcBorders>
                    <w:top w:val="single" w:color="000000" w:sz="4" w:space="0"/>
                    <w:left w:val="nil"/>
                    <w:bottom w:val="single" w:color="000000" w:sz="4" w:space="0"/>
                    <w:right w:val="single" w:color="000000" w:sz="4" w:space="0"/>
                  </w:tcBorders>
                  <w:shd w:val="clear" w:color="auto" w:fill="auto"/>
                  <w:vAlign w:val="center"/>
                </w:tcPr>
                <w:p w14:paraId="608E0AFF">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品字形</w:t>
                  </w:r>
                </w:p>
              </w:tc>
              <w:tc>
                <w:tcPr>
                  <w:tcW w:w="1178" w:type="pct"/>
                  <w:tcBorders>
                    <w:top w:val="single" w:color="000000" w:sz="4" w:space="0"/>
                    <w:left w:val="nil"/>
                    <w:bottom w:val="single" w:color="000000" w:sz="4" w:space="0"/>
                    <w:right w:val="single" w:color="000000" w:sz="4" w:space="0"/>
                  </w:tcBorders>
                  <w:shd w:val="clear" w:color="auto" w:fill="auto"/>
                  <w:vAlign w:val="center"/>
                </w:tcPr>
                <w:p w14:paraId="449BA1D7">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品字形</w:t>
                  </w:r>
                </w:p>
              </w:tc>
            </w:tr>
            <w:tr w14:paraId="3EF3539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exact"/>
                <w:jc w:val="center"/>
              </w:trPr>
              <w:tc>
                <w:tcPr>
                  <w:tcW w:w="56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FE4B9C">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eastAsia="宋体" w:cs="Times New Roman"/>
                      <w:i w:val="0"/>
                      <w:iCs w:val="0"/>
                      <w:color w:val="auto"/>
                      <w:sz w:val="21"/>
                      <w:szCs w:val="21"/>
                      <w:highlight w:val="none"/>
                      <w:u w:val="none"/>
                    </w:rPr>
                  </w:pPr>
                </w:p>
              </w:tc>
              <w:tc>
                <w:tcPr>
                  <w:tcW w:w="898"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AE5E749">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浇水</w:t>
                  </w:r>
                </w:p>
              </w:tc>
              <w:tc>
                <w:tcPr>
                  <w:tcW w:w="1160" w:type="pct"/>
                  <w:tcBorders>
                    <w:top w:val="single" w:color="000000" w:sz="4" w:space="0"/>
                    <w:left w:val="nil"/>
                    <w:bottom w:val="single" w:color="000000" w:sz="4" w:space="0"/>
                    <w:right w:val="single" w:color="000000" w:sz="4" w:space="0"/>
                  </w:tcBorders>
                  <w:shd w:val="clear" w:color="auto" w:fill="auto"/>
                  <w:vAlign w:val="center"/>
                </w:tcPr>
                <w:p w14:paraId="4E14B87C">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扶正，浇水定根</w:t>
                  </w:r>
                </w:p>
              </w:tc>
              <w:tc>
                <w:tcPr>
                  <w:tcW w:w="1198" w:type="pct"/>
                  <w:tcBorders>
                    <w:top w:val="single" w:color="000000" w:sz="4" w:space="0"/>
                    <w:left w:val="nil"/>
                    <w:bottom w:val="single" w:color="000000" w:sz="4" w:space="0"/>
                    <w:right w:val="single" w:color="000000" w:sz="4" w:space="0"/>
                  </w:tcBorders>
                  <w:shd w:val="clear" w:color="auto" w:fill="auto"/>
                  <w:vAlign w:val="center"/>
                </w:tcPr>
                <w:p w14:paraId="2730CF4B">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扶正，浇水定根</w:t>
                  </w:r>
                </w:p>
              </w:tc>
              <w:tc>
                <w:tcPr>
                  <w:tcW w:w="1178" w:type="pct"/>
                  <w:tcBorders>
                    <w:top w:val="single" w:color="000000" w:sz="4" w:space="0"/>
                    <w:left w:val="nil"/>
                    <w:bottom w:val="single" w:color="000000" w:sz="4" w:space="0"/>
                    <w:right w:val="single" w:color="000000" w:sz="4" w:space="0"/>
                  </w:tcBorders>
                  <w:shd w:val="clear" w:color="auto" w:fill="auto"/>
                  <w:vAlign w:val="center"/>
                </w:tcPr>
                <w:p w14:paraId="06BD5065">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扶正，浇水定根</w:t>
                  </w:r>
                </w:p>
              </w:tc>
            </w:tr>
            <w:tr w14:paraId="21597BC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exact"/>
                <w:jc w:val="center"/>
              </w:trPr>
              <w:tc>
                <w:tcPr>
                  <w:tcW w:w="56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6BBEE7">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eastAsia="宋体" w:cs="Times New Roman"/>
                      <w:i w:val="0"/>
                      <w:iCs w:val="0"/>
                      <w:color w:val="auto"/>
                      <w:sz w:val="21"/>
                      <w:szCs w:val="21"/>
                      <w:highlight w:val="none"/>
                      <w:u w:val="none"/>
                    </w:rPr>
                  </w:pPr>
                </w:p>
              </w:tc>
              <w:tc>
                <w:tcPr>
                  <w:tcW w:w="898"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268F55C">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时间</w:t>
                  </w:r>
                </w:p>
              </w:tc>
              <w:tc>
                <w:tcPr>
                  <w:tcW w:w="1160" w:type="pct"/>
                  <w:tcBorders>
                    <w:top w:val="single" w:color="000000" w:sz="4" w:space="0"/>
                    <w:left w:val="nil"/>
                    <w:bottom w:val="single" w:color="000000" w:sz="4" w:space="0"/>
                    <w:right w:val="single" w:color="000000" w:sz="4" w:space="0"/>
                  </w:tcBorders>
                  <w:shd w:val="clear" w:color="auto" w:fill="auto"/>
                  <w:vAlign w:val="center"/>
                </w:tcPr>
                <w:p w14:paraId="60A28AD2">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2023年10月~次年4月</w:t>
                  </w:r>
                </w:p>
              </w:tc>
              <w:tc>
                <w:tcPr>
                  <w:tcW w:w="1198" w:type="pct"/>
                  <w:tcBorders>
                    <w:top w:val="single" w:color="000000" w:sz="4" w:space="0"/>
                    <w:left w:val="nil"/>
                    <w:bottom w:val="single" w:color="000000" w:sz="4" w:space="0"/>
                    <w:right w:val="single" w:color="000000" w:sz="4" w:space="0"/>
                  </w:tcBorders>
                  <w:shd w:val="clear" w:color="auto" w:fill="auto"/>
                  <w:vAlign w:val="center"/>
                </w:tcPr>
                <w:p w14:paraId="730CE398">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2023年10月~次年4月</w:t>
                  </w:r>
                </w:p>
              </w:tc>
              <w:tc>
                <w:tcPr>
                  <w:tcW w:w="1178" w:type="pct"/>
                  <w:tcBorders>
                    <w:top w:val="single" w:color="000000" w:sz="4" w:space="0"/>
                    <w:left w:val="nil"/>
                    <w:bottom w:val="single" w:color="000000" w:sz="4" w:space="0"/>
                    <w:right w:val="single" w:color="000000" w:sz="4" w:space="0"/>
                  </w:tcBorders>
                  <w:shd w:val="clear" w:color="auto" w:fill="auto"/>
                  <w:vAlign w:val="center"/>
                </w:tcPr>
                <w:p w14:paraId="52F34FA1">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2023年10月~次年4月</w:t>
                  </w:r>
                </w:p>
              </w:tc>
            </w:tr>
            <w:tr w14:paraId="3FAC5F2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exact"/>
                <w:jc w:val="center"/>
              </w:trPr>
              <w:tc>
                <w:tcPr>
                  <w:tcW w:w="56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686B266">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补植木抚育</w:t>
                  </w:r>
                </w:p>
              </w:tc>
              <w:tc>
                <w:tcPr>
                  <w:tcW w:w="898"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11243E6">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年限</w:t>
                  </w:r>
                </w:p>
              </w:tc>
              <w:tc>
                <w:tcPr>
                  <w:tcW w:w="11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E5D534">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3年</w:t>
                  </w:r>
                </w:p>
              </w:tc>
              <w:tc>
                <w:tcPr>
                  <w:tcW w:w="11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F86C02">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3年</w:t>
                  </w:r>
                </w:p>
              </w:tc>
              <w:tc>
                <w:tcPr>
                  <w:tcW w:w="11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582498">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3年</w:t>
                  </w:r>
                </w:p>
              </w:tc>
            </w:tr>
            <w:tr w14:paraId="79A92CF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exact"/>
                <w:jc w:val="center"/>
              </w:trPr>
              <w:tc>
                <w:tcPr>
                  <w:tcW w:w="56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B689270">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eastAsia="宋体" w:cs="Times New Roman"/>
                      <w:i w:val="0"/>
                      <w:iCs w:val="0"/>
                      <w:color w:val="auto"/>
                      <w:sz w:val="21"/>
                      <w:szCs w:val="21"/>
                      <w:highlight w:val="none"/>
                      <w:u w:val="none"/>
                    </w:rPr>
                  </w:pPr>
                </w:p>
              </w:tc>
              <w:tc>
                <w:tcPr>
                  <w:tcW w:w="40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B535E4F">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补植</w:t>
                  </w:r>
                </w:p>
              </w:tc>
              <w:tc>
                <w:tcPr>
                  <w:tcW w:w="49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245FBA">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设计补植量</w:t>
                  </w:r>
                </w:p>
              </w:tc>
              <w:tc>
                <w:tcPr>
                  <w:tcW w:w="11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843A52">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11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874C02">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11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0EF0BF">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r>
            <w:tr w14:paraId="2842D19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jc w:val="center"/>
              </w:trPr>
              <w:tc>
                <w:tcPr>
                  <w:tcW w:w="56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70028BE">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eastAsia="宋体" w:cs="Times New Roman"/>
                      <w:i w:val="0"/>
                      <w:iCs w:val="0"/>
                      <w:color w:val="auto"/>
                      <w:sz w:val="21"/>
                      <w:szCs w:val="21"/>
                      <w:highlight w:val="none"/>
                      <w:u w:val="none"/>
                    </w:rPr>
                  </w:pPr>
                </w:p>
              </w:tc>
              <w:tc>
                <w:tcPr>
                  <w:tcW w:w="40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1B0D081">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eastAsia="宋体" w:cs="Times New Roman"/>
                      <w:i w:val="0"/>
                      <w:iCs w:val="0"/>
                      <w:color w:val="auto"/>
                      <w:sz w:val="21"/>
                      <w:szCs w:val="21"/>
                      <w:highlight w:val="none"/>
                      <w:u w:val="none"/>
                    </w:rPr>
                  </w:pPr>
                </w:p>
              </w:tc>
              <w:tc>
                <w:tcPr>
                  <w:tcW w:w="49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1CC008">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时间</w:t>
                  </w:r>
                </w:p>
              </w:tc>
              <w:tc>
                <w:tcPr>
                  <w:tcW w:w="1160" w:type="pct"/>
                  <w:tcBorders>
                    <w:top w:val="single" w:color="000000" w:sz="4" w:space="0"/>
                    <w:left w:val="nil"/>
                    <w:bottom w:val="single" w:color="000000" w:sz="4" w:space="0"/>
                    <w:right w:val="single" w:color="000000" w:sz="4" w:space="0"/>
                  </w:tcBorders>
                  <w:shd w:val="clear" w:color="auto" w:fill="auto"/>
                  <w:vAlign w:val="center"/>
                </w:tcPr>
                <w:p w14:paraId="6D5744D8">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次年3月补10%、第3年3月补5%</w:t>
                  </w:r>
                </w:p>
              </w:tc>
              <w:tc>
                <w:tcPr>
                  <w:tcW w:w="1198" w:type="pct"/>
                  <w:tcBorders>
                    <w:top w:val="single" w:color="000000" w:sz="4" w:space="0"/>
                    <w:left w:val="nil"/>
                    <w:bottom w:val="single" w:color="000000" w:sz="4" w:space="0"/>
                    <w:right w:val="single" w:color="000000" w:sz="4" w:space="0"/>
                  </w:tcBorders>
                  <w:shd w:val="clear" w:color="auto" w:fill="auto"/>
                  <w:vAlign w:val="center"/>
                </w:tcPr>
                <w:p w14:paraId="34A6945A">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次年3月补10%、第3年3月补5%</w:t>
                  </w:r>
                </w:p>
              </w:tc>
              <w:tc>
                <w:tcPr>
                  <w:tcW w:w="1178" w:type="pct"/>
                  <w:tcBorders>
                    <w:top w:val="single" w:color="000000" w:sz="4" w:space="0"/>
                    <w:left w:val="nil"/>
                    <w:bottom w:val="single" w:color="000000" w:sz="4" w:space="0"/>
                    <w:right w:val="single" w:color="000000" w:sz="4" w:space="0"/>
                  </w:tcBorders>
                  <w:shd w:val="clear" w:color="auto" w:fill="auto"/>
                  <w:vAlign w:val="center"/>
                </w:tcPr>
                <w:p w14:paraId="57BA9964">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次年3月补10%、第3年3月补5%</w:t>
                  </w:r>
                </w:p>
              </w:tc>
            </w:tr>
            <w:tr w14:paraId="04E3F01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40" w:hRule="atLeast"/>
                <w:jc w:val="center"/>
              </w:trPr>
              <w:tc>
                <w:tcPr>
                  <w:tcW w:w="56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22BEF07">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eastAsia="宋体" w:cs="Times New Roman"/>
                      <w:i w:val="0"/>
                      <w:iCs w:val="0"/>
                      <w:color w:val="auto"/>
                      <w:sz w:val="21"/>
                      <w:szCs w:val="21"/>
                      <w:highlight w:val="none"/>
                      <w:u w:val="none"/>
                    </w:rPr>
                  </w:pPr>
                </w:p>
              </w:tc>
              <w:tc>
                <w:tcPr>
                  <w:tcW w:w="40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FC9D80B">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灌溉</w:t>
                  </w:r>
                </w:p>
              </w:tc>
              <w:tc>
                <w:tcPr>
                  <w:tcW w:w="49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8864D5">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方法</w:t>
                  </w:r>
                </w:p>
              </w:tc>
              <w:tc>
                <w:tcPr>
                  <w:tcW w:w="11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8FFC19">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就近在蓄水池、水渠或溪流采用水泵进行抽水，软管引水灌溉</w:t>
                  </w:r>
                </w:p>
              </w:tc>
              <w:tc>
                <w:tcPr>
                  <w:tcW w:w="11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27B59C">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就近在蓄水池、水渠或溪流采用水泵进行抽水，软管引水灌溉</w:t>
                  </w:r>
                </w:p>
              </w:tc>
              <w:tc>
                <w:tcPr>
                  <w:tcW w:w="11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C32EBC">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就近在蓄水池、水渠或溪流采用水泵进行抽水，软管引水灌溉</w:t>
                  </w:r>
                </w:p>
              </w:tc>
            </w:tr>
            <w:tr w14:paraId="727F702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exact"/>
                <w:jc w:val="center"/>
              </w:trPr>
              <w:tc>
                <w:tcPr>
                  <w:tcW w:w="56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ADD4E66">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eastAsia="宋体" w:cs="Times New Roman"/>
                      <w:i w:val="0"/>
                      <w:iCs w:val="0"/>
                      <w:color w:val="auto"/>
                      <w:sz w:val="21"/>
                      <w:szCs w:val="21"/>
                      <w:highlight w:val="none"/>
                      <w:u w:val="none"/>
                    </w:rPr>
                  </w:pPr>
                </w:p>
              </w:tc>
              <w:tc>
                <w:tcPr>
                  <w:tcW w:w="40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F776ACC">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eastAsia="宋体" w:cs="Times New Roman"/>
                      <w:i w:val="0"/>
                      <w:iCs w:val="0"/>
                      <w:color w:val="auto"/>
                      <w:sz w:val="21"/>
                      <w:szCs w:val="21"/>
                      <w:highlight w:val="none"/>
                      <w:u w:val="none"/>
                    </w:rPr>
                  </w:pPr>
                </w:p>
              </w:tc>
              <w:tc>
                <w:tcPr>
                  <w:tcW w:w="49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B6C535">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时间</w:t>
                  </w:r>
                </w:p>
              </w:tc>
              <w:tc>
                <w:tcPr>
                  <w:tcW w:w="11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C10F71">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根据天气情况进行</w:t>
                  </w:r>
                </w:p>
              </w:tc>
              <w:tc>
                <w:tcPr>
                  <w:tcW w:w="11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6AA8E8">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根据天气情况进行</w:t>
                  </w:r>
                </w:p>
              </w:tc>
              <w:tc>
                <w:tcPr>
                  <w:tcW w:w="11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20E192">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根据天气情况进行</w:t>
                  </w:r>
                </w:p>
              </w:tc>
            </w:tr>
            <w:tr w14:paraId="298780D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exact"/>
                <w:jc w:val="center"/>
              </w:trPr>
              <w:tc>
                <w:tcPr>
                  <w:tcW w:w="56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AF5C5DD">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eastAsia="宋体" w:cs="Times New Roman"/>
                      <w:i w:val="0"/>
                      <w:iCs w:val="0"/>
                      <w:color w:val="auto"/>
                      <w:sz w:val="21"/>
                      <w:szCs w:val="21"/>
                      <w:highlight w:val="none"/>
                      <w:u w:val="none"/>
                    </w:rPr>
                  </w:pPr>
                </w:p>
              </w:tc>
              <w:tc>
                <w:tcPr>
                  <w:tcW w:w="40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BF460AC">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追肥</w:t>
                  </w:r>
                </w:p>
              </w:tc>
              <w:tc>
                <w:tcPr>
                  <w:tcW w:w="49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A2F7B4">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方法</w:t>
                  </w:r>
                </w:p>
              </w:tc>
              <w:tc>
                <w:tcPr>
                  <w:tcW w:w="11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EDD04B">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土球外围挖环沟施肥</w:t>
                  </w:r>
                </w:p>
              </w:tc>
              <w:tc>
                <w:tcPr>
                  <w:tcW w:w="11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A97EAE">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土球外围挖环沟施肥</w:t>
                  </w:r>
                </w:p>
              </w:tc>
              <w:tc>
                <w:tcPr>
                  <w:tcW w:w="11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5AE091">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土球外围挖环沟施肥</w:t>
                  </w:r>
                </w:p>
              </w:tc>
            </w:tr>
            <w:tr w14:paraId="2CFADBA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exact"/>
                <w:jc w:val="center"/>
              </w:trPr>
              <w:tc>
                <w:tcPr>
                  <w:tcW w:w="56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143CC86">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eastAsia="宋体" w:cs="Times New Roman"/>
                      <w:i w:val="0"/>
                      <w:iCs w:val="0"/>
                      <w:color w:val="auto"/>
                      <w:sz w:val="21"/>
                      <w:szCs w:val="21"/>
                      <w:highlight w:val="none"/>
                      <w:u w:val="none"/>
                    </w:rPr>
                  </w:pPr>
                </w:p>
              </w:tc>
              <w:tc>
                <w:tcPr>
                  <w:tcW w:w="40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5A11537">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eastAsia="宋体" w:cs="Times New Roman"/>
                      <w:i w:val="0"/>
                      <w:iCs w:val="0"/>
                      <w:color w:val="auto"/>
                      <w:sz w:val="21"/>
                      <w:szCs w:val="21"/>
                      <w:highlight w:val="none"/>
                      <w:u w:val="none"/>
                    </w:rPr>
                  </w:pPr>
                </w:p>
              </w:tc>
              <w:tc>
                <w:tcPr>
                  <w:tcW w:w="49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0713D7">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规格</w:t>
                  </w:r>
                </w:p>
              </w:tc>
              <w:tc>
                <w:tcPr>
                  <w:tcW w:w="11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4F547A">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复合肥</w:t>
                  </w:r>
                </w:p>
              </w:tc>
              <w:tc>
                <w:tcPr>
                  <w:tcW w:w="11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89CE55">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复合肥</w:t>
                  </w:r>
                </w:p>
              </w:tc>
              <w:tc>
                <w:tcPr>
                  <w:tcW w:w="11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CB3B84">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复合肥</w:t>
                  </w:r>
                </w:p>
              </w:tc>
            </w:tr>
            <w:tr w14:paraId="04348CF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exact"/>
                <w:jc w:val="center"/>
              </w:trPr>
              <w:tc>
                <w:tcPr>
                  <w:tcW w:w="56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846578B">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eastAsia="宋体" w:cs="Times New Roman"/>
                      <w:i w:val="0"/>
                      <w:iCs w:val="0"/>
                      <w:color w:val="auto"/>
                      <w:sz w:val="21"/>
                      <w:szCs w:val="21"/>
                      <w:highlight w:val="none"/>
                      <w:u w:val="none"/>
                    </w:rPr>
                  </w:pPr>
                </w:p>
              </w:tc>
              <w:tc>
                <w:tcPr>
                  <w:tcW w:w="40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20ED549">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eastAsia="宋体" w:cs="Times New Roman"/>
                      <w:i w:val="0"/>
                      <w:iCs w:val="0"/>
                      <w:color w:val="auto"/>
                      <w:sz w:val="21"/>
                      <w:szCs w:val="21"/>
                      <w:highlight w:val="none"/>
                      <w:u w:val="none"/>
                    </w:rPr>
                  </w:pPr>
                </w:p>
              </w:tc>
              <w:tc>
                <w:tcPr>
                  <w:tcW w:w="49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29DA64">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用量（kg/株）</w:t>
                  </w:r>
                </w:p>
              </w:tc>
              <w:tc>
                <w:tcPr>
                  <w:tcW w:w="11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C8C61F">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w:t>
                  </w:r>
                </w:p>
              </w:tc>
              <w:tc>
                <w:tcPr>
                  <w:tcW w:w="11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D5C852">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w:t>
                  </w:r>
                </w:p>
              </w:tc>
              <w:tc>
                <w:tcPr>
                  <w:tcW w:w="11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745C56">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w:t>
                  </w:r>
                </w:p>
              </w:tc>
            </w:tr>
            <w:tr w14:paraId="08596AB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0" w:hRule="atLeast"/>
                <w:jc w:val="center"/>
              </w:trPr>
              <w:tc>
                <w:tcPr>
                  <w:tcW w:w="56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F80762E">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eastAsia="宋体" w:cs="Times New Roman"/>
                      <w:i w:val="0"/>
                      <w:iCs w:val="0"/>
                      <w:color w:val="auto"/>
                      <w:sz w:val="21"/>
                      <w:szCs w:val="21"/>
                      <w:highlight w:val="none"/>
                      <w:u w:val="none"/>
                    </w:rPr>
                  </w:pPr>
                </w:p>
              </w:tc>
              <w:tc>
                <w:tcPr>
                  <w:tcW w:w="40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6167AEB">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eastAsia="宋体" w:cs="Times New Roman"/>
                      <w:i w:val="0"/>
                      <w:iCs w:val="0"/>
                      <w:color w:val="auto"/>
                      <w:sz w:val="21"/>
                      <w:szCs w:val="21"/>
                      <w:highlight w:val="none"/>
                      <w:u w:val="none"/>
                    </w:rPr>
                  </w:pPr>
                </w:p>
              </w:tc>
              <w:tc>
                <w:tcPr>
                  <w:tcW w:w="49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EC2AFE">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时间</w:t>
                  </w:r>
                </w:p>
              </w:tc>
              <w:tc>
                <w:tcPr>
                  <w:tcW w:w="11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94CE86">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3月~4月或7月~9月，每年1次，连续3年</w:t>
                  </w:r>
                </w:p>
              </w:tc>
              <w:tc>
                <w:tcPr>
                  <w:tcW w:w="11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A2E1E4">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3月~4月或7月~9月，每年1次，连续3年</w:t>
                  </w:r>
                </w:p>
              </w:tc>
              <w:tc>
                <w:tcPr>
                  <w:tcW w:w="11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A591CB">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3月~4月或7月~9月，每年1次，连续3年</w:t>
                  </w:r>
                </w:p>
              </w:tc>
            </w:tr>
            <w:tr w14:paraId="5030626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0" w:hRule="atLeast"/>
                <w:jc w:val="center"/>
              </w:trPr>
              <w:tc>
                <w:tcPr>
                  <w:tcW w:w="56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F07294A">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eastAsia="宋体" w:cs="Times New Roman"/>
                      <w:i w:val="0"/>
                      <w:iCs w:val="0"/>
                      <w:color w:val="auto"/>
                      <w:sz w:val="21"/>
                      <w:szCs w:val="21"/>
                      <w:highlight w:val="none"/>
                      <w:u w:val="none"/>
                    </w:rPr>
                  </w:pPr>
                </w:p>
              </w:tc>
              <w:tc>
                <w:tcPr>
                  <w:tcW w:w="40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17B7061">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其他措施</w:t>
                  </w:r>
                </w:p>
              </w:tc>
              <w:tc>
                <w:tcPr>
                  <w:tcW w:w="49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F4E2DB">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方法</w:t>
                  </w:r>
                </w:p>
              </w:tc>
              <w:tc>
                <w:tcPr>
                  <w:tcW w:w="11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B2068C">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锄抚、刀抚和刀锄结合</w:t>
                  </w:r>
                </w:p>
              </w:tc>
              <w:tc>
                <w:tcPr>
                  <w:tcW w:w="11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9D8C58">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锄抚、刀抚和刀锄结合</w:t>
                  </w:r>
                </w:p>
              </w:tc>
              <w:tc>
                <w:tcPr>
                  <w:tcW w:w="11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1DFA64">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锄抚、刀抚和刀锄结合</w:t>
                  </w:r>
                </w:p>
              </w:tc>
            </w:tr>
            <w:tr w14:paraId="4E3EF5C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0" w:hRule="atLeast"/>
                <w:jc w:val="center"/>
              </w:trPr>
              <w:tc>
                <w:tcPr>
                  <w:tcW w:w="56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2115EDC">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eastAsia="宋体" w:cs="Times New Roman"/>
                      <w:i w:val="0"/>
                      <w:iCs w:val="0"/>
                      <w:color w:val="auto"/>
                      <w:sz w:val="21"/>
                      <w:szCs w:val="21"/>
                      <w:highlight w:val="none"/>
                      <w:u w:val="none"/>
                    </w:rPr>
                  </w:pPr>
                </w:p>
              </w:tc>
              <w:tc>
                <w:tcPr>
                  <w:tcW w:w="40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65E2EE7">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eastAsia="宋体" w:cs="Times New Roman"/>
                      <w:i w:val="0"/>
                      <w:iCs w:val="0"/>
                      <w:color w:val="auto"/>
                      <w:sz w:val="21"/>
                      <w:szCs w:val="21"/>
                      <w:highlight w:val="none"/>
                      <w:u w:val="none"/>
                    </w:rPr>
                  </w:pPr>
                </w:p>
              </w:tc>
              <w:tc>
                <w:tcPr>
                  <w:tcW w:w="49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9DB3A7">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时间</w:t>
                  </w:r>
                </w:p>
              </w:tc>
              <w:tc>
                <w:tcPr>
                  <w:tcW w:w="11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E5BCA1">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每年3月~4月、6月~7月、9月~10月</w:t>
                  </w:r>
                </w:p>
              </w:tc>
              <w:tc>
                <w:tcPr>
                  <w:tcW w:w="11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97D305">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每年3月~4月、6月~7月、9月~10月</w:t>
                  </w:r>
                </w:p>
              </w:tc>
              <w:tc>
                <w:tcPr>
                  <w:tcW w:w="11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C6795A">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每年3月~4月、6月~7月、9月~10月</w:t>
                  </w:r>
                </w:p>
              </w:tc>
            </w:tr>
            <w:tr w14:paraId="762B648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jc w:val="center"/>
              </w:trPr>
              <w:tc>
                <w:tcPr>
                  <w:tcW w:w="56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D1CE4E2">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管护</w:t>
                  </w:r>
                </w:p>
              </w:tc>
              <w:tc>
                <w:tcPr>
                  <w:tcW w:w="40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6BE61E9">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巡护</w:t>
                  </w:r>
                </w:p>
              </w:tc>
              <w:tc>
                <w:tcPr>
                  <w:tcW w:w="49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055715">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方法</w:t>
                  </w:r>
                </w:p>
              </w:tc>
              <w:tc>
                <w:tcPr>
                  <w:tcW w:w="11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65D38F">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以巡视为主，进行综合性管理</w:t>
                  </w:r>
                </w:p>
              </w:tc>
              <w:tc>
                <w:tcPr>
                  <w:tcW w:w="11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BE5D1C">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以巡视为主，进行综合性管理</w:t>
                  </w:r>
                </w:p>
              </w:tc>
              <w:tc>
                <w:tcPr>
                  <w:tcW w:w="11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67AD1C">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以巡视为主，进行综合性管理</w:t>
                  </w:r>
                </w:p>
              </w:tc>
            </w:tr>
            <w:tr w14:paraId="3FA6F1D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exact"/>
                <w:jc w:val="center"/>
              </w:trPr>
              <w:tc>
                <w:tcPr>
                  <w:tcW w:w="56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AA5E789">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eastAsia="宋体" w:cs="Times New Roman"/>
                      <w:i w:val="0"/>
                      <w:iCs w:val="0"/>
                      <w:color w:val="auto"/>
                      <w:sz w:val="21"/>
                      <w:szCs w:val="21"/>
                      <w:highlight w:val="none"/>
                      <w:u w:val="none"/>
                    </w:rPr>
                  </w:pPr>
                </w:p>
              </w:tc>
              <w:tc>
                <w:tcPr>
                  <w:tcW w:w="40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B1CA737">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eastAsia="宋体" w:cs="Times New Roman"/>
                      <w:i w:val="0"/>
                      <w:iCs w:val="0"/>
                      <w:color w:val="auto"/>
                      <w:sz w:val="21"/>
                      <w:szCs w:val="21"/>
                      <w:highlight w:val="none"/>
                      <w:u w:val="none"/>
                    </w:rPr>
                  </w:pPr>
                </w:p>
              </w:tc>
              <w:tc>
                <w:tcPr>
                  <w:tcW w:w="49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8DCBE0">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时间</w:t>
                  </w:r>
                </w:p>
              </w:tc>
              <w:tc>
                <w:tcPr>
                  <w:tcW w:w="11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BD9241">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每月1次</w:t>
                  </w:r>
                </w:p>
              </w:tc>
              <w:tc>
                <w:tcPr>
                  <w:tcW w:w="11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14BBBF">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每月1次</w:t>
                  </w:r>
                </w:p>
              </w:tc>
              <w:tc>
                <w:tcPr>
                  <w:tcW w:w="11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2CDCAC">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每月1次</w:t>
                  </w:r>
                </w:p>
              </w:tc>
            </w:tr>
            <w:tr w14:paraId="7441199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jc w:val="center"/>
              </w:trPr>
              <w:tc>
                <w:tcPr>
                  <w:tcW w:w="56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317EDA7">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eastAsia="宋体" w:cs="Times New Roman"/>
                      <w:i w:val="0"/>
                      <w:iCs w:val="0"/>
                      <w:color w:val="auto"/>
                      <w:sz w:val="21"/>
                      <w:szCs w:val="21"/>
                      <w:highlight w:val="none"/>
                      <w:u w:val="none"/>
                    </w:rPr>
                  </w:pPr>
                </w:p>
              </w:tc>
              <w:tc>
                <w:tcPr>
                  <w:tcW w:w="40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E68E954">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病虫害防治</w:t>
                  </w:r>
                </w:p>
              </w:tc>
              <w:tc>
                <w:tcPr>
                  <w:tcW w:w="49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1AB934">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方法</w:t>
                  </w:r>
                </w:p>
              </w:tc>
              <w:tc>
                <w:tcPr>
                  <w:tcW w:w="11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BF84BB">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以物理防治为主的多种手段综合使用</w:t>
                  </w:r>
                </w:p>
              </w:tc>
              <w:tc>
                <w:tcPr>
                  <w:tcW w:w="11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AEE487">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以物理防治为主的多种手段综合使用</w:t>
                  </w:r>
                </w:p>
              </w:tc>
              <w:tc>
                <w:tcPr>
                  <w:tcW w:w="11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87BA34">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以物理防治为主的多种手段综合使用</w:t>
                  </w:r>
                </w:p>
              </w:tc>
            </w:tr>
            <w:tr w14:paraId="0068060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exact"/>
                <w:jc w:val="center"/>
              </w:trPr>
              <w:tc>
                <w:tcPr>
                  <w:tcW w:w="56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F9F52EF">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eastAsia="宋体" w:cs="Times New Roman"/>
                      <w:i w:val="0"/>
                      <w:iCs w:val="0"/>
                      <w:color w:val="auto"/>
                      <w:sz w:val="21"/>
                      <w:szCs w:val="21"/>
                      <w:highlight w:val="none"/>
                      <w:u w:val="none"/>
                    </w:rPr>
                  </w:pPr>
                </w:p>
              </w:tc>
              <w:tc>
                <w:tcPr>
                  <w:tcW w:w="40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9B8E6D7">
                  <w:pPr>
                    <w:keepNext w:val="0"/>
                    <w:keepLines w:val="0"/>
                    <w:pageBreakBefore w:val="0"/>
                    <w:kinsoku/>
                    <w:wordWrap/>
                    <w:overflowPunct/>
                    <w:topLinePunct w:val="0"/>
                    <w:autoSpaceDE/>
                    <w:autoSpaceDN/>
                    <w:bidi w:val="0"/>
                    <w:adjustRightInd/>
                    <w:snapToGrid/>
                    <w:spacing w:line="240" w:lineRule="atLeast"/>
                    <w:jc w:val="center"/>
                    <w:rPr>
                      <w:rFonts w:hint="default" w:ascii="Times New Roman" w:hAnsi="Times New Roman" w:eastAsia="宋体" w:cs="Times New Roman"/>
                      <w:i w:val="0"/>
                      <w:iCs w:val="0"/>
                      <w:color w:val="auto"/>
                      <w:sz w:val="21"/>
                      <w:szCs w:val="21"/>
                      <w:highlight w:val="none"/>
                      <w:u w:val="none"/>
                    </w:rPr>
                  </w:pPr>
                </w:p>
              </w:tc>
              <w:tc>
                <w:tcPr>
                  <w:tcW w:w="49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B3E765">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时间</w:t>
                  </w:r>
                </w:p>
              </w:tc>
              <w:tc>
                <w:tcPr>
                  <w:tcW w:w="11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2F5E76">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每年9~11月1次</w:t>
                  </w:r>
                </w:p>
              </w:tc>
              <w:tc>
                <w:tcPr>
                  <w:tcW w:w="119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C5A4F4">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每年9~11月1次</w:t>
                  </w:r>
                </w:p>
              </w:tc>
              <w:tc>
                <w:tcPr>
                  <w:tcW w:w="117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9B4786">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每年9~11月1次</w:t>
                  </w:r>
                </w:p>
              </w:tc>
            </w:tr>
          </w:tbl>
          <w:p w14:paraId="57AF4511">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z w:val="28"/>
                <w:szCs w:val="28"/>
                <w:highlight w:val="none"/>
                <w:lang w:eastAsia="zh-CN"/>
              </w:rPr>
              <w:drawing>
                <wp:anchor distT="0" distB="0" distL="114300" distR="114300" simplePos="0" relativeHeight="251679744" behindDoc="0" locked="0" layoutInCell="1" allowOverlap="1">
                  <wp:simplePos x="0" y="0"/>
                  <wp:positionH relativeFrom="column">
                    <wp:posOffset>29845</wp:posOffset>
                  </wp:positionH>
                  <wp:positionV relativeFrom="paragraph">
                    <wp:posOffset>50165</wp:posOffset>
                  </wp:positionV>
                  <wp:extent cx="5168900" cy="7312025"/>
                  <wp:effectExtent l="0" t="0" r="12700" b="3175"/>
                  <wp:wrapNone/>
                  <wp:docPr id="46" name="图片 46" descr="现有林改培模型图GP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现有林改培模型图GP01"/>
                          <pic:cNvPicPr>
                            <a:picLocks noChangeAspect="1"/>
                          </pic:cNvPicPr>
                        </pic:nvPicPr>
                        <pic:blipFill>
                          <a:blip r:embed="rId33"/>
                          <a:stretch>
                            <a:fillRect/>
                          </a:stretch>
                        </pic:blipFill>
                        <pic:spPr>
                          <a:xfrm>
                            <a:off x="0" y="0"/>
                            <a:ext cx="5168900" cy="7312025"/>
                          </a:xfrm>
                          <a:prstGeom prst="rect">
                            <a:avLst/>
                          </a:prstGeom>
                        </pic:spPr>
                      </pic:pic>
                    </a:graphicData>
                  </a:graphic>
                </wp:anchor>
              </w:drawing>
            </w:r>
          </w:p>
          <w:p w14:paraId="07B1821D">
            <w:pPr>
              <w:spacing w:before="36" w:line="360" w:lineRule="auto"/>
              <w:ind w:firstLine="612"/>
              <w:rPr>
                <w:rFonts w:hint="default" w:ascii="Times New Roman" w:hAnsi="Times New Roman" w:eastAsia="宋体" w:cs="Times New Roman"/>
                <w:color w:val="auto"/>
                <w:spacing w:val="-7"/>
                <w:sz w:val="24"/>
                <w:szCs w:val="24"/>
                <w:lang w:eastAsia="zh-CN"/>
              </w:rPr>
            </w:pPr>
          </w:p>
          <w:p w14:paraId="12A501ED">
            <w:pPr>
              <w:spacing w:before="36" w:line="360" w:lineRule="auto"/>
              <w:ind w:firstLine="612"/>
              <w:rPr>
                <w:rFonts w:hint="default" w:ascii="Times New Roman" w:hAnsi="Times New Roman" w:eastAsia="宋体" w:cs="Times New Roman"/>
                <w:color w:val="auto"/>
                <w:spacing w:val="-7"/>
                <w:sz w:val="24"/>
                <w:szCs w:val="24"/>
                <w:lang w:eastAsia="zh-CN"/>
              </w:rPr>
            </w:pPr>
          </w:p>
          <w:p w14:paraId="155B7E7D">
            <w:pPr>
              <w:spacing w:before="36" w:line="360" w:lineRule="auto"/>
              <w:ind w:firstLine="612"/>
              <w:rPr>
                <w:rFonts w:hint="default" w:ascii="Times New Roman" w:hAnsi="Times New Roman" w:eastAsia="宋体" w:cs="Times New Roman"/>
                <w:color w:val="auto"/>
                <w:spacing w:val="-7"/>
                <w:sz w:val="24"/>
                <w:szCs w:val="24"/>
                <w:lang w:eastAsia="zh-CN"/>
              </w:rPr>
            </w:pPr>
          </w:p>
          <w:p w14:paraId="47287674">
            <w:pPr>
              <w:spacing w:before="36" w:line="360" w:lineRule="auto"/>
              <w:ind w:firstLine="612"/>
              <w:rPr>
                <w:rFonts w:hint="default" w:ascii="Times New Roman" w:hAnsi="Times New Roman" w:eastAsia="宋体" w:cs="Times New Roman"/>
                <w:color w:val="auto"/>
                <w:spacing w:val="-7"/>
                <w:sz w:val="24"/>
                <w:szCs w:val="24"/>
                <w:lang w:eastAsia="zh-CN"/>
              </w:rPr>
            </w:pPr>
          </w:p>
          <w:p w14:paraId="6CA3A866">
            <w:pPr>
              <w:spacing w:before="36" w:line="360" w:lineRule="auto"/>
              <w:ind w:firstLine="612"/>
              <w:rPr>
                <w:rFonts w:hint="default" w:ascii="Times New Roman" w:hAnsi="Times New Roman" w:eastAsia="宋体" w:cs="Times New Roman"/>
                <w:color w:val="auto"/>
                <w:spacing w:val="-7"/>
                <w:sz w:val="24"/>
                <w:szCs w:val="24"/>
                <w:lang w:eastAsia="zh-CN"/>
              </w:rPr>
            </w:pPr>
          </w:p>
          <w:p w14:paraId="7070A1A3">
            <w:pPr>
              <w:spacing w:before="36" w:line="360" w:lineRule="auto"/>
              <w:ind w:firstLine="612"/>
              <w:rPr>
                <w:rFonts w:hint="default" w:ascii="Times New Roman" w:hAnsi="Times New Roman" w:eastAsia="宋体" w:cs="Times New Roman"/>
                <w:color w:val="auto"/>
                <w:spacing w:val="-7"/>
                <w:sz w:val="24"/>
                <w:szCs w:val="24"/>
                <w:lang w:eastAsia="zh-CN"/>
              </w:rPr>
            </w:pPr>
          </w:p>
          <w:p w14:paraId="760E223A">
            <w:pPr>
              <w:spacing w:before="36" w:line="360" w:lineRule="auto"/>
              <w:ind w:firstLine="612"/>
              <w:rPr>
                <w:rFonts w:hint="default" w:ascii="Times New Roman" w:hAnsi="Times New Roman" w:eastAsia="宋体" w:cs="Times New Roman"/>
                <w:color w:val="auto"/>
                <w:spacing w:val="-7"/>
                <w:sz w:val="24"/>
                <w:szCs w:val="24"/>
                <w:lang w:eastAsia="zh-CN"/>
              </w:rPr>
            </w:pPr>
          </w:p>
          <w:p w14:paraId="13F3DADF">
            <w:pPr>
              <w:spacing w:before="36" w:line="360" w:lineRule="auto"/>
              <w:ind w:firstLine="612"/>
              <w:rPr>
                <w:rFonts w:hint="default" w:ascii="Times New Roman" w:hAnsi="Times New Roman" w:eastAsia="宋体" w:cs="Times New Roman"/>
                <w:color w:val="auto"/>
                <w:spacing w:val="-7"/>
                <w:sz w:val="24"/>
                <w:szCs w:val="24"/>
                <w:lang w:eastAsia="zh-CN"/>
              </w:rPr>
            </w:pPr>
          </w:p>
          <w:p w14:paraId="19B332C3">
            <w:pPr>
              <w:spacing w:before="36" w:line="360" w:lineRule="auto"/>
              <w:ind w:firstLine="612"/>
              <w:rPr>
                <w:rFonts w:hint="default" w:ascii="Times New Roman" w:hAnsi="Times New Roman" w:eastAsia="宋体" w:cs="Times New Roman"/>
                <w:color w:val="auto"/>
                <w:spacing w:val="-7"/>
                <w:sz w:val="24"/>
                <w:szCs w:val="24"/>
                <w:lang w:eastAsia="zh-CN"/>
              </w:rPr>
            </w:pPr>
          </w:p>
          <w:p w14:paraId="65BF18ED">
            <w:pPr>
              <w:spacing w:before="36" w:line="360" w:lineRule="auto"/>
              <w:ind w:firstLine="612"/>
              <w:rPr>
                <w:rFonts w:hint="default" w:ascii="Times New Roman" w:hAnsi="Times New Roman" w:eastAsia="宋体" w:cs="Times New Roman"/>
                <w:color w:val="auto"/>
                <w:spacing w:val="-7"/>
                <w:sz w:val="24"/>
                <w:szCs w:val="24"/>
                <w:lang w:eastAsia="zh-CN"/>
              </w:rPr>
            </w:pPr>
          </w:p>
          <w:p w14:paraId="56F0D8CF">
            <w:pPr>
              <w:spacing w:before="36" w:line="360" w:lineRule="auto"/>
              <w:ind w:firstLine="612"/>
              <w:rPr>
                <w:rFonts w:hint="default" w:ascii="Times New Roman" w:hAnsi="Times New Roman" w:eastAsia="宋体" w:cs="Times New Roman"/>
                <w:color w:val="auto"/>
                <w:spacing w:val="-7"/>
                <w:sz w:val="24"/>
                <w:szCs w:val="24"/>
              </w:rPr>
            </w:pPr>
          </w:p>
          <w:p w14:paraId="0932BFA3">
            <w:pPr>
              <w:spacing w:before="36" w:line="360" w:lineRule="auto"/>
              <w:ind w:firstLine="612"/>
              <w:rPr>
                <w:rFonts w:hint="default" w:ascii="Times New Roman" w:hAnsi="Times New Roman" w:eastAsia="宋体" w:cs="Times New Roman"/>
                <w:color w:val="auto"/>
                <w:spacing w:val="-7"/>
                <w:sz w:val="24"/>
                <w:szCs w:val="24"/>
              </w:rPr>
            </w:pPr>
          </w:p>
          <w:p w14:paraId="01613A77">
            <w:pPr>
              <w:spacing w:before="36" w:line="360" w:lineRule="auto"/>
              <w:ind w:firstLine="612"/>
              <w:rPr>
                <w:rFonts w:hint="default" w:ascii="Times New Roman" w:hAnsi="Times New Roman" w:eastAsia="宋体" w:cs="Times New Roman"/>
                <w:color w:val="auto"/>
                <w:spacing w:val="-7"/>
                <w:sz w:val="24"/>
                <w:szCs w:val="24"/>
              </w:rPr>
            </w:pPr>
          </w:p>
          <w:p w14:paraId="7CB9DD19">
            <w:pPr>
              <w:spacing w:before="36" w:line="360" w:lineRule="auto"/>
              <w:ind w:firstLine="612"/>
              <w:rPr>
                <w:rFonts w:hint="default" w:ascii="Times New Roman" w:hAnsi="Times New Roman" w:eastAsia="宋体" w:cs="Times New Roman"/>
                <w:color w:val="auto"/>
                <w:spacing w:val="-7"/>
                <w:sz w:val="24"/>
                <w:szCs w:val="24"/>
              </w:rPr>
            </w:pPr>
          </w:p>
          <w:p w14:paraId="6B698B39">
            <w:pPr>
              <w:spacing w:before="36" w:line="360" w:lineRule="auto"/>
              <w:ind w:firstLine="612"/>
              <w:rPr>
                <w:rFonts w:hint="default" w:ascii="Times New Roman" w:hAnsi="Times New Roman" w:eastAsia="宋体" w:cs="Times New Roman"/>
                <w:color w:val="auto"/>
                <w:spacing w:val="-7"/>
                <w:sz w:val="24"/>
                <w:szCs w:val="24"/>
              </w:rPr>
            </w:pPr>
          </w:p>
          <w:p w14:paraId="47B04FAF">
            <w:pPr>
              <w:spacing w:before="36" w:line="360" w:lineRule="auto"/>
              <w:ind w:firstLine="612"/>
              <w:rPr>
                <w:rFonts w:hint="default" w:ascii="Times New Roman" w:hAnsi="Times New Roman" w:eastAsia="宋体" w:cs="Times New Roman"/>
                <w:color w:val="auto"/>
                <w:spacing w:val="-7"/>
                <w:sz w:val="24"/>
                <w:szCs w:val="24"/>
              </w:rPr>
            </w:pPr>
          </w:p>
          <w:p w14:paraId="5AB0BC44">
            <w:pPr>
              <w:spacing w:before="36" w:line="360" w:lineRule="auto"/>
              <w:ind w:firstLine="612"/>
              <w:rPr>
                <w:rFonts w:hint="default" w:ascii="Times New Roman" w:hAnsi="Times New Roman" w:eastAsia="宋体" w:cs="Times New Roman"/>
                <w:color w:val="auto"/>
                <w:spacing w:val="-7"/>
                <w:sz w:val="24"/>
                <w:szCs w:val="24"/>
              </w:rPr>
            </w:pPr>
          </w:p>
          <w:p w14:paraId="00051AE8">
            <w:pPr>
              <w:spacing w:before="36" w:line="360" w:lineRule="auto"/>
              <w:rPr>
                <w:rFonts w:hint="default" w:ascii="Times New Roman" w:hAnsi="Times New Roman" w:eastAsia="宋体" w:cs="Times New Roman"/>
                <w:color w:val="auto"/>
                <w:spacing w:val="-7"/>
                <w:sz w:val="24"/>
                <w:szCs w:val="24"/>
              </w:rPr>
            </w:pPr>
          </w:p>
          <w:p w14:paraId="24AB4082">
            <w:pPr>
              <w:spacing w:before="36" w:line="360" w:lineRule="auto"/>
              <w:rPr>
                <w:rFonts w:hint="default" w:ascii="Times New Roman" w:hAnsi="Times New Roman" w:eastAsia="宋体" w:cs="Times New Roman"/>
                <w:color w:val="auto"/>
              </w:rPr>
            </w:pPr>
          </w:p>
          <w:p w14:paraId="7D982320">
            <w:pPr>
              <w:spacing w:before="36" w:line="360" w:lineRule="auto"/>
              <w:rPr>
                <w:rFonts w:hint="default" w:ascii="Times New Roman" w:hAnsi="Times New Roman" w:eastAsia="宋体" w:cs="Times New Roman"/>
                <w:color w:val="auto"/>
              </w:rPr>
            </w:pPr>
          </w:p>
          <w:p w14:paraId="200262FA">
            <w:pPr>
              <w:spacing w:before="36" w:line="360" w:lineRule="auto"/>
              <w:rPr>
                <w:rFonts w:hint="default" w:ascii="Times New Roman" w:hAnsi="Times New Roman" w:eastAsia="宋体" w:cs="Times New Roman"/>
                <w:color w:val="auto"/>
              </w:rPr>
            </w:pPr>
          </w:p>
          <w:p w14:paraId="3245A333">
            <w:pPr>
              <w:spacing w:before="36" w:line="360" w:lineRule="auto"/>
              <w:rPr>
                <w:rFonts w:hint="default" w:ascii="Times New Roman" w:hAnsi="Times New Roman" w:eastAsia="宋体" w:cs="Times New Roman"/>
                <w:color w:val="auto"/>
              </w:rPr>
            </w:pPr>
          </w:p>
          <w:p w14:paraId="789420E4">
            <w:pPr>
              <w:spacing w:before="36" w:line="360" w:lineRule="auto"/>
              <w:rPr>
                <w:rFonts w:hint="default" w:ascii="Times New Roman" w:hAnsi="Times New Roman" w:eastAsia="宋体" w:cs="Times New Roman"/>
                <w:color w:val="auto"/>
              </w:rPr>
            </w:pPr>
          </w:p>
          <w:p w14:paraId="25404555">
            <w:pPr>
              <w:spacing w:before="36" w:line="360" w:lineRule="auto"/>
              <w:rPr>
                <w:rFonts w:hint="default" w:ascii="Times New Roman" w:hAnsi="Times New Roman" w:eastAsia="宋体" w:cs="Times New Roman"/>
                <w:color w:val="auto"/>
              </w:rPr>
            </w:pPr>
          </w:p>
          <w:p w14:paraId="0396A4D2">
            <w:pPr>
              <w:spacing w:before="36" w:line="360" w:lineRule="auto"/>
              <w:rPr>
                <w:rFonts w:hint="default" w:ascii="Times New Roman" w:hAnsi="Times New Roman" w:eastAsia="宋体" w:cs="Times New Roman"/>
                <w:color w:val="auto"/>
              </w:rPr>
            </w:pPr>
          </w:p>
          <w:p w14:paraId="29CFCE92">
            <w:pPr>
              <w:spacing w:before="36" w:line="360" w:lineRule="auto"/>
              <w:rPr>
                <w:rFonts w:hint="default" w:ascii="Times New Roman" w:hAnsi="Times New Roman" w:eastAsia="宋体" w:cs="Times New Roman"/>
                <w:color w:val="auto"/>
              </w:rPr>
            </w:pPr>
          </w:p>
          <w:p w14:paraId="740BF4E0">
            <w:pPr>
              <w:spacing w:before="36" w:line="360" w:lineRule="auto"/>
              <w:rPr>
                <w:rFonts w:hint="default" w:ascii="Times New Roman" w:hAnsi="Times New Roman" w:eastAsia="宋体" w:cs="Times New Roman"/>
                <w:color w:val="auto"/>
              </w:rPr>
            </w:pPr>
          </w:p>
          <w:p w14:paraId="2EBCAEEB">
            <w:pPr>
              <w:spacing w:before="36" w:line="360" w:lineRule="auto"/>
              <w:rPr>
                <w:rFonts w:hint="default" w:ascii="Times New Roman" w:hAnsi="Times New Roman" w:eastAsia="宋体" w:cs="Times New Roman"/>
                <w:color w:val="auto"/>
              </w:rPr>
            </w:pPr>
          </w:p>
          <w:p w14:paraId="37B5A91B">
            <w:pPr>
              <w:spacing w:before="36" w:line="360" w:lineRule="auto"/>
              <w:rPr>
                <w:rFonts w:hint="default" w:ascii="Times New Roman" w:hAnsi="Times New Roman" w:eastAsia="宋体" w:cs="Times New Roman"/>
                <w:color w:val="auto"/>
              </w:rPr>
            </w:pPr>
          </w:p>
          <w:p w14:paraId="27B6889B">
            <w:pPr>
              <w:spacing w:before="36" w:line="360" w:lineRule="auto"/>
              <w:rPr>
                <w:rFonts w:hint="default" w:ascii="Times New Roman" w:hAnsi="Times New Roman" w:eastAsia="宋体" w:cs="Times New Roman"/>
                <w:color w:val="auto"/>
              </w:rPr>
            </w:pPr>
          </w:p>
          <w:p w14:paraId="717C0185">
            <w:pPr>
              <w:spacing w:before="36" w:line="360" w:lineRule="auto"/>
              <w:rPr>
                <w:rFonts w:hint="default" w:ascii="Times New Roman" w:hAnsi="Times New Roman" w:eastAsia="宋体" w:cs="Times New Roman"/>
                <w:color w:val="auto"/>
              </w:rPr>
            </w:pPr>
          </w:p>
          <w:p w14:paraId="2E5F77EC">
            <w:pPr>
              <w:spacing w:before="36" w:line="360" w:lineRule="auto"/>
              <w:rPr>
                <w:rFonts w:hint="default" w:ascii="Times New Roman" w:hAnsi="Times New Roman" w:eastAsia="宋体" w:cs="Times New Roman"/>
                <w:color w:val="auto"/>
              </w:rPr>
            </w:pPr>
          </w:p>
          <w:p w14:paraId="44F7613D">
            <w:pPr>
              <w:spacing w:before="36" w:line="360" w:lineRule="auto"/>
              <w:rPr>
                <w:rFonts w:hint="default" w:ascii="Times New Roman" w:hAnsi="Times New Roman" w:eastAsia="宋体" w:cs="Times New Roman"/>
                <w:color w:val="auto"/>
              </w:rPr>
            </w:pPr>
            <w:r>
              <w:rPr>
                <w:rFonts w:hint="default" w:ascii="Times New Roman" w:hAnsi="Times New Roman" w:eastAsia="宋体" w:cs="Times New Roman"/>
                <w:color w:val="auto"/>
                <w:sz w:val="28"/>
                <w:szCs w:val="28"/>
                <w:highlight w:val="none"/>
                <w:lang w:eastAsia="zh-CN"/>
              </w:rPr>
              <w:drawing>
                <wp:inline distT="0" distB="0" distL="114300" distR="114300">
                  <wp:extent cx="5140325" cy="7632065"/>
                  <wp:effectExtent l="0" t="0" r="0" b="0"/>
                  <wp:docPr id="47" name="图片 47" descr="现有林改培模型图GP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现有林改培模型图GP02"/>
                          <pic:cNvPicPr>
                            <a:picLocks noChangeAspect="1"/>
                          </pic:cNvPicPr>
                        </pic:nvPicPr>
                        <pic:blipFill>
                          <a:blip r:embed="rId34"/>
                          <a:srcRect l="4742"/>
                          <a:stretch>
                            <a:fillRect/>
                          </a:stretch>
                        </pic:blipFill>
                        <pic:spPr>
                          <a:xfrm>
                            <a:off x="0" y="0"/>
                            <a:ext cx="5140325" cy="7632065"/>
                          </a:xfrm>
                          <a:prstGeom prst="rect">
                            <a:avLst/>
                          </a:prstGeom>
                        </pic:spPr>
                      </pic:pic>
                    </a:graphicData>
                  </a:graphic>
                </wp:inline>
              </w:drawing>
            </w:r>
          </w:p>
          <w:p w14:paraId="2275461A">
            <w:pPr>
              <w:spacing w:before="36" w:line="360" w:lineRule="auto"/>
              <w:rPr>
                <w:rFonts w:hint="default" w:ascii="Times New Roman" w:hAnsi="Times New Roman" w:eastAsia="宋体" w:cs="Times New Roman"/>
                <w:color w:val="auto"/>
              </w:rPr>
            </w:pPr>
          </w:p>
          <w:p w14:paraId="4CAEAFEE">
            <w:pPr>
              <w:spacing w:before="36" w:line="360" w:lineRule="auto"/>
              <w:rPr>
                <w:rFonts w:hint="default" w:ascii="Times New Roman" w:hAnsi="Times New Roman" w:eastAsia="宋体" w:cs="Times New Roman"/>
                <w:color w:val="auto"/>
              </w:rPr>
            </w:pPr>
          </w:p>
          <w:p w14:paraId="7E294542">
            <w:pPr>
              <w:spacing w:before="36" w:line="360" w:lineRule="auto"/>
              <w:rPr>
                <w:rFonts w:hint="default" w:ascii="Times New Roman" w:hAnsi="Times New Roman" w:eastAsia="宋体" w:cs="Times New Roman"/>
                <w:color w:val="auto"/>
              </w:rPr>
            </w:pPr>
          </w:p>
          <w:p w14:paraId="15CD16AB">
            <w:pPr>
              <w:spacing w:before="36" w:line="360" w:lineRule="auto"/>
              <w:rPr>
                <w:rFonts w:hint="default" w:ascii="Times New Roman" w:hAnsi="Times New Roman" w:eastAsia="宋体" w:cs="Times New Roman"/>
                <w:color w:val="auto"/>
              </w:rPr>
            </w:pPr>
          </w:p>
          <w:p w14:paraId="59B9A0F4">
            <w:pPr>
              <w:spacing w:before="36" w:line="360" w:lineRule="auto"/>
              <w:rPr>
                <w:rFonts w:hint="default" w:ascii="Times New Roman" w:hAnsi="Times New Roman" w:eastAsia="宋体" w:cs="Times New Roman"/>
                <w:color w:val="auto"/>
              </w:rPr>
            </w:pPr>
          </w:p>
          <w:p w14:paraId="62F4A5BC">
            <w:pPr>
              <w:spacing w:before="36" w:line="360" w:lineRule="auto"/>
              <w:rPr>
                <w:rFonts w:hint="default" w:ascii="Times New Roman" w:hAnsi="Times New Roman" w:eastAsia="宋体" w:cs="Times New Roman"/>
                <w:color w:val="auto"/>
              </w:rPr>
            </w:pPr>
            <w:r>
              <w:rPr>
                <w:rFonts w:hint="default" w:ascii="Times New Roman" w:hAnsi="Times New Roman" w:eastAsia="宋体" w:cs="Times New Roman"/>
                <w:color w:val="auto"/>
                <w:sz w:val="28"/>
                <w:szCs w:val="28"/>
                <w:highlight w:val="none"/>
                <w:lang w:eastAsia="zh-CN"/>
              </w:rPr>
              <w:drawing>
                <wp:anchor distT="0" distB="0" distL="114300" distR="114300" simplePos="0" relativeHeight="251680768" behindDoc="0" locked="0" layoutInCell="1" allowOverlap="1">
                  <wp:simplePos x="0" y="0"/>
                  <wp:positionH relativeFrom="column">
                    <wp:posOffset>104775</wp:posOffset>
                  </wp:positionH>
                  <wp:positionV relativeFrom="paragraph">
                    <wp:posOffset>30480</wp:posOffset>
                  </wp:positionV>
                  <wp:extent cx="4739005" cy="7564120"/>
                  <wp:effectExtent l="0" t="0" r="0" b="0"/>
                  <wp:wrapNone/>
                  <wp:docPr id="52" name="图片 52" descr="现有林改培模型图GP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现有林改培模型图GP03"/>
                          <pic:cNvPicPr>
                            <a:picLocks noChangeAspect="1"/>
                          </pic:cNvPicPr>
                        </pic:nvPicPr>
                        <pic:blipFill>
                          <a:blip r:embed="rId35"/>
                          <a:srcRect l="6731" r="5448" b="890"/>
                          <a:stretch>
                            <a:fillRect/>
                          </a:stretch>
                        </pic:blipFill>
                        <pic:spPr>
                          <a:xfrm>
                            <a:off x="0" y="0"/>
                            <a:ext cx="4739005" cy="7564120"/>
                          </a:xfrm>
                          <a:prstGeom prst="rect">
                            <a:avLst/>
                          </a:prstGeom>
                        </pic:spPr>
                      </pic:pic>
                    </a:graphicData>
                  </a:graphic>
                </wp:anchor>
              </w:drawing>
            </w:r>
          </w:p>
          <w:p w14:paraId="5FE00AEB">
            <w:pPr>
              <w:spacing w:before="36" w:line="360" w:lineRule="auto"/>
              <w:rPr>
                <w:rFonts w:hint="default" w:ascii="Times New Roman" w:hAnsi="Times New Roman" w:eastAsia="宋体" w:cs="Times New Roman"/>
                <w:color w:val="auto"/>
              </w:rPr>
            </w:pPr>
          </w:p>
          <w:p w14:paraId="79509C57">
            <w:pPr>
              <w:spacing w:before="36" w:line="360" w:lineRule="auto"/>
              <w:rPr>
                <w:rFonts w:hint="default" w:ascii="Times New Roman" w:hAnsi="Times New Roman" w:eastAsia="宋体" w:cs="Times New Roman"/>
                <w:color w:val="auto"/>
              </w:rPr>
            </w:pPr>
          </w:p>
          <w:p w14:paraId="129B7445">
            <w:pPr>
              <w:spacing w:before="36" w:line="360" w:lineRule="auto"/>
              <w:rPr>
                <w:rFonts w:hint="default" w:ascii="Times New Roman" w:hAnsi="Times New Roman" w:eastAsia="宋体" w:cs="Times New Roman"/>
                <w:color w:val="auto"/>
              </w:rPr>
            </w:pPr>
          </w:p>
          <w:p w14:paraId="66C86F77">
            <w:pPr>
              <w:spacing w:before="36" w:line="360" w:lineRule="auto"/>
              <w:rPr>
                <w:rFonts w:hint="default" w:ascii="Times New Roman" w:hAnsi="Times New Roman" w:eastAsia="宋体" w:cs="Times New Roman"/>
                <w:color w:val="auto"/>
              </w:rPr>
            </w:pPr>
          </w:p>
          <w:p w14:paraId="53BA11BD">
            <w:pPr>
              <w:spacing w:before="36" w:line="360" w:lineRule="auto"/>
              <w:rPr>
                <w:rFonts w:hint="default" w:ascii="Times New Roman" w:hAnsi="Times New Roman" w:eastAsia="宋体" w:cs="Times New Roman"/>
                <w:color w:val="auto"/>
              </w:rPr>
            </w:pPr>
          </w:p>
          <w:p w14:paraId="428DD7AC">
            <w:pPr>
              <w:spacing w:before="36" w:line="360" w:lineRule="auto"/>
              <w:rPr>
                <w:rFonts w:hint="default" w:ascii="Times New Roman" w:hAnsi="Times New Roman" w:eastAsia="宋体" w:cs="Times New Roman"/>
                <w:color w:val="auto"/>
              </w:rPr>
            </w:pPr>
          </w:p>
          <w:p w14:paraId="21E56E59">
            <w:pPr>
              <w:spacing w:before="36" w:line="360" w:lineRule="auto"/>
              <w:rPr>
                <w:rFonts w:hint="default" w:ascii="Times New Roman" w:hAnsi="Times New Roman" w:eastAsia="宋体" w:cs="Times New Roman"/>
                <w:color w:val="auto"/>
              </w:rPr>
            </w:pPr>
          </w:p>
          <w:p w14:paraId="38CD7C60">
            <w:pPr>
              <w:spacing w:before="36" w:line="360" w:lineRule="auto"/>
              <w:rPr>
                <w:rFonts w:hint="default" w:ascii="Times New Roman" w:hAnsi="Times New Roman" w:eastAsia="宋体" w:cs="Times New Roman"/>
                <w:color w:val="auto"/>
              </w:rPr>
            </w:pPr>
          </w:p>
          <w:p w14:paraId="26E4A10D">
            <w:pPr>
              <w:spacing w:before="36" w:line="360" w:lineRule="auto"/>
              <w:rPr>
                <w:rFonts w:hint="default" w:ascii="Times New Roman" w:hAnsi="Times New Roman" w:eastAsia="宋体" w:cs="Times New Roman"/>
                <w:color w:val="auto"/>
              </w:rPr>
            </w:pPr>
          </w:p>
          <w:p w14:paraId="12A0CFBA">
            <w:pPr>
              <w:spacing w:before="36" w:line="360" w:lineRule="auto"/>
              <w:rPr>
                <w:rFonts w:hint="default" w:ascii="Times New Roman" w:hAnsi="Times New Roman" w:eastAsia="宋体" w:cs="Times New Roman"/>
                <w:color w:val="auto"/>
              </w:rPr>
            </w:pPr>
          </w:p>
          <w:p w14:paraId="5E408AAA">
            <w:pPr>
              <w:spacing w:before="36" w:line="360" w:lineRule="auto"/>
              <w:rPr>
                <w:rFonts w:hint="default" w:ascii="Times New Roman" w:hAnsi="Times New Roman" w:eastAsia="宋体" w:cs="Times New Roman"/>
                <w:color w:val="auto"/>
              </w:rPr>
            </w:pPr>
          </w:p>
          <w:p w14:paraId="2E38E9E9">
            <w:pPr>
              <w:spacing w:before="36" w:line="360" w:lineRule="auto"/>
              <w:rPr>
                <w:rFonts w:hint="default" w:ascii="Times New Roman" w:hAnsi="Times New Roman" w:eastAsia="宋体" w:cs="Times New Roman"/>
                <w:color w:val="auto"/>
              </w:rPr>
            </w:pPr>
          </w:p>
          <w:p w14:paraId="09BCF6D6">
            <w:pPr>
              <w:spacing w:before="36" w:line="360" w:lineRule="auto"/>
              <w:rPr>
                <w:rFonts w:hint="default" w:ascii="Times New Roman" w:hAnsi="Times New Roman" w:eastAsia="宋体" w:cs="Times New Roman"/>
                <w:color w:val="auto"/>
              </w:rPr>
            </w:pPr>
          </w:p>
          <w:p w14:paraId="18D6AC5D">
            <w:pPr>
              <w:spacing w:before="36" w:line="360" w:lineRule="auto"/>
              <w:rPr>
                <w:rFonts w:hint="default" w:ascii="Times New Roman" w:hAnsi="Times New Roman" w:eastAsia="宋体" w:cs="Times New Roman"/>
                <w:color w:val="auto"/>
              </w:rPr>
            </w:pPr>
          </w:p>
          <w:p w14:paraId="59210D67">
            <w:pPr>
              <w:spacing w:before="36" w:line="360" w:lineRule="auto"/>
              <w:rPr>
                <w:rFonts w:hint="default" w:ascii="Times New Roman" w:hAnsi="Times New Roman" w:eastAsia="宋体" w:cs="Times New Roman"/>
                <w:color w:val="auto"/>
              </w:rPr>
            </w:pPr>
          </w:p>
          <w:p w14:paraId="56B7D77A">
            <w:pPr>
              <w:spacing w:before="36" w:line="360" w:lineRule="auto"/>
              <w:rPr>
                <w:rFonts w:hint="default" w:ascii="Times New Roman" w:hAnsi="Times New Roman" w:eastAsia="宋体" w:cs="Times New Roman"/>
                <w:color w:val="auto"/>
              </w:rPr>
            </w:pPr>
          </w:p>
          <w:p w14:paraId="0DA3259C">
            <w:pPr>
              <w:spacing w:before="36" w:line="360" w:lineRule="auto"/>
              <w:rPr>
                <w:rFonts w:hint="default" w:ascii="Times New Roman" w:hAnsi="Times New Roman" w:eastAsia="宋体" w:cs="Times New Roman"/>
                <w:color w:val="auto"/>
              </w:rPr>
            </w:pPr>
          </w:p>
          <w:p w14:paraId="19E629F4">
            <w:pPr>
              <w:spacing w:before="36" w:line="360" w:lineRule="auto"/>
              <w:rPr>
                <w:rFonts w:hint="default" w:ascii="Times New Roman" w:hAnsi="Times New Roman" w:eastAsia="宋体" w:cs="Times New Roman"/>
                <w:color w:val="auto"/>
              </w:rPr>
            </w:pPr>
          </w:p>
          <w:p w14:paraId="19DFD7C1">
            <w:pPr>
              <w:spacing w:before="36" w:line="360" w:lineRule="auto"/>
              <w:rPr>
                <w:rFonts w:hint="default" w:ascii="Times New Roman" w:hAnsi="Times New Roman" w:eastAsia="宋体" w:cs="Times New Roman"/>
                <w:color w:val="auto"/>
              </w:rPr>
            </w:pPr>
          </w:p>
          <w:p w14:paraId="32144A6A">
            <w:pPr>
              <w:spacing w:before="36" w:line="360" w:lineRule="auto"/>
              <w:rPr>
                <w:rFonts w:hint="default" w:ascii="Times New Roman" w:hAnsi="Times New Roman" w:eastAsia="宋体" w:cs="Times New Roman"/>
                <w:color w:val="auto"/>
              </w:rPr>
            </w:pPr>
          </w:p>
          <w:p w14:paraId="00CB474F">
            <w:pPr>
              <w:spacing w:before="36" w:line="360" w:lineRule="auto"/>
              <w:rPr>
                <w:rFonts w:hint="default" w:ascii="Times New Roman" w:hAnsi="Times New Roman" w:eastAsia="宋体" w:cs="Times New Roman"/>
                <w:color w:val="auto"/>
              </w:rPr>
            </w:pPr>
          </w:p>
          <w:p w14:paraId="6FBFA4FC">
            <w:pPr>
              <w:spacing w:before="36" w:line="360" w:lineRule="auto"/>
              <w:rPr>
                <w:rFonts w:hint="default" w:ascii="Times New Roman" w:hAnsi="Times New Roman" w:eastAsia="宋体" w:cs="Times New Roman"/>
                <w:color w:val="auto"/>
              </w:rPr>
            </w:pPr>
          </w:p>
          <w:p w14:paraId="490C3513">
            <w:pPr>
              <w:spacing w:before="36" w:line="360" w:lineRule="auto"/>
              <w:rPr>
                <w:rFonts w:hint="default" w:ascii="Times New Roman" w:hAnsi="Times New Roman" w:eastAsia="宋体" w:cs="Times New Roman"/>
                <w:color w:val="auto"/>
              </w:rPr>
            </w:pPr>
          </w:p>
          <w:p w14:paraId="56736373">
            <w:pPr>
              <w:spacing w:before="36" w:line="360" w:lineRule="auto"/>
              <w:rPr>
                <w:rFonts w:hint="default" w:ascii="Times New Roman" w:hAnsi="Times New Roman" w:eastAsia="宋体" w:cs="Times New Roman"/>
                <w:color w:val="auto"/>
              </w:rPr>
            </w:pPr>
          </w:p>
          <w:p w14:paraId="1671C983">
            <w:pPr>
              <w:spacing w:before="36" w:line="360" w:lineRule="auto"/>
              <w:rPr>
                <w:rFonts w:hint="default" w:ascii="Times New Roman" w:hAnsi="Times New Roman" w:eastAsia="宋体" w:cs="Times New Roman"/>
                <w:color w:val="auto"/>
              </w:rPr>
            </w:pPr>
          </w:p>
          <w:p w14:paraId="653E4731">
            <w:pPr>
              <w:spacing w:before="36" w:line="360" w:lineRule="auto"/>
              <w:rPr>
                <w:rFonts w:hint="default" w:ascii="Times New Roman" w:hAnsi="Times New Roman" w:eastAsia="宋体" w:cs="Times New Roman"/>
                <w:color w:val="auto"/>
              </w:rPr>
            </w:pPr>
          </w:p>
          <w:p w14:paraId="7662F189">
            <w:pPr>
              <w:spacing w:before="36" w:line="360" w:lineRule="auto"/>
              <w:rPr>
                <w:rFonts w:hint="default" w:ascii="Times New Roman" w:hAnsi="Times New Roman" w:eastAsia="宋体" w:cs="Times New Roman"/>
                <w:color w:val="auto"/>
              </w:rPr>
            </w:pPr>
          </w:p>
          <w:p w14:paraId="2453E4DE">
            <w:pPr>
              <w:spacing w:before="36" w:line="360" w:lineRule="auto"/>
              <w:rPr>
                <w:rFonts w:hint="default" w:ascii="Times New Roman" w:hAnsi="Times New Roman" w:eastAsia="宋体" w:cs="Times New Roman"/>
                <w:color w:val="auto"/>
              </w:rPr>
            </w:pPr>
          </w:p>
          <w:p w14:paraId="2D16DBF5">
            <w:pPr>
              <w:spacing w:before="36" w:line="360" w:lineRule="auto"/>
              <w:rPr>
                <w:rFonts w:hint="default" w:ascii="Times New Roman" w:hAnsi="Times New Roman" w:eastAsia="宋体" w:cs="Times New Roman"/>
                <w:color w:val="auto"/>
              </w:rPr>
            </w:pPr>
          </w:p>
          <w:p w14:paraId="18BF4FCE">
            <w:pPr>
              <w:spacing w:before="36" w:line="360" w:lineRule="auto"/>
              <w:rPr>
                <w:rFonts w:hint="default" w:ascii="Times New Roman" w:hAnsi="Times New Roman" w:eastAsia="宋体" w:cs="Times New Roman"/>
                <w:color w:val="auto"/>
              </w:rPr>
            </w:pPr>
          </w:p>
          <w:p w14:paraId="06DDE22A">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7.3.2 树种选择</w:t>
            </w:r>
          </w:p>
          <w:p w14:paraId="3B55F7DE">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根据四川省林业和草原局关于印发《四川省储备林树种目录》的通知（川林规函〔2023〕759号），严格遵循“适地、适树、适种源、适品种”的原则，以培育目标为导向，以近自然森林林业理念为指导，以增加生物多样性、提高林分的稳定性为目的，兼顾近期效益与远期效益，根据树种生物学特性、立地条件、造林技术和社会经济条件等全面考虑，确定适合本项目现有林改培的主要树种为枫香、银杏、乌桕、栾树。设计树种生态特性如下：</w:t>
            </w:r>
          </w:p>
          <w:p w14:paraId="67242125">
            <w:pPr>
              <w:spacing w:before="61"/>
              <w:jc w:val="center"/>
              <w:rPr>
                <w:rFonts w:hint="default" w:ascii="Times New Roman" w:hAnsi="Times New Roman" w:eastAsia="宋体" w:cs="Times New Roman"/>
                <w:b/>
                <w:bCs/>
                <w:color w:val="auto"/>
                <w:lang w:eastAsia="zh-CN"/>
              </w:rPr>
            </w:pPr>
            <w:r>
              <w:rPr>
                <w:rFonts w:hint="default" w:ascii="Times New Roman" w:hAnsi="Times New Roman" w:eastAsia="宋体" w:cs="Times New Roman"/>
                <w:b/>
                <w:bCs/>
                <w:color w:val="auto"/>
              </w:rPr>
              <w:t>表</w:t>
            </w:r>
            <w:r>
              <w:rPr>
                <w:rFonts w:hint="default" w:ascii="Times New Roman" w:hAnsi="Times New Roman" w:eastAsia="宋体" w:cs="Times New Roman"/>
                <w:b/>
                <w:bCs/>
                <w:color w:val="auto"/>
                <w:lang w:val="en-US" w:eastAsia="zh-CN"/>
              </w:rPr>
              <w:t xml:space="preserve">2-10  </w:t>
            </w:r>
            <w:r>
              <w:rPr>
                <w:rFonts w:hint="default" w:ascii="Times New Roman" w:hAnsi="Times New Roman" w:eastAsia="宋体" w:cs="Times New Roman"/>
                <w:b/>
                <w:bCs/>
                <w:color w:val="auto"/>
              </w:rPr>
              <w:t>设计树种特征简表</w:t>
            </w:r>
          </w:p>
          <w:tbl>
            <w:tblPr>
              <w:tblStyle w:val="32"/>
              <w:tblW w:w="8220" w:type="dxa"/>
              <w:jc w:val="center"/>
              <w:tblBorders>
                <w:top w:val="single" w:color="auto" w:sz="4" w:space="0"/>
                <w:left w:val="single" w:color="auto" w:sz="4"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99"/>
              <w:gridCol w:w="800"/>
              <w:gridCol w:w="1038"/>
              <w:gridCol w:w="1455"/>
              <w:gridCol w:w="1452"/>
              <w:gridCol w:w="1943"/>
            </w:tblGrid>
            <w:tr w14:paraId="69BECB67">
              <w:tblPrEx>
                <w:tblBorders>
                  <w:top w:val="single" w:color="auto" w:sz="4" w:space="0"/>
                  <w:left w:val="single" w:color="auto" w:sz="4"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tblHeader/>
                <w:jc w:val="center"/>
              </w:trPr>
              <w:tc>
                <w:tcPr>
                  <w:tcW w:w="1790" w:type="dxa"/>
                  <w:shd w:val="clear" w:color="auto" w:fill="auto"/>
                  <w:vAlign w:val="center"/>
                </w:tcPr>
                <w:p w14:paraId="2A384C80">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eastAsiaTheme="minorEastAsia"/>
                      <w:b/>
                      <w:bCs/>
                      <w:color w:val="auto"/>
                      <w:kern w:val="0"/>
                      <w:sz w:val="21"/>
                      <w:szCs w:val="21"/>
                      <w:highlight w:val="none"/>
                    </w:rPr>
                  </w:pPr>
                  <w:r>
                    <w:rPr>
                      <w:rFonts w:hint="default" w:ascii="Times New Roman" w:hAnsi="Times New Roman" w:cs="Times New Roman" w:eastAsiaTheme="minorEastAsia"/>
                      <w:b/>
                      <w:bCs/>
                      <w:color w:val="auto"/>
                      <w:kern w:val="0"/>
                      <w:sz w:val="21"/>
                      <w:szCs w:val="21"/>
                      <w:highlight w:val="none"/>
                    </w:rPr>
                    <w:t>树种名称</w:t>
                  </w:r>
                </w:p>
              </w:tc>
              <w:tc>
                <w:tcPr>
                  <w:tcW w:w="881" w:type="dxa"/>
                  <w:shd w:val="clear" w:color="auto" w:fill="auto"/>
                  <w:noWrap/>
                  <w:vAlign w:val="center"/>
                </w:tcPr>
                <w:p w14:paraId="72A8EE40">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eastAsiaTheme="minorEastAsia"/>
                      <w:b/>
                      <w:bCs/>
                      <w:color w:val="auto"/>
                      <w:kern w:val="0"/>
                      <w:sz w:val="21"/>
                      <w:szCs w:val="21"/>
                      <w:highlight w:val="none"/>
                    </w:rPr>
                  </w:pPr>
                  <w:r>
                    <w:rPr>
                      <w:rFonts w:hint="default" w:ascii="Times New Roman" w:hAnsi="Times New Roman" w:cs="Times New Roman" w:eastAsiaTheme="minorEastAsia"/>
                      <w:b/>
                      <w:bCs/>
                      <w:color w:val="auto"/>
                      <w:kern w:val="0"/>
                      <w:sz w:val="21"/>
                      <w:szCs w:val="21"/>
                      <w:highlight w:val="none"/>
                    </w:rPr>
                    <w:t>喜光性</w:t>
                  </w:r>
                </w:p>
              </w:tc>
              <w:tc>
                <w:tcPr>
                  <w:tcW w:w="1151" w:type="dxa"/>
                  <w:shd w:val="clear" w:color="auto" w:fill="auto"/>
                  <w:noWrap/>
                  <w:vAlign w:val="center"/>
                </w:tcPr>
                <w:p w14:paraId="5FB3D6FB">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eastAsiaTheme="minorEastAsia"/>
                      <w:b/>
                      <w:bCs/>
                      <w:color w:val="auto"/>
                      <w:kern w:val="0"/>
                      <w:sz w:val="21"/>
                      <w:szCs w:val="21"/>
                      <w:highlight w:val="none"/>
                    </w:rPr>
                  </w:pPr>
                  <w:r>
                    <w:rPr>
                      <w:rFonts w:hint="default" w:ascii="Times New Roman" w:hAnsi="Times New Roman" w:cs="Times New Roman" w:eastAsiaTheme="minorEastAsia"/>
                      <w:b/>
                      <w:bCs/>
                      <w:color w:val="auto"/>
                      <w:kern w:val="0"/>
                      <w:sz w:val="21"/>
                      <w:szCs w:val="21"/>
                      <w:highlight w:val="none"/>
                    </w:rPr>
                    <w:t>分布海拔</w:t>
                  </w:r>
                </w:p>
              </w:tc>
              <w:tc>
                <w:tcPr>
                  <w:tcW w:w="1626" w:type="dxa"/>
                  <w:shd w:val="clear" w:color="auto" w:fill="auto"/>
                  <w:noWrap/>
                  <w:vAlign w:val="center"/>
                </w:tcPr>
                <w:p w14:paraId="00025C14">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eastAsiaTheme="minorEastAsia"/>
                      <w:b/>
                      <w:bCs/>
                      <w:color w:val="auto"/>
                      <w:kern w:val="0"/>
                      <w:sz w:val="21"/>
                      <w:szCs w:val="21"/>
                      <w:highlight w:val="none"/>
                    </w:rPr>
                  </w:pPr>
                  <w:r>
                    <w:rPr>
                      <w:rFonts w:hint="default" w:ascii="Times New Roman" w:hAnsi="Times New Roman" w:cs="Times New Roman" w:eastAsiaTheme="minorEastAsia"/>
                      <w:b/>
                      <w:bCs/>
                      <w:color w:val="auto"/>
                      <w:kern w:val="0"/>
                      <w:sz w:val="21"/>
                      <w:szCs w:val="21"/>
                      <w:highlight w:val="none"/>
                    </w:rPr>
                    <w:t>分布地区</w:t>
                  </w:r>
                </w:p>
              </w:tc>
              <w:tc>
                <w:tcPr>
                  <w:tcW w:w="1623" w:type="dxa"/>
                  <w:shd w:val="clear" w:color="auto" w:fill="auto"/>
                  <w:noWrap/>
                  <w:vAlign w:val="center"/>
                </w:tcPr>
                <w:p w14:paraId="433CD0D4">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eastAsiaTheme="minorEastAsia"/>
                      <w:b/>
                      <w:bCs/>
                      <w:color w:val="auto"/>
                      <w:kern w:val="0"/>
                      <w:sz w:val="21"/>
                      <w:szCs w:val="21"/>
                      <w:highlight w:val="none"/>
                    </w:rPr>
                  </w:pPr>
                  <w:r>
                    <w:rPr>
                      <w:rFonts w:hint="default" w:ascii="Times New Roman" w:hAnsi="Times New Roman" w:cs="Times New Roman" w:eastAsiaTheme="minorEastAsia"/>
                      <w:b/>
                      <w:bCs/>
                      <w:color w:val="auto"/>
                      <w:kern w:val="0"/>
                      <w:sz w:val="21"/>
                      <w:szCs w:val="21"/>
                      <w:highlight w:val="none"/>
                    </w:rPr>
                    <w:t>适宜土壤酸碱度</w:t>
                  </w:r>
                </w:p>
              </w:tc>
              <w:tc>
                <w:tcPr>
                  <w:tcW w:w="2181" w:type="dxa"/>
                  <w:shd w:val="clear" w:color="auto" w:fill="auto"/>
                  <w:noWrap/>
                  <w:vAlign w:val="center"/>
                </w:tcPr>
                <w:p w14:paraId="64C939DC">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eastAsiaTheme="minorEastAsia"/>
                      <w:b/>
                      <w:bCs/>
                      <w:color w:val="auto"/>
                      <w:kern w:val="0"/>
                      <w:sz w:val="21"/>
                      <w:szCs w:val="21"/>
                      <w:highlight w:val="none"/>
                    </w:rPr>
                  </w:pPr>
                  <w:r>
                    <w:rPr>
                      <w:rFonts w:hint="default" w:ascii="Times New Roman" w:hAnsi="Times New Roman" w:cs="Times New Roman" w:eastAsiaTheme="minorEastAsia"/>
                      <w:b/>
                      <w:bCs/>
                      <w:color w:val="auto"/>
                      <w:kern w:val="0"/>
                      <w:sz w:val="21"/>
                      <w:szCs w:val="21"/>
                      <w:highlight w:val="none"/>
                    </w:rPr>
                    <w:t>适宜条件</w:t>
                  </w:r>
                </w:p>
              </w:tc>
            </w:tr>
            <w:tr w14:paraId="3C0C8DC1">
              <w:tblPrEx>
                <w:tblBorders>
                  <w:top w:val="single" w:color="auto" w:sz="4" w:space="0"/>
                  <w:left w:val="single" w:color="auto" w:sz="4"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80" w:hRule="atLeast"/>
                <w:jc w:val="center"/>
              </w:trPr>
              <w:tc>
                <w:tcPr>
                  <w:tcW w:w="1790" w:type="dxa"/>
                  <w:shd w:val="clear" w:color="auto" w:fill="auto"/>
                  <w:vAlign w:val="center"/>
                </w:tcPr>
                <w:p w14:paraId="65EAA30B">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栾树</w:t>
                  </w:r>
                  <w:r>
                    <w:rPr>
                      <w:rFonts w:hint="default" w:ascii="Times New Roman" w:hAnsi="Times New Roman" w:cs="Times New Roman" w:eastAsiaTheme="minorEastAsia"/>
                      <w:i w:val="0"/>
                      <w:iCs w:val="0"/>
                      <w:color w:val="auto"/>
                      <w:kern w:val="0"/>
                      <w:sz w:val="21"/>
                      <w:szCs w:val="21"/>
                      <w:highlight w:val="none"/>
                      <w:lang w:bidi="ar"/>
                    </w:rPr>
                    <w:t>Koelreuteria bipinnata Franch.</w:t>
                  </w:r>
                </w:p>
              </w:tc>
              <w:tc>
                <w:tcPr>
                  <w:tcW w:w="881" w:type="dxa"/>
                  <w:shd w:val="clear" w:color="auto" w:fill="auto"/>
                  <w:noWrap/>
                  <w:vAlign w:val="center"/>
                </w:tcPr>
                <w:p w14:paraId="66ED6124">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喜光</w:t>
                  </w:r>
                </w:p>
              </w:tc>
              <w:tc>
                <w:tcPr>
                  <w:tcW w:w="1151" w:type="dxa"/>
                  <w:shd w:val="clear" w:color="auto" w:fill="auto"/>
                  <w:noWrap/>
                  <w:vAlign w:val="center"/>
                </w:tcPr>
                <w:p w14:paraId="4AB91807">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500~1700m</w:t>
                  </w:r>
                </w:p>
              </w:tc>
              <w:tc>
                <w:tcPr>
                  <w:tcW w:w="1626" w:type="dxa"/>
                  <w:shd w:val="clear" w:color="auto" w:fill="auto"/>
                  <w:noWrap/>
                  <w:vAlign w:val="center"/>
                </w:tcPr>
                <w:p w14:paraId="4EC98C1B">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四川盆地丘陵区、盆周山地区</w:t>
                  </w:r>
                </w:p>
              </w:tc>
              <w:tc>
                <w:tcPr>
                  <w:tcW w:w="1623" w:type="dxa"/>
                  <w:shd w:val="clear" w:color="auto" w:fill="auto"/>
                  <w:noWrap/>
                  <w:vAlign w:val="center"/>
                </w:tcPr>
                <w:p w14:paraId="613C8632">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微酸性、中性、微碱性</w:t>
                  </w:r>
                </w:p>
              </w:tc>
              <w:tc>
                <w:tcPr>
                  <w:tcW w:w="2181" w:type="dxa"/>
                  <w:shd w:val="clear" w:color="auto" w:fill="auto"/>
                  <w:noWrap/>
                  <w:vAlign w:val="center"/>
                </w:tcPr>
                <w:p w14:paraId="5A9E05B8">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水肥条件较好</w:t>
                  </w:r>
                </w:p>
              </w:tc>
            </w:tr>
            <w:tr w14:paraId="0E1F17A1">
              <w:tblPrEx>
                <w:tblBorders>
                  <w:top w:val="single" w:color="auto" w:sz="4" w:space="0"/>
                  <w:left w:val="single" w:color="auto" w:sz="4"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90" w:type="dxa"/>
                  <w:shd w:val="clear" w:color="auto" w:fill="auto"/>
                  <w:vAlign w:val="center"/>
                </w:tcPr>
                <w:p w14:paraId="2EE7AF84">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 xml:space="preserve">枫香         </w:t>
                  </w:r>
                  <w:r>
                    <w:rPr>
                      <w:rFonts w:hint="default" w:ascii="Times New Roman" w:hAnsi="Times New Roman" w:cs="Times New Roman" w:eastAsiaTheme="minorEastAsia"/>
                      <w:i/>
                      <w:iCs/>
                      <w:color w:val="auto"/>
                      <w:kern w:val="0"/>
                      <w:sz w:val="21"/>
                      <w:szCs w:val="21"/>
                      <w:highlight w:val="none"/>
                    </w:rPr>
                    <w:t>Liquidambar formosana Hance</w:t>
                  </w:r>
                </w:p>
              </w:tc>
              <w:tc>
                <w:tcPr>
                  <w:tcW w:w="881" w:type="dxa"/>
                  <w:shd w:val="clear" w:color="auto" w:fill="auto"/>
                  <w:noWrap/>
                  <w:vAlign w:val="center"/>
                </w:tcPr>
                <w:p w14:paraId="78B90AB5">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喜光、</w:t>
                  </w:r>
                </w:p>
                <w:p w14:paraId="1A47F2FF">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lang w:val="en-US" w:eastAsia="zh-CN"/>
                    </w:rPr>
                    <w:t>稍</w:t>
                  </w:r>
                  <w:r>
                    <w:rPr>
                      <w:rFonts w:hint="default" w:ascii="Times New Roman" w:hAnsi="Times New Roman" w:cs="Times New Roman" w:eastAsiaTheme="minorEastAsia"/>
                      <w:color w:val="auto"/>
                      <w:kern w:val="0"/>
                      <w:sz w:val="21"/>
                      <w:szCs w:val="21"/>
                      <w:highlight w:val="none"/>
                    </w:rPr>
                    <w:t>耐阴</w:t>
                  </w:r>
                </w:p>
              </w:tc>
              <w:tc>
                <w:tcPr>
                  <w:tcW w:w="1151" w:type="dxa"/>
                  <w:shd w:val="clear" w:color="auto" w:fill="auto"/>
                  <w:noWrap/>
                  <w:vAlign w:val="center"/>
                </w:tcPr>
                <w:p w14:paraId="2C32BB28">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lang w:val="en-US" w:eastAsia="zh-CN"/>
                    </w:rPr>
                    <w:t>22</w:t>
                  </w:r>
                  <w:r>
                    <w:rPr>
                      <w:rFonts w:hint="default" w:ascii="Times New Roman" w:hAnsi="Times New Roman" w:cs="Times New Roman" w:eastAsiaTheme="minorEastAsia"/>
                      <w:color w:val="auto"/>
                      <w:kern w:val="0"/>
                      <w:sz w:val="21"/>
                      <w:szCs w:val="21"/>
                      <w:highlight w:val="none"/>
                    </w:rPr>
                    <w:t>0~2</w:t>
                  </w:r>
                  <w:r>
                    <w:rPr>
                      <w:rFonts w:hint="default" w:ascii="Times New Roman" w:hAnsi="Times New Roman" w:cs="Times New Roman" w:eastAsiaTheme="minorEastAsia"/>
                      <w:color w:val="auto"/>
                      <w:kern w:val="0"/>
                      <w:sz w:val="21"/>
                      <w:szCs w:val="21"/>
                      <w:highlight w:val="none"/>
                      <w:lang w:val="en-US" w:eastAsia="zh-CN"/>
                    </w:rPr>
                    <w:t>0</w:t>
                  </w:r>
                  <w:r>
                    <w:rPr>
                      <w:rFonts w:hint="default" w:ascii="Times New Roman" w:hAnsi="Times New Roman" w:cs="Times New Roman" w:eastAsiaTheme="minorEastAsia"/>
                      <w:color w:val="auto"/>
                      <w:kern w:val="0"/>
                      <w:sz w:val="21"/>
                      <w:szCs w:val="21"/>
                      <w:highlight w:val="none"/>
                    </w:rPr>
                    <w:t>00m</w:t>
                  </w:r>
                </w:p>
              </w:tc>
              <w:tc>
                <w:tcPr>
                  <w:tcW w:w="1626" w:type="dxa"/>
                  <w:shd w:val="clear" w:color="auto" w:fill="auto"/>
                  <w:noWrap/>
                  <w:vAlign w:val="center"/>
                </w:tcPr>
                <w:p w14:paraId="295B17C6">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秦岭及淮河以南各省，北起河南、山东，东至台湾，西至四川、云南及西藏，南至广东</w:t>
                  </w:r>
                </w:p>
              </w:tc>
              <w:tc>
                <w:tcPr>
                  <w:tcW w:w="1623" w:type="dxa"/>
                  <w:shd w:val="clear" w:color="auto" w:fill="auto"/>
                  <w:noWrap/>
                  <w:vAlign w:val="center"/>
                </w:tcPr>
                <w:p w14:paraId="0931F54A">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酸性、中性、</w:t>
                  </w:r>
                  <w:r>
                    <w:rPr>
                      <w:rFonts w:hint="default" w:ascii="Times New Roman" w:hAnsi="Times New Roman" w:cs="Times New Roman" w:eastAsiaTheme="minorEastAsia"/>
                      <w:color w:val="auto"/>
                      <w:kern w:val="0"/>
                      <w:sz w:val="21"/>
                      <w:szCs w:val="21"/>
                      <w:highlight w:val="none"/>
                      <w:lang w:val="en-US" w:eastAsia="zh-CN"/>
                    </w:rPr>
                    <w:t>微</w:t>
                  </w:r>
                  <w:r>
                    <w:rPr>
                      <w:rFonts w:hint="default" w:ascii="Times New Roman" w:hAnsi="Times New Roman" w:cs="Times New Roman" w:eastAsiaTheme="minorEastAsia"/>
                      <w:color w:val="auto"/>
                      <w:kern w:val="0"/>
                      <w:sz w:val="21"/>
                      <w:szCs w:val="21"/>
                      <w:highlight w:val="none"/>
                    </w:rPr>
                    <w:t>碱性</w:t>
                  </w:r>
                </w:p>
              </w:tc>
              <w:tc>
                <w:tcPr>
                  <w:tcW w:w="2181" w:type="dxa"/>
                  <w:shd w:val="clear" w:color="auto" w:fill="auto"/>
                  <w:noWrap/>
                  <w:vAlign w:val="center"/>
                </w:tcPr>
                <w:p w14:paraId="79669BB0">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适应性广</w:t>
                  </w:r>
                  <w:r>
                    <w:rPr>
                      <w:rFonts w:hint="default" w:ascii="Times New Roman" w:hAnsi="Times New Roman" w:cs="Times New Roman" w:eastAsiaTheme="minorEastAsia"/>
                      <w:color w:val="auto"/>
                      <w:kern w:val="0"/>
                      <w:sz w:val="21"/>
                      <w:szCs w:val="21"/>
                      <w:highlight w:val="none"/>
                      <w:lang w:eastAsia="zh-CN"/>
                    </w:rPr>
                    <w:t>，</w:t>
                  </w:r>
                  <w:r>
                    <w:rPr>
                      <w:rFonts w:hint="default" w:ascii="Times New Roman" w:hAnsi="Times New Roman" w:cs="Times New Roman" w:eastAsiaTheme="minorEastAsia"/>
                      <w:color w:val="auto"/>
                      <w:kern w:val="0"/>
                      <w:sz w:val="21"/>
                      <w:szCs w:val="21"/>
                      <w:highlight w:val="none"/>
                    </w:rPr>
                    <w:t>以肥沃、潮湿、冲积性黏土和江河底部的肥沃黏性微酸土壤最好。种植在山地和丘陵地区均有较好的表现</w:t>
                  </w:r>
                </w:p>
              </w:tc>
            </w:tr>
            <w:tr w14:paraId="193F62A4">
              <w:tblPrEx>
                <w:tblBorders>
                  <w:top w:val="single" w:color="auto" w:sz="4" w:space="0"/>
                  <w:left w:val="single" w:color="auto" w:sz="4"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790" w:type="dxa"/>
                  <w:shd w:val="clear" w:color="auto" w:fill="auto"/>
                  <w:noWrap/>
                  <w:vAlign w:val="center"/>
                </w:tcPr>
                <w:p w14:paraId="52340CE9">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 xml:space="preserve">乌桕            </w:t>
                  </w:r>
                  <w:r>
                    <w:rPr>
                      <w:rFonts w:hint="default" w:ascii="Times New Roman" w:hAnsi="Times New Roman" w:cs="Times New Roman" w:eastAsiaTheme="minorEastAsia"/>
                      <w:i/>
                      <w:iCs/>
                      <w:color w:val="auto"/>
                      <w:kern w:val="0"/>
                      <w:sz w:val="21"/>
                      <w:szCs w:val="21"/>
                      <w:highlight w:val="none"/>
                    </w:rPr>
                    <w:t>Triadica sebifera (L.) Small</w:t>
                  </w:r>
                </w:p>
              </w:tc>
              <w:tc>
                <w:tcPr>
                  <w:tcW w:w="881" w:type="dxa"/>
                  <w:shd w:val="clear" w:color="auto" w:fill="auto"/>
                  <w:noWrap/>
                  <w:vAlign w:val="center"/>
                </w:tcPr>
                <w:p w14:paraId="13332FEE">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喜光</w:t>
                  </w:r>
                </w:p>
              </w:tc>
              <w:tc>
                <w:tcPr>
                  <w:tcW w:w="1151" w:type="dxa"/>
                  <w:shd w:val="clear" w:color="auto" w:fill="auto"/>
                  <w:noWrap/>
                  <w:vAlign w:val="center"/>
                </w:tcPr>
                <w:p w14:paraId="7E002C62">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1</w:t>
                  </w:r>
                  <w:r>
                    <w:rPr>
                      <w:rFonts w:hint="default" w:ascii="Times New Roman" w:hAnsi="Times New Roman" w:cs="Times New Roman" w:eastAsiaTheme="minorEastAsia"/>
                      <w:color w:val="auto"/>
                      <w:kern w:val="0"/>
                      <w:sz w:val="21"/>
                      <w:szCs w:val="21"/>
                      <w:highlight w:val="none"/>
                      <w:lang w:val="en-US" w:eastAsia="zh-CN"/>
                    </w:rPr>
                    <w:t>0</w:t>
                  </w:r>
                  <w:r>
                    <w:rPr>
                      <w:rFonts w:hint="default" w:ascii="Times New Roman" w:hAnsi="Times New Roman" w:cs="Times New Roman" w:eastAsiaTheme="minorEastAsia"/>
                      <w:color w:val="auto"/>
                      <w:kern w:val="0"/>
                      <w:sz w:val="21"/>
                      <w:szCs w:val="21"/>
                      <w:highlight w:val="none"/>
                    </w:rPr>
                    <w:t>00m以下</w:t>
                  </w:r>
                </w:p>
              </w:tc>
              <w:tc>
                <w:tcPr>
                  <w:tcW w:w="1626" w:type="dxa"/>
                  <w:shd w:val="clear" w:color="auto" w:fill="auto"/>
                  <w:noWrap/>
                  <w:vAlign w:val="center"/>
                </w:tcPr>
                <w:p w14:paraId="0FE44DCC">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黄河以南各省区，北达陕西、甘肃</w:t>
                  </w:r>
                </w:p>
              </w:tc>
              <w:tc>
                <w:tcPr>
                  <w:tcW w:w="1623" w:type="dxa"/>
                  <w:shd w:val="clear" w:color="auto" w:fill="auto"/>
                  <w:noWrap/>
                  <w:vAlign w:val="center"/>
                </w:tcPr>
                <w:p w14:paraId="167F2F3C">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lang w:val="en-US" w:eastAsia="zh-CN"/>
                    </w:rPr>
                    <w:t>微</w:t>
                  </w:r>
                  <w:r>
                    <w:rPr>
                      <w:rFonts w:hint="default" w:ascii="Times New Roman" w:hAnsi="Times New Roman" w:cs="Times New Roman" w:eastAsiaTheme="minorEastAsia"/>
                      <w:color w:val="auto"/>
                      <w:kern w:val="0"/>
                      <w:sz w:val="21"/>
                      <w:szCs w:val="21"/>
                      <w:highlight w:val="none"/>
                    </w:rPr>
                    <w:t>酸性、中性、碱性</w:t>
                  </w:r>
                </w:p>
              </w:tc>
              <w:tc>
                <w:tcPr>
                  <w:tcW w:w="2181" w:type="dxa"/>
                  <w:shd w:val="clear" w:color="auto" w:fill="auto"/>
                  <w:noWrap/>
                  <w:vAlign w:val="center"/>
                </w:tcPr>
                <w:p w14:paraId="16754D44">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适应性广</w:t>
                  </w:r>
                </w:p>
              </w:tc>
            </w:tr>
            <w:tr w14:paraId="6B472563">
              <w:tblPrEx>
                <w:tblBorders>
                  <w:top w:val="single" w:color="auto" w:sz="4" w:space="0"/>
                  <w:left w:val="single" w:color="auto" w:sz="4"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790" w:type="dxa"/>
                  <w:shd w:val="clear" w:color="auto" w:fill="auto"/>
                  <w:vAlign w:val="center"/>
                </w:tcPr>
                <w:p w14:paraId="67341050">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 xml:space="preserve">银杏             </w:t>
                  </w:r>
                  <w:r>
                    <w:rPr>
                      <w:rFonts w:hint="default" w:ascii="Times New Roman" w:hAnsi="Times New Roman" w:cs="Times New Roman" w:eastAsiaTheme="minorEastAsia"/>
                      <w:i/>
                      <w:iCs/>
                      <w:color w:val="auto"/>
                      <w:kern w:val="0"/>
                      <w:sz w:val="21"/>
                      <w:szCs w:val="21"/>
                      <w:highlight w:val="none"/>
                    </w:rPr>
                    <w:t>Ginkgo biloba L.</w:t>
                  </w:r>
                </w:p>
              </w:tc>
              <w:tc>
                <w:tcPr>
                  <w:tcW w:w="881" w:type="dxa"/>
                  <w:shd w:val="clear" w:color="auto" w:fill="auto"/>
                  <w:noWrap/>
                  <w:vAlign w:val="center"/>
                </w:tcPr>
                <w:p w14:paraId="6CFFBD68">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喜光</w:t>
                  </w:r>
                </w:p>
              </w:tc>
              <w:tc>
                <w:tcPr>
                  <w:tcW w:w="1151" w:type="dxa"/>
                  <w:shd w:val="clear" w:color="auto" w:fill="auto"/>
                  <w:noWrap/>
                  <w:vAlign w:val="center"/>
                </w:tcPr>
                <w:p w14:paraId="2CDBB959">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eastAsiaTheme="minorEastAsia"/>
                      <w:color w:val="auto"/>
                      <w:kern w:val="0"/>
                      <w:sz w:val="21"/>
                      <w:szCs w:val="21"/>
                      <w:highlight w:val="none"/>
                      <w:lang w:val="en-US" w:eastAsia="zh-CN"/>
                    </w:rPr>
                  </w:pPr>
                  <w:r>
                    <w:rPr>
                      <w:rFonts w:hint="default" w:ascii="Times New Roman" w:hAnsi="Times New Roman" w:cs="Times New Roman" w:eastAsiaTheme="minorEastAsia"/>
                      <w:color w:val="auto"/>
                      <w:kern w:val="0"/>
                      <w:sz w:val="21"/>
                      <w:szCs w:val="21"/>
                      <w:highlight w:val="none"/>
                      <w:lang w:val="en-US" w:eastAsia="zh-CN"/>
                    </w:rPr>
                    <w:t>极广</w:t>
                  </w:r>
                </w:p>
              </w:tc>
              <w:tc>
                <w:tcPr>
                  <w:tcW w:w="1626" w:type="dxa"/>
                  <w:shd w:val="clear" w:color="auto" w:fill="auto"/>
                  <w:noWrap/>
                  <w:vAlign w:val="center"/>
                </w:tcPr>
                <w:p w14:paraId="460D17DA">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eastAsiaTheme="minorEastAsia"/>
                      <w:color w:val="auto"/>
                      <w:kern w:val="0"/>
                      <w:sz w:val="21"/>
                      <w:szCs w:val="21"/>
                      <w:highlight w:val="none"/>
                      <w:lang w:val="en-US" w:eastAsia="zh-CN"/>
                    </w:rPr>
                  </w:pPr>
                  <w:r>
                    <w:rPr>
                      <w:rFonts w:hint="default" w:ascii="Times New Roman" w:hAnsi="Times New Roman" w:cs="Times New Roman" w:eastAsiaTheme="minorEastAsia"/>
                      <w:color w:val="auto"/>
                      <w:kern w:val="0"/>
                      <w:sz w:val="21"/>
                      <w:szCs w:val="21"/>
                      <w:highlight w:val="none"/>
                    </w:rPr>
                    <w:t>山东、浙江、江西、安徽、广西、湖北、四川、江苏、贵州等</w:t>
                  </w:r>
                  <w:r>
                    <w:rPr>
                      <w:rFonts w:hint="default" w:ascii="Times New Roman" w:hAnsi="Times New Roman" w:cs="Times New Roman" w:eastAsiaTheme="minorEastAsia"/>
                      <w:color w:val="auto"/>
                      <w:kern w:val="0"/>
                      <w:sz w:val="21"/>
                      <w:szCs w:val="21"/>
                      <w:highlight w:val="none"/>
                      <w:lang w:val="en-US" w:eastAsia="zh-CN"/>
                    </w:rPr>
                    <w:t>省区</w:t>
                  </w:r>
                </w:p>
              </w:tc>
              <w:tc>
                <w:tcPr>
                  <w:tcW w:w="1623" w:type="dxa"/>
                  <w:shd w:val="clear" w:color="auto" w:fill="auto"/>
                  <w:noWrap/>
                  <w:vAlign w:val="center"/>
                </w:tcPr>
                <w:p w14:paraId="0C89FF30">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酸性、中性、碱性</w:t>
                  </w:r>
                </w:p>
              </w:tc>
              <w:tc>
                <w:tcPr>
                  <w:tcW w:w="2181" w:type="dxa"/>
                  <w:shd w:val="clear" w:color="auto" w:fill="auto"/>
                  <w:noWrap/>
                  <w:vAlign w:val="center"/>
                </w:tcPr>
                <w:p w14:paraId="48F1FAE0">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土壤肥沃、湿润、排水良好</w:t>
                  </w:r>
                </w:p>
              </w:tc>
            </w:tr>
          </w:tbl>
          <w:p w14:paraId="3CC8906A">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7.3.3 现有林改培技术措施</w:t>
            </w:r>
          </w:p>
          <w:p w14:paraId="184BEA38">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7.3.3.1 种植点配置</w:t>
            </w:r>
          </w:p>
          <w:p w14:paraId="565C8184">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采用自然配置，依据林间空地情况配置种植点。</w:t>
            </w:r>
          </w:p>
          <w:p w14:paraId="4746DEB6">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7.3.3.2 清林整地</w:t>
            </w:r>
          </w:p>
          <w:p w14:paraId="7351264B">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（1）清林</w:t>
            </w:r>
          </w:p>
          <w:p w14:paraId="169031E8">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保护已有植被，限制全面清除。除杂草杂灌丛生、采伐剩余物堆积、林业有害生物发生严重等，不进行清理无法进行整地的造林地外，不进行林地全面清理。根据需要，在整地前，采用1×1m块状方式进行林地清理，清除残留木、杂灌、树篼、石块等。</w:t>
            </w:r>
          </w:p>
          <w:p w14:paraId="676EDC9F">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（2）整地</w:t>
            </w:r>
          </w:p>
          <w:p w14:paraId="444DB02D">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采用穴状整地，容器苗规格为40×40×50cm，种植穴的上下底同宽，严禁挖成“锅底形”。整地时将表土放成一堆，将深层土另放成一堆。整地时施用高效氯氰菊酯，有效成分含量4.5%，用量50ml/亩。</w:t>
            </w:r>
          </w:p>
          <w:p w14:paraId="45040DAC">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7.3.3.3 植苗</w:t>
            </w:r>
          </w:p>
          <w:p w14:paraId="49C66711">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人工植苗。按照“三埋两踩一提苗”的要领：</w:t>
            </w:r>
          </w:p>
          <w:p w14:paraId="4953DFEC">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一埋：整地时将表土放成一堆，将深层土另放成一堆，种植穴挖好后，将基肥施于穴底，然后将表层土均匀的埋放在肥料上面。</w:t>
            </w:r>
          </w:p>
          <w:p w14:paraId="5DA65178">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二埋：将苗木放入穴内，保持根系舒展，把表层土继续填埋到穴高的一半。</w:t>
            </w:r>
          </w:p>
          <w:p w14:paraId="37C5CB8C">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一提：把苗木轻轻的往上提一下，防止树苗根系窝在一起不利于根系的生长。</w:t>
            </w:r>
          </w:p>
          <w:p w14:paraId="7ADD27A5">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一踩：把填埋到一半的土壤进行踩实，让苗木的根系与土壤仅仅接触没有空隙，能够尽快的吸收营养和水分提高成活率。</w:t>
            </w:r>
          </w:p>
          <w:p w14:paraId="7CDE2E6D">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三埋：将整地剩下的深层土埋入，一直埋到与地面齐平之后。</w:t>
            </w:r>
          </w:p>
          <w:p w14:paraId="6A179A86">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二踩：埋完土之后，对土面进行第二次踩实。这样能够使树苗树干挺直，同时树苗根部与土壤紧密结合，防止被风吹歪。</w:t>
            </w:r>
          </w:p>
          <w:p w14:paraId="5653859E">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7.3.3.4 施肥与灌溉</w:t>
            </w:r>
          </w:p>
          <w:p w14:paraId="5961B3F5">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（1）施基肥：施用腐熟农家肥，容器苗0.3kg/株、土球苗0.4kg/株。各项指标需参照《有机肥料》（NY 525-2021）标准并确保肥料充分发酵腐熟。基肥在栽植前施于穴底，并回填部分表土。</w:t>
            </w:r>
          </w:p>
          <w:p w14:paraId="067A73BD">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（2）浇定根水：在栽植后及时浇水，浇足浇透，容器苗10kg/株、土球苗15kg/株，同时使用保水剂和生根粉，保水剂0.01kg/株，稀释1000倍液，生根粉0.002kg/株，ABT3号生根粉。</w:t>
            </w:r>
          </w:p>
          <w:p w14:paraId="06A4E73D">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7.3.3.5 铺设地膜</w:t>
            </w:r>
          </w:p>
          <w:p w14:paraId="052F8D7E">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幼苗栽植后以种植穴为中心铺设0.8×0.8m地膜。</w:t>
            </w:r>
          </w:p>
          <w:p w14:paraId="5E1A28F5">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7.3.3.6 后续苗木补植</w:t>
            </w:r>
          </w:p>
          <w:p w14:paraId="659A1F59">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后续补植技术要求与初次补植相同，每年具体补植数量根据各地块苗木成活及分布情况确定，后期补植应尽量使地块内苗木植株均匀分布。根据规程对苗木成活率的要求以及中大苗成活率低的现实状况，将补植率设计为15%。对后期管护过程中发现的缺苗穴、牲畜危害苗及其他损伤苗，应在原穴内重新栽植新苗。补植苗木不应影响林地上的其他苗木正常生长发育。</w:t>
            </w:r>
          </w:p>
          <w:p w14:paraId="7441CD91">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7.3.3.7 后期管护</w:t>
            </w:r>
          </w:p>
          <w:p w14:paraId="6AA0A3A1">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（1）抚育管理</w:t>
            </w:r>
          </w:p>
          <w:p w14:paraId="442E85C0">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为减少对原生植被的不利影响，又能促进林木生长，要适时松土、除草、割灌，2024年开始抚育，连续抚育3年，未郁闭的第4年继续抚育1次。第1次抚育为锄抚，锄抚深度10－15cm；第2、3次为刀抚，砍除幼苗周围1m的杂灌、杂草。松土时注意里浅外深，不伤害苗木根系。</w:t>
            </w:r>
          </w:p>
          <w:p w14:paraId="0CA33AAC">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（2）修枝整形</w:t>
            </w:r>
          </w:p>
          <w:p w14:paraId="538EC23A">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一般情况下不需特意修剪，在日常管护中，及时除去内膛枝、交叉枝、平行枝、病虫枝及枯死枝即可。</w:t>
            </w:r>
          </w:p>
          <w:p w14:paraId="54DBE832">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（3）浇水</w:t>
            </w:r>
          </w:p>
          <w:p w14:paraId="60B15179">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如遇干旱时，根据造林地土壤墒情，适时浇水灌溉，保持栽植穴土壤湿度。</w:t>
            </w:r>
          </w:p>
          <w:p w14:paraId="6DD1F616">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（4）施追肥</w:t>
            </w:r>
          </w:p>
          <w:p w14:paraId="28328A1A">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根据4.4.1土壤调查结果，施用复合肥（氮磷肥），相关标准参照《复合肥料》（GB/T15063-2022），总养分（N+P2O5+K2O）的质量分数（%）≥30%，水溶性磷占有效磷（%）≥50%，硝态氮的质量分数（%）≥1.5%，水分的质量分数（%）≤2.5%，粒度占比（%）（1.0mm~4.75mm）≥90%。每年8月施用1次，一共3次，每次用量0.05kg/株。采用沟施，在距幼树上坡位50cm处挖开一条深20cm的弧形沟，施用后及时回土。</w:t>
            </w:r>
          </w:p>
          <w:p w14:paraId="01841BA0">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（5）管护</w:t>
            </w:r>
          </w:p>
          <w:p w14:paraId="01CB5AD0">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由于项目区处于人为活动比较频繁的地区，因此必须加强病虫害防治及森林防火工作，推行责任制，设专人管护，禁止牛羊践踏。本着“三分造七分管”的原则，落实作业地块保护管理措施，层层落实责任制，落实到人和地块，确保植树见林。管护人员的选用应按照公开、公正、公平的原则；以人工巡护为主，对作业地块进行日常巡山护林，确保苗木不受损害，并及时监测报告火情和病虫害，做到及时发现，及时处理。从补植后1年开始进行管护，共管护3年。</w:t>
            </w:r>
          </w:p>
          <w:p w14:paraId="645F6A4D">
            <w:pPr>
              <w:spacing w:before="36" w:line="360" w:lineRule="auto"/>
              <w:ind w:firstLine="612"/>
              <w:rPr>
                <w:rFonts w:hint="default" w:ascii="Times New Roman" w:hAnsi="Times New Roman" w:eastAsia="宋体" w:cs="Times New Roman"/>
                <w:color w:val="auto"/>
                <w:spacing w:val="-7"/>
                <w:sz w:val="24"/>
                <w:szCs w:val="24"/>
                <w:lang w:eastAsia="zh-CN"/>
              </w:rPr>
            </w:pPr>
          </w:p>
          <w:p w14:paraId="10D939E4">
            <w:pPr>
              <w:spacing w:before="36" w:line="360" w:lineRule="auto"/>
              <w:ind w:firstLine="612"/>
              <w:rPr>
                <w:rFonts w:hint="default" w:ascii="Times New Roman" w:hAnsi="Times New Roman" w:eastAsia="宋体" w:cs="Times New Roman"/>
                <w:color w:val="auto"/>
                <w:spacing w:val="-7"/>
                <w:sz w:val="24"/>
                <w:szCs w:val="24"/>
                <w:lang w:eastAsia="zh-CN"/>
              </w:rPr>
            </w:pPr>
          </w:p>
          <w:p w14:paraId="10239383">
            <w:pPr>
              <w:spacing w:before="36" w:line="360" w:lineRule="auto"/>
              <w:ind w:firstLine="612"/>
              <w:rPr>
                <w:rFonts w:hint="default" w:ascii="Times New Roman" w:hAnsi="Times New Roman" w:eastAsia="宋体" w:cs="Times New Roman"/>
                <w:b/>
                <w:bCs/>
                <w:color w:val="auto"/>
                <w:spacing w:val="-7"/>
                <w:sz w:val="24"/>
                <w:szCs w:val="24"/>
                <w:u w:val="single"/>
                <w:lang w:val="en-US" w:eastAsia="zh-CN"/>
              </w:rPr>
            </w:pPr>
            <w:r>
              <w:rPr>
                <w:rFonts w:hint="default" w:ascii="Times New Roman" w:hAnsi="Times New Roman" w:eastAsia="宋体" w:cs="Times New Roman"/>
                <w:b/>
                <w:bCs/>
                <w:color w:val="auto"/>
                <w:spacing w:val="-7"/>
                <w:sz w:val="24"/>
                <w:szCs w:val="24"/>
                <w:u w:val="single"/>
                <w:lang w:val="en-US" w:eastAsia="zh-CN"/>
              </w:rPr>
              <w:t>7.4 中幼林抚育技术设计</w:t>
            </w:r>
          </w:p>
          <w:p w14:paraId="5D32F51C">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7.4.1 模型设计</w:t>
            </w:r>
          </w:p>
          <w:p w14:paraId="2CBB4CD9">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根据《森林抚育规程》（GB/T15781-2015）、《四川省林木采伐技术规程》（DB51/T 2918-2022）等技术规程结合外业调查结果，设置1个中幼林抚育模型，详见</w:t>
            </w:r>
            <w:r>
              <w:rPr>
                <w:rFonts w:hint="default" w:ascii="Times New Roman" w:hAnsi="Times New Roman" w:eastAsia="宋体" w:cs="Times New Roman"/>
                <w:color w:val="auto"/>
                <w:spacing w:val="-7"/>
                <w:sz w:val="24"/>
                <w:szCs w:val="24"/>
                <w:lang w:val="en-US" w:eastAsia="zh-CN"/>
              </w:rPr>
              <w:t>下</w:t>
            </w:r>
            <w:r>
              <w:rPr>
                <w:rFonts w:hint="default" w:ascii="Times New Roman" w:hAnsi="Times New Roman" w:eastAsia="宋体" w:cs="Times New Roman"/>
                <w:color w:val="auto"/>
                <w:spacing w:val="-7"/>
                <w:sz w:val="24"/>
                <w:szCs w:val="24"/>
                <w:lang w:eastAsia="zh-CN"/>
              </w:rPr>
              <w:t>表。</w:t>
            </w:r>
          </w:p>
          <w:p w14:paraId="43364C78">
            <w:pPr>
              <w:spacing w:before="61"/>
              <w:jc w:val="center"/>
              <w:rPr>
                <w:rFonts w:hint="default" w:ascii="Times New Roman" w:hAnsi="Times New Roman" w:eastAsia="宋体" w:cs="Times New Roman"/>
                <w:b/>
                <w:bCs/>
                <w:color w:val="auto"/>
                <w:lang w:eastAsia="zh-CN"/>
              </w:rPr>
            </w:pPr>
            <w:r>
              <w:rPr>
                <w:rFonts w:hint="default" w:ascii="Times New Roman" w:hAnsi="Times New Roman" w:eastAsia="宋体" w:cs="Times New Roman"/>
                <w:b/>
                <w:bCs/>
                <w:color w:val="auto"/>
              </w:rPr>
              <w:t>表</w:t>
            </w:r>
            <w:r>
              <w:rPr>
                <w:rFonts w:hint="default" w:ascii="Times New Roman" w:hAnsi="Times New Roman" w:eastAsia="宋体" w:cs="Times New Roman"/>
                <w:b/>
                <w:bCs/>
                <w:color w:val="auto"/>
                <w:lang w:val="en-US" w:eastAsia="zh-CN"/>
              </w:rPr>
              <w:t xml:space="preserve">2-11 </w:t>
            </w:r>
            <w:r>
              <w:rPr>
                <w:rFonts w:hint="default" w:ascii="Times New Roman" w:hAnsi="Times New Roman" w:eastAsia="宋体" w:cs="Times New Roman"/>
                <w:b/>
                <w:bCs/>
                <w:color w:val="auto"/>
              </w:rPr>
              <w:t xml:space="preserve"> 中幼林抚育模型表</w:t>
            </w:r>
          </w:p>
          <w:tbl>
            <w:tblPr>
              <w:tblStyle w:val="32"/>
              <w:tblW w:w="8220" w:type="dxa"/>
              <w:jc w:val="center"/>
              <w:tblLayout w:type="fixed"/>
              <w:tblCellMar>
                <w:top w:w="0" w:type="dxa"/>
                <w:left w:w="108" w:type="dxa"/>
                <w:bottom w:w="0" w:type="dxa"/>
                <w:right w:w="108" w:type="dxa"/>
              </w:tblCellMar>
            </w:tblPr>
            <w:tblGrid>
              <w:gridCol w:w="929"/>
              <w:gridCol w:w="1561"/>
              <w:gridCol w:w="5730"/>
            </w:tblGrid>
            <w:tr w14:paraId="305E3FEA">
              <w:tblPrEx>
                <w:tblCellMar>
                  <w:top w:w="0" w:type="dxa"/>
                  <w:left w:w="108" w:type="dxa"/>
                  <w:bottom w:w="0" w:type="dxa"/>
                  <w:right w:w="108" w:type="dxa"/>
                </w:tblCellMar>
              </w:tblPrEx>
              <w:trPr>
                <w:trHeight w:val="680" w:hRule="exact"/>
                <w:tblHeader/>
                <w:jc w:val="center"/>
              </w:trPr>
              <w:tc>
                <w:tcPr>
                  <w:tcW w:w="249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DAF2692">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eastAsiaTheme="minorEastAsia"/>
                      <w:b/>
                      <w:bCs/>
                      <w:color w:val="auto"/>
                      <w:kern w:val="0"/>
                      <w:sz w:val="21"/>
                      <w:szCs w:val="21"/>
                      <w:highlight w:val="none"/>
                    </w:rPr>
                  </w:pPr>
                  <w:r>
                    <w:rPr>
                      <w:rFonts w:hint="default" w:ascii="Times New Roman" w:hAnsi="Times New Roman" w:cs="Times New Roman" w:eastAsiaTheme="minorEastAsia"/>
                      <w:b/>
                      <w:bCs/>
                      <w:color w:val="auto"/>
                      <w:kern w:val="0"/>
                      <w:sz w:val="21"/>
                      <w:szCs w:val="21"/>
                      <w:highlight w:val="none"/>
                    </w:rPr>
                    <w:t>模型号</w:t>
                  </w:r>
                </w:p>
              </w:tc>
              <w:tc>
                <w:tcPr>
                  <w:tcW w:w="57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8FE1D6">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eastAsiaTheme="minorEastAsia"/>
                      <w:b/>
                      <w:bCs/>
                      <w:color w:val="auto"/>
                      <w:kern w:val="0"/>
                      <w:sz w:val="21"/>
                      <w:szCs w:val="21"/>
                      <w:highlight w:val="none"/>
                    </w:rPr>
                  </w:pPr>
                  <w:r>
                    <w:rPr>
                      <w:rFonts w:hint="default" w:ascii="Times New Roman" w:hAnsi="Times New Roman" w:cs="Times New Roman" w:eastAsiaTheme="minorEastAsia"/>
                      <w:b/>
                      <w:bCs/>
                      <w:color w:val="auto"/>
                      <w:kern w:val="0"/>
                      <w:sz w:val="21"/>
                      <w:szCs w:val="21"/>
                      <w:highlight w:val="none"/>
                    </w:rPr>
                    <w:t>FY1</w:t>
                  </w:r>
                </w:p>
              </w:tc>
            </w:tr>
            <w:tr w14:paraId="413ECFE4">
              <w:tblPrEx>
                <w:tblCellMar>
                  <w:top w:w="0" w:type="dxa"/>
                  <w:left w:w="108" w:type="dxa"/>
                  <w:bottom w:w="0" w:type="dxa"/>
                  <w:right w:w="108" w:type="dxa"/>
                </w:tblCellMar>
              </w:tblPrEx>
              <w:trPr>
                <w:trHeight w:val="680" w:hRule="exact"/>
                <w:jc w:val="center"/>
              </w:trPr>
              <w:tc>
                <w:tcPr>
                  <w:tcW w:w="249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F39D599">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地类</w:t>
                  </w:r>
                </w:p>
              </w:tc>
              <w:tc>
                <w:tcPr>
                  <w:tcW w:w="57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02C046">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乔木林地</w:t>
                  </w:r>
                </w:p>
              </w:tc>
            </w:tr>
            <w:tr w14:paraId="0D454ADE">
              <w:tblPrEx>
                <w:tblCellMar>
                  <w:top w:w="0" w:type="dxa"/>
                  <w:left w:w="108" w:type="dxa"/>
                  <w:bottom w:w="0" w:type="dxa"/>
                  <w:right w:w="108" w:type="dxa"/>
                </w:tblCellMar>
              </w:tblPrEx>
              <w:trPr>
                <w:trHeight w:val="1120" w:hRule="exact"/>
                <w:jc w:val="center"/>
              </w:trPr>
              <w:tc>
                <w:tcPr>
                  <w:tcW w:w="2490"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FDEEA14">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适宜对象</w:t>
                  </w:r>
                </w:p>
              </w:tc>
              <w:tc>
                <w:tcPr>
                  <w:tcW w:w="57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6ED895">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郁闭后目的树种受压制的林分；立地条件良好、郁闭度0.8以上，目标树、辅助树或I级木、II级木株树分布均匀的林分；上层郁闭度0.7以上，下层目的树种株树较多、且分布均匀的的林分。</w:t>
                  </w:r>
                </w:p>
              </w:tc>
            </w:tr>
            <w:tr w14:paraId="057DEA44">
              <w:tblPrEx>
                <w:tblCellMar>
                  <w:top w:w="0" w:type="dxa"/>
                  <w:left w:w="108" w:type="dxa"/>
                  <w:bottom w:w="0" w:type="dxa"/>
                  <w:right w:w="108" w:type="dxa"/>
                </w:tblCellMar>
              </w:tblPrEx>
              <w:trPr>
                <w:trHeight w:val="680" w:hRule="exact"/>
                <w:jc w:val="center"/>
              </w:trPr>
              <w:tc>
                <w:tcPr>
                  <w:tcW w:w="92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5126266">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经营措施</w:t>
                  </w:r>
                </w:p>
              </w:tc>
              <w:tc>
                <w:tcPr>
                  <w:tcW w:w="15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0CD815">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采伐强度</w:t>
                  </w:r>
                </w:p>
              </w:tc>
              <w:tc>
                <w:tcPr>
                  <w:tcW w:w="57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10E1A6">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株数强度≤40%；蓄积强度≤30%</w:t>
                  </w:r>
                </w:p>
              </w:tc>
            </w:tr>
            <w:tr w14:paraId="3DD333AF">
              <w:tblPrEx>
                <w:tblCellMar>
                  <w:top w:w="0" w:type="dxa"/>
                  <w:left w:w="108" w:type="dxa"/>
                  <w:bottom w:w="0" w:type="dxa"/>
                  <w:right w:w="108" w:type="dxa"/>
                </w:tblCellMar>
              </w:tblPrEx>
              <w:trPr>
                <w:trHeight w:val="680" w:hRule="exact"/>
                <w:jc w:val="center"/>
              </w:trPr>
              <w:tc>
                <w:tcPr>
                  <w:tcW w:w="92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7BAFB5A">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eastAsiaTheme="minorEastAsia"/>
                      <w:color w:val="auto"/>
                      <w:kern w:val="0"/>
                      <w:sz w:val="21"/>
                      <w:szCs w:val="21"/>
                      <w:highlight w:val="none"/>
                    </w:rPr>
                  </w:pPr>
                </w:p>
              </w:tc>
              <w:tc>
                <w:tcPr>
                  <w:tcW w:w="15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73690B">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目标树标记</w:t>
                  </w:r>
                </w:p>
              </w:tc>
              <w:tc>
                <w:tcPr>
                  <w:tcW w:w="57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1644B2">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用红色油漆在1.3m处标记打“圈”，标记均朝向同一方向，避免误伐。</w:t>
                  </w:r>
                </w:p>
              </w:tc>
            </w:tr>
            <w:tr w14:paraId="7728C4C4">
              <w:tblPrEx>
                <w:tblCellMar>
                  <w:top w:w="0" w:type="dxa"/>
                  <w:left w:w="108" w:type="dxa"/>
                  <w:bottom w:w="0" w:type="dxa"/>
                  <w:right w:w="108" w:type="dxa"/>
                </w:tblCellMar>
              </w:tblPrEx>
              <w:trPr>
                <w:trHeight w:val="680" w:hRule="exact"/>
                <w:jc w:val="center"/>
              </w:trPr>
              <w:tc>
                <w:tcPr>
                  <w:tcW w:w="92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4958571">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eastAsiaTheme="minorEastAsia"/>
                      <w:color w:val="auto"/>
                      <w:kern w:val="0"/>
                      <w:sz w:val="21"/>
                      <w:szCs w:val="21"/>
                      <w:highlight w:val="none"/>
                    </w:rPr>
                  </w:pPr>
                </w:p>
              </w:tc>
              <w:tc>
                <w:tcPr>
                  <w:tcW w:w="15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1D4670">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采伐木标记</w:t>
                  </w:r>
                </w:p>
              </w:tc>
              <w:tc>
                <w:tcPr>
                  <w:tcW w:w="57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D5D459">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用红色油漆在1.3m处标记打“叉”，标记均朝向同一方向</w:t>
                  </w:r>
                </w:p>
              </w:tc>
            </w:tr>
            <w:tr w14:paraId="19C95488">
              <w:tblPrEx>
                <w:tblCellMar>
                  <w:top w:w="0" w:type="dxa"/>
                  <w:left w:w="108" w:type="dxa"/>
                  <w:bottom w:w="0" w:type="dxa"/>
                  <w:right w:w="108" w:type="dxa"/>
                </w:tblCellMar>
              </w:tblPrEx>
              <w:trPr>
                <w:trHeight w:val="680" w:hRule="exact"/>
                <w:jc w:val="center"/>
              </w:trPr>
              <w:tc>
                <w:tcPr>
                  <w:tcW w:w="92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C521FEF">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eastAsiaTheme="minorEastAsia"/>
                      <w:color w:val="auto"/>
                      <w:kern w:val="0"/>
                      <w:sz w:val="21"/>
                      <w:szCs w:val="21"/>
                      <w:highlight w:val="none"/>
                    </w:rPr>
                  </w:pPr>
                </w:p>
              </w:tc>
              <w:tc>
                <w:tcPr>
                  <w:tcW w:w="15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8C521B">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伐木</w:t>
                  </w:r>
                </w:p>
              </w:tc>
              <w:tc>
                <w:tcPr>
                  <w:tcW w:w="57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57F5A2">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安全使用油锯，严格按照标记的采伐木进行采伐，幼树幼苗应注意保留</w:t>
                  </w:r>
                </w:p>
              </w:tc>
            </w:tr>
            <w:tr w14:paraId="5C24DF1D">
              <w:tblPrEx>
                <w:tblCellMar>
                  <w:top w:w="0" w:type="dxa"/>
                  <w:left w:w="108" w:type="dxa"/>
                  <w:bottom w:w="0" w:type="dxa"/>
                  <w:right w:w="108" w:type="dxa"/>
                </w:tblCellMar>
              </w:tblPrEx>
              <w:trPr>
                <w:trHeight w:val="680" w:hRule="exact"/>
                <w:jc w:val="center"/>
              </w:trPr>
              <w:tc>
                <w:tcPr>
                  <w:tcW w:w="92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5DD4B07">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eastAsiaTheme="minorEastAsia"/>
                      <w:color w:val="auto"/>
                      <w:kern w:val="0"/>
                      <w:sz w:val="21"/>
                      <w:szCs w:val="21"/>
                      <w:highlight w:val="none"/>
                    </w:rPr>
                  </w:pPr>
                </w:p>
              </w:tc>
              <w:tc>
                <w:tcPr>
                  <w:tcW w:w="15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A33155">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保留木修枝</w:t>
                  </w:r>
                </w:p>
              </w:tc>
              <w:tc>
                <w:tcPr>
                  <w:tcW w:w="57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7DE135">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对影响栽植空间的保留木，采用修枝方法，除去2.5米以下侧枝</w:t>
                  </w:r>
                </w:p>
              </w:tc>
            </w:tr>
            <w:tr w14:paraId="48F98B83">
              <w:tblPrEx>
                <w:tblCellMar>
                  <w:top w:w="0" w:type="dxa"/>
                  <w:left w:w="108" w:type="dxa"/>
                  <w:bottom w:w="0" w:type="dxa"/>
                  <w:right w:w="108" w:type="dxa"/>
                </w:tblCellMar>
              </w:tblPrEx>
              <w:trPr>
                <w:trHeight w:val="822" w:hRule="exact"/>
                <w:jc w:val="center"/>
              </w:trPr>
              <w:tc>
                <w:tcPr>
                  <w:tcW w:w="92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D4D3049">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eastAsiaTheme="minorEastAsia"/>
                      <w:color w:val="auto"/>
                      <w:kern w:val="0"/>
                      <w:sz w:val="21"/>
                      <w:szCs w:val="21"/>
                      <w:highlight w:val="none"/>
                    </w:rPr>
                  </w:pPr>
                </w:p>
              </w:tc>
              <w:tc>
                <w:tcPr>
                  <w:tcW w:w="15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E91049">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造材、集材</w:t>
                  </w:r>
                </w:p>
              </w:tc>
              <w:tc>
                <w:tcPr>
                  <w:tcW w:w="57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0208A3">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按木材规格标准合理造材；人力集材，长度2m、小头直径6cm以上木材应全部集材运出，集材应减少对幼树幼苗、地表和溪流破坏</w:t>
                  </w:r>
                </w:p>
              </w:tc>
            </w:tr>
            <w:tr w14:paraId="05835540">
              <w:tblPrEx>
                <w:tblCellMar>
                  <w:top w:w="0" w:type="dxa"/>
                  <w:left w:w="108" w:type="dxa"/>
                  <w:bottom w:w="0" w:type="dxa"/>
                  <w:right w:w="108" w:type="dxa"/>
                </w:tblCellMar>
              </w:tblPrEx>
              <w:trPr>
                <w:trHeight w:val="860" w:hRule="exact"/>
                <w:jc w:val="center"/>
              </w:trPr>
              <w:tc>
                <w:tcPr>
                  <w:tcW w:w="92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944375B">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eastAsiaTheme="minorEastAsia"/>
                      <w:color w:val="auto"/>
                      <w:kern w:val="0"/>
                      <w:sz w:val="21"/>
                      <w:szCs w:val="21"/>
                      <w:highlight w:val="none"/>
                    </w:rPr>
                  </w:pPr>
                </w:p>
              </w:tc>
              <w:tc>
                <w:tcPr>
                  <w:tcW w:w="15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291112">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归楞、装车及运出</w:t>
                  </w:r>
                </w:p>
              </w:tc>
              <w:tc>
                <w:tcPr>
                  <w:tcW w:w="57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A5AFC7">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人力归楞、装车，有利用价值的采伐剩余物（长度≥1m、小头去皮直径≥4cm，但又不符合规格材标准规定的枝丫、梢头、截头等）运出利用</w:t>
                  </w:r>
                </w:p>
              </w:tc>
            </w:tr>
            <w:tr w14:paraId="3558E30E">
              <w:tblPrEx>
                <w:tblCellMar>
                  <w:top w:w="0" w:type="dxa"/>
                  <w:left w:w="108" w:type="dxa"/>
                  <w:bottom w:w="0" w:type="dxa"/>
                  <w:right w:w="108" w:type="dxa"/>
                </w:tblCellMar>
              </w:tblPrEx>
              <w:trPr>
                <w:trHeight w:val="680" w:hRule="exact"/>
                <w:jc w:val="center"/>
              </w:trPr>
              <w:tc>
                <w:tcPr>
                  <w:tcW w:w="92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FE48BCB">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eastAsiaTheme="minorEastAsia"/>
                      <w:color w:val="auto"/>
                      <w:kern w:val="0"/>
                      <w:sz w:val="21"/>
                      <w:szCs w:val="21"/>
                      <w:highlight w:val="none"/>
                    </w:rPr>
                  </w:pPr>
                </w:p>
              </w:tc>
              <w:tc>
                <w:tcPr>
                  <w:tcW w:w="15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1A041D">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剩余物清理</w:t>
                  </w:r>
                </w:p>
              </w:tc>
              <w:tc>
                <w:tcPr>
                  <w:tcW w:w="57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42738E">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cs="Times New Roman" w:eastAsiaTheme="minorEastAsia"/>
                      <w:color w:val="auto"/>
                      <w:kern w:val="0"/>
                      <w:sz w:val="21"/>
                      <w:szCs w:val="21"/>
                      <w:highlight w:val="none"/>
                    </w:rPr>
                  </w:pPr>
                  <w:r>
                    <w:rPr>
                      <w:rFonts w:hint="default" w:ascii="Times New Roman" w:hAnsi="Times New Roman" w:cs="Times New Roman" w:eastAsiaTheme="minorEastAsia"/>
                      <w:color w:val="auto"/>
                      <w:kern w:val="0"/>
                      <w:sz w:val="21"/>
                      <w:szCs w:val="21"/>
                      <w:highlight w:val="none"/>
                    </w:rPr>
                    <w:t>无利用价值的采伐剩余物，顺山沿等高线采用归堆法、归带法、散铺法处理采伐剩余物</w:t>
                  </w:r>
                </w:p>
              </w:tc>
            </w:tr>
          </w:tbl>
          <w:p w14:paraId="23D89BA2">
            <w:pPr>
              <w:spacing w:before="36" w:line="360" w:lineRule="auto"/>
              <w:ind w:firstLine="612"/>
              <w:rPr>
                <w:rFonts w:hint="default" w:ascii="Times New Roman" w:hAnsi="Times New Roman" w:eastAsia="宋体" w:cs="Times New Roman"/>
                <w:color w:val="auto"/>
                <w:spacing w:val="-7"/>
                <w:sz w:val="24"/>
                <w:szCs w:val="24"/>
                <w:lang w:eastAsia="zh-CN"/>
              </w:rPr>
            </w:pPr>
          </w:p>
          <w:p w14:paraId="2F26AD74">
            <w:pPr>
              <w:spacing w:before="36" w:line="360" w:lineRule="auto"/>
              <w:ind w:firstLine="612"/>
              <w:rPr>
                <w:rFonts w:hint="default" w:ascii="Times New Roman" w:hAnsi="Times New Roman" w:eastAsia="宋体" w:cs="Times New Roman"/>
                <w:color w:val="auto"/>
                <w:spacing w:val="-7"/>
                <w:sz w:val="24"/>
                <w:szCs w:val="24"/>
                <w:lang w:eastAsia="zh-CN"/>
              </w:rPr>
            </w:pPr>
          </w:p>
          <w:p w14:paraId="6C074872">
            <w:pPr>
              <w:spacing w:before="36" w:line="360" w:lineRule="auto"/>
              <w:ind w:firstLine="612"/>
              <w:rPr>
                <w:rFonts w:hint="default" w:ascii="Times New Roman" w:hAnsi="Times New Roman" w:eastAsia="宋体" w:cs="Times New Roman"/>
                <w:color w:val="auto"/>
                <w:spacing w:val="-7"/>
                <w:sz w:val="24"/>
                <w:szCs w:val="24"/>
                <w:lang w:eastAsia="zh-CN"/>
              </w:rPr>
            </w:pPr>
          </w:p>
          <w:p w14:paraId="37E675F1">
            <w:pPr>
              <w:spacing w:before="36" w:line="360" w:lineRule="auto"/>
              <w:ind w:firstLine="612"/>
              <w:rPr>
                <w:rFonts w:hint="default" w:ascii="Times New Roman" w:hAnsi="Times New Roman" w:eastAsia="宋体" w:cs="Times New Roman"/>
                <w:color w:val="auto"/>
                <w:spacing w:val="-7"/>
                <w:sz w:val="24"/>
                <w:szCs w:val="24"/>
                <w:lang w:eastAsia="zh-CN"/>
              </w:rPr>
            </w:pPr>
          </w:p>
          <w:p w14:paraId="7DAFF5D3">
            <w:pPr>
              <w:spacing w:before="36" w:line="360" w:lineRule="auto"/>
              <w:ind w:firstLine="612"/>
              <w:rPr>
                <w:rFonts w:hint="default" w:ascii="Times New Roman" w:hAnsi="Times New Roman" w:eastAsia="宋体" w:cs="Times New Roman"/>
                <w:color w:val="auto"/>
                <w:spacing w:val="-7"/>
                <w:sz w:val="24"/>
                <w:szCs w:val="24"/>
                <w:lang w:eastAsia="zh-CN"/>
              </w:rPr>
            </w:pPr>
          </w:p>
          <w:p w14:paraId="7313153A">
            <w:pPr>
              <w:spacing w:before="36" w:line="360" w:lineRule="auto"/>
              <w:ind w:firstLine="612"/>
              <w:rPr>
                <w:rFonts w:hint="default" w:ascii="Times New Roman" w:hAnsi="Times New Roman" w:eastAsia="宋体" w:cs="Times New Roman"/>
                <w:color w:val="auto"/>
                <w:spacing w:val="-7"/>
                <w:sz w:val="24"/>
                <w:szCs w:val="24"/>
                <w:lang w:eastAsia="zh-CN"/>
              </w:rPr>
            </w:pPr>
          </w:p>
          <w:p w14:paraId="1DD9457A">
            <w:pPr>
              <w:spacing w:before="36" w:line="360" w:lineRule="auto"/>
              <w:ind w:firstLine="612"/>
              <w:rPr>
                <w:rFonts w:hint="default" w:ascii="Times New Roman" w:hAnsi="Times New Roman" w:eastAsia="宋体" w:cs="Times New Roman"/>
                <w:color w:val="auto"/>
                <w:spacing w:val="-7"/>
                <w:sz w:val="24"/>
                <w:szCs w:val="24"/>
                <w:lang w:eastAsia="zh-CN"/>
              </w:rPr>
            </w:pPr>
          </w:p>
          <w:p w14:paraId="5731F737">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z w:val="28"/>
                <w:szCs w:val="28"/>
                <w:highlight w:val="none"/>
                <w:lang w:eastAsia="zh-CN"/>
              </w:rPr>
              <w:drawing>
                <wp:anchor distT="0" distB="0" distL="114300" distR="114300" simplePos="0" relativeHeight="251681792" behindDoc="0" locked="0" layoutInCell="1" allowOverlap="1">
                  <wp:simplePos x="0" y="0"/>
                  <wp:positionH relativeFrom="column">
                    <wp:posOffset>200660</wp:posOffset>
                  </wp:positionH>
                  <wp:positionV relativeFrom="paragraph">
                    <wp:posOffset>93980</wp:posOffset>
                  </wp:positionV>
                  <wp:extent cx="4699000" cy="7632065"/>
                  <wp:effectExtent l="0" t="0" r="0" b="0"/>
                  <wp:wrapNone/>
                  <wp:docPr id="53" name="图片 53" descr="中幼林抚育模型图GP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中幼林抚育模型图GP01"/>
                          <pic:cNvPicPr>
                            <a:picLocks noChangeAspect="1"/>
                          </pic:cNvPicPr>
                        </pic:nvPicPr>
                        <pic:blipFill>
                          <a:blip r:embed="rId36"/>
                          <a:srcRect l="6378" r="6543"/>
                          <a:stretch>
                            <a:fillRect/>
                          </a:stretch>
                        </pic:blipFill>
                        <pic:spPr>
                          <a:xfrm>
                            <a:off x="0" y="0"/>
                            <a:ext cx="4699000" cy="7632065"/>
                          </a:xfrm>
                          <a:prstGeom prst="rect">
                            <a:avLst/>
                          </a:prstGeom>
                        </pic:spPr>
                      </pic:pic>
                    </a:graphicData>
                  </a:graphic>
                </wp:anchor>
              </w:drawing>
            </w:r>
          </w:p>
          <w:p w14:paraId="7C355ED9">
            <w:pPr>
              <w:spacing w:before="36" w:line="360" w:lineRule="auto"/>
              <w:ind w:firstLine="612"/>
              <w:rPr>
                <w:rFonts w:hint="default" w:ascii="Times New Roman" w:hAnsi="Times New Roman" w:eastAsia="宋体" w:cs="Times New Roman"/>
                <w:color w:val="auto"/>
                <w:spacing w:val="-7"/>
                <w:sz w:val="24"/>
                <w:szCs w:val="24"/>
                <w:lang w:eastAsia="zh-CN"/>
              </w:rPr>
            </w:pPr>
          </w:p>
          <w:p w14:paraId="48C71FB0">
            <w:pPr>
              <w:spacing w:before="36" w:line="360" w:lineRule="auto"/>
              <w:ind w:firstLine="612"/>
              <w:rPr>
                <w:rFonts w:hint="default" w:ascii="Times New Roman" w:hAnsi="Times New Roman" w:eastAsia="宋体" w:cs="Times New Roman"/>
                <w:color w:val="auto"/>
                <w:spacing w:val="-7"/>
                <w:sz w:val="24"/>
                <w:szCs w:val="24"/>
                <w:lang w:eastAsia="zh-CN"/>
              </w:rPr>
            </w:pPr>
          </w:p>
          <w:p w14:paraId="1F307982">
            <w:pPr>
              <w:spacing w:before="36" w:line="360" w:lineRule="auto"/>
              <w:ind w:firstLine="612"/>
              <w:rPr>
                <w:rFonts w:hint="default" w:ascii="Times New Roman" w:hAnsi="Times New Roman" w:eastAsia="宋体" w:cs="Times New Roman"/>
                <w:color w:val="auto"/>
                <w:spacing w:val="-7"/>
                <w:sz w:val="24"/>
                <w:szCs w:val="24"/>
                <w:lang w:eastAsia="zh-CN"/>
              </w:rPr>
            </w:pPr>
          </w:p>
          <w:p w14:paraId="3982B5DA">
            <w:pPr>
              <w:spacing w:before="36" w:line="360" w:lineRule="auto"/>
              <w:ind w:firstLine="612"/>
              <w:rPr>
                <w:rFonts w:hint="default" w:ascii="Times New Roman" w:hAnsi="Times New Roman" w:eastAsia="宋体" w:cs="Times New Roman"/>
                <w:color w:val="auto"/>
                <w:spacing w:val="-7"/>
                <w:sz w:val="24"/>
                <w:szCs w:val="24"/>
                <w:lang w:eastAsia="zh-CN"/>
              </w:rPr>
            </w:pPr>
          </w:p>
          <w:p w14:paraId="6CD0FF05">
            <w:pPr>
              <w:spacing w:before="36" w:line="360" w:lineRule="auto"/>
              <w:ind w:firstLine="612"/>
              <w:rPr>
                <w:rFonts w:hint="default" w:ascii="Times New Roman" w:hAnsi="Times New Roman" w:eastAsia="宋体" w:cs="Times New Roman"/>
                <w:color w:val="auto"/>
                <w:spacing w:val="-7"/>
                <w:sz w:val="24"/>
                <w:szCs w:val="24"/>
                <w:lang w:eastAsia="zh-CN"/>
              </w:rPr>
            </w:pPr>
          </w:p>
          <w:p w14:paraId="79227324">
            <w:pPr>
              <w:spacing w:before="36" w:line="360" w:lineRule="auto"/>
              <w:ind w:firstLine="612"/>
              <w:rPr>
                <w:rFonts w:hint="default" w:ascii="Times New Roman" w:hAnsi="Times New Roman" w:eastAsia="宋体" w:cs="Times New Roman"/>
                <w:color w:val="auto"/>
                <w:spacing w:val="-7"/>
                <w:sz w:val="24"/>
                <w:szCs w:val="24"/>
                <w:lang w:eastAsia="zh-CN"/>
              </w:rPr>
            </w:pPr>
          </w:p>
          <w:p w14:paraId="0A0E9DB2">
            <w:pPr>
              <w:spacing w:before="36" w:line="360" w:lineRule="auto"/>
              <w:ind w:firstLine="612"/>
              <w:rPr>
                <w:rFonts w:hint="default" w:ascii="Times New Roman" w:hAnsi="Times New Roman" w:eastAsia="宋体" w:cs="Times New Roman"/>
                <w:color w:val="auto"/>
                <w:spacing w:val="-7"/>
                <w:sz w:val="24"/>
                <w:szCs w:val="24"/>
                <w:lang w:eastAsia="zh-CN"/>
              </w:rPr>
            </w:pPr>
          </w:p>
          <w:p w14:paraId="3DC0C71F">
            <w:pPr>
              <w:spacing w:before="36" w:line="360" w:lineRule="auto"/>
              <w:ind w:firstLine="612"/>
              <w:rPr>
                <w:rFonts w:hint="default" w:ascii="Times New Roman" w:hAnsi="Times New Roman" w:eastAsia="宋体" w:cs="Times New Roman"/>
                <w:color w:val="auto"/>
                <w:spacing w:val="-7"/>
                <w:sz w:val="24"/>
                <w:szCs w:val="24"/>
                <w:lang w:eastAsia="zh-CN"/>
              </w:rPr>
            </w:pPr>
          </w:p>
          <w:p w14:paraId="22E2AE85">
            <w:pPr>
              <w:spacing w:before="36" w:line="360" w:lineRule="auto"/>
              <w:ind w:firstLine="612"/>
              <w:rPr>
                <w:rFonts w:hint="default" w:ascii="Times New Roman" w:hAnsi="Times New Roman" w:eastAsia="宋体" w:cs="Times New Roman"/>
                <w:color w:val="auto"/>
                <w:spacing w:val="-7"/>
                <w:sz w:val="24"/>
                <w:szCs w:val="24"/>
                <w:lang w:eastAsia="zh-CN"/>
              </w:rPr>
            </w:pPr>
          </w:p>
          <w:p w14:paraId="590EEFE4">
            <w:pPr>
              <w:spacing w:before="36" w:line="360" w:lineRule="auto"/>
              <w:ind w:firstLine="612"/>
              <w:rPr>
                <w:rFonts w:hint="default" w:ascii="Times New Roman" w:hAnsi="Times New Roman" w:eastAsia="宋体" w:cs="Times New Roman"/>
                <w:color w:val="auto"/>
                <w:spacing w:val="-7"/>
                <w:sz w:val="24"/>
                <w:szCs w:val="24"/>
                <w:lang w:eastAsia="zh-CN"/>
              </w:rPr>
            </w:pPr>
          </w:p>
          <w:p w14:paraId="787F9586">
            <w:pPr>
              <w:spacing w:before="36" w:line="360" w:lineRule="auto"/>
              <w:ind w:firstLine="612"/>
              <w:rPr>
                <w:rFonts w:hint="default" w:ascii="Times New Roman" w:hAnsi="Times New Roman" w:eastAsia="宋体" w:cs="Times New Roman"/>
                <w:color w:val="auto"/>
                <w:spacing w:val="-7"/>
                <w:sz w:val="24"/>
                <w:szCs w:val="24"/>
                <w:lang w:eastAsia="zh-CN"/>
              </w:rPr>
            </w:pPr>
          </w:p>
          <w:p w14:paraId="13394BF3">
            <w:pPr>
              <w:spacing w:before="36" w:line="360" w:lineRule="auto"/>
              <w:ind w:firstLine="612"/>
              <w:rPr>
                <w:rFonts w:hint="default" w:ascii="Times New Roman" w:hAnsi="Times New Roman" w:eastAsia="宋体" w:cs="Times New Roman"/>
                <w:color w:val="auto"/>
                <w:spacing w:val="-7"/>
                <w:sz w:val="24"/>
                <w:szCs w:val="24"/>
                <w:lang w:eastAsia="zh-CN"/>
              </w:rPr>
            </w:pPr>
          </w:p>
          <w:p w14:paraId="07A28E88">
            <w:pPr>
              <w:spacing w:before="36" w:line="360" w:lineRule="auto"/>
              <w:ind w:firstLine="612"/>
              <w:rPr>
                <w:rFonts w:hint="default" w:ascii="Times New Roman" w:hAnsi="Times New Roman" w:eastAsia="宋体" w:cs="Times New Roman"/>
                <w:color w:val="auto"/>
                <w:spacing w:val="-7"/>
                <w:sz w:val="24"/>
                <w:szCs w:val="24"/>
                <w:lang w:eastAsia="zh-CN"/>
              </w:rPr>
            </w:pPr>
          </w:p>
          <w:p w14:paraId="0927DAAB">
            <w:pPr>
              <w:spacing w:before="36" w:line="360" w:lineRule="auto"/>
              <w:ind w:firstLine="612"/>
              <w:rPr>
                <w:rFonts w:hint="default" w:ascii="Times New Roman" w:hAnsi="Times New Roman" w:eastAsia="宋体" w:cs="Times New Roman"/>
                <w:color w:val="auto"/>
                <w:spacing w:val="-7"/>
                <w:sz w:val="24"/>
                <w:szCs w:val="24"/>
                <w:lang w:eastAsia="zh-CN"/>
              </w:rPr>
            </w:pPr>
          </w:p>
          <w:p w14:paraId="10AFE71B">
            <w:pPr>
              <w:spacing w:before="36" w:line="360" w:lineRule="auto"/>
              <w:ind w:firstLine="612"/>
              <w:rPr>
                <w:rFonts w:hint="default" w:ascii="Times New Roman" w:hAnsi="Times New Roman" w:eastAsia="宋体" w:cs="Times New Roman"/>
                <w:color w:val="auto"/>
                <w:spacing w:val="-7"/>
                <w:sz w:val="24"/>
                <w:szCs w:val="24"/>
                <w:lang w:eastAsia="zh-CN"/>
              </w:rPr>
            </w:pPr>
          </w:p>
          <w:p w14:paraId="77D7AAC3">
            <w:pPr>
              <w:spacing w:before="36" w:line="360" w:lineRule="auto"/>
              <w:ind w:firstLine="612"/>
              <w:rPr>
                <w:rFonts w:hint="default" w:ascii="Times New Roman" w:hAnsi="Times New Roman" w:eastAsia="宋体" w:cs="Times New Roman"/>
                <w:color w:val="auto"/>
                <w:spacing w:val="-7"/>
                <w:sz w:val="24"/>
                <w:szCs w:val="24"/>
                <w:lang w:eastAsia="zh-CN"/>
              </w:rPr>
            </w:pPr>
          </w:p>
          <w:p w14:paraId="07DDF96B">
            <w:pPr>
              <w:spacing w:before="36" w:line="360" w:lineRule="auto"/>
              <w:ind w:firstLine="612"/>
              <w:rPr>
                <w:rFonts w:hint="default" w:ascii="Times New Roman" w:hAnsi="Times New Roman" w:eastAsia="宋体" w:cs="Times New Roman"/>
                <w:color w:val="auto"/>
                <w:spacing w:val="-7"/>
                <w:sz w:val="24"/>
                <w:szCs w:val="24"/>
                <w:lang w:eastAsia="zh-CN"/>
              </w:rPr>
            </w:pPr>
          </w:p>
          <w:p w14:paraId="0A460B42">
            <w:pPr>
              <w:spacing w:before="36" w:line="360" w:lineRule="auto"/>
              <w:ind w:firstLine="612"/>
              <w:rPr>
                <w:rFonts w:hint="default" w:ascii="Times New Roman" w:hAnsi="Times New Roman" w:eastAsia="宋体" w:cs="Times New Roman"/>
                <w:color w:val="auto"/>
                <w:spacing w:val="-7"/>
                <w:sz w:val="24"/>
                <w:szCs w:val="24"/>
                <w:lang w:eastAsia="zh-CN"/>
              </w:rPr>
            </w:pPr>
          </w:p>
          <w:p w14:paraId="4B2EA12B">
            <w:pPr>
              <w:spacing w:before="36" w:line="360" w:lineRule="auto"/>
              <w:ind w:firstLine="612"/>
              <w:rPr>
                <w:rFonts w:hint="default" w:ascii="Times New Roman" w:hAnsi="Times New Roman" w:eastAsia="宋体" w:cs="Times New Roman"/>
                <w:color w:val="auto"/>
                <w:spacing w:val="-7"/>
                <w:sz w:val="24"/>
                <w:szCs w:val="24"/>
                <w:lang w:eastAsia="zh-CN"/>
              </w:rPr>
            </w:pPr>
          </w:p>
          <w:p w14:paraId="4B4AC15A">
            <w:pPr>
              <w:spacing w:before="36" w:line="360" w:lineRule="auto"/>
              <w:ind w:firstLine="612"/>
              <w:rPr>
                <w:rFonts w:hint="default" w:ascii="Times New Roman" w:hAnsi="Times New Roman" w:eastAsia="宋体" w:cs="Times New Roman"/>
                <w:color w:val="auto"/>
                <w:spacing w:val="-7"/>
                <w:sz w:val="24"/>
                <w:szCs w:val="24"/>
                <w:lang w:eastAsia="zh-CN"/>
              </w:rPr>
            </w:pPr>
          </w:p>
          <w:p w14:paraId="01DEFF89">
            <w:pPr>
              <w:spacing w:before="36" w:line="360" w:lineRule="auto"/>
              <w:ind w:firstLine="612"/>
              <w:rPr>
                <w:rFonts w:hint="default" w:ascii="Times New Roman" w:hAnsi="Times New Roman" w:eastAsia="宋体" w:cs="Times New Roman"/>
                <w:color w:val="auto"/>
                <w:spacing w:val="-7"/>
                <w:sz w:val="24"/>
                <w:szCs w:val="24"/>
                <w:lang w:eastAsia="zh-CN"/>
              </w:rPr>
            </w:pPr>
          </w:p>
          <w:p w14:paraId="08CEEBD3">
            <w:pPr>
              <w:spacing w:before="36" w:line="360" w:lineRule="auto"/>
              <w:ind w:firstLine="612"/>
              <w:rPr>
                <w:rFonts w:hint="default" w:ascii="Times New Roman" w:hAnsi="Times New Roman" w:eastAsia="宋体" w:cs="Times New Roman"/>
                <w:color w:val="auto"/>
                <w:spacing w:val="-7"/>
                <w:sz w:val="24"/>
                <w:szCs w:val="24"/>
                <w:lang w:eastAsia="zh-CN"/>
              </w:rPr>
            </w:pPr>
          </w:p>
          <w:p w14:paraId="1C861393">
            <w:pPr>
              <w:spacing w:before="36" w:line="360" w:lineRule="auto"/>
              <w:ind w:firstLine="612"/>
              <w:rPr>
                <w:rFonts w:hint="default" w:ascii="Times New Roman" w:hAnsi="Times New Roman" w:eastAsia="宋体" w:cs="Times New Roman"/>
                <w:color w:val="auto"/>
                <w:spacing w:val="-7"/>
                <w:sz w:val="24"/>
                <w:szCs w:val="24"/>
                <w:lang w:eastAsia="zh-CN"/>
              </w:rPr>
            </w:pPr>
          </w:p>
          <w:p w14:paraId="5387C692">
            <w:pPr>
              <w:spacing w:before="36" w:line="360" w:lineRule="auto"/>
              <w:ind w:firstLine="612"/>
              <w:rPr>
                <w:rFonts w:hint="default" w:ascii="Times New Roman" w:hAnsi="Times New Roman" w:eastAsia="宋体" w:cs="Times New Roman"/>
                <w:color w:val="auto"/>
                <w:spacing w:val="-7"/>
                <w:sz w:val="24"/>
                <w:szCs w:val="24"/>
                <w:lang w:eastAsia="zh-CN"/>
              </w:rPr>
            </w:pPr>
          </w:p>
          <w:p w14:paraId="1EC5A818">
            <w:pPr>
              <w:spacing w:before="36" w:line="360" w:lineRule="auto"/>
              <w:ind w:firstLine="612"/>
              <w:rPr>
                <w:rFonts w:hint="default" w:ascii="Times New Roman" w:hAnsi="Times New Roman" w:eastAsia="宋体" w:cs="Times New Roman"/>
                <w:color w:val="auto"/>
                <w:spacing w:val="-7"/>
                <w:sz w:val="24"/>
                <w:szCs w:val="24"/>
                <w:lang w:eastAsia="zh-CN"/>
              </w:rPr>
            </w:pPr>
          </w:p>
          <w:p w14:paraId="66746D16">
            <w:pPr>
              <w:spacing w:before="36" w:line="360" w:lineRule="auto"/>
              <w:ind w:firstLine="612"/>
              <w:rPr>
                <w:rFonts w:hint="default" w:ascii="Times New Roman" w:hAnsi="Times New Roman" w:eastAsia="宋体" w:cs="Times New Roman"/>
                <w:color w:val="auto"/>
                <w:spacing w:val="-7"/>
                <w:sz w:val="24"/>
                <w:szCs w:val="24"/>
                <w:lang w:eastAsia="zh-CN"/>
              </w:rPr>
            </w:pPr>
          </w:p>
          <w:p w14:paraId="51C2B6AE">
            <w:pPr>
              <w:spacing w:before="36" w:line="360" w:lineRule="auto"/>
              <w:ind w:firstLine="612"/>
              <w:rPr>
                <w:rFonts w:hint="default" w:ascii="Times New Roman" w:hAnsi="Times New Roman" w:eastAsia="宋体" w:cs="Times New Roman"/>
                <w:color w:val="auto"/>
                <w:spacing w:val="-7"/>
                <w:sz w:val="24"/>
                <w:szCs w:val="24"/>
                <w:lang w:eastAsia="zh-CN"/>
              </w:rPr>
            </w:pPr>
          </w:p>
          <w:p w14:paraId="079CF151">
            <w:pPr>
              <w:spacing w:before="36" w:line="360" w:lineRule="auto"/>
              <w:ind w:firstLine="612"/>
              <w:rPr>
                <w:rFonts w:hint="default" w:ascii="Times New Roman" w:hAnsi="Times New Roman" w:eastAsia="宋体" w:cs="Times New Roman"/>
                <w:color w:val="auto"/>
                <w:spacing w:val="-7"/>
                <w:sz w:val="24"/>
                <w:szCs w:val="24"/>
                <w:lang w:eastAsia="zh-CN"/>
              </w:rPr>
            </w:pPr>
          </w:p>
          <w:p w14:paraId="18F2DD2B">
            <w:pPr>
              <w:spacing w:before="36" w:line="360" w:lineRule="auto"/>
              <w:ind w:firstLine="612"/>
              <w:rPr>
                <w:rFonts w:hint="default" w:ascii="Times New Roman" w:hAnsi="Times New Roman" w:eastAsia="宋体" w:cs="Times New Roman"/>
                <w:color w:val="auto"/>
                <w:spacing w:val="-7"/>
                <w:sz w:val="24"/>
                <w:szCs w:val="24"/>
                <w:lang w:eastAsia="zh-CN"/>
              </w:rPr>
            </w:pPr>
          </w:p>
          <w:p w14:paraId="4F515A3F">
            <w:pPr>
              <w:spacing w:before="36" w:line="360" w:lineRule="auto"/>
              <w:ind w:firstLine="612"/>
              <w:rPr>
                <w:rFonts w:hint="default" w:ascii="Times New Roman" w:hAnsi="Times New Roman" w:eastAsia="宋体" w:cs="Times New Roman"/>
                <w:color w:val="auto"/>
                <w:spacing w:val="-7"/>
                <w:sz w:val="24"/>
                <w:szCs w:val="24"/>
                <w:lang w:eastAsia="zh-CN"/>
              </w:rPr>
            </w:pPr>
          </w:p>
          <w:p w14:paraId="081AA76A">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7.4.2 中幼林抚育技术措施</w:t>
            </w:r>
          </w:p>
          <w:p w14:paraId="2AF0771D">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7.4.2.1 割灌除草</w:t>
            </w:r>
          </w:p>
          <w:p w14:paraId="095F7989">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为促进幼树幼苗的正常生长，结合项目区实际，综合考虑防止水土流失、促进天然更新、保护生物多样性等原则，科学设计割灌除草方式和强度。</w:t>
            </w:r>
          </w:p>
          <w:p w14:paraId="242A918E">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割灌除草作业要求：①林分郁闭前，目的树种幼苗幼树生长受杂灌杂草、藤本植物等全面影响或上方、侧方严重遮荫影响的人工林；②林分郁闭后，目的树种幼树高度低于周边杂灌杂草、藤本植物等，生长发育受到显著影响的；③在林分郁闭前或者郁闭后，当灌草总覆盖度达80%以上，灌木杂草高度超过目的树种幼苗幼树并对其生长造成严重影响时，进行割灌除草。</w:t>
            </w:r>
          </w:p>
          <w:p w14:paraId="5962C6F0">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割灌除草控制指标：①影响目的树种幼苗幼树生长的杂灌杂草和藤本植物全部割除；②割灌除草施工要注重保护珍稀濒危树木，保留天然更新目的树种在林窗处的幼树幼苗及林下有生长潜力的幼树幼苗；③割除妨碍目的树种幼树、幼苗生长周边1米左右范围的灌木、藤条和杂草，避免全面割灌除草；④在春夏季节作业。</w:t>
            </w:r>
          </w:p>
          <w:p w14:paraId="6F2CB19A">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7.4.2.2 保留木整枝</w:t>
            </w:r>
          </w:p>
          <w:p w14:paraId="7F8C165A">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对中龄以上、目标木天然整枝不良、枝条影响林内通风和光照的林分进行修枝整形。</w:t>
            </w:r>
          </w:p>
          <w:p w14:paraId="4AA3681B">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——修枝。为促进针叶树形成无节良材主干，需对选择的针叶目标树进行人工修枝。</w:t>
            </w:r>
          </w:p>
          <w:p w14:paraId="301EC4AB">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——人工整枝。为维持阔叶树通直高大主干生长过程，需对选择的有二叉分枝或假二叉分枝的阔叶目标树进行人工整枝。</w:t>
            </w:r>
          </w:p>
          <w:p w14:paraId="2833745E">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修枝整形作业要求：①天然整枝不良的珍贵树种或培育大径材的目标树；②高大且其枝条妨碍目标树生长的其他树。</w:t>
            </w:r>
          </w:p>
          <w:p w14:paraId="1E454F9C">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修枝整形控制指标：①修去枯死枝和树冠下部1-2轮活枝，首先切除很粗并且很徒生长快的树枝；②幼龄林阶段修枝后保留冠长不低于树高的2/3,枝桩尽量修平，剪口不能伤害树干的韧皮部和木质部；③中龄林阶段修枝后保留冠长不低于树高的1/2，枝桩尽量修平，剪口不能伤害树干的韧皮部和木质部；④修枝季节一般选择秋末至春季萌芽前；⑤修枝方法是顺时针方向由上而下进行修剪；⑥针叶树修枝高度至6.5米，阔叶树至少形成6-8米良好主干；⑦修枝整形不需要对所有林木进行。采用林木分类标记的，仅对目标树进行修枝。采用林木分级的，主要针对I、II级木进行。</w:t>
            </w:r>
          </w:p>
          <w:p w14:paraId="620E5B4A">
            <w:pPr>
              <w:spacing w:before="36" w:line="360" w:lineRule="auto"/>
              <w:ind w:firstLine="612"/>
              <w:rPr>
                <w:rFonts w:hint="default" w:ascii="Times New Roman" w:hAnsi="Times New Roman" w:eastAsia="宋体" w:cs="Times New Roman"/>
                <w:b/>
                <w:bCs/>
                <w:color w:val="auto"/>
                <w:spacing w:val="-7"/>
                <w:sz w:val="24"/>
                <w:szCs w:val="24"/>
                <w:u w:val="single"/>
                <w:lang w:val="en-US" w:eastAsia="zh-CN"/>
              </w:rPr>
            </w:pPr>
            <w:bookmarkStart w:id="9" w:name="_Toc3739"/>
            <w:r>
              <w:rPr>
                <w:rFonts w:hint="default" w:ascii="Times New Roman" w:hAnsi="Times New Roman" w:eastAsia="宋体" w:cs="Times New Roman"/>
                <w:b/>
                <w:bCs/>
                <w:color w:val="auto"/>
                <w:spacing w:val="-7"/>
                <w:sz w:val="24"/>
                <w:szCs w:val="24"/>
                <w:u w:val="single"/>
                <w:lang w:val="en-US" w:eastAsia="zh-CN"/>
              </w:rPr>
              <w:t>7.5 林下经济与特色经济林技术设计</w:t>
            </w:r>
            <w:bookmarkEnd w:id="9"/>
          </w:p>
          <w:p w14:paraId="2A7D4C73">
            <w:pPr>
              <w:spacing w:before="36" w:line="360" w:lineRule="auto"/>
              <w:ind w:firstLine="612"/>
              <w:rPr>
                <w:rFonts w:hint="default" w:ascii="Times New Roman" w:hAnsi="Times New Roman" w:eastAsia="宋体" w:cs="Times New Roman"/>
                <w:b/>
                <w:bCs/>
                <w:color w:val="auto"/>
                <w:spacing w:val="-7"/>
                <w:sz w:val="24"/>
                <w:szCs w:val="24"/>
                <w:lang w:eastAsia="zh-CN"/>
              </w:rPr>
            </w:pPr>
            <w:r>
              <w:rPr>
                <w:rFonts w:hint="default" w:ascii="Times New Roman" w:hAnsi="Times New Roman" w:eastAsia="宋体" w:cs="Times New Roman"/>
                <w:b/>
                <w:bCs/>
                <w:color w:val="auto"/>
                <w:spacing w:val="-7"/>
                <w:sz w:val="24"/>
                <w:szCs w:val="24"/>
                <w:lang w:eastAsia="zh-CN"/>
              </w:rPr>
              <w:t>7.5.1 特色经济林</w:t>
            </w:r>
          </w:p>
          <w:p w14:paraId="3170B588">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7.5.1.1 选址设计</w:t>
            </w:r>
          </w:p>
          <w:p w14:paraId="6579C746">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选择坡度较为平缓，立地条件适宜的灌木林地、其他园地。</w:t>
            </w:r>
          </w:p>
          <w:p w14:paraId="53AEBF34">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7.5.1.2 品种设计及来源</w:t>
            </w:r>
          </w:p>
          <w:p w14:paraId="67D8BF65">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酸橙 Citrus × aurantium Engl.，1年生营养袋苗，苗木等级I级，地径＞1cm，苗高＞0.5m，根系长＞25cm。苗木来源以资阳市周边采购作为主要来源。</w:t>
            </w:r>
          </w:p>
          <w:p w14:paraId="00905A14">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7.5.1.3 栽植密度</w:t>
            </w:r>
          </w:p>
          <w:p w14:paraId="77C6A478">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株行距3×4m，栽植密度56株/亩。</w:t>
            </w:r>
          </w:p>
          <w:p w14:paraId="31BBB673">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7.5.1.4 栽植时间</w:t>
            </w:r>
          </w:p>
          <w:p w14:paraId="70AECE98">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2023年10月至11月。</w:t>
            </w:r>
          </w:p>
          <w:p w14:paraId="6F811F1F">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7.5.1.5 措施设计</w:t>
            </w:r>
          </w:p>
          <w:p w14:paraId="17062056">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（1）整地</w:t>
            </w:r>
          </w:p>
          <w:p w14:paraId="4591C74D">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整地前施足基肥，每亩用生物有机肥112千克，深翻25-30厘米。播前耙平，作成1米宽的畦。定植场地以定植前三年垦荒翻耕为好。</w:t>
            </w:r>
          </w:p>
          <w:p w14:paraId="11510006">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（2）定植</w:t>
            </w:r>
          </w:p>
          <w:p w14:paraId="040A6BE3">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于2023年10月至11月无风或雨后晴天进行定植，穴内施足腐熟堆肥。每穴植苗1株。根要伸直，填土后将苗轻提，然后压实，覆松土，浇水。定植后，在每株侧插立柱，扎稳苗木，防止倒伏，苗长稳时撤除。 </w:t>
            </w:r>
          </w:p>
          <w:p w14:paraId="1D50F1D3">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（3）除草</w:t>
            </w:r>
          </w:p>
          <w:p w14:paraId="3956845A">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幼树期每年至少进行4次中耕除草，冬季注意松土。</w:t>
            </w:r>
          </w:p>
          <w:p w14:paraId="64ABF036">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（4）水肥</w:t>
            </w:r>
          </w:p>
          <w:p w14:paraId="41ED28D9">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定植初期应视气候情况进行浇水。成林后一般不需浇水，如天旱可在施肥时多加些水，雨季防田内积水。幼树宜结合中耕除草后各追肥1次，以氮肥为主，尤其在春、夏、秋季追肥可供使新梢抽长。结果树每年2月 ，5-6 月，7-8月，10-11 月各施肥1次，以粪水为主，加入过磷酸钙和尿素，也可沿树开挖 25～30 厘米深的环状沟施火塘泥、草木灰等杂肥，施后用土填平。</w:t>
            </w:r>
          </w:p>
          <w:p w14:paraId="1A24D372">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（5）整形</w:t>
            </w:r>
          </w:p>
          <w:p w14:paraId="7471B6D5">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整枝方法随树龄不同而有所差异，幼树于定植后 3-4 年，树高1.5米时进行整枝，将离地1米以下小枝除去，使枝条伸向四方，呈圆形或塔形。成年树常在春节后整枝，主要剔除病枝及密生枝、下垂枝，结果老枝也可适当修剪。</w:t>
            </w:r>
          </w:p>
          <w:p w14:paraId="45858677">
            <w:pPr>
              <w:spacing w:before="36" w:line="360" w:lineRule="auto"/>
              <w:ind w:firstLine="612"/>
              <w:rPr>
                <w:rFonts w:hint="default" w:ascii="Times New Roman" w:hAnsi="Times New Roman" w:eastAsia="宋体" w:cs="Times New Roman"/>
                <w:b/>
                <w:bCs/>
                <w:color w:val="auto"/>
                <w:spacing w:val="-7"/>
                <w:sz w:val="24"/>
                <w:szCs w:val="24"/>
                <w:lang w:eastAsia="zh-CN"/>
              </w:rPr>
            </w:pPr>
            <w:r>
              <w:rPr>
                <w:rFonts w:hint="default" w:ascii="Times New Roman" w:hAnsi="Times New Roman" w:eastAsia="宋体" w:cs="Times New Roman"/>
                <w:b/>
                <w:bCs/>
                <w:color w:val="auto"/>
                <w:spacing w:val="-7"/>
                <w:sz w:val="24"/>
                <w:szCs w:val="24"/>
                <w:lang w:eastAsia="zh-CN"/>
              </w:rPr>
              <w:t>7.5.2 珍稀林木集约栽培</w:t>
            </w:r>
          </w:p>
          <w:p w14:paraId="0BDC1FEC">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7.5.2.1 选址设计</w:t>
            </w:r>
          </w:p>
          <w:p w14:paraId="0DC05F3E">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选择坡度较为平缓，立地条件适宜的灌木林地、其他园地。</w:t>
            </w:r>
          </w:p>
          <w:p w14:paraId="65E88ACA">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7.5.2.2 品种设计及来源</w:t>
            </w:r>
          </w:p>
          <w:p w14:paraId="70DC2A2A">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楠木Phoebe zhennan S. K. Lee &amp; F. N. Wei，2年生、营养钵苗，地径≥0.7cm、苗高≥0.7m。苗木来源以资阳市周边采购作为主要来源。</w:t>
            </w:r>
          </w:p>
          <w:p w14:paraId="1D0E2CA4">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香樟Cinnamomum camphora (Linn) Presl，1年生、播种苗，地径≥0.5cm，苗高≥0.5m。苗木来源以资阳市周边采购作为主要来源。</w:t>
            </w:r>
          </w:p>
          <w:p w14:paraId="4B060ABB">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7.5.2.3 栽植密度</w:t>
            </w:r>
          </w:p>
          <w:p w14:paraId="3807DE9B">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根据培育目标、立地条件、造林品种和经营管理措施来确定栽植密度。珍稀林木集约栽培栽植密度采用74株/亩（株行距3×3米）。</w:t>
            </w:r>
          </w:p>
          <w:p w14:paraId="330BF9F0">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7.5.2.4 种植点配置</w:t>
            </w:r>
          </w:p>
          <w:p w14:paraId="58216BBD">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种植点沿等高线呈品字形设置。</w:t>
            </w:r>
          </w:p>
          <w:p w14:paraId="128C43F6">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7.5.2.5 混交方式</w:t>
            </w:r>
          </w:p>
          <w:p w14:paraId="2440C074">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带状混交。</w:t>
            </w:r>
          </w:p>
          <w:p w14:paraId="57FDF8CD">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7.5.2.6 清林整地</w:t>
            </w:r>
          </w:p>
          <w:p w14:paraId="62DDA26D">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（1）清林</w:t>
            </w:r>
          </w:p>
          <w:p w14:paraId="0E51BAC5">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保护已有植被，限制全面清除。除杂草杂灌丛生、采伐剩余物堆积、林业有害生物发生严重等，不进行清理无法进行整地的造林地外，不进行林地全面清理。根据需要，在整地前，采用1×1m块状方式进行林地清理，清除残留木、杂灌、树篼、石块等。</w:t>
            </w:r>
          </w:p>
          <w:p w14:paraId="39B8ABDE">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（2）整地</w:t>
            </w:r>
          </w:p>
          <w:p w14:paraId="4B0F17F9">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采用穴状整地，规格为30×30×40cm，种植穴的上下底同宽，严禁挖成“锅底形”。整地时将表土放成一堆，将深层土另放成一堆。整地时施用高效氯氰菊酯，有效成分含量4.5%，用量50ml/亩。</w:t>
            </w:r>
          </w:p>
          <w:p w14:paraId="0396A1C5">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7.5.2.7 植苗</w:t>
            </w:r>
          </w:p>
          <w:p w14:paraId="49F79CAE">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人工植苗。按照“三埋两踩一提苗”的要领：</w:t>
            </w:r>
          </w:p>
          <w:p w14:paraId="470CDE2E">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一埋：整地时将表土放成一堆，将深层土另放成一堆，种植穴挖好后，将基肥施于穴底，然后将表层土均匀的埋放在肥料上面。</w:t>
            </w:r>
          </w:p>
          <w:p w14:paraId="09D56FD5">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二埋：将苗木放入穴内，保持根系舒展，把表层土继续填埋到穴高的一半。</w:t>
            </w:r>
          </w:p>
          <w:p w14:paraId="768896B6">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一提：把苗木轻轻的往上提一下，防止树苗根系窝在一起不利于根系的生长。</w:t>
            </w:r>
          </w:p>
          <w:p w14:paraId="53294933">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一踩：把填埋到一半的土壤进行踩实，让苗木的根系与土壤仅仅接触没有空隙，能够尽快的吸收营养和水分提高成活率。</w:t>
            </w:r>
          </w:p>
          <w:p w14:paraId="16F26A7C">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三埋：将整地剩下的深层土埋入，一直埋到与地面齐平之后。</w:t>
            </w:r>
          </w:p>
          <w:p w14:paraId="2878DD32">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color w:val="auto"/>
                <w:spacing w:val="-7"/>
                <w:sz w:val="24"/>
                <w:szCs w:val="24"/>
                <w:lang w:eastAsia="zh-CN"/>
              </w:rPr>
              <w:t>二踩：埋完土之后，对土面进行第二次踩实。这样能够使树苗树干挺直，同时</w:t>
            </w:r>
            <w:r>
              <w:rPr>
                <w:rFonts w:hint="default" w:ascii="Times New Roman" w:hAnsi="Times New Roman" w:eastAsia="宋体" w:cs="Times New Roman"/>
                <w:color w:val="auto"/>
                <w:spacing w:val="-7"/>
                <w:sz w:val="24"/>
                <w:szCs w:val="24"/>
                <w:lang w:val="en-US" w:eastAsia="zh-CN"/>
              </w:rPr>
              <w:t>树苗根部与土壤紧密结合，防止被风吹歪。</w:t>
            </w:r>
          </w:p>
          <w:p w14:paraId="77D4496B">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7.5.2.8 施肥与灌溉</w:t>
            </w:r>
          </w:p>
          <w:p w14:paraId="07954969">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（1）施基肥：施用腐熟农家肥，0.1kg/株。各项指标需参照《有机肥料》（NY/T525-2021）标准并确保肥料充分发酵腐熟。基肥在栽植前施于穴底，并回填部分表土。</w:t>
            </w:r>
          </w:p>
          <w:p w14:paraId="458FD989">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（2）浇定根水：在栽植后及时浇水，浇足浇透。</w:t>
            </w:r>
          </w:p>
          <w:p w14:paraId="4717BB30">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7.5.2.9 铺设地膜</w:t>
            </w:r>
          </w:p>
          <w:p w14:paraId="5ECDD075">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幼苗栽植后以种植穴为中心铺设0.8×0.8m保水地膜。</w:t>
            </w:r>
          </w:p>
          <w:p w14:paraId="1862F7F8">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7.5.2.10 幼林抚育管护</w:t>
            </w:r>
          </w:p>
          <w:p w14:paraId="4D54F288">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新造林的目的是增加森林植被，并按全周期、近自然经营的理念经营管理。未成林（幼林）抚育管护可促进林木生长，使林分尽快郁闭成林或提高植被盖度，是植被恢复重要的技术措施。</w:t>
            </w:r>
          </w:p>
          <w:p w14:paraId="6F4522E4">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（1）未成林（幼林）抚育</w:t>
            </w:r>
          </w:p>
          <w:p w14:paraId="6BF51F64">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未成林（幼林）抚育包括松土、除草、割灌、浇水等措施。连续抚育3年，4次/年。</w:t>
            </w:r>
          </w:p>
          <w:p w14:paraId="2F300F8F">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（2）补植、施追肥（复合肥）</w:t>
            </w:r>
          </w:p>
          <w:p w14:paraId="11D75E14">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1）补植</w:t>
            </w:r>
          </w:p>
          <w:p w14:paraId="63354343">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造林后连续3年进行成活（保存）率检查，对当年成活率在85%以下（第2、3年保存率在80%以下）的造林小班应按设计密度适时进行补植，保证造林成效。</w:t>
            </w:r>
          </w:p>
          <w:p w14:paraId="7A8C7742">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2）施追肥</w:t>
            </w:r>
          </w:p>
          <w:p w14:paraId="54BD570D">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根据4.4.1土壤调查结果，施用复合肥（氮磷肥），相关标准参照《复合肥料》（GB/T15063-2022），总养分（N+P2O5+K2O）的质量分数（%）≥30%，水溶性磷占有效磷（%）≥50%，硝态氮的质量分数（%）≥1.5%，水分的质量分数（%）≤2.5%，粒度占比（%）（1.0mm~4.75mm）≥90%。每年8月施用1次，一共3次，每次用量0.05kg/株。采用沟施，在距幼树上坡位50cm处挖开一条深20cm的弧形沟，施用后及时回土。</w:t>
            </w:r>
          </w:p>
          <w:p w14:paraId="55E74F2E">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（3）未成林（幼林）管护</w:t>
            </w:r>
          </w:p>
          <w:p w14:paraId="12F3665B">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管护时间3年，主要管护内容包括日常巡护、森林防火、病虫害防治等。造林后，加强日常巡山防护和森林防火，实时监控病虫、有害生物灾害的发生，严禁在造林地内放牧、打柴、开垦、采石等人畜活动，以提高造林成效。</w:t>
            </w:r>
          </w:p>
          <w:p w14:paraId="017FFD10">
            <w:pPr>
              <w:spacing w:before="36" w:line="360" w:lineRule="auto"/>
              <w:ind w:firstLine="612"/>
              <w:rPr>
                <w:rFonts w:hint="default" w:ascii="Times New Roman" w:hAnsi="Times New Roman" w:eastAsia="宋体" w:cs="Times New Roman"/>
                <w:b/>
                <w:bCs/>
                <w:color w:val="auto"/>
                <w:spacing w:val="-7"/>
                <w:sz w:val="24"/>
                <w:szCs w:val="24"/>
                <w:lang w:eastAsia="zh-CN"/>
              </w:rPr>
            </w:pPr>
            <w:r>
              <w:rPr>
                <w:rFonts w:hint="default" w:ascii="Times New Roman" w:hAnsi="Times New Roman" w:eastAsia="宋体" w:cs="Times New Roman"/>
                <w:b/>
                <w:bCs/>
                <w:color w:val="auto"/>
                <w:spacing w:val="-7"/>
                <w:sz w:val="24"/>
                <w:szCs w:val="24"/>
                <w:lang w:eastAsia="zh-CN"/>
              </w:rPr>
              <w:t>7.5.3 林下中药材</w:t>
            </w:r>
          </w:p>
          <w:p w14:paraId="4F110B14">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7.5.3.1 选址设计</w:t>
            </w:r>
          </w:p>
          <w:p w14:paraId="609097B9">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现状郁闭度＞0.8；伐后郁闭度0.5左右；坡度为平坡或缓坡的抚育地块。</w:t>
            </w:r>
          </w:p>
          <w:p w14:paraId="1B28F7C5">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7.5.3.2 模型设计</w:t>
            </w:r>
          </w:p>
          <w:p w14:paraId="7D331AFC">
            <w:pPr>
              <w:spacing w:before="36" w:line="360" w:lineRule="auto"/>
              <w:ind w:firstLine="612"/>
              <w:rPr>
                <w:rFonts w:hint="default" w:ascii="Times New Roman" w:hAnsi="Times New Roman" w:eastAsia="宋体" w:cs="Times New Roman"/>
                <w:color w:val="auto"/>
                <w:spacing w:val="-7"/>
                <w:sz w:val="24"/>
                <w:szCs w:val="24"/>
                <w:lang w:eastAsia="zh-CN"/>
              </w:rPr>
            </w:pPr>
          </w:p>
          <w:p w14:paraId="02B815A1">
            <w:pPr>
              <w:spacing w:before="36" w:line="360" w:lineRule="auto"/>
              <w:ind w:firstLine="612"/>
              <w:rPr>
                <w:rFonts w:hint="default" w:ascii="Times New Roman" w:hAnsi="Times New Roman" w:eastAsia="宋体" w:cs="Times New Roman"/>
                <w:color w:val="auto"/>
                <w:spacing w:val="-7"/>
                <w:sz w:val="24"/>
                <w:szCs w:val="24"/>
                <w:lang w:eastAsia="zh-CN"/>
              </w:rPr>
            </w:pPr>
          </w:p>
          <w:p w14:paraId="2DEF62E5">
            <w:pPr>
              <w:spacing w:before="36" w:line="360" w:lineRule="auto"/>
              <w:ind w:firstLine="612"/>
              <w:rPr>
                <w:rFonts w:hint="default" w:ascii="Times New Roman" w:hAnsi="Times New Roman" w:eastAsia="宋体" w:cs="Times New Roman"/>
                <w:color w:val="auto"/>
                <w:spacing w:val="-7"/>
                <w:sz w:val="24"/>
                <w:szCs w:val="24"/>
                <w:lang w:eastAsia="zh-CN"/>
              </w:rPr>
            </w:pPr>
          </w:p>
          <w:p w14:paraId="573B0BCF">
            <w:pPr>
              <w:spacing w:before="36" w:line="360" w:lineRule="auto"/>
              <w:ind w:firstLine="612"/>
              <w:rPr>
                <w:rFonts w:hint="default" w:ascii="Times New Roman" w:hAnsi="Times New Roman" w:eastAsia="宋体" w:cs="Times New Roman"/>
                <w:color w:val="auto"/>
                <w:spacing w:val="-7"/>
                <w:sz w:val="24"/>
                <w:szCs w:val="24"/>
                <w:lang w:eastAsia="zh-CN"/>
              </w:rPr>
            </w:pPr>
          </w:p>
          <w:p w14:paraId="43B72460">
            <w:pPr>
              <w:spacing w:before="36" w:line="360" w:lineRule="auto"/>
              <w:ind w:firstLine="612"/>
              <w:rPr>
                <w:rFonts w:hint="default" w:ascii="Times New Roman" w:hAnsi="Times New Roman" w:eastAsia="宋体" w:cs="Times New Roman"/>
                <w:color w:val="auto"/>
                <w:spacing w:val="-7"/>
                <w:sz w:val="24"/>
                <w:szCs w:val="24"/>
                <w:lang w:eastAsia="zh-CN"/>
              </w:rPr>
            </w:pPr>
          </w:p>
          <w:p w14:paraId="13830401">
            <w:pPr>
              <w:spacing w:before="36" w:line="360" w:lineRule="auto"/>
              <w:ind w:firstLine="612"/>
              <w:rPr>
                <w:rFonts w:hint="default" w:ascii="Times New Roman" w:hAnsi="Times New Roman" w:eastAsia="宋体" w:cs="Times New Roman"/>
                <w:color w:val="auto"/>
                <w:spacing w:val="-7"/>
                <w:sz w:val="24"/>
                <w:szCs w:val="24"/>
                <w:lang w:eastAsia="zh-CN"/>
              </w:rPr>
            </w:pPr>
          </w:p>
          <w:p w14:paraId="10A10CDD">
            <w:pPr>
              <w:spacing w:before="36" w:line="360" w:lineRule="auto"/>
              <w:ind w:firstLine="612"/>
              <w:rPr>
                <w:rFonts w:hint="default" w:ascii="Times New Roman" w:hAnsi="Times New Roman" w:eastAsia="宋体" w:cs="Times New Roman"/>
                <w:color w:val="auto"/>
                <w:spacing w:val="-7"/>
                <w:sz w:val="24"/>
                <w:szCs w:val="24"/>
                <w:lang w:eastAsia="zh-CN"/>
              </w:rPr>
            </w:pPr>
          </w:p>
          <w:p w14:paraId="2DDFEB16">
            <w:pPr>
              <w:spacing w:before="36" w:line="360" w:lineRule="auto"/>
              <w:ind w:firstLine="612"/>
              <w:rPr>
                <w:rFonts w:hint="default" w:ascii="Times New Roman" w:hAnsi="Times New Roman" w:eastAsia="宋体" w:cs="Times New Roman"/>
                <w:color w:val="auto"/>
                <w:spacing w:val="-7"/>
                <w:sz w:val="24"/>
                <w:szCs w:val="24"/>
                <w:lang w:eastAsia="zh-CN"/>
              </w:rPr>
            </w:pPr>
          </w:p>
          <w:p w14:paraId="28B93E7F">
            <w:pPr>
              <w:spacing w:before="36" w:line="360" w:lineRule="auto"/>
              <w:ind w:firstLine="612"/>
              <w:rPr>
                <w:rFonts w:hint="default" w:ascii="Times New Roman" w:hAnsi="Times New Roman" w:eastAsia="宋体" w:cs="Times New Roman"/>
                <w:color w:val="auto"/>
                <w:spacing w:val="-7"/>
                <w:sz w:val="24"/>
                <w:szCs w:val="24"/>
                <w:lang w:eastAsia="zh-CN"/>
              </w:rPr>
            </w:pPr>
          </w:p>
          <w:p w14:paraId="3425A662">
            <w:pPr>
              <w:spacing w:before="36" w:line="360" w:lineRule="auto"/>
              <w:ind w:firstLine="612"/>
              <w:rPr>
                <w:rFonts w:hint="default" w:ascii="Times New Roman" w:hAnsi="Times New Roman" w:eastAsia="宋体" w:cs="Times New Roman"/>
                <w:color w:val="auto"/>
                <w:spacing w:val="-7"/>
                <w:sz w:val="24"/>
                <w:szCs w:val="24"/>
                <w:lang w:eastAsia="zh-CN"/>
              </w:rPr>
            </w:pPr>
          </w:p>
          <w:p w14:paraId="72DE77FA">
            <w:pPr>
              <w:spacing w:before="36" w:line="360" w:lineRule="auto"/>
              <w:ind w:firstLine="612"/>
              <w:rPr>
                <w:rFonts w:hint="default" w:ascii="Times New Roman" w:hAnsi="Times New Roman" w:eastAsia="宋体" w:cs="Times New Roman"/>
                <w:color w:val="auto"/>
                <w:spacing w:val="-7"/>
                <w:sz w:val="24"/>
                <w:szCs w:val="24"/>
                <w:lang w:eastAsia="zh-CN"/>
              </w:rPr>
            </w:pPr>
          </w:p>
          <w:p w14:paraId="785B2175">
            <w:pPr>
              <w:spacing w:before="36" w:line="360" w:lineRule="auto"/>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b/>
                <w:bCs/>
                <w:color w:val="auto"/>
                <w:sz w:val="28"/>
                <w:szCs w:val="28"/>
                <w:highlight w:val="none"/>
                <w:lang w:val="en-US" w:eastAsia="zh-CN"/>
              </w:rPr>
              <w:drawing>
                <wp:inline distT="0" distB="0" distL="114300" distR="114300">
                  <wp:extent cx="5182870" cy="7330440"/>
                  <wp:effectExtent l="0" t="0" r="17780" b="3810"/>
                  <wp:docPr id="54" name="图片 54" descr="林下中药材模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林下中药材模型图"/>
                          <pic:cNvPicPr>
                            <a:picLocks noChangeAspect="1"/>
                          </pic:cNvPicPr>
                        </pic:nvPicPr>
                        <pic:blipFill>
                          <a:blip r:embed="rId37"/>
                          <a:stretch>
                            <a:fillRect/>
                          </a:stretch>
                        </pic:blipFill>
                        <pic:spPr>
                          <a:xfrm>
                            <a:off x="0" y="0"/>
                            <a:ext cx="5182870" cy="7330440"/>
                          </a:xfrm>
                          <a:prstGeom prst="rect">
                            <a:avLst/>
                          </a:prstGeom>
                        </pic:spPr>
                      </pic:pic>
                    </a:graphicData>
                  </a:graphic>
                </wp:inline>
              </w:drawing>
            </w:r>
          </w:p>
          <w:p w14:paraId="30317D53">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7.5.3.3 种苗设计及来源</w:t>
            </w:r>
          </w:p>
          <w:p w14:paraId="2C7BBD35">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多花黄精Polygonatum cyrtonema Hua，块茎繁育的幼苗，种苗地下根茎带土、无根茎损伤，须根基本完整，芽头完整。苗木来源以资阳市周边采购作为主要来源。</w:t>
            </w:r>
          </w:p>
          <w:p w14:paraId="42FFE1D7">
            <w:pPr>
              <w:spacing w:before="36" w:line="360" w:lineRule="auto"/>
              <w:ind w:firstLine="612"/>
              <w:rPr>
                <w:rFonts w:hint="default" w:ascii="Times New Roman" w:hAnsi="Times New Roman" w:eastAsia="宋体" w:cs="Times New Roman"/>
                <w:color w:val="auto"/>
                <w:spacing w:val="-7"/>
                <w:sz w:val="24"/>
                <w:szCs w:val="24"/>
                <w:lang w:eastAsia="zh-CN"/>
              </w:rPr>
            </w:pPr>
          </w:p>
          <w:p w14:paraId="0947B361">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7.5.3.4 栽植密度</w:t>
            </w:r>
          </w:p>
          <w:p w14:paraId="5328E8DF">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初植2667株/亩。结合现地情况优化调整。</w:t>
            </w:r>
          </w:p>
          <w:p w14:paraId="363C0538">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7.5.3.5 栽植时间</w:t>
            </w:r>
          </w:p>
          <w:p w14:paraId="7B5E02B4">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2023年10-11月。</w:t>
            </w:r>
          </w:p>
          <w:p w14:paraId="50CB39B4">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7.5.3.6 措施设计</w:t>
            </w:r>
          </w:p>
          <w:p w14:paraId="44AC3F28">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（1）清灌除草：清除林内地表杂草及小灌木。</w:t>
            </w:r>
          </w:p>
          <w:p w14:paraId="1ACB5179">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2）整地作垄：清除杂质和石块，将充分腐熟农家肥600kg/亩均匀撒在地面上，再深翻30cm以上，然后细碎耙平土壤；根据地块坡向山势作垄，垄面宽约100~120cm，并高出地面15cm，长度根据地势确定，垄沟和围沟宽40cm，深15cm，使沟相通，并有出水口以利于排水。</w:t>
            </w:r>
          </w:p>
          <w:p w14:paraId="490377FD">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3）植苗：苗木栽植时，种苗栽植深度以高出苗木土痕1cm，压实浇透水，并适当进行遮阴。条状种植，垄面按行距15cm、深3cm-5cm横向开沟，将种苗植于沟内内，并浇透定根水，以能够显著观察到有水溢出到沟内为佳，沟内积水时间不宜超过1小时，一旦出现积水时间过长的问题便要及时进行排水处理。</w:t>
            </w:r>
          </w:p>
          <w:p w14:paraId="3E058ABF">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（4）间苗、补苗：种苗成活后拔除一部分过密、瘦弱和有病虫害的幼苗，并及时补栽。补苗后及时浇透定根水。</w:t>
            </w:r>
          </w:p>
          <w:p w14:paraId="5718C5CA">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（5）中耕除草：在移栽后1~2年，适时进行除草，要求早除、除尽。第3年开春以后，进行一次彻底除草，除草时要浅锄以避免伤芽伤根。</w:t>
            </w:r>
          </w:p>
          <w:p w14:paraId="3E738826">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（6）追肥：第2、3年雨前追肥，每年一次，每次施用腐熟农家肥200kg/亩。</w:t>
            </w:r>
          </w:p>
          <w:p w14:paraId="41D2EF0B">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（7）水分管理：全过程用水15t/亩。5月～9月是黄精地下茎快速膨大生长阶段，干旱要及时灌溉，且一次性浇透水，积水要及时疏沟排水。</w:t>
            </w:r>
          </w:p>
          <w:p w14:paraId="022BCAF1">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（8）打尖和摘蕾：除留种株外，在开花初期剪去植株顶端。剪去的部分不应超过植株地上高度的1/3。5月～6月，除留种株外，在黄精花蕾形成初期人工摘除花蕾。</w:t>
            </w:r>
          </w:p>
          <w:p w14:paraId="011E1CA4">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7.5.3.7 病虫害防治</w:t>
            </w:r>
          </w:p>
          <w:p w14:paraId="28FACF03">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（1）根腐病</w:t>
            </w:r>
          </w:p>
          <w:p w14:paraId="2F1CFC7B">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发病条件：高温高湿天气、土壤含水量过高时易发病。</w:t>
            </w:r>
          </w:p>
          <w:p w14:paraId="2C6BE92A">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治疗措施：发病初期用1%硫酸亚铁或生石灰施在病穴内进行消毒，或用50%多菌灵可湿性粉剂500倍液喷施，7天1次，连续2～3次；发病后，及时拔除病株，用硫酸铜500倍液浇灌病区。</w:t>
            </w:r>
          </w:p>
          <w:p w14:paraId="5929381A">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（2）茎腐病</w:t>
            </w:r>
          </w:p>
          <w:p w14:paraId="5F789976">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发病条件：苗床期多发,高温多雨加重病情，积水易发病。</w:t>
            </w:r>
          </w:p>
          <w:p w14:paraId="49D9CBC2">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治疗措施：移栽前2～3天苗床喷50%多菌灵可湿性粉剂1000倍液1次；发病初期，拔除病株，喷施75%百菌清可湿性粉600～800倍液或50%退菌特800～1000倍液，间隔7～10天，连续喷施3～4次，若苗床湿度较大，可撒施少量草木灰或干细火土调节。</w:t>
            </w:r>
          </w:p>
          <w:p w14:paraId="5D5E07C1">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（3）叶斑病</w:t>
            </w:r>
          </w:p>
          <w:p w14:paraId="08346A8B">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发病条件：空气湿度大，林地通风不良易发病。</w:t>
            </w:r>
          </w:p>
          <w:p w14:paraId="63F11806">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治疗措施：发病前和发病初期喷1:1:100波尔多液，或50%退菌特1000倍液，每隔7～10天喷1次，连喷3～4次，或65%代森锌可湿性粉剂500～600倍液喷酒，每隔7～10天喷1次，连喷2～3次。</w:t>
            </w:r>
          </w:p>
          <w:p w14:paraId="18BB4D2B">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（4）叶枯病</w:t>
            </w:r>
          </w:p>
          <w:p w14:paraId="53D71CD6">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发病条件：高温高湿、林地通风不良易发病。</w:t>
            </w:r>
          </w:p>
          <w:p w14:paraId="0A2D2DEF">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治疗措施：发病初期，喷施200倍波尔多液或50%甲基托布津500～800倍液或50%多菌灵可湿性粉剂1000倍液，间隔10～15天，连喷3次。</w:t>
            </w:r>
          </w:p>
          <w:p w14:paraId="7124BB4D">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（5）地老虎（夜蛾类）</w:t>
            </w:r>
          </w:p>
          <w:p w14:paraId="5CE8182D">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发病条件：春秋季易发病。</w:t>
            </w:r>
          </w:p>
          <w:p w14:paraId="4846F402">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治疗措施：成虫期，黑光灯或糖酒醋液诱杀；幼虫期，用10%二嗪磷颗粒和5%毒死婢颗粒剂兑干细土，拌匀撒施土中。</w:t>
            </w:r>
          </w:p>
          <w:p w14:paraId="18A6C380">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（6）金龟子（蜥槽）</w:t>
            </w:r>
          </w:p>
          <w:p w14:paraId="7BBE95A8">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发病条件：春秋季高发。</w:t>
            </w:r>
          </w:p>
          <w:p w14:paraId="26CF57E4">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治疗措施：幼虫孵化盛期用10%二嗪嗪磷颗粒剂和5%毒死螂颗粒剂兑干细土，拌匀撒施土中；成虫期用黑光灯或汞灯诱杀成虫；卵期或幼虫期，每亩用蜥专用型白僵菌1.5～2kg与15～25kg细上拌匀，在根部施药。</w:t>
            </w:r>
          </w:p>
          <w:p w14:paraId="3BDAED51">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7.5.3.8 采收和保存</w:t>
            </w:r>
          </w:p>
          <w:p w14:paraId="2DBA281B">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（1）采收年限</w:t>
            </w:r>
          </w:p>
          <w:p w14:paraId="4689A46C">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种子繁育苗定植3～4年采收，块茎繁育苗定植2年以上采收。</w:t>
            </w:r>
          </w:p>
          <w:p w14:paraId="0B2EA67E">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（2）采收时节</w:t>
            </w:r>
          </w:p>
          <w:p w14:paraId="6E2D8896">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一般在秋末或春初采挖，茎杆上叶片完全脱溶为最佳采收期。</w:t>
            </w:r>
          </w:p>
          <w:p w14:paraId="020F9DBC">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（3）采收方法</w:t>
            </w:r>
          </w:p>
          <w:p w14:paraId="00AC5381">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选择晴天采挖。先割除茎叶，在垄旁开挖40cm深的沟，然后顺序向前刨挖。采挖时尽量避免损伤根茎，保证根茎完好无损。并将小块茎或剥下大块茎中的幼嫩部分重新栽植于林中黄精植株稀疏处。</w:t>
            </w:r>
          </w:p>
          <w:p w14:paraId="58E78E31">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（4）产地加工</w:t>
            </w:r>
          </w:p>
          <w:p w14:paraId="42E6F4F8">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将根茎去净泥土，带顶芽部分切下用作种苗，其余部分除去须根，用清水洗净后，蒸透晒干，或低于70℃烘干。</w:t>
            </w:r>
          </w:p>
          <w:p w14:paraId="0FDE82DB">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（5）保存</w:t>
            </w:r>
          </w:p>
          <w:p w14:paraId="1B84B7FF">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黄精应存放于专用的仓库中。货架与墙壁的距离≥1m，离地面距离≥50cm。仓库必须保持阴凉、干燥、通风、避光、防虫。</w:t>
            </w:r>
          </w:p>
          <w:p w14:paraId="0DA5E315">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7</w:t>
            </w:r>
            <w:r>
              <w:rPr>
                <w:rFonts w:hint="default" w:ascii="Times New Roman" w:hAnsi="Times New Roman" w:eastAsia="宋体" w:cs="Times New Roman"/>
                <w:b/>
                <w:bCs/>
                <w:color w:val="auto"/>
                <w:spacing w:val="-7"/>
                <w:sz w:val="24"/>
                <w:szCs w:val="24"/>
                <w:lang w:eastAsia="zh-CN"/>
              </w:rPr>
              <w:t>.</w:t>
            </w:r>
            <w:r>
              <w:rPr>
                <w:rFonts w:hint="default" w:ascii="Times New Roman" w:hAnsi="Times New Roman" w:eastAsia="宋体" w:cs="Times New Roman"/>
                <w:b/>
                <w:bCs/>
                <w:color w:val="auto"/>
                <w:spacing w:val="-7"/>
                <w:sz w:val="24"/>
                <w:szCs w:val="24"/>
                <w:lang w:val="en-US" w:eastAsia="zh-CN"/>
              </w:rPr>
              <w:t>5</w:t>
            </w:r>
            <w:r>
              <w:rPr>
                <w:rFonts w:hint="default" w:ascii="Times New Roman" w:hAnsi="Times New Roman" w:eastAsia="宋体" w:cs="Times New Roman"/>
                <w:b/>
                <w:bCs/>
                <w:color w:val="auto"/>
                <w:spacing w:val="-7"/>
                <w:sz w:val="24"/>
                <w:szCs w:val="24"/>
                <w:lang w:eastAsia="zh-CN"/>
              </w:rPr>
              <w:t>.</w:t>
            </w:r>
            <w:r>
              <w:rPr>
                <w:rFonts w:hint="default" w:ascii="Times New Roman" w:hAnsi="Times New Roman" w:eastAsia="宋体" w:cs="Times New Roman"/>
                <w:b/>
                <w:bCs/>
                <w:color w:val="auto"/>
                <w:spacing w:val="-7"/>
                <w:sz w:val="24"/>
                <w:szCs w:val="24"/>
                <w:lang w:val="en-US" w:eastAsia="zh-CN"/>
              </w:rPr>
              <w:t>4</w:t>
            </w:r>
            <w:r>
              <w:rPr>
                <w:rFonts w:hint="default" w:ascii="Times New Roman" w:hAnsi="Times New Roman" w:eastAsia="宋体" w:cs="Times New Roman"/>
                <w:b/>
                <w:bCs/>
                <w:color w:val="auto"/>
                <w:spacing w:val="-7"/>
                <w:sz w:val="24"/>
                <w:szCs w:val="24"/>
                <w:lang w:eastAsia="zh-CN"/>
              </w:rPr>
              <w:t xml:space="preserve"> </w:t>
            </w:r>
            <w:r>
              <w:rPr>
                <w:rFonts w:hint="default" w:ascii="Times New Roman" w:hAnsi="Times New Roman" w:eastAsia="宋体" w:cs="Times New Roman"/>
                <w:b/>
                <w:bCs/>
                <w:color w:val="auto"/>
                <w:spacing w:val="-7"/>
                <w:sz w:val="24"/>
                <w:szCs w:val="24"/>
                <w:lang w:val="en-US" w:eastAsia="zh-CN"/>
              </w:rPr>
              <w:t>林下种菌</w:t>
            </w:r>
          </w:p>
          <w:p w14:paraId="6C185D84">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7.5.4.1 选址设计</w:t>
            </w:r>
          </w:p>
          <w:p w14:paraId="0EF52019">
            <w:pPr>
              <w:spacing w:before="36" w:line="360" w:lineRule="auto"/>
              <w:ind w:firstLine="612"/>
              <w:rPr>
                <w:rFonts w:hint="default" w:ascii="Times New Roman" w:hAnsi="Times New Roman" w:eastAsia="宋体" w:cs="Times New Roman"/>
                <w:color w:val="auto"/>
                <w:spacing w:val="-7"/>
                <w:sz w:val="24"/>
                <w:szCs w:val="24"/>
                <w:lang w:val="en-US" w:eastAsia="zh-CN"/>
              </w:rPr>
            </w:pPr>
            <w:r>
              <w:rPr>
                <w:rFonts w:hint="default" w:ascii="Times New Roman" w:hAnsi="Times New Roman" w:eastAsia="宋体" w:cs="Times New Roman"/>
                <w:color w:val="auto"/>
                <w:spacing w:val="-7"/>
                <w:sz w:val="24"/>
                <w:szCs w:val="24"/>
                <w:lang w:val="en-US" w:eastAsia="zh-CN"/>
              </w:rPr>
              <w:t>现状郁闭度＞0.8；伐后郁闭度0.5左右；坡度为平坡或缓坡的抚育地块。</w:t>
            </w:r>
          </w:p>
          <w:p w14:paraId="5A917F07">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7.5.4.2 模型设计</w:t>
            </w:r>
          </w:p>
          <w:p w14:paraId="0E01E9A2">
            <w:pPr>
              <w:spacing w:before="36" w:line="360" w:lineRule="auto"/>
              <w:ind w:firstLine="612"/>
              <w:rPr>
                <w:rFonts w:hint="default" w:ascii="Times New Roman" w:hAnsi="Times New Roman" w:eastAsia="宋体" w:cs="Times New Roman"/>
                <w:color w:val="auto"/>
                <w:spacing w:val="-7"/>
                <w:sz w:val="24"/>
                <w:szCs w:val="24"/>
                <w:lang w:eastAsia="zh-CN"/>
              </w:rPr>
            </w:pPr>
          </w:p>
          <w:p w14:paraId="51D56223">
            <w:pPr>
              <w:spacing w:before="36" w:line="360" w:lineRule="auto"/>
              <w:ind w:firstLine="612"/>
              <w:rPr>
                <w:rFonts w:hint="default" w:ascii="Times New Roman" w:hAnsi="Times New Roman" w:eastAsia="宋体" w:cs="Times New Roman"/>
                <w:color w:val="auto"/>
                <w:spacing w:val="-7"/>
                <w:sz w:val="24"/>
                <w:szCs w:val="24"/>
                <w:lang w:eastAsia="zh-CN"/>
              </w:rPr>
            </w:pPr>
          </w:p>
          <w:p w14:paraId="2C8561B1">
            <w:pPr>
              <w:spacing w:before="36" w:line="360" w:lineRule="auto"/>
              <w:ind w:firstLine="612"/>
              <w:rPr>
                <w:rFonts w:hint="default" w:ascii="Times New Roman" w:hAnsi="Times New Roman" w:eastAsia="宋体" w:cs="Times New Roman"/>
                <w:color w:val="auto"/>
                <w:spacing w:val="-7"/>
                <w:sz w:val="24"/>
                <w:szCs w:val="24"/>
                <w:lang w:eastAsia="zh-CN"/>
              </w:rPr>
            </w:pPr>
          </w:p>
          <w:p w14:paraId="0973D92A">
            <w:pPr>
              <w:spacing w:before="36" w:line="360" w:lineRule="auto"/>
              <w:ind w:firstLine="612"/>
              <w:rPr>
                <w:rFonts w:hint="default" w:ascii="Times New Roman" w:hAnsi="Times New Roman" w:eastAsia="宋体" w:cs="Times New Roman"/>
                <w:color w:val="auto"/>
                <w:spacing w:val="-7"/>
                <w:sz w:val="24"/>
                <w:szCs w:val="24"/>
                <w:lang w:eastAsia="zh-CN"/>
              </w:rPr>
            </w:pPr>
          </w:p>
          <w:p w14:paraId="0D2AFE4D">
            <w:pPr>
              <w:spacing w:before="36" w:line="360" w:lineRule="auto"/>
              <w:ind w:firstLine="612"/>
              <w:rPr>
                <w:rFonts w:hint="default" w:ascii="Times New Roman" w:hAnsi="Times New Roman" w:eastAsia="宋体" w:cs="Times New Roman"/>
                <w:color w:val="auto"/>
                <w:spacing w:val="-7"/>
                <w:sz w:val="24"/>
                <w:szCs w:val="24"/>
                <w:lang w:eastAsia="zh-CN"/>
              </w:rPr>
            </w:pPr>
          </w:p>
          <w:p w14:paraId="1273F763">
            <w:pPr>
              <w:spacing w:before="36" w:line="360" w:lineRule="auto"/>
              <w:ind w:firstLine="612"/>
              <w:rPr>
                <w:rFonts w:hint="default" w:ascii="Times New Roman" w:hAnsi="Times New Roman" w:eastAsia="宋体" w:cs="Times New Roman"/>
                <w:color w:val="auto"/>
                <w:spacing w:val="-7"/>
                <w:sz w:val="24"/>
                <w:szCs w:val="24"/>
                <w:lang w:eastAsia="zh-CN"/>
              </w:rPr>
            </w:pPr>
          </w:p>
          <w:p w14:paraId="76EC3560">
            <w:pPr>
              <w:spacing w:before="36" w:line="360" w:lineRule="auto"/>
              <w:ind w:firstLine="612"/>
              <w:rPr>
                <w:rFonts w:hint="default" w:ascii="Times New Roman" w:hAnsi="Times New Roman" w:eastAsia="宋体" w:cs="Times New Roman"/>
                <w:color w:val="auto"/>
                <w:spacing w:val="-7"/>
                <w:sz w:val="24"/>
                <w:szCs w:val="24"/>
                <w:lang w:eastAsia="zh-CN"/>
              </w:rPr>
            </w:pPr>
          </w:p>
          <w:p w14:paraId="6B31AD6F">
            <w:pPr>
              <w:spacing w:before="36" w:line="360" w:lineRule="auto"/>
              <w:ind w:firstLine="612"/>
              <w:rPr>
                <w:rFonts w:hint="default" w:ascii="Times New Roman" w:hAnsi="Times New Roman" w:eastAsia="宋体" w:cs="Times New Roman"/>
                <w:color w:val="auto"/>
                <w:spacing w:val="-7"/>
                <w:sz w:val="24"/>
                <w:szCs w:val="24"/>
                <w:lang w:eastAsia="zh-CN"/>
              </w:rPr>
            </w:pPr>
          </w:p>
          <w:p w14:paraId="130C1AEA">
            <w:pPr>
              <w:spacing w:before="36" w:line="360" w:lineRule="auto"/>
              <w:ind w:firstLine="612"/>
              <w:rPr>
                <w:rFonts w:hint="default" w:ascii="Times New Roman" w:hAnsi="Times New Roman" w:eastAsia="宋体" w:cs="Times New Roman"/>
                <w:color w:val="auto"/>
                <w:spacing w:val="-7"/>
                <w:sz w:val="24"/>
                <w:szCs w:val="24"/>
                <w:lang w:eastAsia="zh-CN"/>
              </w:rPr>
            </w:pPr>
          </w:p>
          <w:p w14:paraId="4A4F766C">
            <w:pPr>
              <w:spacing w:before="36" w:line="360" w:lineRule="auto"/>
              <w:ind w:firstLine="612"/>
              <w:rPr>
                <w:rFonts w:hint="default" w:ascii="Times New Roman" w:hAnsi="Times New Roman" w:eastAsia="宋体" w:cs="Times New Roman"/>
                <w:color w:val="auto"/>
                <w:spacing w:val="-7"/>
                <w:sz w:val="24"/>
                <w:szCs w:val="24"/>
                <w:lang w:eastAsia="zh-CN"/>
              </w:rPr>
            </w:pPr>
          </w:p>
          <w:p w14:paraId="4C1DFDAF">
            <w:pPr>
              <w:spacing w:before="36" w:line="360" w:lineRule="auto"/>
              <w:ind w:firstLine="612"/>
              <w:rPr>
                <w:rFonts w:hint="default" w:ascii="Times New Roman" w:hAnsi="Times New Roman" w:eastAsia="宋体" w:cs="Times New Roman"/>
                <w:color w:val="auto"/>
                <w:spacing w:val="-7"/>
                <w:sz w:val="24"/>
                <w:szCs w:val="24"/>
                <w:lang w:eastAsia="zh-CN"/>
              </w:rPr>
            </w:pPr>
          </w:p>
          <w:p w14:paraId="0442F0BE">
            <w:pPr>
              <w:spacing w:before="36" w:line="360" w:lineRule="auto"/>
              <w:ind w:firstLine="612"/>
              <w:rPr>
                <w:rFonts w:hint="default" w:ascii="Times New Roman" w:hAnsi="Times New Roman" w:eastAsia="宋体" w:cs="Times New Roman"/>
                <w:color w:val="auto"/>
                <w:spacing w:val="-7"/>
                <w:sz w:val="24"/>
                <w:szCs w:val="24"/>
                <w:lang w:eastAsia="zh-CN"/>
              </w:rPr>
            </w:pPr>
          </w:p>
          <w:p w14:paraId="037C615B">
            <w:pPr>
              <w:spacing w:before="36" w:line="360" w:lineRule="auto"/>
              <w:ind w:firstLine="612"/>
              <w:rPr>
                <w:rFonts w:hint="default" w:ascii="Times New Roman" w:hAnsi="Times New Roman" w:eastAsia="宋体" w:cs="Times New Roman"/>
                <w:color w:val="auto"/>
                <w:spacing w:val="-7"/>
                <w:sz w:val="24"/>
                <w:szCs w:val="24"/>
                <w:lang w:eastAsia="zh-CN"/>
              </w:rPr>
            </w:pPr>
          </w:p>
          <w:p w14:paraId="7F915566">
            <w:pPr>
              <w:spacing w:before="36" w:line="360" w:lineRule="auto"/>
              <w:ind w:firstLine="612"/>
              <w:rPr>
                <w:rFonts w:hint="default" w:ascii="Times New Roman" w:hAnsi="Times New Roman" w:eastAsia="宋体" w:cs="Times New Roman"/>
                <w:color w:val="auto"/>
                <w:spacing w:val="-7"/>
                <w:sz w:val="24"/>
                <w:szCs w:val="24"/>
                <w:lang w:eastAsia="zh-CN"/>
              </w:rPr>
            </w:pPr>
          </w:p>
          <w:p w14:paraId="50F74C78">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z w:val="28"/>
                <w:szCs w:val="28"/>
                <w:highlight w:val="none"/>
                <w:lang w:eastAsia="zh-CN"/>
              </w:rPr>
              <w:drawing>
                <wp:anchor distT="0" distB="0" distL="114300" distR="114300" simplePos="0" relativeHeight="251682816" behindDoc="0" locked="0" layoutInCell="1" allowOverlap="1">
                  <wp:simplePos x="0" y="0"/>
                  <wp:positionH relativeFrom="column">
                    <wp:posOffset>289560</wp:posOffset>
                  </wp:positionH>
                  <wp:positionV relativeFrom="paragraph">
                    <wp:posOffset>74930</wp:posOffset>
                  </wp:positionV>
                  <wp:extent cx="4525010" cy="6400165"/>
                  <wp:effectExtent l="0" t="0" r="8890" b="635"/>
                  <wp:wrapNone/>
                  <wp:docPr id="57" name="图片 57" descr="林下种菌模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林下种菌模型图"/>
                          <pic:cNvPicPr>
                            <a:picLocks noChangeAspect="1"/>
                          </pic:cNvPicPr>
                        </pic:nvPicPr>
                        <pic:blipFill>
                          <a:blip r:embed="rId38"/>
                          <a:stretch>
                            <a:fillRect/>
                          </a:stretch>
                        </pic:blipFill>
                        <pic:spPr>
                          <a:xfrm>
                            <a:off x="0" y="0"/>
                            <a:ext cx="4525010" cy="6400165"/>
                          </a:xfrm>
                          <a:prstGeom prst="rect">
                            <a:avLst/>
                          </a:prstGeom>
                        </pic:spPr>
                      </pic:pic>
                    </a:graphicData>
                  </a:graphic>
                </wp:anchor>
              </w:drawing>
            </w:r>
          </w:p>
          <w:p w14:paraId="1612D754">
            <w:pPr>
              <w:spacing w:before="36" w:line="360" w:lineRule="auto"/>
              <w:ind w:firstLine="612"/>
              <w:rPr>
                <w:rFonts w:hint="default" w:ascii="Times New Roman" w:hAnsi="Times New Roman" w:eastAsia="宋体" w:cs="Times New Roman"/>
                <w:color w:val="auto"/>
                <w:spacing w:val="-7"/>
                <w:sz w:val="24"/>
                <w:szCs w:val="24"/>
                <w:lang w:eastAsia="zh-CN"/>
              </w:rPr>
            </w:pPr>
          </w:p>
          <w:p w14:paraId="5BF1E0B1">
            <w:pPr>
              <w:spacing w:before="36" w:line="360" w:lineRule="auto"/>
              <w:ind w:firstLine="612"/>
              <w:rPr>
                <w:rFonts w:hint="default" w:ascii="Times New Roman" w:hAnsi="Times New Roman" w:eastAsia="宋体" w:cs="Times New Roman"/>
                <w:color w:val="auto"/>
                <w:spacing w:val="-7"/>
                <w:sz w:val="24"/>
                <w:szCs w:val="24"/>
                <w:lang w:eastAsia="zh-CN"/>
              </w:rPr>
            </w:pPr>
          </w:p>
          <w:p w14:paraId="02936C87">
            <w:pPr>
              <w:spacing w:before="36" w:line="360" w:lineRule="auto"/>
              <w:ind w:firstLine="612"/>
              <w:rPr>
                <w:rFonts w:hint="default" w:ascii="Times New Roman" w:hAnsi="Times New Roman" w:eastAsia="宋体" w:cs="Times New Roman"/>
                <w:color w:val="auto"/>
                <w:spacing w:val="-7"/>
                <w:sz w:val="24"/>
                <w:szCs w:val="24"/>
                <w:lang w:eastAsia="zh-CN"/>
              </w:rPr>
            </w:pPr>
          </w:p>
          <w:p w14:paraId="289FF254">
            <w:pPr>
              <w:spacing w:before="36" w:line="360" w:lineRule="auto"/>
              <w:ind w:firstLine="612"/>
              <w:rPr>
                <w:rFonts w:hint="default" w:ascii="Times New Roman" w:hAnsi="Times New Roman" w:eastAsia="宋体" w:cs="Times New Roman"/>
                <w:color w:val="auto"/>
                <w:spacing w:val="-7"/>
                <w:sz w:val="24"/>
                <w:szCs w:val="24"/>
                <w:lang w:eastAsia="zh-CN"/>
              </w:rPr>
            </w:pPr>
          </w:p>
          <w:p w14:paraId="3B272A75">
            <w:pPr>
              <w:spacing w:before="36" w:line="360" w:lineRule="auto"/>
              <w:ind w:firstLine="612"/>
              <w:rPr>
                <w:rFonts w:hint="default" w:ascii="Times New Roman" w:hAnsi="Times New Roman" w:eastAsia="宋体" w:cs="Times New Roman"/>
                <w:color w:val="auto"/>
                <w:spacing w:val="-7"/>
                <w:sz w:val="24"/>
                <w:szCs w:val="24"/>
                <w:lang w:eastAsia="zh-CN"/>
              </w:rPr>
            </w:pPr>
          </w:p>
          <w:p w14:paraId="1813B1AB">
            <w:pPr>
              <w:spacing w:before="36" w:line="360" w:lineRule="auto"/>
              <w:ind w:firstLine="612"/>
              <w:rPr>
                <w:rFonts w:hint="default" w:ascii="Times New Roman" w:hAnsi="Times New Roman" w:eastAsia="宋体" w:cs="Times New Roman"/>
                <w:color w:val="auto"/>
                <w:spacing w:val="-7"/>
                <w:sz w:val="24"/>
                <w:szCs w:val="24"/>
                <w:lang w:eastAsia="zh-CN"/>
              </w:rPr>
            </w:pPr>
          </w:p>
          <w:p w14:paraId="1EFD5C17">
            <w:pPr>
              <w:spacing w:before="36" w:line="360" w:lineRule="auto"/>
              <w:ind w:firstLine="612"/>
              <w:rPr>
                <w:rFonts w:hint="default" w:ascii="Times New Roman" w:hAnsi="Times New Roman" w:eastAsia="宋体" w:cs="Times New Roman"/>
                <w:color w:val="auto"/>
                <w:spacing w:val="-7"/>
                <w:sz w:val="24"/>
                <w:szCs w:val="24"/>
                <w:lang w:eastAsia="zh-CN"/>
              </w:rPr>
            </w:pPr>
          </w:p>
          <w:p w14:paraId="35239C02">
            <w:pPr>
              <w:spacing w:before="36" w:line="360" w:lineRule="auto"/>
              <w:ind w:firstLine="612"/>
              <w:rPr>
                <w:rFonts w:hint="default" w:ascii="Times New Roman" w:hAnsi="Times New Roman" w:eastAsia="宋体" w:cs="Times New Roman"/>
                <w:color w:val="auto"/>
                <w:spacing w:val="-7"/>
                <w:sz w:val="24"/>
                <w:szCs w:val="24"/>
                <w:lang w:eastAsia="zh-CN"/>
              </w:rPr>
            </w:pPr>
          </w:p>
          <w:p w14:paraId="571F35CC">
            <w:pPr>
              <w:spacing w:before="36" w:line="360" w:lineRule="auto"/>
              <w:ind w:firstLine="612"/>
              <w:rPr>
                <w:rFonts w:hint="default" w:ascii="Times New Roman" w:hAnsi="Times New Roman" w:eastAsia="宋体" w:cs="Times New Roman"/>
                <w:color w:val="auto"/>
                <w:spacing w:val="-7"/>
                <w:sz w:val="24"/>
                <w:szCs w:val="24"/>
                <w:lang w:eastAsia="zh-CN"/>
              </w:rPr>
            </w:pPr>
          </w:p>
          <w:p w14:paraId="5F96E8C4">
            <w:pPr>
              <w:spacing w:before="36" w:line="360" w:lineRule="auto"/>
              <w:ind w:firstLine="612"/>
              <w:rPr>
                <w:rFonts w:hint="default" w:ascii="Times New Roman" w:hAnsi="Times New Roman" w:eastAsia="宋体" w:cs="Times New Roman"/>
                <w:color w:val="auto"/>
                <w:spacing w:val="-7"/>
                <w:sz w:val="24"/>
                <w:szCs w:val="24"/>
                <w:lang w:eastAsia="zh-CN"/>
              </w:rPr>
            </w:pPr>
          </w:p>
          <w:p w14:paraId="7B4A9E15">
            <w:pPr>
              <w:spacing w:before="36" w:line="360" w:lineRule="auto"/>
              <w:ind w:firstLine="612"/>
              <w:rPr>
                <w:rFonts w:hint="default" w:ascii="Times New Roman" w:hAnsi="Times New Roman" w:eastAsia="宋体" w:cs="Times New Roman"/>
                <w:color w:val="auto"/>
                <w:spacing w:val="-7"/>
                <w:sz w:val="24"/>
                <w:szCs w:val="24"/>
                <w:lang w:eastAsia="zh-CN"/>
              </w:rPr>
            </w:pPr>
          </w:p>
          <w:p w14:paraId="6A472B51">
            <w:pPr>
              <w:spacing w:before="36" w:line="360" w:lineRule="auto"/>
              <w:ind w:firstLine="612"/>
              <w:rPr>
                <w:rFonts w:hint="default" w:ascii="Times New Roman" w:hAnsi="Times New Roman" w:eastAsia="宋体" w:cs="Times New Roman"/>
                <w:color w:val="auto"/>
                <w:spacing w:val="-7"/>
                <w:sz w:val="24"/>
                <w:szCs w:val="24"/>
                <w:lang w:eastAsia="zh-CN"/>
              </w:rPr>
            </w:pPr>
          </w:p>
          <w:p w14:paraId="25E179E3">
            <w:pPr>
              <w:spacing w:before="36" w:line="360" w:lineRule="auto"/>
              <w:ind w:firstLine="612"/>
              <w:rPr>
                <w:rFonts w:hint="default" w:ascii="Times New Roman" w:hAnsi="Times New Roman" w:eastAsia="宋体" w:cs="Times New Roman"/>
                <w:color w:val="auto"/>
                <w:spacing w:val="-7"/>
                <w:sz w:val="24"/>
                <w:szCs w:val="24"/>
                <w:lang w:eastAsia="zh-CN"/>
              </w:rPr>
            </w:pPr>
          </w:p>
          <w:p w14:paraId="6CFBBBBD">
            <w:pPr>
              <w:spacing w:before="36" w:line="360" w:lineRule="auto"/>
              <w:ind w:firstLine="612"/>
              <w:rPr>
                <w:rFonts w:hint="default" w:ascii="Times New Roman" w:hAnsi="Times New Roman" w:eastAsia="宋体" w:cs="Times New Roman"/>
                <w:color w:val="auto"/>
                <w:spacing w:val="-7"/>
                <w:sz w:val="24"/>
                <w:szCs w:val="24"/>
                <w:lang w:eastAsia="zh-CN"/>
              </w:rPr>
            </w:pPr>
          </w:p>
          <w:p w14:paraId="4A07B926">
            <w:pPr>
              <w:spacing w:before="36" w:line="360" w:lineRule="auto"/>
              <w:ind w:firstLine="612"/>
              <w:rPr>
                <w:rFonts w:hint="default" w:ascii="Times New Roman" w:hAnsi="Times New Roman" w:eastAsia="宋体" w:cs="Times New Roman"/>
                <w:color w:val="auto"/>
                <w:spacing w:val="-7"/>
                <w:sz w:val="24"/>
                <w:szCs w:val="24"/>
                <w:lang w:eastAsia="zh-CN"/>
              </w:rPr>
            </w:pPr>
          </w:p>
          <w:p w14:paraId="1AF389F0">
            <w:pPr>
              <w:spacing w:before="36" w:line="360" w:lineRule="auto"/>
              <w:ind w:firstLine="612"/>
              <w:rPr>
                <w:rFonts w:hint="default" w:ascii="Times New Roman" w:hAnsi="Times New Roman" w:eastAsia="宋体" w:cs="Times New Roman"/>
                <w:color w:val="auto"/>
                <w:spacing w:val="-7"/>
                <w:sz w:val="24"/>
                <w:szCs w:val="24"/>
                <w:lang w:eastAsia="zh-CN"/>
              </w:rPr>
            </w:pPr>
          </w:p>
          <w:p w14:paraId="43929776">
            <w:pPr>
              <w:spacing w:before="36" w:line="360" w:lineRule="auto"/>
              <w:ind w:firstLine="612"/>
              <w:rPr>
                <w:rFonts w:hint="default" w:ascii="Times New Roman" w:hAnsi="Times New Roman" w:eastAsia="宋体" w:cs="Times New Roman"/>
                <w:color w:val="auto"/>
                <w:spacing w:val="-7"/>
                <w:sz w:val="24"/>
                <w:szCs w:val="24"/>
                <w:lang w:eastAsia="zh-CN"/>
              </w:rPr>
            </w:pPr>
          </w:p>
          <w:p w14:paraId="11BE2ED8">
            <w:pPr>
              <w:spacing w:before="36" w:line="360" w:lineRule="auto"/>
              <w:ind w:firstLine="612"/>
              <w:rPr>
                <w:rFonts w:hint="default" w:ascii="Times New Roman" w:hAnsi="Times New Roman" w:eastAsia="宋体" w:cs="Times New Roman"/>
                <w:color w:val="auto"/>
                <w:spacing w:val="-7"/>
                <w:sz w:val="24"/>
                <w:szCs w:val="24"/>
                <w:lang w:eastAsia="zh-CN"/>
              </w:rPr>
            </w:pPr>
          </w:p>
          <w:p w14:paraId="3BDE2552">
            <w:pPr>
              <w:spacing w:before="36" w:line="360" w:lineRule="auto"/>
              <w:ind w:firstLine="612"/>
              <w:rPr>
                <w:rFonts w:hint="default" w:ascii="Times New Roman" w:hAnsi="Times New Roman" w:eastAsia="宋体" w:cs="Times New Roman"/>
                <w:color w:val="auto"/>
                <w:spacing w:val="-7"/>
                <w:sz w:val="24"/>
                <w:szCs w:val="24"/>
                <w:lang w:eastAsia="zh-CN"/>
              </w:rPr>
            </w:pPr>
          </w:p>
          <w:p w14:paraId="644540D6">
            <w:pPr>
              <w:spacing w:before="36" w:line="360" w:lineRule="auto"/>
              <w:ind w:firstLine="612"/>
              <w:rPr>
                <w:rFonts w:hint="default" w:ascii="Times New Roman" w:hAnsi="Times New Roman" w:eastAsia="宋体" w:cs="Times New Roman"/>
                <w:color w:val="auto"/>
                <w:spacing w:val="-7"/>
                <w:sz w:val="24"/>
                <w:szCs w:val="24"/>
                <w:lang w:eastAsia="zh-CN"/>
              </w:rPr>
            </w:pPr>
          </w:p>
          <w:p w14:paraId="344AE326">
            <w:pPr>
              <w:spacing w:before="36" w:line="360" w:lineRule="auto"/>
              <w:ind w:firstLine="612"/>
              <w:rPr>
                <w:rFonts w:hint="default" w:ascii="Times New Roman" w:hAnsi="Times New Roman" w:eastAsia="宋体" w:cs="Times New Roman"/>
                <w:color w:val="auto"/>
                <w:spacing w:val="-7"/>
                <w:sz w:val="24"/>
                <w:szCs w:val="24"/>
                <w:lang w:eastAsia="zh-CN"/>
              </w:rPr>
            </w:pPr>
          </w:p>
          <w:p w14:paraId="39CFD5E0">
            <w:pPr>
              <w:spacing w:before="36" w:line="360" w:lineRule="auto"/>
              <w:ind w:firstLine="612"/>
              <w:rPr>
                <w:rFonts w:hint="default" w:ascii="Times New Roman" w:hAnsi="Times New Roman" w:eastAsia="宋体" w:cs="Times New Roman"/>
                <w:color w:val="auto"/>
                <w:spacing w:val="-7"/>
                <w:sz w:val="24"/>
                <w:szCs w:val="24"/>
                <w:lang w:eastAsia="zh-CN"/>
              </w:rPr>
            </w:pPr>
          </w:p>
          <w:p w14:paraId="551A4C49">
            <w:pPr>
              <w:spacing w:before="36" w:line="360" w:lineRule="auto"/>
              <w:ind w:firstLine="612"/>
              <w:rPr>
                <w:rFonts w:hint="default" w:ascii="Times New Roman" w:hAnsi="Times New Roman" w:eastAsia="宋体" w:cs="Times New Roman"/>
                <w:color w:val="auto"/>
                <w:spacing w:val="-7"/>
                <w:sz w:val="24"/>
                <w:szCs w:val="24"/>
                <w:lang w:eastAsia="zh-CN"/>
              </w:rPr>
            </w:pPr>
          </w:p>
          <w:p w14:paraId="22137894">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7.5.4.3 品种设计及来源</w:t>
            </w:r>
          </w:p>
          <w:p w14:paraId="48AE54F1">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根据川农函〔2020〕290号，选择川羊肚菌10号，认定编号川认菌2020004。菌种来源以资阳市周边采购作为主要来源。</w:t>
            </w:r>
          </w:p>
          <w:p w14:paraId="16C8CE0E">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7.5.4.4 播种时间</w:t>
            </w:r>
          </w:p>
          <w:p w14:paraId="1D3B70C1">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2023年12月。</w:t>
            </w:r>
          </w:p>
          <w:p w14:paraId="06A45390">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7.5.4.5 播种密度</w:t>
            </w:r>
          </w:p>
          <w:p w14:paraId="0A91FF5D">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菌种用量为180kg /亩（150袋，1.2kg/袋），均匀撒播。</w:t>
            </w:r>
          </w:p>
          <w:p w14:paraId="451EE67C">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7.5.4.6 措施设计</w:t>
            </w:r>
          </w:p>
          <w:p w14:paraId="0C59A909">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清灌除草：清除林内地表杂草及小灌木。</w:t>
            </w:r>
          </w:p>
          <w:p w14:paraId="0488A14B">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整地：播种前一个月开始翻耕土地，并均匀施用生石灰30kg/亩，杀虫及调节酸碱度。播种前一周，将林地整理成厢沟，厢面宽1.1m，沟宽25cm，沟深20cm左右，平整厢面。</w:t>
            </w:r>
          </w:p>
          <w:p w14:paraId="0911F727">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播种：采用厢上条播，行距20cm，沟宽10cm，沟深5cm，沟底平整，将菌种掰成玉米粒大小菌块，均匀撒播在沟里，然后覆土2cm，将水浇透，以能够显著观察到有水从溢出到沟内为佳，沟内积水时间不宜超过1小时，一旦出现积水时间过长的问题便要及时进行排水处理。</w:t>
            </w:r>
          </w:p>
          <w:p w14:paraId="79644650">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覆膜：厢面覆盖黑色地膜200m2/亩，保湿发菌，地膜应提前打孔以满足菌丝生长的氧气需要，孔径1cm，孔间距30cm。</w:t>
            </w:r>
          </w:p>
          <w:p w14:paraId="367E89DF">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摆放营养袋：播种后一周左右，菌丝出土，厢面土壤变白形成“菌霜”，表面出现大量孢子时要立即放置营养袋。先用刀片在营养袋面划“十”字，注意应避免培养料掉落。掀开地膜，营养袋开口面朝下，紧贴土壤，轻轻压实，划口不可暴露于外面以免杂菌浸染，再盖回地膜。营养袋应随机交叉放置，营养袋的用量为2000袋/亩，0.6kg/袋。</w:t>
            </w:r>
          </w:p>
          <w:p w14:paraId="486D3EC1">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水分管理：全过程用水10t/亩。</w:t>
            </w:r>
          </w:p>
          <w:p w14:paraId="21DB5B20">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催菌与出菇管理</w:t>
            </w:r>
          </w:p>
          <w:p w14:paraId="34B4F015">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1）羊肚菌越冬茬在播种经历约45天的发菌以及营养储备阶段后，会在气温回暖的情况下达到生理成熟期。在羊肚菌初步形成原基，并且温度适宜的情况下，种植人员便可揭去地膜晾晒羊肚菌幼菇2天左右，并适当采用浇水催菌措施，在彻底浇透后持续晾晒天，而后重新覆盖地膜，同时用竹签等物体固定薄膜，必须保证地膜的边缘紧贴地面。</w:t>
            </w:r>
          </w:p>
          <w:p w14:paraId="0705C210">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2）出菇期间的光照管理需要遵循三分阳、七分阴的原则。在子实体的生长与发育期间内，至少需要设置80%以上的荫蔽，避免光照过强对子实体顶部造成的灼伤，同时也要避免光照程度过弱，导致 子实体滋生木霉菌。</w:t>
            </w:r>
          </w:p>
          <w:p w14:paraId="03A15E8F">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3）种植区域内出现大量原基后10天左右需要进行提膜通风处理，通风的力度可以参照大棚内部中心区域的杂草晃动程度，以杂草受风影响轻微摆动为佳。在幼菇成长至4~5cm时，利用竹签固定地膜向上提高5cm左右，以此为羊肚菌提供更充裕的生长环境；2天左右之后，菌盖的颜色会逐渐变深，以此为信号，利用竹签将地膜向上提高10cm左右。同时土壤湿度需要保持在40%~50%，如土壤湿度未达标准，可用雾化喷头持续喷水5~10次，平均每次喷水维持１分钟左右。</w:t>
            </w:r>
          </w:p>
          <w:p w14:paraId="24576B8E">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病虫害防治</w:t>
            </w:r>
          </w:p>
          <w:p w14:paraId="5F22116A">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羊肚菌病虫害防治应以“预防为主、综合防治”为原则，选择抗性品种，尽量避免重茬种植，播种前清除土壤中废弃物，减施农家肥，深耕土地后暴晒并撒生石灰可以有效的防止病虫害的发生。羊肚菌栽</w:t>
            </w:r>
          </w:p>
          <w:p w14:paraId="7D7030A9">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培过程中如遇高温高湿环境，易引起包括镰刀菌、链孢霉、鬼伞等真菌性病害和软腐病、红体病等细菌性病害，应注意及时搭盖遮阳网遮阴和适当通风降温排湿。如出菇阶段发生病害，应摘除发病羊肚菌并撒生石灰以杀灭细菌。羊肚菌虫害主要包括蛞蝓、蜗牛、跳虫、蚊、蝇等。蛞蝓和蜗牛可以人工捕捉或采用毒饵诱杀，蚊蝇类害虫可采用黄板纸和灭蚊灯进行物理诱杀。</w:t>
            </w:r>
          </w:p>
          <w:p w14:paraId="18806C3A">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7.5.4.7 采收和保存</w:t>
            </w:r>
          </w:p>
          <w:p w14:paraId="4C854863">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子实体出土7~10天后成熟，当羊肚菌菌盖色泽由深灰色变至褐黄色、菌盖表面的蜂窝状凹陷充分伸展时即可采收。应及时采收，否则会产生虫害，羊肚菌品质下降，商品价值降低。采摘尽量选择晴天和阴天的早上进行，尽量避免雨天以及前后多雨的天气。采收时应注意不要碰到菌盖，以免造成菌盖损伤，造成外观、品质的下降，用小刀在菌柄根部齐地面割下，以此保证羊肚菌的完整性。此外采收存放工具尽量使用硬度比较大且受力面积大的工具，如纸箱、竹篮、塑料盒等，避免使用麻袋、塑料口袋等不易定型工具。</w:t>
            </w:r>
          </w:p>
          <w:p w14:paraId="2B7B4CEE">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7.5.5 林下花卉</w:t>
            </w:r>
          </w:p>
          <w:p w14:paraId="1F288E44">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7.5.5.1 选址设计</w:t>
            </w:r>
          </w:p>
          <w:p w14:paraId="7818F7E2">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林下花卉建设采用地栽和温室大棚（租用）两种培育方式。地栽方式选择特色经济林地块林下套种。</w:t>
            </w:r>
          </w:p>
          <w:p w14:paraId="1CE3F214">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7.5.5.2 模型设计品种设计及来源</w:t>
            </w:r>
          </w:p>
          <w:p w14:paraId="2993F5CC">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玉簪、鸢尾、绣球花、二月兰等。</w:t>
            </w:r>
          </w:p>
          <w:p w14:paraId="36485F60">
            <w:pPr>
              <w:spacing w:before="36" w:line="360" w:lineRule="auto"/>
              <w:ind w:firstLine="612"/>
              <w:rPr>
                <w:rFonts w:hint="default" w:ascii="Times New Roman" w:hAnsi="Times New Roman" w:eastAsia="宋体" w:cs="Times New Roman"/>
                <w:b/>
                <w:bCs/>
                <w:color w:val="auto"/>
                <w:spacing w:val="-7"/>
                <w:sz w:val="24"/>
                <w:szCs w:val="24"/>
                <w:lang w:val="en-US" w:eastAsia="zh-CN"/>
              </w:rPr>
            </w:pPr>
            <w:r>
              <w:rPr>
                <w:rFonts w:hint="default" w:ascii="Times New Roman" w:hAnsi="Times New Roman" w:eastAsia="宋体" w:cs="Times New Roman"/>
                <w:b/>
                <w:bCs/>
                <w:color w:val="auto"/>
                <w:spacing w:val="-7"/>
                <w:sz w:val="24"/>
                <w:szCs w:val="24"/>
                <w:lang w:val="en-US" w:eastAsia="zh-CN"/>
              </w:rPr>
              <w:t xml:space="preserve">7.5.5.3 栽植技术要点 </w:t>
            </w:r>
          </w:p>
          <w:p w14:paraId="3DE29699">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 xml:space="preserve">1、种植地的选择 </w:t>
            </w:r>
          </w:p>
          <w:p w14:paraId="3E11F18C">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 xml:space="preserve">交通便利、坡度平缓、温暖湿润、地下腐殖质土深厚、通透性好、排灌方便的园地作为首选地块。 </w:t>
            </w:r>
          </w:p>
          <w:p w14:paraId="2604854C">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 xml:space="preserve">2、二月兰栽培技术 </w:t>
            </w:r>
          </w:p>
          <w:p w14:paraId="1545C9B9">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田间管理间苗与补苗：直播苗可在苗高8-10厘米时间苗，株距10-15厘米。移植苗在移栽1周后检查移栽苗成活情况，如有缺苗要及时补栽。</w:t>
            </w:r>
          </w:p>
          <w:p w14:paraId="104C6E49">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除草与松土：间苗和移栽成活后，要进行一次中耕除草，使表土疏松，保持下部土壤湿润，促进幼苗根系深扎。当叶片长到5厘米以上时，即可摘取莲座外围叶片上市销售。</w:t>
            </w:r>
          </w:p>
          <w:p w14:paraId="2CDE4524">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施肥：摘除外围叶片后，要及时追施人畜粪水或速效氮肥促苗生长，以后根据条件可酌情再追施1次磷、钾肥，提高开花和结果量。</w:t>
            </w:r>
          </w:p>
          <w:p w14:paraId="0621F9AD">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病虫害防治：二月兰的病虫害少，偶有蚜虫、红蜘蛛及锈病危害。防治方法：一是要合理密植，二是平时要加强肥水管理，增强植株抗病能力，减少发病率，三是在发病初期喷1:1:100的波尔多液进行防治。蚜虫吸取嫩茎叶的汁液，引起叶片和花蕾卷曲，生长缓慢，产量锐减，4-6月虫害严重。防治方法是在虫害发生期喷40%乐果乳1500-2000倍液。防治红蜘蛛可用杀螨灵。</w:t>
            </w:r>
          </w:p>
          <w:p w14:paraId="2C8C4E7F">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3、玉簪栽培技术</w:t>
            </w:r>
          </w:p>
          <w:p w14:paraId="238FC577">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（1）浇水</w:t>
            </w:r>
          </w:p>
          <w:p w14:paraId="5AFED990">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玉簪喜潮湿的环境，在其生长期要保持土壤湿润。夏季浇水要勤，最好早上9点之前、下午4点之后各浇一次水。温度较低的天诚者阴雨天则少浇或不浇。注意花盆内不要积水。</w:t>
            </w:r>
          </w:p>
          <w:p w14:paraId="3B5895FA">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（2）温度</w:t>
            </w:r>
          </w:p>
          <w:p w14:paraId="6FC32061">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玉簪虽然喜欢温暖的气候，但在夏季高温季节生长缓慢。此时，可通过加强空对流或将其周围地面喷湿的办法来降低环境温度。冬天环境温度低于0℃时，最好将玉簪放在温暖的室内。如果温度更低时，可用薄膜将它包起来，不过隔两天最好就在中午时把薄膜掀开让它透透气。来年3-4月份温度回升时，可将其搬至室外。</w:t>
            </w:r>
          </w:p>
          <w:p w14:paraId="30D7D4F1">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（3）光照</w:t>
            </w:r>
          </w:p>
          <w:p w14:paraId="3372A60E">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将玉簪置于室内养护时，应当放在有明亮光线的地方。春、秋、冬三季阳光不是太强烈，可将玉簪置于能直接接受阳光照射的地方。玉簪夏季高温时节要避免阳光直射，否则植株叶片容易发黄、焦枯。</w:t>
            </w:r>
          </w:p>
          <w:p w14:paraId="3E70E43A">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（4）施肥</w:t>
            </w:r>
          </w:p>
          <w:p w14:paraId="715258D5">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秋季，可对玉簪的幼苗勤施肥。冬季，玉簪生长较慢，对肥水要求不多，可间隔1-2个月为其施肥次。春季，玉簪生长速度较快，并逐渐进入开花期，对肥水要求很大，可一周左右为其施肥一次，不过要注意，晴天间隔时间短些，阴雨天间隔时间长些。</w:t>
            </w:r>
          </w:p>
          <w:p w14:paraId="270EF668">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（5）病虫害防治</w:t>
            </w:r>
          </w:p>
          <w:p w14:paraId="7D10CBA8">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应注意加强管理施足肥料，培育壮苗，防雨遮荫，定植后适时浇水，防止大水漫灌。加强棚室通风，降低温度。及时清除病残体。发病初期，及时摘除病叶，然后立即喷药防治。</w:t>
            </w:r>
          </w:p>
          <w:p w14:paraId="336048D9">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4、鸢尾栽培技术</w:t>
            </w:r>
          </w:p>
          <w:p w14:paraId="2B807BA7">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鸢尾多采用分株、播种法进行繁殖。春季开花，花期三个月左右，4~6月。分株春季花后或秋季进行均可，一般种植2~4年后分栽1次。</w:t>
            </w:r>
          </w:p>
          <w:p w14:paraId="66559AFB">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分割根茎时，注意每块应具有2~3个不定芽。种子成熟后应立即播种，实生苗需要2~3年才能开花。栽植距离45~60厘米，栽植深度7~8厘米为宜。亦可以进行促成栽培。</w:t>
            </w:r>
          </w:p>
          <w:p w14:paraId="49F1721A">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5、绣球花栽培技术</w:t>
            </w:r>
          </w:p>
          <w:p w14:paraId="1F663688">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繁殖以扦插为主，也可用压条和嫁接法繁殖。扦插在春季或雨季选取幼龄母树上的健壮嫩枝作插穗，插条长12～20 厘米，插穗基部需带节，并蘸以泥浆，插后需遮荫，经常保持湿润，约1个月发根，成活后第二年移植。南方可露地栽培，北方则需要盆栽温室越冬。移植适在落叶后或萌芽前进行，植株需带宿土。管理粗放，主枝易萌发徒长枝，花后需适当修剪，以整树形。适当浇水、追肥，年年开花繁茂。</w:t>
            </w:r>
          </w:p>
          <w:p w14:paraId="677AFFC1">
            <w:pPr>
              <w:spacing w:before="36" w:line="360" w:lineRule="auto"/>
              <w:ind w:firstLine="612"/>
              <w:rPr>
                <w:rFonts w:hint="default" w:ascii="Times New Roman" w:hAnsi="Times New Roman" w:eastAsia="宋体" w:cs="Times New Roman"/>
                <w:b/>
                <w:bCs/>
                <w:color w:val="auto"/>
                <w:spacing w:val="-7"/>
                <w:sz w:val="24"/>
                <w:szCs w:val="24"/>
                <w:lang w:eastAsia="zh-CN"/>
              </w:rPr>
            </w:pPr>
            <w:r>
              <w:rPr>
                <w:rFonts w:hint="default" w:ascii="Times New Roman" w:hAnsi="Times New Roman" w:eastAsia="宋体" w:cs="Times New Roman"/>
                <w:b/>
                <w:bCs/>
                <w:color w:val="auto"/>
                <w:spacing w:val="-7"/>
                <w:sz w:val="24"/>
                <w:szCs w:val="24"/>
                <w:lang w:val="en-US" w:eastAsia="zh-CN"/>
              </w:rPr>
              <w:t>8、材料及用工量</w:t>
            </w:r>
          </w:p>
          <w:p w14:paraId="4FEF85B9">
            <w:pPr>
              <w:spacing w:before="36" w:line="360" w:lineRule="auto"/>
              <w:ind w:firstLine="612"/>
              <w:rPr>
                <w:rFonts w:hint="default" w:ascii="Times New Roman" w:hAnsi="Times New Roman" w:eastAsia="宋体" w:cs="Times New Roman"/>
                <w:b/>
                <w:bCs/>
                <w:color w:val="auto"/>
                <w:spacing w:val="-7"/>
                <w:sz w:val="24"/>
                <w:szCs w:val="24"/>
                <w:u w:val="single"/>
                <w:lang w:eastAsia="zh-CN"/>
              </w:rPr>
            </w:pPr>
            <w:r>
              <w:rPr>
                <w:rFonts w:hint="default" w:ascii="Times New Roman" w:hAnsi="Times New Roman" w:eastAsia="宋体" w:cs="Times New Roman"/>
                <w:b/>
                <w:bCs/>
                <w:color w:val="auto"/>
                <w:spacing w:val="-7"/>
                <w:sz w:val="24"/>
                <w:szCs w:val="24"/>
                <w:u w:val="single"/>
                <w:lang w:eastAsia="zh-CN"/>
              </w:rPr>
              <w:t>8.1 苗木用量</w:t>
            </w:r>
          </w:p>
          <w:p w14:paraId="5A9CD822">
            <w:pPr>
              <w:spacing w:before="36" w:line="360" w:lineRule="auto"/>
              <w:ind w:firstLine="612"/>
              <w:rPr>
                <w:rFonts w:hint="default" w:ascii="Times New Roman" w:hAnsi="Times New Roman" w:eastAsia="宋体" w:cs="Times New Roman"/>
                <w:b/>
                <w:bCs/>
                <w:color w:val="auto"/>
                <w:spacing w:val="-7"/>
                <w:sz w:val="24"/>
                <w:szCs w:val="24"/>
                <w:u w:val="none"/>
                <w:lang w:eastAsia="zh-CN"/>
              </w:rPr>
            </w:pPr>
            <w:r>
              <w:rPr>
                <w:rFonts w:hint="default" w:ascii="Times New Roman" w:hAnsi="Times New Roman" w:eastAsia="宋体" w:cs="Times New Roman"/>
                <w:b/>
                <w:bCs/>
                <w:color w:val="auto"/>
                <w:spacing w:val="-7"/>
                <w:sz w:val="24"/>
                <w:szCs w:val="24"/>
                <w:u w:val="none"/>
                <w:lang w:eastAsia="zh-CN"/>
              </w:rPr>
              <w:t>8.1.1 苗木种类</w:t>
            </w:r>
          </w:p>
          <w:p w14:paraId="5F7189FC">
            <w:pPr>
              <w:spacing w:before="36" w:line="360" w:lineRule="auto"/>
              <w:ind w:firstLine="612"/>
              <w:rPr>
                <w:rFonts w:hint="default" w:ascii="Times New Roman" w:hAnsi="Times New Roman" w:eastAsia="宋体" w:cs="Times New Roman"/>
                <w:color w:val="auto"/>
              </w:rPr>
            </w:pPr>
            <w:r>
              <w:rPr>
                <w:rFonts w:hint="default" w:ascii="Times New Roman" w:hAnsi="Times New Roman" w:eastAsia="宋体" w:cs="Times New Roman"/>
                <w:color w:val="auto"/>
                <w:spacing w:val="-7"/>
                <w:sz w:val="24"/>
                <w:szCs w:val="24"/>
                <w:lang w:eastAsia="zh-CN"/>
              </w:rPr>
              <w:t>本项目栽植的苗木种类为黄柏、香樟、栾树、枫香、乌桕、银杏、多花黄精、玉簪、鸢尾、绣球花、二月兰</w:t>
            </w:r>
            <w:r>
              <w:rPr>
                <w:rFonts w:hint="default" w:ascii="Times New Roman" w:hAnsi="Times New Roman" w:eastAsia="宋体" w:cs="Times New Roman"/>
                <w:color w:val="auto"/>
              </w:rPr>
              <w:t>。</w:t>
            </w:r>
          </w:p>
          <w:p w14:paraId="748DD831">
            <w:pPr>
              <w:spacing w:before="36" w:line="360" w:lineRule="auto"/>
              <w:ind w:firstLine="612"/>
              <w:rPr>
                <w:rFonts w:hint="default" w:ascii="Times New Roman" w:hAnsi="Times New Roman" w:eastAsia="宋体" w:cs="Times New Roman"/>
                <w:b/>
                <w:bCs/>
                <w:color w:val="auto"/>
                <w:spacing w:val="-7"/>
                <w:sz w:val="24"/>
                <w:szCs w:val="24"/>
                <w:u w:val="none"/>
                <w:lang w:eastAsia="zh-CN"/>
              </w:rPr>
            </w:pPr>
            <w:r>
              <w:rPr>
                <w:rFonts w:hint="default" w:ascii="Times New Roman" w:hAnsi="Times New Roman" w:eastAsia="宋体" w:cs="Times New Roman"/>
                <w:b/>
                <w:bCs/>
                <w:color w:val="auto"/>
                <w:spacing w:val="-7"/>
                <w:sz w:val="24"/>
                <w:szCs w:val="24"/>
                <w:u w:val="none"/>
                <w:lang w:eastAsia="zh-CN"/>
              </w:rPr>
              <w:t>8.1.2 苗木质量、规格及需求量</w:t>
            </w:r>
          </w:p>
          <w:p w14:paraId="48C5BEE9">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根据林分的培育目标，结合立地条件，选准和选好树种、品种，项目树种苗木选用《四川主要造林树种苗木质量分级》（DB51/T 705－2023）规定的I级苗标准。苗木需生长壮实，根系发达，无机械损伤，无病虫害。苗木规格和质量要求详见</w:t>
            </w:r>
            <w:r>
              <w:rPr>
                <w:rFonts w:hint="default" w:ascii="Times New Roman" w:hAnsi="Times New Roman" w:eastAsia="宋体" w:cs="Times New Roman"/>
                <w:color w:val="auto"/>
                <w:spacing w:val="-7"/>
                <w:sz w:val="24"/>
                <w:szCs w:val="24"/>
                <w:lang w:val="en-US" w:eastAsia="zh-CN"/>
              </w:rPr>
              <w:t>下</w:t>
            </w:r>
            <w:r>
              <w:rPr>
                <w:rFonts w:hint="default" w:ascii="Times New Roman" w:hAnsi="Times New Roman" w:eastAsia="宋体" w:cs="Times New Roman"/>
                <w:color w:val="auto"/>
                <w:spacing w:val="-7"/>
                <w:sz w:val="24"/>
                <w:szCs w:val="24"/>
                <w:lang w:eastAsia="zh-CN"/>
              </w:rPr>
              <w:t>表。</w:t>
            </w:r>
          </w:p>
          <w:p w14:paraId="40E845D2">
            <w:pPr>
              <w:spacing w:before="61"/>
              <w:jc w:val="center"/>
              <w:rPr>
                <w:rFonts w:hint="default" w:ascii="Times New Roman" w:hAnsi="Times New Roman" w:eastAsia="宋体" w:cs="Times New Roman"/>
                <w:b/>
                <w:bCs/>
                <w:color w:val="auto"/>
                <w:lang w:eastAsia="zh-CN"/>
              </w:rPr>
            </w:pPr>
            <w:r>
              <w:rPr>
                <w:rFonts w:hint="default" w:ascii="Times New Roman" w:hAnsi="Times New Roman" w:eastAsia="宋体" w:cs="Times New Roman"/>
                <w:b/>
                <w:bCs/>
                <w:color w:val="auto"/>
              </w:rPr>
              <w:t>表</w:t>
            </w:r>
            <w:r>
              <w:rPr>
                <w:rFonts w:hint="default" w:ascii="Times New Roman" w:hAnsi="Times New Roman" w:eastAsia="宋体" w:cs="Times New Roman"/>
                <w:b/>
                <w:bCs/>
                <w:color w:val="auto"/>
                <w:lang w:val="en-US" w:eastAsia="zh-CN"/>
              </w:rPr>
              <w:t>2</w:t>
            </w:r>
            <w:r>
              <w:rPr>
                <w:rFonts w:hint="default" w:ascii="Times New Roman" w:hAnsi="Times New Roman" w:eastAsia="宋体" w:cs="Times New Roman"/>
                <w:b/>
                <w:bCs/>
                <w:color w:val="auto"/>
              </w:rPr>
              <w:t>-1</w:t>
            </w:r>
            <w:r>
              <w:rPr>
                <w:rFonts w:hint="default" w:ascii="Times New Roman" w:hAnsi="Times New Roman" w:eastAsia="宋体" w:cs="Times New Roman"/>
                <w:b/>
                <w:bCs/>
                <w:color w:val="auto"/>
                <w:lang w:val="en-US" w:eastAsia="zh-CN"/>
              </w:rPr>
              <w:t xml:space="preserve">2 </w:t>
            </w:r>
            <w:r>
              <w:rPr>
                <w:rFonts w:hint="default" w:ascii="Times New Roman" w:hAnsi="Times New Roman" w:eastAsia="宋体" w:cs="Times New Roman"/>
                <w:b/>
                <w:bCs/>
                <w:color w:val="auto"/>
              </w:rPr>
              <w:t xml:space="preserve"> 苗木规格和质量一览表</w:t>
            </w:r>
          </w:p>
          <w:tbl>
            <w:tblPr>
              <w:tblStyle w:val="32"/>
              <w:tblW w:w="8220" w:type="dxa"/>
              <w:jc w:val="center"/>
              <w:tblLayout w:type="fixed"/>
              <w:tblCellMar>
                <w:top w:w="0" w:type="dxa"/>
                <w:left w:w="108" w:type="dxa"/>
                <w:bottom w:w="0" w:type="dxa"/>
                <w:right w:w="108" w:type="dxa"/>
              </w:tblCellMar>
            </w:tblPr>
            <w:tblGrid>
              <w:gridCol w:w="450"/>
              <w:gridCol w:w="1763"/>
              <w:gridCol w:w="6007"/>
            </w:tblGrid>
            <w:tr w14:paraId="7ED1B3B5">
              <w:tblPrEx>
                <w:tblCellMar>
                  <w:top w:w="0" w:type="dxa"/>
                  <w:left w:w="108" w:type="dxa"/>
                  <w:bottom w:w="0" w:type="dxa"/>
                  <w:right w:w="108" w:type="dxa"/>
                </w:tblCellMar>
              </w:tblPrEx>
              <w:trPr>
                <w:trHeight w:val="850" w:hRule="exact"/>
                <w:jc w:val="center"/>
              </w:trPr>
              <w:tc>
                <w:tcPr>
                  <w:tcW w:w="2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90A25E">
                  <w:pPr>
                    <w:keepNext w:val="0"/>
                    <w:keepLines w:val="0"/>
                    <w:pageBreakBefore w:val="0"/>
                    <w:widowControl/>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序号</w:t>
                  </w:r>
                </w:p>
              </w:tc>
              <w:tc>
                <w:tcPr>
                  <w:tcW w:w="10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A28263">
                  <w:pPr>
                    <w:keepNext w:val="0"/>
                    <w:keepLines w:val="0"/>
                    <w:pageBreakBefore w:val="0"/>
                    <w:widowControl/>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树种名称</w:t>
                  </w:r>
                </w:p>
              </w:tc>
              <w:tc>
                <w:tcPr>
                  <w:tcW w:w="3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BE802D">
                  <w:pPr>
                    <w:keepNext w:val="0"/>
                    <w:keepLines w:val="0"/>
                    <w:pageBreakBefore w:val="0"/>
                    <w:widowControl/>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苗木规格</w:t>
                  </w:r>
                </w:p>
              </w:tc>
            </w:tr>
            <w:tr w14:paraId="5FECC95B">
              <w:tblPrEx>
                <w:tblCellMar>
                  <w:top w:w="0" w:type="dxa"/>
                  <w:left w:w="108" w:type="dxa"/>
                  <w:bottom w:w="0" w:type="dxa"/>
                  <w:right w:w="108" w:type="dxa"/>
                </w:tblCellMar>
              </w:tblPrEx>
              <w:trPr>
                <w:trHeight w:val="850" w:hRule="exact"/>
                <w:jc w:val="center"/>
              </w:trPr>
              <w:tc>
                <w:tcPr>
                  <w:tcW w:w="2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448F8C">
                  <w:pPr>
                    <w:keepNext w:val="0"/>
                    <w:keepLines w:val="0"/>
                    <w:pageBreakBefore w:val="0"/>
                    <w:widowControl/>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w:t>
                  </w:r>
                </w:p>
              </w:tc>
              <w:tc>
                <w:tcPr>
                  <w:tcW w:w="10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5EC894">
                  <w:pPr>
                    <w:keepNext w:val="0"/>
                    <w:keepLines w:val="0"/>
                    <w:pageBreakBefore w:val="0"/>
                    <w:widowControl/>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val="en-US" w:eastAsia="zh-CN"/>
                    </w:rPr>
                    <w:t>黄柏（川黄檗）</w:t>
                  </w:r>
                </w:p>
                <w:p w14:paraId="6F679068">
                  <w:pPr>
                    <w:keepNext w:val="0"/>
                    <w:keepLines w:val="0"/>
                    <w:pageBreakBefore w:val="0"/>
                    <w:widowControl/>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iCs/>
                      <w:color w:val="auto"/>
                      <w:kern w:val="0"/>
                      <w:sz w:val="21"/>
                      <w:szCs w:val="21"/>
                      <w:highlight w:val="none"/>
                    </w:rPr>
                    <w:t>Phellodendron chinense Schneid.</w:t>
                  </w:r>
                </w:p>
              </w:tc>
              <w:tc>
                <w:tcPr>
                  <w:tcW w:w="3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A7C2F6">
                  <w:pPr>
                    <w:keepNext w:val="0"/>
                    <w:keepLines w:val="0"/>
                    <w:pageBreakBefore w:val="0"/>
                    <w:widowControl/>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1年生、营养钵苗，地径≥0.8cm、苗高≥0.8m、根系发达无机械损伤、无病虫害。</w:t>
                  </w:r>
                </w:p>
              </w:tc>
            </w:tr>
            <w:tr w14:paraId="381AC992">
              <w:tblPrEx>
                <w:tblCellMar>
                  <w:top w:w="0" w:type="dxa"/>
                  <w:left w:w="108" w:type="dxa"/>
                  <w:bottom w:w="0" w:type="dxa"/>
                  <w:right w:w="108" w:type="dxa"/>
                </w:tblCellMar>
              </w:tblPrEx>
              <w:trPr>
                <w:trHeight w:val="850" w:hRule="exact"/>
                <w:jc w:val="center"/>
              </w:trPr>
              <w:tc>
                <w:tcPr>
                  <w:tcW w:w="2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EE19F5">
                  <w:pPr>
                    <w:keepNext w:val="0"/>
                    <w:keepLines w:val="0"/>
                    <w:pageBreakBefore w:val="0"/>
                    <w:widowControl/>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w:t>
                  </w:r>
                </w:p>
              </w:tc>
              <w:tc>
                <w:tcPr>
                  <w:tcW w:w="10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EC421F">
                  <w:pPr>
                    <w:keepNext w:val="0"/>
                    <w:keepLines w:val="0"/>
                    <w:pageBreakBefore w:val="0"/>
                    <w:widowControl/>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银杏</w:t>
                  </w:r>
                </w:p>
                <w:p w14:paraId="7830138F">
                  <w:pPr>
                    <w:keepNext w:val="0"/>
                    <w:keepLines w:val="0"/>
                    <w:pageBreakBefore w:val="0"/>
                    <w:widowControl/>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i/>
                      <w:iCs/>
                      <w:caps w:val="0"/>
                      <w:color w:val="auto"/>
                      <w:spacing w:val="0"/>
                      <w:sz w:val="21"/>
                      <w:szCs w:val="21"/>
                      <w:highlight w:val="none"/>
                      <w:shd w:val="clear" w:fill="FFFFFF"/>
                    </w:rPr>
                    <w:t>Ginkgo biloba</w:t>
                  </w:r>
                  <w:r>
                    <w:rPr>
                      <w:rFonts w:hint="default" w:ascii="Times New Roman" w:hAnsi="Times New Roman" w:eastAsia="宋体" w:cs="Times New Roman"/>
                      <w:i w:val="0"/>
                      <w:iCs w:val="0"/>
                      <w:caps w:val="0"/>
                      <w:color w:val="auto"/>
                      <w:spacing w:val="0"/>
                      <w:sz w:val="21"/>
                      <w:szCs w:val="21"/>
                      <w:highlight w:val="none"/>
                      <w:shd w:val="clear" w:fill="FFFFFF"/>
                    </w:rPr>
                    <w:t> L.</w:t>
                  </w:r>
                </w:p>
              </w:tc>
              <w:tc>
                <w:tcPr>
                  <w:tcW w:w="3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D8277E">
                  <w:pPr>
                    <w:keepNext w:val="0"/>
                    <w:keepLines w:val="0"/>
                    <w:pageBreakBefore w:val="0"/>
                    <w:widowControl/>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土球苗，胸径＞3cm、苗高＞4m、土球直径＞30cm，土球厚度＞30cm</w:t>
                  </w:r>
                </w:p>
              </w:tc>
            </w:tr>
            <w:tr w14:paraId="5F74A49A">
              <w:tblPrEx>
                <w:tblCellMar>
                  <w:top w:w="0" w:type="dxa"/>
                  <w:left w:w="108" w:type="dxa"/>
                  <w:bottom w:w="0" w:type="dxa"/>
                  <w:right w:w="108" w:type="dxa"/>
                </w:tblCellMar>
              </w:tblPrEx>
              <w:trPr>
                <w:trHeight w:val="850" w:hRule="exact"/>
                <w:jc w:val="center"/>
              </w:trPr>
              <w:tc>
                <w:tcPr>
                  <w:tcW w:w="2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7FEAF1">
                  <w:pPr>
                    <w:keepNext w:val="0"/>
                    <w:keepLines w:val="0"/>
                    <w:pageBreakBefore w:val="0"/>
                    <w:widowControl/>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3</w:t>
                  </w:r>
                </w:p>
              </w:tc>
              <w:tc>
                <w:tcPr>
                  <w:tcW w:w="10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1987EC">
                  <w:pPr>
                    <w:keepNext w:val="0"/>
                    <w:keepLines w:val="0"/>
                    <w:pageBreakBefore w:val="0"/>
                    <w:widowControl/>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枫香</w:t>
                  </w:r>
                </w:p>
                <w:p w14:paraId="166F974A">
                  <w:pPr>
                    <w:keepNext w:val="0"/>
                    <w:keepLines w:val="0"/>
                    <w:pageBreakBefore w:val="0"/>
                    <w:widowControl/>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i/>
                      <w:iCs/>
                      <w:caps w:val="0"/>
                      <w:color w:val="auto"/>
                      <w:spacing w:val="0"/>
                      <w:sz w:val="21"/>
                      <w:szCs w:val="21"/>
                      <w:highlight w:val="none"/>
                      <w:shd w:val="clear" w:fill="FFFFFF"/>
                    </w:rPr>
                    <w:t>Liquidambar formosana</w:t>
                  </w:r>
                  <w:r>
                    <w:rPr>
                      <w:rFonts w:hint="default" w:ascii="Times New Roman" w:hAnsi="Times New Roman" w:eastAsia="宋体" w:cs="Times New Roman"/>
                      <w:i w:val="0"/>
                      <w:iCs w:val="0"/>
                      <w:caps w:val="0"/>
                      <w:color w:val="auto"/>
                      <w:spacing w:val="0"/>
                      <w:sz w:val="21"/>
                      <w:szCs w:val="21"/>
                      <w:highlight w:val="none"/>
                      <w:shd w:val="clear" w:fill="FFFFFF"/>
                    </w:rPr>
                    <w:t> Hance</w:t>
                  </w:r>
                </w:p>
              </w:tc>
              <w:tc>
                <w:tcPr>
                  <w:tcW w:w="3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D0381A">
                  <w:pPr>
                    <w:keepNext w:val="0"/>
                    <w:keepLines w:val="0"/>
                    <w:pageBreakBefore w:val="0"/>
                    <w:widowControl/>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土球苗，胸径＞3cm、苗高＞2.8m、土球直径＞30cm，土球厚度＞30cm</w:t>
                  </w:r>
                </w:p>
              </w:tc>
            </w:tr>
            <w:tr w14:paraId="76917ED4">
              <w:tblPrEx>
                <w:tblCellMar>
                  <w:top w:w="0" w:type="dxa"/>
                  <w:left w:w="108" w:type="dxa"/>
                  <w:bottom w:w="0" w:type="dxa"/>
                  <w:right w:w="108" w:type="dxa"/>
                </w:tblCellMar>
              </w:tblPrEx>
              <w:trPr>
                <w:trHeight w:val="850" w:hRule="exact"/>
                <w:jc w:val="center"/>
              </w:trPr>
              <w:tc>
                <w:tcPr>
                  <w:tcW w:w="2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8C2905">
                  <w:pPr>
                    <w:keepNext w:val="0"/>
                    <w:keepLines w:val="0"/>
                    <w:pageBreakBefore w:val="0"/>
                    <w:widowControl/>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4</w:t>
                  </w:r>
                </w:p>
              </w:tc>
              <w:tc>
                <w:tcPr>
                  <w:tcW w:w="10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A90EC8">
                  <w:pPr>
                    <w:keepNext w:val="0"/>
                    <w:keepLines w:val="0"/>
                    <w:pageBreakBefore w:val="0"/>
                    <w:widowControl/>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栾树</w:t>
                  </w:r>
                </w:p>
                <w:p w14:paraId="7CD480C8">
                  <w:pPr>
                    <w:keepNext w:val="0"/>
                    <w:keepLines w:val="0"/>
                    <w:pageBreakBefore w:val="0"/>
                    <w:widowControl/>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Koelreuteria bipinnata Franch.</w:t>
                  </w:r>
                </w:p>
              </w:tc>
              <w:tc>
                <w:tcPr>
                  <w:tcW w:w="3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265526">
                  <w:pPr>
                    <w:keepNext w:val="0"/>
                    <w:keepLines w:val="0"/>
                    <w:pageBreakBefore w:val="0"/>
                    <w:widowControl/>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土球苗，胸径＞3cm、苗高＞2.8m、土球直径＞30cm，土球厚度＞30cm</w:t>
                  </w:r>
                </w:p>
              </w:tc>
            </w:tr>
            <w:tr w14:paraId="5E79DF68">
              <w:tblPrEx>
                <w:tblCellMar>
                  <w:top w:w="0" w:type="dxa"/>
                  <w:left w:w="108" w:type="dxa"/>
                  <w:bottom w:w="0" w:type="dxa"/>
                  <w:right w:w="108" w:type="dxa"/>
                </w:tblCellMar>
              </w:tblPrEx>
              <w:trPr>
                <w:trHeight w:val="1068" w:hRule="exact"/>
                <w:jc w:val="center"/>
              </w:trPr>
              <w:tc>
                <w:tcPr>
                  <w:tcW w:w="2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266295">
                  <w:pPr>
                    <w:keepNext w:val="0"/>
                    <w:keepLines w:val="0"/>
                    <w:pageBreakBefore w:val="0"/>
                    <w:widowControl/>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5</w:t>
                  </w:r>
                </w:p>
              </w:tc>
              <w:tc>
                <w:tcPr>
                  <w:tcW w:w="10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74D54D">
                  <w:pPr>
                    <w:keepNext w:val="0"/>
                    <w:keepLines w:val="0"/>
                    <w:pageBreakBefore w:val="0"/>
                    <w:widowControl/>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乌桕</w:t>
                  </w:r>
                </w:p>
                <w:p w14:paraId="74FE5402">
                  <w:pPr>
                    <w:keepNext w:val="0"/>
                    <w:keepLines w:val="0"/>
                    <w:pageBreakBefore w:val="0"/>
                    <w:widowControl/>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i/>
                      <w:iCs/>
                      <w:caps w:val="0"/>
                      <w:color w:val="auto"/>
                      <w:spacing w:val="0"/>
                      <w:sz w:val="21"/>
                      <w:szCs w:val="21"/>
                      <w:highlight w:val="none"/>
                      <w:shd w:val="clear" w:fill="FFFFFF"/>
                    </w:rPr>
                    <w:t>Triadica sebifera</w:t>
                  </w:r>
                  <w:r>
                    <w:rPr>
                      <w:rFonts w:hint="default" w:ascii="Times New Roman" w:hAnsi="Times New Roman" w:eastAsia="宋体" w:cs="Times New Roman"/>
                      <w:i w:val="0"/>
                      <w:iCs w:val="0"/>
                      <w:caps w:val="0"/>
                      <w:color w:val="auto"/>
                      <w:spacing w:val="0"/>
                      <w:sz w:val="21"/>
                      <w:szCs w:val="21"/>
                      <w:highlight w:val="none"/>
                      <w:shd w:val="clear" w:fill="FFFFFF"/>
                    </w:rPr>
                    <w:t> (Linnaeus) Small</w:t>
                  </w:r>
                </w:p>
              </w:tc>
              <w:tc>
                <w:tcPr>
                  <w:tcW w:w="3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167962">
                  <w:pPr>
                    <w:keepNext w:val="0"/>
                    <w:keepLines w:val="0"/>
                    <w:pageBreakBefore w:val="0"/>
                    <w:widowControl/>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土球苗，胸径＞3cm、苗高＞2m、土球直径＞30cm，土球厚度＞30cm</w:t>
                  </w:r>
                </w:p>
              </w:tc>
            </w:tr>
            <w:tr w14:paraId="0F98DAF6">
              <w:tblPrEx>
                <w:tblCellMar>
                  <w:top w:w="0" w:type="dxa"/>
                  <w:left w:w="108" w:type="dxa"/>
                  <w:bottom w:w="0" w:type="dxa"/>
                  <w:right w:w="108" w:type="dxa"/>
                </w:tblCellMar>
              </w:tblPrEx>
              <w:trPr>
                <w:trHeight w:val="1085" w:hRule="exact"/>
                <w:jc w:val="center"/>
              </w:trPr>
              <w:tc>
                <w:tcPr>
                  <w:tcW w:w="2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C9F5F3">
                  <w:pPr>
                    <w:keepNext w:val="0"/>
                    <w:keepLines w:val="0"/>
                    <w:pageBreakBefore w:val="0"/>
                    <w:widowControl/>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val="en-US" w:eastAsia="zh-CN"/>
                    </w:rPr>
                    <w:t>6</w:t>
                  </w:r>
                </w:p>
              </w:tc>
              <w:tc>
                <w:tcPr>
                  <w:tcW w:w="10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C4352E">
                  <w:pPr>
                    <w:keepNext w:val="0"/>
                    <w:keepLines w:val="0"/>
                    <w:pageBreakBefore w:val="0"/>
                    <w:widowControl/>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rPr>
                    <w:t>小叶香樟</w:t>
                  </w:r>
                  <w:r>
                    <w:rPr>
                      <w:rFonts w:hint="default" w:ascii="Times New Roman" w:hAnsi="Times New Roman" w:eastAsia="宋体" w:cs="Times New Roman"/>
                      <w:color w:val="auto"/>
                      <w:kern w:val="0"/>
                      <w:sz w:val="21"/>
                      <w:szCs w:val="21"/>
                      <w:highlight w:val="none"/>
                    </w:rPr>
                    <w:t xml:space="preserve">  </w:t>
                  </w:r>
                </w:p>
                <w:p w14:paraId="10839240">
                  <w:pPr>
                    <w:keepNext w:val="0"/>
                    <w:keepLines w:val="0"/>
                    <w:pageBreakBefore w:val="0"/>
                    <w:widowControl/>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Cinnamomum camphora (L.) J.Presl</w:t>
                  </w:r>
                </w:p>
              </w:tc>
              <w:tc>
                <w:tcPr>
                  <w:tcW w:w="3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212C13">
                  <w:pPr>
                    <w:keepNext w:val="0"/>
                    <w:keepLines w:val="0"/>
                    <w:pageBreakBefore w:val="0"/>
                    <w:widowControl/>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胸径3-4cm，树高＞3.0m，冠径＞1.2m，土球直径＞30cm，土球高度＞30cm</w:t>
                  </w:r>
                </w:p>
              </w:tc>
            </w:tr>
            <w:tr w14:paraId="74DBD807">
              <w:tblPrEx>
                <w:tblCellMar>
                  <w:top w:w="0" w:type="dxa"/>
                  <w:left w:w="108" w:type="dxa"/>
                  <w:bottom w:w="0" w:type="dxa"/>
                  <w:right w:w="108" w:type="dxa"/>
                </w:tblCellMar>
              </w:tblPrEx>
              <w:trPr>
                <w:trHeight w:val="980" w:hRule="exact"/>
                <w:jc w:val="center"/>
              </w:trPr>
              <w:tc>
                <w:tcPr>
                  <w:tcW w:w="2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7B786F">
                  <w:pPr>
                    <w:keepNext w:val="0"/>
                    <w:keepLines w:val="0"/>
                    <w:pageBreakBefore w:val="0"/>
                    <w:widowControl/>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val="en-US" w:eastAsia="zh-CN"/>
                    </w:rPr>
                    <w:t>7</w:t>
                  </w:r>
                </w:p>
              </w:tc>
              <w:tc>
                <w:tcPr>
                  <w:tcW w:w="10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D68D85">
                  <w:pPr>
                    <w:keepNext w:val="0"/>
                    <w:keepLines w:val="0"/>
                    <w:pageBreakBefore w:val="0"/>
                    <w:widowControl/>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楠木</w:t>
                  </w:r>
                </w:p>
                <w:p w14:paraId="15E8C337">
                  <w:pPr>
                    <w:keepNext w:val="0"/>
                    <w:keepLines w:val="0"/>
                    <w:pageBreakBefore w:val="0"/>
                    <w:widowControl/>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i/>
                      <w:iCs/>
                      <w:color w:val="auto"/>
                      <w:kern w:val="0"/>
                      <w:sz w:val="21"/>
                      <w:szCs w:val="21"/>
                      <w:highlight w:val="none"/>
                      <w:lang w:val="en-US" w:eastAsia="zh-CN"/>
                    </w:rPr>
                    <w:t>Phoebe zhennan S. K. Lee &amp; F. N. Wei</w:t>
                  </w:r>
                </w:p>
              </w:tc>
              <w:tc>
                <w:tcPr>
                  <w:tcW w:w="3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1F60A1">
                  <w:pPr>
                    <w:keepNext w:val="0"/>
                    <w:keepLines w:val="0"/>
                    <w:pageBreakBefore w:val="0"/>
                    <w:widowControl/>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2年生、营养钵苗，地径≥0.7cm、苗高≥0.7m、根系发达、无机械损伤、无病虫害。</w:t>
                  </w:r>
                </w:p>
              </w:tc>
            </w:tr>
            <w:tr w14:paraId="5C4B74E6">
              <w:tblPrEx>
                <w:tblCellMar>
                  <w:top w:w="0" w:type="dxa"/>
                  <w:left w:w="108" w:type="dxa"/>
                  <w:bottom w:w="0" w:type="dxa"/>
                  <w:right w:w="108" w:type="dxa"/>
                </w:tblCellMar>
              </w:tblPrEx>
              <w:trPr>
                <w:trHeight w:val="850" w:hRule="exact"/>
                <w:jc w:val="center"/>
              </w:trPr>
              <w:tc>
                <w:tcPr>
                  <w:tcW w:w="2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384871">
                  <w:pPr>
                    <w:keepNext w:val="0"/>
                    <w:keepLines w:val="0"/>
                    <w:pageBreakBefore w:val="0"/>
                    <w:widowControl/>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8</w:t>
                  </w:r>
                </w:p>
              </w:tc>
              <w:tc>
                <w:tcPr>
                  <w:tcW w:w="10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C6F02E">
                  <w:pPr>
                    <w:keepNext w:val="0"/>
                    <w:keepLines w:val="0"/>
                    <w:pageBreakBefore w:val="0"/>
                    <w:widowControl/>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多花黄精</w:t>
                  </w:r>
                </w:p>
              </w:tc>
              <w:tc>
                <w:tcPr>
                  <w:tcW w:w="3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C3AD33">
                  <w:pPr>
                    <w:keepNext w:val="0"/>
                    <w:keepLines w:val="0"/>
                    <w:pageBreakBefore w:val="0"/>
                    <w:widowControl/>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裸根苗、块茎繁育的幼苗，种苗地下根茎带土、无根茎损伤，须根基本完整，芽头完整</w:t>
                  </w:r>
                </w:p>
              </w:tc>
            </w:tr>
            <w:tr w14:paraId="5382703D">
              <w:tblPrEx>
                <w:tblCellMar>
                  <w:top w:w="0" w:type="dxa"/>
                  <w:left w:w="108" w:type="dxa"/>
                  <w:bottom w:w="0" w:type="dxa"/>
                  <w:right w:w="108" w:type="dxa"/>
                </w:tblCellMar>
              </w:tblPrEx>
              <w:trPr>
                <w:trHeight w:val="850" w:hRule="exact"/>
                <w:jc w:val="center"/>
              </w:trPr>
              <w:tc>
                <w:tcPr>
                  <w:tcW w:w="2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AF9ABA">
                  <w:pPr>
                    <w:keepNext w:val="0"/>
                    <w:keepLines w:val="0"/>
                    <w:pageBreakBefore w:val="0"/>
                    <w:widowControl/>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9</w:t>
                  </w:r>
                </w:p>
              </w:tc>
              <w:tc>
                <w:tcPr>
                  <w:tcW w:w="10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E2437F">
                  <w:pPr>
                    <w:keepNext w:val="0"/>
                    <w:keepLines w:val="0"/>
                    <w:pageBreakBefore w:val="0"/>
                    <w:widowControl/>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玉簪、鸢尾、绣球花、二月兰</w:t>
                  </w:r>
                </w:p>
              </w:tc>
              <w:tc>
                <w:tcPr>
                  <w:tcW w:w="3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DEB5F6">
                  <w:pPr>
                    <w:keepNext w:val="0"/>
                    <w:keepLines w:val="0"/>
                    <w:pageBreakBefore w:val="0"/>
                    <w:widowControl/>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组培苗</w:t>
                  </w:r>
                </w:p>
              </w:tc>
            </w:tr>
            <w:tr w14:paraId="6206BCBF">
              <w:tblPrEx>
                <w:tblCellMar>
                  <w:top w:w="0" w:type="dxa"/>
                  <w:left w:w="108" w:type="dxa"/>
                  <w:bottom w:w="0" w:type="dxa"/>
                  <w:right w:w="108" w:type="dxa"/>
                </w:tblCellMar>
              </w:tblPrEx>
              <w:trPr>
                <w:trHeight w:val="850" w:hRule="exact"/>
                <w:jc w:val="center"/>
              </w:trPr>
              <w:tc>
                <w:tcPr>
                  <w:tcW w:w="2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142DA4">
                  <w:pPr>
                    <w:keepNext w:val="0"/>
                    <w:keepLines w:val="0"/>
                    <w:pageBreakBefore w:val="0"/>
                    <w:widowControl/>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10</w:t>
                  </w:r>
                </w:p>
              </w:tc>
              <w:tc>
                <w:tcPr>
                  <w:tcW w:w="107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43972C">
                  <w:pPr>
                    <w:keepNext w:val="0"/>
                    <w:keepLines w:val="0"/>
                    <w:pageBreakBefore w:val="0"/>
                    <w:widowControl/>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羊肚菌</w:t>
                  </w:r>
                </w:p>
              </w:tc>
              <w:tc>
                <w:tcPr>
                  <w:tcW w:w="365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B9290B">
                  <w:pPr>
                    <w:keepNext w:val="0"/>
                    <w:keepLines w:val="0"/>
                    <w:pageBreakBefore w:val="0"/>
                    <w:widowControl/>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川羊肚菌10号</w:t>
                  </w:r>
                </w:p>
              </w:tc>
            </w:tr>
          </w:tbl>
          <w:p w14:paraId="11FAF8C3">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根据主要建设内容和规模，测算补植需苗量。测算苗木量时，结合项目区多年造林补植验，依据《造林技术规程》等规程要求，苗木考虑15%的补植用苗。</w:t>
            </w:r>
          </w:p>
          <w:p w14:paraId="49A184A4">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经测算，本项目苗木需求量共计6246115株，其中黄柏1465034株；银杏46753株；枫香63412株；栾树8971株；乌桕12906株；楠木88546株；小叶香樟88546株；多花黄精2762657株；玉簪、鸢尾、绣球花、二月兰组培苗1709290株。</w:t>
            </w:r>
          </w:p>
          <w:p w14:paraId="691CB447">
            <w:pPr>
              <w:spacing w:before="36" w:line="360" w:lineRule="auto"/>
              <w:ind w:firstLine="612"/>
              <w:rPr>
                <w:rFonts w:hint="default" w:ascii="Times New Roman" w:hAnsi="Times New Roman" w:eastAsia="宋体" w:cs="Times New Roman"/>
                <w:b/>
                <w:bCs/>
                <w:color w:val="auto"/>
                <w:spacing w:val="-7"/>
                <w:sz w:val="24"/>
                <w:szCs w:val="24"/>
                <w:u w:val="none"/>
                <w:lang w:eastAsia="zh-CN"/>
              </w:rPr>
            </w:pPr>
            <w:r>
              <w:rPr>
                <w:rFonts w:hint="default" w:ascii="Times New Roman" w:hAnsi="Times New Roman" w:eastAsia="宋体" w:cs="Times New Roman"/>
                <w:b/>
                <w:bCs/>
                <w:color w:val="auto"/>
                <w:spacing w:val="-7"/>
                <w:sz w:val="24"/>
                <w:szCs w:val="24"/>
                <w:u w:val="none"/>
                <w:lang w:eastAsia="zh-CN"/>
              </w:rPr>
              <w:t>8.1.3 种苗来源</w:t>
            </w:r>
          </w:p>
          <w:p w14:paraId="076114E0">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根据《四川省造林绿化工程种苗采购管理办法》（川林发〔2010〕45号）等有关规定，项目建设所需苗木组织供给，原则上严格按国家、省招投标程序与工程施工采购进行总体招标。</w:t>
            </w:r>
          </w:p>
          <w:p w14:paraId="0497314B">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根据乐至县的实际及项目实施的具体特点，项目苗木招标采购要求说明如下：</w:t>
            </w:r>
          </w:p>
          <w:p w14:paraId="67A78E86">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项目施工需要进行招投标，苗木由中标施工单位（或实施主体）具体组织。为保障项目建设成效，本着“适地、适树、适种源”的原则，在保障苗木质量的前提下，中标施工单位（或实施主体）在组织苗木时，乐至县内有苗木的，优先采用县内出圃的合格苗木，不足部分可从周边市（区、县）采购，或相似生态区采购。</w:t>
            </w:r>
          </w:p>
          <w:p w14:paraId="01043B81">
            <w:pPr>
              <w:spacing w:before="36" w:line="360" w:lineRule="auto"/>
              <w:ind w:firstLine="612"/>
              <w:rPr>
                <w:rFonts w:hint="default" w:ascii="Times New Roman" w:hAnsi="Times New Roman" w:eastAsia="宋体" w:cs="Times New Roman"/>
                <w:b/>
                <w:bCs/>
                <w:color w:val="auto"/>
                <w:spacing w:val="-7"/>
                <w:sz w:val="24"/>
                <w:szCs w:val="24"/>
                <w:u w:val="none"/>
                <w:lang w:eastAsia="zh-CN"/>
              </w:rPr>
            </w:pPr>
            <w:r>
              <w:rPr>
                <w:rFonts w:hint="default" w:ascii="Times New Roman" w:hAnsi="Times New Roman" w:eastAsia="宋体" w:cs="Times New Roman"/>
                <w:b/>
                <w:bCs/>
                <w:color w:val="auto"/>
                <w:spacing w:val="-7"/>
                <w:sz w:val="24"/>
                <w:szCs w:val="24"/>
                <w:u w:val="none"/>
                <w:lang w:eastAsia="zh-CN"/>
              </w:rPr>
              <w:t>8.1.4 苗木档案</w:t>
            </w:r>
          </w:p>
          <w:p w14:paraId="31EE50D5">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严格执行森林植物检疫制度，根据国家及省林木种苗检疫有关规定的检疫对象、检疫程序，严格进行产地检疫，并接受有关部门监督。采购企业应具有生产经营许可证和植物检疫证书，采购苗木应具有检验证、产地检疫证和产地标签（“两证一签”），禁止使用带有病虫害的苗木。</w:t>
            </w:r>
          </w:p>
          <w:p w14:paraId="76991B43">
            <w:pPr>
              <w:spacing w:before="36" w:line="360" w:lineRule="auto"/>
              <w:ind w:firstLine="612"/>
              <w:rPr>
                <w:rFonts w:hint="default" w:ascii="Times New Roman" w:hAnsi="Times New Roman" w:eastAsia="宋体" w:cs="Times New Roman"/>
                <w:b/>
                <w:bCs/>
                <w:color w:val="auto"/>
                <w:spacing w:val="-7"/>
                <w:sz w:val="24"/>
                <w:szCs w:val="24"/>
                <w:u w:val="none"/>
                <w:lang w:eastAsia="zh-CN"/>
              </w:rPr>
            </w:pPr>
            <w:r>
              <w:rPr>
                <w:rFonts w:hint="default" w:ascii="Times New Roman" w:hAnsi="Times New Roman" w:eastAsia="宋体" w:cs="Times New Roman"/>
                <w:b/>
                <w:bCs/>
                <w:color w:val="auto"/>
                <w:spacing w:val="-7"/>
                <w:sz w:val="24"/>
                <w:szCs w:val="24"/>
                <w:u w:val="none"/>
                <w:lang w:eastAsia="zh-CN"/>
              </w:rPr>
              <w:t>8.1.5 苗木调运</w:t>
            </w:r>
          </w:p>
          <w:p w14:paraId="4E9C2D6B">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起苗之前提前2～3天对将起苗的苗圃地浇水，起苗时要保持根系完整，严禁用手扯苗。起苗后要在阴凉处选苗、分级、包装、剔除有病虫害、机械损伤、发育不健全的苗木。起苗后应及时调运，采用苗箱装运，用汽车从苗圃地运输到作业地块附近，防止出现机械损伤和失水。苗木在出圃和运输过程中，坚持“五不离水”的原则，即圃地假植不离水、苗木包装不离水、苗木运输不离水、植苗上山不离水，注意保护好苗木根系和顶芽。</w:t>
            </w:r>
          </w:p>
          <w:p w14:paraId="0CD37C61">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由于采用的苗木规格普遍较大，出苗和运苗时容易造成苗木损伤，苗木需水量和蒸腾作用也相对较大。苗木采购应分区分批次分工作进度采购。此外还要加强苗木管理，采取有效措施，减少苗木水分蒸腾流失和土壤水分蒸发流失，有必要时进行适当的去梢、剪枝或去叶处理。采用到实施地验收的方式确保苗木质量，苗木出现机械损伤、病死苗、不符设计标准的苗木一律不得落地，应由苗木供应商重新调运苗木。</w:t>
            </w:r>
          </w:p>
          <w:p w14:paraId="0946F494">
            <w:pPr>
              <w:spacing w:before="36" w:line="360" w:lineRule="auto"/>
              <w:ind w:firstLine="612"/>
              <w:rPr>
                <w:rFonts w:hint="default" w:ascii="Times New Roman" w:hAnsi="Times New Roman" w:eastAsia="宋体" w:cs="Times New Roman"/>
                <w:b/>
                <w:bCs/>
                <w:color w:val="auto"/>
                <w:spacing w:val="-7"/>
                <w:sz w:val="24"/>
                <w:szCs w:val="24"/>
                <w:u w:val="single"/>
                <w:lang w:eastAsia="zh-CN"/>
              </w:rPr>
            </w:pPr>
            <w:r>
              <w:rPr>
                <w:rFonts w:hint="default" w:ascii="Times New Roman" w:hAnsi="Times New Roman" w:eastAsia="宋体" w:cs="Times New Roman"/>
                <w:b/>
                <w:bCs/>
                <w:color w:val="auto"/>
                <w:spacing w:val="-7"/>
                <w:sz w:val="24"/>
                <w:szCs w:val="24"/>
                <w:u w:val="single"/>
                <w:lang w:eastAsia="zh-CN"/>
              </w:rPr>
              <w:t>8.2 辅助材料用量</w:t>
            </w:r>
          </w:p>
          <w:p w14:paraId="640F0201">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（1）黄柏集约栽培：生物有机肥7628.4t、种植土25480m</w:t>
            </w:r>
            <w:r>
              <w:rPr>
                <w:rFonts w:hint="default" w:ascii="Times New Roman" w:hAnsi="Times New Roman" w:eastAsia="宋体" w:cs="Times New Roman"/>
                <w:color w:val="auto"/>
                <w:spacing w:val="-7"/>
                <w:sz w:val="24"/>
                <w:szCs w:val="24"/>
                <w:vertAlign w:val="superscript"/>
                <w:lang w:eastAsia="zh-CN"/>
              </w:rPr>
              <w:t>3</w:t>
            </w:r>
            <w:r>
              <w:rPr>
                <w:rFonts w:hint="default" w:ascii="Times New Roman" w:hAnsi="Times New Roman" w:eastAsia="宋体" w:cs="Times New Roman"/>
                <w:color w:val="auto"/>
                <w:spacing w:val="-7"/>
                <w:sz w:val="24"/>
                <w:szCs w:val="24"/>
                <w:lang w:eastAsia="zh-CN"/>
              </w:rPr>
              <w:t>、土壤消毒液383L、生物有机肥1446t、保水农膜1465034张、尿素434t、复合肥578t、药品3812kg、除草剂10294kg、自发电抽水泵30台、灌溉软管22060米、电动喷雾器47台。</w:t>
            </w:r>
          </w:p>
          <w:p w14:paraId="3B1C727D">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（2）现有林改培：油锯10把、生根剂264kg、生物有机肥132t、保水农膜132042张、复合肥40t、药品1200kg、自发电抽水泵10台、灌溉软管20000米、电动喷雾器31台。</w:t>
            </w:r>
          </w:p>
          <w:p w14:paraId="016CD4BD">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（3）中幼龄抚育：油锯20台、斧头80把、柴刀80把、锄头40把、弯把锯80把、手套50双、电动喷雾器40台、药品3980L。</w:t>
            </w:r>
          </w:p>
          <w:p w14:paraId="10A64D2D">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（4）林菌：营养袋600000袋、生物有机肥500t、土壤消毒液25L、国标￠63mmPE管7740米、国标￠25mmPE管2862米、PVC￠25mm软管2000米、￠63mm角阀77个、￠25mm角阀29个。</w:t>
            </w:r>
          </w:p>
          <w:p w14:paraId="71473CDB">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（5）林药：生物有机肥1036t、复合肥1243t、Pvc管￠25mm纤维软管2072米、除草剂1398L、诱虫粘板3000套、农药1400L。</w:t>
            </w:r>
          </w:p>
          <w:p w14:paraId="58F08E67">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（6）特色经济林：种植土6720m</w:t>
            </w:r>
            <w:r>
              <w:rPr>
                <w:rFonts w:hint="default" w:ascii="Times New Roman" w:hAnsi="Times New Roman" w:eastAsia="宋体" w:cs="Times New Roman"/>
                <w:color w:val="auto"/>
                <w:spacing w:val="-7"/>
                <w:sz w:val="24"/>
                <w:szCs w:val="24"/>
                <w:vertAlign w:val="superscript"/>
                <w:lang w:eastAsia="zh-CN"/>
              </w:rPr>
              <w:t>3</w:t>
            </w:r>
            <w:r>
              <w:rPr>
                <w:rFonts w:hint="default" w:ascii="Times New Roman" w:hAnsi="Times New Roman" w:eastAsia="宋体" w:cs="Times New Roman"/>
                <w:color w:val="auto"/>
                <w:spacing w:val="-7"/>
                <w:sz w:val="24"/>
                <w:szCs w:val="24"/>
                <w:lang w:eastAsia="zh-CN"/>
              </w:rPr>
              <w:t>、土壤要毒液150L、生物有机肥336t、保水农膜193200张、复合肥532.8t、药品336kg、除草剂5248kg、自发电抽水泵15台、Pvc￠25mm纤维软管20000米、电动喷雾器30台。</w:t>
            </w:r>
          </w:p>
          <w:p w14:paraId="4BA0AA24">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（7）珍稀林木：种植土3079.8m</w:t>
            </w:r>
            <w:r>
              <w:rPr>
                <w:rFonts w:hint="default" w:ascii="Times New Roman" w:hAnsi="Times New Roman" w:eastAsia="宋体" w:cs="Times New Roman"/>
                <w:color w:val="auto"/>
                <w:spacing w:val="-7"/>
                <w:sz w:val="24"/>
                <w:szCs w:val="24"/>
                <w:vertAlign w:val="superscript"/>
                <w:lang w:eastAsia="zh-CN"/>
              </w:rPr>
              <w:t>3</w:t>
            </w:r>
            <w:r>
              <w:rPr>
                <w:rFonts w:hint="default" w:ascii="Times New Roman" w:hAnsi="Times New Roman" w:eastAsia="宋体" w:cs="Times New Roman"/>
                <w:color w:val="auto"/>
                <w:spacing w:val="-7"/>
                <w:sz w:val="24"/>
                <w:szCs w:val="24"/>
                <w:lang w:eastAsia="zh-CN"/>
              </w:rPr>
              <w:t>、土壤要毒液104L、生物有机肥63.39t、保水农膜354182张、复合肥123.19t、药品354.2kg、除草剂1312kg、自发电抽水泵4台、Pvc￠25mm纤维软管20000米、电动喷雾器10台。</w:t>
            </w:r>
          </w:p>
          <w:p w14:paraId="2FEFB2F6">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（8）林下花卉：营养杯1709290个、泥炭土855t、复合肥20.5t、土壤消毒液10.25L、非说一体化205亩、诱虫灯10套、农药100L。</w:t>
            </w:r>
          </w:p>
          <w:p w14:paraId="329FFA6D">
            <w:pPr>
              <w:spacing w:before="36" w:line="360" w:lineRule="auto"/>
              <w:ind w:firstLine="612"/>
              <w:rPr>
                <w:rFonts w:hint="default" w:ascii="Times New Roman" w:hAnsi="Times New Roman" w:eastAsia="宋体" w:cs="Times New Roman"/>
                <w:color w:val="auto"/>
                <w:spacing w:val="-7"/>
                <w:sz w:val="24"/>
                <w:szCs w:val="24"/>
                <w:lang w:eastAsia="zh-CN"/>
              </w:rPr>
            </w:pPr>
          </w:p>
          <w:p w14:paraId="00357DA3">
            <w:pPr>
              <w:spacing w:before="36" w:line="360" w:lineRule="auto"/>
              <w:ind w:firstLine="612"/>
              <w:rPr>
                <w:rFonts w:hint="default" w:ascii="Times New Roman" w:hAnsi="Times New Roman" w:eastAsia="宋体" w:cs="Times New Roman"/>
                <w:color w:val="auto"/>
                <w:spacing w:val="-7"/>
                <w:sz w:val="24"/>
                <w:szCs w:val="24"/>
                <w:lang w:eastAsia="zh-CN"/>
              </w:rPr>
            </w:pPr>
          </w:p>
          <w:p w14:paraId="684EBA78">
            <w:pPr>
              <w:spacing w:before="36" w:line="360" w:lineRule="auto"/>
              <w:ind w:firstLine="612"/>
              <w:rPr>
                <w:rFonts w:hint="default" w:ascii="Times New Roman" w:hAnsi="Times New Roman" w:eastAsia="宋体" w:cs="Times New Roman"/>
                <w:color w:val="auto"/>
                <w:spacing w:val="-7"/>
                <w:sz w:val="24"/>
                <w:szCs w:val="24"/>
                <w:lang w:eastAsia="zh-CN"/>
              </w:rPr>
            </w:pPr>
          </w:p>
          <w:p w14:paraId="6A405421">
            <w:pPr>
              <w:spacing w:before="36" w:line="360" w:lineRule="auto"/>
              <w:ind w:firstLine="612"/>
              <w:rPr>
                <w:rFonts w:hint="default" w:ascii="Times New Roman" w:hAnsi="Times New Roman" w:eastAsia="宋体" w:cs="Times New Roman"/>
                <w:color w:val="auto"/>
                <w:spacing w:val="-7"/>
                <w:sz w:val="24"/>
                <w:szCs w:val="24"/>
                <w:lang w:eastAsia="zh-CN"/>
              </w:rPr>
            </w:pPr>
          </w:p>
          <w:p w14:paraId="422C3C71">
            <w:pPr>
              <w:spacing w:before="36" w:line="360" w:lineRule="auto"/>
              <w:ind w:firstLine="612"/>
              <w:rPr>
                <w:rFonts w:hint="default" w:ascii="Times New Roman" w:hAnsi="Times New Roman" w:eastAsia="宋体" w:cs="Times New Roman"/>
                <w:color w:val="auto"/>
                <w:spacing w:val="-7"/>
                <w:sz w:val="24"/>
                <w:szCs w:val="24"/>
                <w:lang w:eastAsia="zh-CN"/>
              </w:rPr>
            </w:pPr>
          </w:p>
          <w:p w14:paraId="72CC6B54">
            <w:pPr>
              <w:spacing w:before="36" w:line="360" w:lineRule="auto"/>
              <w:rPr>
                <w:rFonts w:hint="default" w:ascii="Times New Roman" w:hAnsi="Times New Roman" w:eastAsia="宋体" w:cs="Times New Roman"/>
                <w:color w:val="auto"/>
              </w:rPr>
            </w:pPr>
          </w:p>
        </w:tc>
      </w:tr>
    </w:tbl>
    <w:p w14:paraId="2D2E83CB">
      <w:pPr>
        <w:jc w:val="both"/>
        <w:rPr>
          <w:rFonts w:hint="default" w:ascii="Times New Roman" w:hAnsi="Times New Roman" w:eastAsia="宋体" w:cs="Times New Roman"/>
          <w:color w:val="auto"/>
        </w:rPr>
        <w:sectPr>
          <w:footerReference r:id="rId8" w:type="default"/>
          <w:pgSz w:w="11906" w:h="16839"/>
          <w:pgMar w:top="1431" w:right="1687" w:bottom="1179" w:left="1687" w:header="0" w:footer="1001" w:gutter="0"/>
          <w:cols w:space="720" w:num="1"/>
        </w:sectPr>
      </w:pPr>
    </w:p>
    <w:tbl>
      <w:tblPr>
        <w:tblStyle w:val="3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9"/>
        <w:gridCol w:w="13876"/>
      </w:tblGrid>
      <w:tr w14:paraId="1A7F63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9" w:type="dxa"/>
            <w:vAlign w:val="center"/>
          </w:tcPr>
          <w:p w14:paraId="0189A9FB">
            <w:pPr>
              <w:jc w:val="center"/>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项目组成及规模</w:t>
            </w:r>
          </w:p>
        </w:tc>
        <w:tc>
          <w:tcPr>
            <w:tcW w:w="13876" w:type="dxa"/>
            <w:vAlign w:val="center"/>
          </w:tcPr>
          <w:p w14:paraId="641F16BF">
            <w:pPr>
              <w:spacing w:before="36" w:line="360" w:lineRule="auto"/>
              <w:ind w:firstLine="612"/>
              <w:rPr>
                <w:rFonts w:hint="default" w:ascii="Times New Roman" w:hAnsi="Times New Roman" w:eastAsia="宋体" w:cs="Times New Roman"/>
                <w:b/>
                <w:bCs/>
                <w:color w:val="auto"/>
                <w:spacing w:val="-7"/>
                <w:sz w:val="24"/>
                <w:szCs w:val="24"/>
              </w:rPr>
            </w:pPr>
            <w:r>
              <w:rPr>
                <w:rFonts w:hint="default" w:ascii="Times New Roman" w:hAnsi="Times New Roman" w:eastAsia="宋体" w:cs="Times New Roman"/>
                <w:b/>
                <w:bCs/>
                <w:color w:val="auto"/>
                <w:spacing w:val="-7"/>
                <w:sz w:val="24"/>
                <w:szCs w:val="24"/>
                <w:lang w:val="en-US" w:eastAsia="zh-CN"/>
              </w:rPr>
              <w:t>9、2023-2024年采伐作业设计</w:t>
            </w:r>
          </w:p>
          <w:p w14:paraId="1EA24514">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w:t>
            </w:r>
            <w:r>
              <w:rPr>
                <w:rFonts w:hint="default" w:ascii="Times New Roman" w:hAnsi="Times New Roman" w:eastAsia="宋体" w:cs="Times New Roman"/>
                <w:color w:val="auto"/>
                <w:spacing w:val="-7"/>
                <w:sz w:val="24"/>
                <w:szCs w:val="24"/>
                <w:lang w:val="en-US" w:eastAsia="zh-CN"/>
              </w:rPr>
              <w:t>1</w:t>
            </w:r>
            <w:r>
              <w:rPr>
                <w:rFonts w:hint="default" w:ascii="Times New Roman" w:hAnsi="Times New Roman" w:eastAsia="宋体" w:cs="Times New Roman"/>
                <w:color w:val="auto"/>
                <w:spacing w:val="-7"/>
                <w:sz w:val="24"/>
                <w:szCs w:val="24"/>
                <w:lang w:eastAsia="zh-CN"/>
              </w:rPr>
              <w:t>）采伐类型和采伐方式</w:t>
            </w:r>
          </w:p>
          <w:p w14:paraId="003D6032">
            <w:pPr>
              <w:spacing w:before="36" w:line="360" w:lineRule="auto"/>
              <w:ind w:firstLine="612"/>
              <w:rPr>
                <w:rFonts w:hint="default" w:ascii="Times New Roman" w:hAnsi="Times New Roman" w:eastAsia="宋体" w:cs="Times New Roman"/>
                <w:color w:val="auto"/>
                <w:spacing w:val="-7"/>
                <w:sz w:val="24"/>
                <w:szCs w:val="24"/>
              </w:rPr>
            </w:pPr>
            <w:r>
              <w:rPr>
                <w:rFonts w:hint="default" w:ascii="Times New Roman" w:hAnsi="Times New Roman" w:eastAsia="宋体" w:cs="Times New Roman"/>
                <w:color w:val="auto"/>
                <w:spacing w:val="-7"/>
                <w:sz w:val="24"/>
                <w:szCs w:val="24"/>
              </w:rPr>
              <w:t>采伐类型为抚育采伐、低产林改培采伐，采伐方式为透光伐、生长伐。</w:t>
            </w:r>
          </w:p>
          <w:p w14:paraId="4938A4E8">
            <w:pPr>
              <w:spacing w:before="36" w:line="360" w:lineRule="auto"/>
              <w:ind w:firstLine="612"/>
              <w:rPr>
                <w:rFonts w:hint="default" w:ascii="Times New Roman" w:hAnsi="Times New Roman" w:eastAsia="宋体" w:cs="Times New Roman"/>
                <w:color w:val="auto"/>
                <w:spacing w:val="-7"/>
                <w:sz w:val="24"/>
                <w:szCs w:val="24"/>
              </w:rPr>
            </w:pPr>
            <w:r>
              <w:rPr>
                <w:rFonts w:hint="default" w:ascii="Times New Roman" w:hAnsi="Times New Roman" w:eastAsia="宋体" w:cs="Times New Roman"/>
                <w:color w:val="auto"/>
                <w:spacing w:val="-7"/>
                <w:sz w:val="24"/>
                <w:szCs w:val="24"/>
                <w:lang w:eastAsia="zh-CN"/>
              </w:rPr>
              <w:t>（</w:t>
            </w:r>
            <w:r>
              <w:rPr>
                <w:rFonts w:hint="default" w:ascii="Times New Roman" w:hAnsi="Times New Roman" w:eastAsia="宋体" w:cs="Times New Roman"/>
                <w:color w:val="auto"/>
                <w:spacing w:val="-7"/>
                <w:sz w:val="24"/>
                <w:szCs w:val="24"/>
                <w:lang w:val="en-US" w:eastAsia="zh-CN"/>
              </w:rPr>
              <w:t>2</w:t>
            </w:r>
            <w:r>
              <w:rPr>
                <w:rFonts w:hint="default" w:ascii="Times New Roman" w:hAnsi="Times New Roman" w:eastAsia="宋体" w:cs="Times New Roman"/>
                <w:color w:val="auto"/>
                <w:spacing w:val="-7"/>
                <w:sz w:val="24"/>
                <w:szCs w:val="24"/>
                <w:lang w:eastAsia="zh-CN"/>
              </w:rPr>
              <w:t>）</w:t>
            </w:r>
            <w:r>
              <w:rPr>
                <w:rFonts w:hint="default" w:ascii="Times New Roman" w:hAnsi="Times New Roman" w:eastAsia="宋体" w:cs="Times New Roman"/>
                <w:color w:val="auto"/>
                <w:spacing w:val="-7"/>
                <w:sz w:val="24"/>
                <w:szCs w:val="24"/>
              </w:rPr>
              <w:t>采伐原则</w:t>
            </w:r>
          </w:p>
          <w:p w14:paraId="52CD94B4">
            <w:pPr>
              <w:spacing w:before="36" w:line="360" w:lineRule="auto"/>
              <w:ind w:firstLine="612"/>
              <w:rPr>
                <w:rFonts w:hint="default" w:ascii="Times New Roman" w:hAnsi="Times New Roman" w:eastAsia="宋体" w:cs="Times New Roman"/>
                <w:color w:val="auto"/>
                <w:spacing w:val="-7"/>
                <w:sz w:val="24"/>
                <w:szCs w:val="24"/>
              </w:rPr>
            </w:pPr>
            <w:r>
              <w:rPr>
                <w:rFonts w:hint="default" w:ascii="Times New Roman" w:hAnsi="Times New Roman" w:eastAsia="宋体" w:cs="Times New Roman"/>
                <w:color w:val="auto"/>
                <w:spacing w:val="-7"/>
                <w:sz w:val="24"/>
                <w:szCs w:val="24"/>
              </w:rPr>
              <w:t>采劣留优、采弱留壮、采密留稀、强度合理、保护幼苗幼树及原生乡土阔叶树种、兼顾林木分布均匀。</w:t>
            </w:r>
          </w:p>
          <w:p w14:paraId="7962FB58">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w:t>
            </w:r>
            <w:r>
              <w:rPr>
                <w:rFonts w:hint="default" w:ascii="Times New Roman" w:hAnsi="Times New Roman" w:eastAsia="宋体" w:cs="Times New Roman"/>
                <w:color w:val="auto"/>
                <w:spacing w:val="-7"/>
                <w:sz w:val="24"/>
                <w:szCs w:val="24"/>
                <w:lang w:val="en-US" w:eastAsia="zh-CN"/>
              </w:rPr>
              <w:t>3</w:t>
            </w:r>
            <w:r>
              <w:rPr>
                <w:rFonts w:hint="default" w:ascii="Times New Roman" w:hAnsi="Times New Roman" w:eastAsia="宋体" w:cs="Times New Roman"/>
                <w:color w:val="auto"/>
                <w:spacing w:val="-7"/>
                <w:sz w:val="24"/>
                <w:szCs w:val="24"/>
                <w:lang w:eastAsia="zh-CN"/>
              </w:rPr>
              <w:t>）采伐强度</w:t>
            </w:r>
          </w:p>
          <w:p w14:paraId="7EF01610">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根据《四川省林木采伐技术规程》（DB51/T 2918-2022），不同小班，根据标准地调查结果设计不同的采伐强度，株数采伐强度范围7.7%~50.5%，蓄积采伐强度范围0.6%~24.2%。</w:t>
            </w:r>
          </w:p>
          <w:p w14:paraId="3089C3EB">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w:t>
            </w:r>
            <w:r>
              <w:rPr>
                <w:rFonts w:hint="default" w:ascii="Times New Roman" w:hAnsi="Times New Roman" w:eastAsia="宋体" w:cs="Times New Roman"/>
                <w:color w:val="auto"/>
                <w:spacing w:val="-7"/>
                <w:sz w:val="24"/>
                <w:szCs w:val="24"/>
                <w:lang w:val="en-US" w:eastAsia="zh-CN"/>
              </w:rPr>
              <w:t>4</w:t>
            </w:r>
            <w:r>
              <w:rPr>
                <w:rFonts w:hint="default" w:ascii="Times New Roman" w:hAnsi="Times New Roman" w:eastAsia="宋体" w:cs="Times New Roman"/>
                <w:color w:val="auto"/>
                <w:spacing w:val="-7"/>
                <w:sz w:val="24"/>
                <w:szCs w:val="24"/>
                <w:lang w:eastAsia="zh-CN"/>
              </w:rPr>
              <w:t>）采伐规模</w:t>
            </w:r>
          </w:p>
          <w:p w14:paraId="4AD1F909">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2023年</w:t>
            </w:r>
            <w:r>
              <w:rPr>
                <w:rFonts w:hint="default" w:ascii="Times New Roman" w:hAnsi="Times New Roman" w:eastAsia="宋体" w:cs="Times New Roman"/>
                <w:color w:val="auto"/>
                <w:spacing w:val="-7"/>
                <w:sz w:val="24"/>
                <w:szCs w:val="24"/>
                <w:lang w:val="en-US" w:eastAsia="zh-CN"/>
              </w:rPr>
              <w:t>-</w:t>
            </w:r>
            <w:r>
              <w:rPr>
                <w:rFonts w:hint="default" w:ascii="Times New Roman" w:hAnsi="Times New Roman" w:eastAsia="宋体" w:cs="Times New Roman"/>
                <w:color w:val="auto"/>
                <w:spacing w:val="-7"/>
                <w:sz w:val="24"/>
                <w:szCs w:val="24"/>
                <w:lang w:eastAsia="zh-CN"/>
              </w:rPr>
              <w:t>2024年作业设计涉及采伐面积44872.8亩，采伐林木995180株，蓄积量25040.2m</w:t>
            </w:r>
            <w:r>
              <w:rPr>
                <w:rFonts w:hint="default" w:ascii="Times New Roman" w:hAnsi="Times New Roman" w:eastAsia="宋体" w:cs="Times New Roman"/>
                <w:color w:val="auto"/>
                <w:spacing w:val="-7"/>
                <w:sz w:val="24"/>
                <w:szCs w:val="24"/>
                <w:vertAlign w:val="superscript"/>
                <w:lang w:eastAsia="zh-CN"/>
              </w:rPr>
              <w:t>3</w:t>
            </w:r>
            <w:r>
              <w:rPr>
                <w:rFonts w:hint="default" w:ascii="Times New Roman" w:hAnsi="Times New Roman" w:eastAsia="宋体" w:cs="Times New Roman"/>
                <w:color w:val="auto"/>
                <w:spacing w:val="-7"/>
                <w:sz w:val="24"/>
                <w:szCs w:val="24"/>
                <w:lang w:eastAsia="zh-CN"/>
              </w:rPr>
              <w:t>。按行政区划统计采伐量规模详见</w:t>
            </w:r>
            <w:r>
              <w:rPr>
                <w:rFonts w:hint="default" w:ascii="Times New Roman" w:hAnsi="Times New Roman" w:eastAsia="宋体" w:cs="Times New Roman"/>
                <w:color w:val="auto"/>
                <w:spacing w:val="-7"/>
                <w:sz w:val="24"/>
                <w:szCs w:val="24"/>
                <w:lang w:val="en-US" w:eastAsia="zh-CN"/>
              </w:rPr>
              <w:t>下</w:t>
            </w:r>
            <w:r>
              <w:rPr>
                <w:rFonts w:hint="default" w:ascii="Times New Roman" w:hAnsi="Times New Roman" w:eastAsia="宋体" w:cs="Times New Roman"/>
                <w:color w:val="auto"/>
                <w:spacing w:val="-7"/>
                <w:sz w:val="24"/>
                <w:szCs w:val="24"/>
                <w:lang w:eastAsia="zh-CN"/>
              </w:rPr>
              <w:t>表：</w:t>
            </w:r>
          </w:p>
          <w:p w14:paraId="7F8C6689">
            <w:pPr>
              <w:spacing w:line="360" w:lineRule="auto"/>
              <w:ind w:firstLine="482" w:firstLineChars="200"/>
              <w:jc w:val="center"/>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表</w:t>
            </w:r>
            <w:r>
              <w:rPr>
                <w:rFonts w:hint="default" w:ascii="Times New Roman" w:hAnsi="Times New Roman" w:eastAsia="宋体" w:cs="Times New Roman"/>
                <w:b/>
                <w:bCs/>
                <w:color w:val="auto"/>
                <w:sz w:val="24"/>
                <w:lang w:val="en-US" w:eastAsia="zh-CN"/>
              </w:rPr>
              <w:t xml:space="preserve">2-8  </w:t>
            </w:r>
            <w:r>
              <w:rPr>
                <w:rFonts w:hint="default" w:ascii="Times New Roman" w:hAnsi="Times New Roman" w:eastAsia="宋体" w:cs="Times New Roman"/>
                <w:b/>
                <w:bCs/>
                <w:color w:val="auto"/>
                <w:sz w:val="24"/>
              </w:rPr>
              <w:t xml:space="preserve"> 采伐</w:t>
            </w:r>
            <w:r>
              <w:rPr>
                <w:rFonts w:hint="default" w:ascii="Times New Roman" w:hAnsi="Times New Roman" w:eastAsia="宋体" w:cs="Times New Roman"/>
                <w:b/>
                <w:bCs/>
                <w:color w:val="auto"/>
                <w:sz w:val="24"/>
                <w:lang w:val="en-US" w:eastAsia="zh-CN"/>
              </w:rPr>
              <w:t>面积、</w:t>
            </w:r>
            <w:r>
              <w:rPr>
                <w:rFonts w:hint="default" w:ascii="Times New Roman" w:hAnsi="Times New Roman" w:eastAsia="宋体" w:cs="Times New Roman"/>
                <w:b/>
                <w:bCs/>
                <w:color w:val="auto"/>
                <w:sz w:val="24"/>
              </w:rPr>
              <w:t>株数、蓄积量</w:t>
            </w:r>
            <w:r>
              <w:rPr>
                <w:rFonts w:hint="default" w:ascii="Times New Roman" w:hAnsi="Times New Roman" w:eastAsia="宋体" w:cs="Times New Roman"/>
                <w:b/>
                <w:bCs/>
                <w:color w:val="auto"/>
                <w:sz w:val="24"/>
                <w:lang w:val="en-US" w:eastAsia="zh-CN"/>
              </w:rPr>
              <w:t>按行政区划、采伐类型</w:t>
            </w:r>
            <w:r>
              <w:rPr>
                <w:rFonts w:hint="default" w:ascii="Times New Roman" w:hAnsi="Times New Roman" w:eastAsia="宋体" w:cs="Times New Roman"/>
                <w:b/>
                <w:bCs/>
                <w:color w:val="auto"/>
                <w:sz w:val="24"/>
              </w:rPr>
              <w:t>统计表</w:t>
            </w:r>
            <w:r>
              <w:rPr>
                <w:rFonts w:hint="default" w:ascii="Times New Roman" w:hAnsi="Times New Roman" w:eastAsia="宋体" w:cs="Times New Roman"/>
                <w:b/>
                <w:bCs/>
                <w:color w:val="auto"/>
                <w:sz w:val="24"/>
                <w:lang w:val="en-US" w:eastAsia="zh-CN"/>
              </w:rPr>
              <w:t xml:space="preserve">          </w:t>
            </w:r>
            <w:r>
              <w:rPr>
                <w:rFonts w:hint="default" w:ascii="Times New Roman" w:hAnsi="Times New Roman" w:eastAsia="宋体" w:cs="Times New Roman"/>
                <w:b/>
                <w:bCs/>
                <w:color w:val="auto"/>
                <w:sz w:val="24"/>
              </w:rPr>
              <w:t>单位：</w:t>
            </w:r>
            <w:r>
              <w:rPr>
                <w:rFonts w:hint="default" w:ascii="Times New Roman" w:hAnsi="Times New Roman" w:eastAsia="宋体" w:cs="Times New Roman"/>
                <w:b/>
                <w:bCs/>
                <w:color w:val="auto"/>
                <w:sz w:val="24"/>
                <w:lang w:val="en-US" w:eastAsia="zh-CN"/>
              </w:rPr>
              <w:t>亩、</w:t>
            </w:r>
            <w:r>
              <w:rPr>
                <w:rFonts w:hint="default" w:ascii="Times New Roman" w:hAnsi="Times New Roman" w:eastAsia="宋体" w:cs="Times New Roman"/>
                <w:b/>
                <w:bCs/>
                <w:color w:val="auto"/>
                <w:sz w:val="24"/>
              </w:rPr>
              <w:t>株、m</w:t>
            </w:r>
            <w:r>
              <w:rPr>
                <w:rFonts w:hint="default" w:ascii="Times New Roman" w:hAnsi="Times New Roman" w:eastAsia="宋体" w:cs="Times New Roman"/>
                <w:b/>
                <w:bCs/>
                <w:color w:val="auto"/>
                <w:sz w:val="24"/>
                <w:vertAlign w:val="superscript"/>
              </w:rPr>
              <w:t>3</w:t>
            </w:r>
          </w:p>
          <w:tbl>
            <w:tblPr>
              <w:tblStyle w:val="32"/>
              <w:tblW w:w="13655"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75"/>
              <w:gridCol w:w="1446"/>
              <w:gridCol w:w="1246"/>
              <w:gridCol w:w="1246"/>
              <w:gridCol w:w="1252"/>
              <w:gridCol w:w="1246"/>
              <w:gridCol w:w="1246"/>
              <w:gridCol w:w="1252"/>
              <w:gridCol w:w="1246"/>
              <w:gridCol w:w="1246"/>
              <w:gridCol w:w="1254"/>
            </w:tblGrid>
            <w:tr w14:paraId="3A9A0B1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blHeader/>
                <w:jc w:val="center"/>
              </w:trPr>
              <w:tc>
                <w:tcPr>
                  <w:tcW w:w="35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DA82F4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镇</w:t>
                  </w:r>
                </w:p>
              </w:tc>
              <w:tc>
                <w:tcPr>
                  <w:tcW w:w="52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B69B92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村</w:t>
                  </w:r>
                </w:p>
              </w:tc>
              <w:tc>
                <w:tcPr>
                  <w:tcW w:w="1370"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6DE1BA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面积</w:t>
                  </w:r>
                </w:p>
              </w:tc>
              <w:tc>
                <w:tcPr>
                  <w:tcW w:w="1370"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DDEE59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采伐株数</w:t>
                  </w:r>
                </w:p>
              </w:tc>
              <w:tc>
                <w:tcPr>
                  <w:tcW w:w="1371"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988310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采伐蓄积</w:t>
                  </w:r>
                </w:p>
              </w:tc>
            </w:tr>
            <w:tr w14:paraId="6FD96A5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blHeader/>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198FD80">
                  <w:pPr>
                    <w:jc w:val="center"/>
                    <w:rPr>
                      <w:rFonts w:hint="default" w:ascii="Times New Roman" w:hAnsi="Times New Roman" w:eastAsia="宋体" w:cs="Times New Roman"/>
                      <w:i w:val="0"/>
                      <w:iCs w:val="0"/>
                      <w:color w:val="auto"/>
                      <w:sz w:val="21"/>
                      <w:szCs w:val="21"/>
                      <w:highlight w:val="none"/>
                      <w:u w:val="none"/>
                    </w:rPr>
                  </w:pPr>
                </w:p>
              </w:tc>
              <w:tc>
                <w:tcPr>
                  <w:tcW w:w="52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F7F19EC">
                  <w:pPr>
                    <w:jc w:val="center"/>
                    <w:rPr>
                      <w:rFonts w:hint="default" w:ascii="Times New Roman" w:hAnsi="Times New Roman" w:eastAsia="宋体" w:cs="Times New Roman"/>
                      <w:i w:val="0"/>
                      <w:iCs w:val="0"/>
                      <w:color w:val="auto"/>
                      <w:sz w:val="21"/>
                      <w:szCs w:val="21"/>
                      <w:highlight w:val="none"/>
                      <w:u w:val="none"/>
                    </w:rPr>
                  </w:pPr>
                </w:p>
              </w:tc>
              <w:tc>
                <w:tcPr>
                  <w:tcW w:w="4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C68FA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合计</w:t>
                  </w:r>
                </w:p>
              </w:tc>
              <w:tc>
                <w:tcPr>
                  <w:tcW w:w="4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59576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低产林改培采伐</w:t>
                  </w:r>
                </w:p>
              </w:tc>
              <w:tc>
                <w:tcPr>
                  <w:tcW w:w="4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44EE8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抚育采伐</w:t>
                  </w:r>
                </w:p>
              </w:tc>
              <w:tc>
                <w:tcPr>
                  <w:tcW w:w="4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B9BA5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合计</w:t>
                  </w:r>
                </w:p>
              </w:tc>
              <w:tc>
                <w:tcPr>
                  <w:tcW w:w="4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C8978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低产林改培采伐</w:t>
                  </w:r>
                </w:p>
              </w:tc>
              <w:tc>
                <w:tcPr>
                  <w:tcW w:w="4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26CEF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抚育采伐</w:t>
                  </w:r>
                </w:p>
              </w:tc>
              <w:tc>
                <w:tcPr>
                  <w:tcW w:w="4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A91D0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合计</w:t>
                  </w:r>
                </w:p>
              </w:tc>
              <w:tc>
                <w:tcPr>
                  <w:tcW w:w="4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2CF47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低产林改培采伐</w:t>
                  </w:r>
                </w:p>
              </w:tc>
              <w:tc>
                <w:tcPr>
                  <w:tcW w:w="4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A8C27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抚育采伐</w:t>
                  </w:r>
                </w:p>
              </w:tc>
            </w:tr>
            <w:tr w14:paraId="3FFE77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jc w:val="center"/>
              </w:trPr>
              <w:tc>
                <w:tcPr>
                  <w:tcW w:w="35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66B4F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宝林镇</w:t>
                  </w: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91338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白云村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77FC5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308.68</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7B3F7D">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0CB2A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308.68</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9C94C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5553</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FD6021">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61A1C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5553</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EE364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128.26</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E615D2">
                  <w:pPr>
                    <w:jc w:val="center"/>
                    <w:rPr>
                      <w:rFonts w:hint="default" w:ascii="Times New Roman" w:hAnsi="Times New Roman" w:eastAsia="宋体" w:cs="Times New Roman"/>
                      <w:i w:val="0"/>
                      <w:iCs w:val="0"/>
                      <w:color w:val="auto"/>
                      <w:sz w:val="21"/>
                      <w:szCs w:val="21"/>
                      <w:highlight w:val="none"/>
                      <w:u w:val="none"/>
                    </w:rPr>
                  </w:pP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CD7DB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128.26</w:t>
                  </w:r>
                </w:p>
              </w:tc>
            </w:tr>
            <w:tr w14:paraId="6BF3721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0D36D3">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5ADDC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宝林社区</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DBA8F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156.93</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89AE70">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39156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156.93</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B56F7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2904</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E22638">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B511B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2904</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50B8E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76.07</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7A7CFA">
                  <w:pPr>
                    <w:jc w:val="center"/>
                    <w:rPr>
                      <w:rFonts w:hint="default" w:ascii="Times New Roman" w:hAnsi="Times New Roman" w:eastAsia="宋体" w:cs="Times New Roman"/>
                      <w:i w:val="0"/>
                      <w:iCs w:val="0"/>
                      <w:color w:val="auto"/>
                      <w:sz w:val="21"/>
                      <w:szCs w:val="21"/>
                      <w:highlight w:val="none"/>
                      <w:u w:val="none"/>
                    </w:rPr>
                  </w:pP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36EA0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76.07</w:t>
                  </w:r>
                </w:p>
              </w:tc>
            </w:tr>
            <w:tr w14:paraId="285759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28F002">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63575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独柏村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2C97B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400.79</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5A19D3">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B411F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400.79</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B9527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7170</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8DE242">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91740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7170</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B35F8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176.62</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AC28C6">
                  <w:pPr>
                    <w:jc w:val="center"/>
                    <w:rPr>
                      <w:rFonts w:hint="default" w:ascii="Times New Roman" w:hAnsi="Times New Roman" w:eastAsia="宋体" w:cs="Times New Roman"/>
                      <w:i w:val="0"/>
                      <w:iCs w:val="0"/>
                      <w:color w:val="auto"/>
                      <w:sz w:val="21"/>
                      <w:szCs w:val="21"/>
                      <w:highlight w:val="none"/>
                      <w:u w:val="none"/>
                    </w:rPr>
                  </w:pP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98358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176.62</w:t>
                  </w:r>
                </w:p>
              </w:tc>
            </w:tr>
            <w:tr w14:paraId="41B5A94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DD9E78">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D4759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卦田沟村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EC95C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838.68</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A564A3">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C5234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838.68</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F78B8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19532</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00A27E">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0636D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19532</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C81F6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471.2</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3437B4">
                  <w:pPr>
                    <w:jc w:val="center"/>
                    <w:rPr>
                      <w:rFonts w:hint="default" w:ascii="Times New Roman" w:hAnsi="Times New Roman" w:eastAsia="宋体" w:cs="Times New Roman"/>
                      <w:i w:val="0"/>
                      <w:iCs w:val="0"/>
                      <w:color w:val="auto"/>
                      <w:sz w:val="21"/>
                      <w:szCs w:val="21"/>
                      <w:highlight w:val="none"/>
                      <w:u w:val="none"/>
                    </w:rPr>
                  </w:pP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6F650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471.2</w:t>
                  </w:r>
                </w:p>
              </w:tc>
            </w:tr>
            <w:tr w14:paraId="39F10F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8268D5">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87791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胡桥村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28A71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341.94</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1DCF8C">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A3B02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341.94</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FEB54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8890</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BFC319">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6EBD9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8890</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0F53C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218.41</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B7C51C">
                  <w:pPr>
                    <w:jc w:val="center"/>
                    <w:rPr>
                      <w:rFonts w:hint="default" w:ascii="Times New Roman" w:hAnsi="Times New Roman" w:eastAsia="宋体" w:cs="Times New Roman"/>
                      <w:i w:val="0"/>
                      <w:iCs w:val="0"/>
                      <w:color w:val="auto"/>
                      <w:sz w:val="21"/>
                      <w:szCs w:val="21"/>
                      <w:highlight w:val="none"/>
                      <w:u w:val="none"/>
                    </w:rPr>
                  </w:pP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3E863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218.41</w:t>
                  </w:r>
                </w:p>
              </w:tc>
            </w:tr>
            <w:tr w14:paraId="40273D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9F76A1">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015C1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华严村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1AAC0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566.87</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CE65F7">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D613A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566.87</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1B6C4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15134</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B37B0A">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AF9FC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15134</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0CAF6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377.61</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CFED24">
                  <w:pPr>
                    <w:jc w:val="center"/>
                    <w:rPr>
                      <w:rFonts w:hint="default" w:ascii="Times New Roman" w:hAnsi="Times New Roman" w:eastAsia="宋体" w:cs="Times New Roman"/>
                      <w:i w:val="0"/>
                      <w:iCs w:val="0"/>
                      <w:color w:val="auto"/>
                      <w:sz w:val="21"/>
                      <w:szCs w:val="21"/>
                      <w:highlight w:val="none"/>
                      <w:u w:val="none"/>
                    </w:rPr>
                  </w:pP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57446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377.61</w:t>
                  </w:r>
                </w:p>
              </w:tc>
            </w:tr>
            <w:tr w14:paraId="2694742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D59632">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66093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龙形村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6B288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485.03</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ECE467">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BB711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485.03</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7731F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13279</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55E76E">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D5674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13279</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0AD64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286.42</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F75661">
                  <w:pPr>
                    <w:jc w:val="center"/>
                    <w:rPr>
                      <w:rFonts w:hint="default" w:ascii="Times New Roman" w:hAnsi="Times New Roman" w:eastAsia="宋体" w:cs="Times New Roman"/>
                      <w:i w:val="0"/>
                      <w:iCs w:val="0"/>
                      <w:color w:val="auto"/>
                      <w:sz w:val="21"/>
                      <w:szCs w:val="21"/>
                      <w:highlight w:val="none"/>
                      <w:u w:val="none"/>
                    </w:rPr>
                  </w:pP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B0E78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286.42</w:t>
                  </w:r>
                </w:p>
              </w:tc>
            </w:tr>
            <w:tr w14:paraId="1B8D888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257406">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0FC7E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木遂垭村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77396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362.27</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FD19A2">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811F3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362.27</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41789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8912</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1AD89F">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55395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8912</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DC07A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223.41</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A01600">
                  <w:pPr>
                    <w:jc w:val="center"/>
                    <w:rPr>
                      <w:rFonts w:hint="default" w:ascii="Times New Roman" w:hAnsi="Times New Roman" w:eastAsia="宋体" w:cs="Times New Roman"/>
                      <w:i w:val="0"/>
                      <w:iCs w:val="0"/>
                      <w:color w:val="auto"/>
                      <w:sz w:val="21"/>
                      <w:szCs w:val="21"/>
                      <w:highlight w:val="none"/>
                      <w:u w:val="none"/>
                    </w:rPr>
                  </w:pP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7EDA8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223.41</w:t>
                  </w:r>
                </w:p>
              </w:tc>
            </w:tr>
            <w:tr w14:paraId="5E8620B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EED116">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51C1B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千佛村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09318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758.4</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7CB3A9">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FCDC9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758.4</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5A06E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17167</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2E5D44">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3C303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17167</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BCFFD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414.53</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ED5A8A">
                  <w:pPr>
                    <w:jc w:val="center"/>
                    <w:rPr>
                      <w:rFonts w:hint="default" w:ascii="Times New Roman" w:hAnsi="Times New Roman" w:eastAsia="宋体" w:cs="Times New Roman"/>
                      <w:i w:val="0"/>
                      <w:iCs w:val="0"/>
                      <w:color w:val="auto"/>
                      <w:sz w:val="21"/>
                      <w:szCs w:val="21"/>
                      <w:highlight w:val="none"/>
                      <w:u w:val="none"/>
                    </w:rPr>
                  </w:pP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14E37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414.53</w:t>
                  </w:r>
                </w:p>
              </w:tc>
            </w:tr>
            <w:tr w14:paraId="03C97C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8BB29C">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35B1B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泉水村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2E3D8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286.9</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1B15C2">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9D0B7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286.9</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CC10E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7262</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A9D1FE">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F60CE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7262</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EE4B0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182.67</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9E468E">
                  <w:pPr>
                    <w:jc w:val="center"/>
                    <w:rPr>
                      <w:rFonts w:hint="default" w:ascii="Times New Roman" w:hAnsi="Times New Roman" w:eastAsia="宋体" w:cs="Times New Roman"/>
                      <w:i w:val="0"/>
                      <w:iCs w:val="0"/>
                      <w:color w:val="auto"/>
                      <w:sz w:val="21"/>
                      <w:szCs w:val="21"/>
                      <w:highlight w:val="none"/>
                      <w:u w:val="none"/>
                    </w:rPr>
                  </w:pP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FB515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182.67</w:t>
                  </w:r>
                </w:p>
              </w:tc>
            </w:tr>
            <w:tr w14:paraId="1A6E9C0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A7EE8E">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78AAD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三沟村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1AED0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252.31</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06105E">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B0499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252.31</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BD447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5936</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4CB777">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28757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5936</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D3778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156.59</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C6AC45">
                  <w:pPr>
                    <w:jc w:val="center"/>
                    <w:rPr>
                      <w:rFonts w:hint="default" w:ascii="Times New Roman" w:hAnsi="Times New Roman" w:eastAsia="宋体" w:cs="Times New Roman"/>
                      <w:i w:val="0"/>
                      <w:iCs w:val="0"/>
                      <w:color w:val="auto"/>
                      <w:sz w:val="21"/>
                      <w:szCs w:val="21"/>
                      <w:highlight w:val="none"/>
                      <w:u w:val="none"/>
                    </w:rPr>
                  </w:pP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633FE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156.59</w:t>
                  </w:r>
                </w:p>
              </w:tc>
            </w:tr>
            <w:tr w14:paraId="0A965C0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EC63B6">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71FE9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双碑村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56387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294.46</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BA1CC8">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E9B65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294.46</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F3B68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5987</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0AD2F8">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A6404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5987</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64313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147.51</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3B1450">
                  <w:pPr>
                    <w:jc w:val="center"/>
                    <w:rPr>
                      <w:rFonts w:hint="default" w:ascii="Times New Roman" w:hAnsi="Times New Roman" w:eastAsia="宋体" w:cs="Times New Roman"/>
                      <w:i w:val="0"/>
                      <w:iCs w:val="0"/>
                      <w:color w:val="auto"/>
                      <w:sz w:val="21"/>
                      <w:szCs w:val="21"/>
                      <w:highlight w:val="none"/>
                      <w:u w:val="none"/>
                    </w:rPr>
                  </w:pP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D93E4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147.51</w:t>
                  </w:r>
                </w:p>
              </w:tc>
            </w:tr>
            <w:tr w14:paraId="09F11ED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C749F7">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E5DC4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太平寺村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D7C98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588.29</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C317D4">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A262B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588.29</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F1ED8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13579</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A12048">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4AB90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13579</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7809A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354.92</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7C7CA7">
                  <w:pPr>
                    <w:jc w:val="center"/>
                    <w:rPr>
                      <w:rFonts w:hint="default" w:ascii="Times New Roman" w:hAnsi="Times New Roman" w:eastAsia="宋体" w:cs="Times New Roman"/>
                      <w:i w:val="0"/>
                      <w:iCs w:val="0"/>
                      <w:color w:val="auto"/>
                      <w:sz w:val="21"/>
                      <w:szCs w:val="21"/>
                      <w:highlight w:val="none"/>
                      <w:u w:val="none"/>
                    </w:rPr>
                  </w:pP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72F46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354.92</w:t>
                  </w:r>
                </w:p>
              </w:tc>
            </w:tr>
            <w:tr w14:paraId="7A1B5D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591D9E">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FFAF5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天台村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AF520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569.08</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F531F9">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D0F54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569.08</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9BB1C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13019</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E7888E">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5BE6F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13019</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0615B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323.9</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553CA0">
                  <w:pPr>
                    <w:jc w:val="center"/>
                    <w:rPr>
                      <w:rFonts w:hint="default" w:ascii="Times New Roman" w:hAnsi="Times New Roman" w:eastAsia="宋体" w:cs="Times New Roman"/>
                      <w:i w:val="0"/>
                      <w:iCs w:val="0"/>
                      <w:color w:val="auto"/>
                      <w:sz w:val="21"/>
                      <w:szCs w:val="21"/>
                      <w:highlight w:val="none"/>
                      <w:u w:val="none"/>
                    </w:rPr>
                  </w:pP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54A00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323.9</w:t>
                  </w:r>
                </w:p>
              </w:tc>
            </w:tr>
            <w:tr w14:paraId="623B79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FDCD1D">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F69D4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万斤沟村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4A37C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653.09</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010104">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0FF4C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653.09</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6CF96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13224</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9DCC7D">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019FF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13224</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5F8E6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323.32</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50B6EC">
                  <w:pPr>
                    <w:jc w:val="center"/>
                    <w:rPr>
                      <w:rFonts w:hint="default" w:ascii="Times New Roman" w:hAnsi="Times New Roman" w:eastAsia="宋体" w:cs="Times New Roman"/>
                      <w:i w:val="0"/>
                      <w:iCs w:val="0"/>
                      <w:color w:val="auto"/>
                      <w:sz w:val="21"/>
                      <w:szCs w:val="21"/>
                      <w:highlight w:val="none"/>
                      <w:u w:val="none"/>
                    </w:rPr>
                  </w:pP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7EFBF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323.32</w:t>
                  </w:r>
                </w:p>
              </w:tc>
            </w:tr>
            <w:tr w14:paraId="6E91C1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390DD8">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8A05B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新建社区</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6405C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646.59</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4F9CAD">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4B8BB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646.59</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347B0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12981</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9B2927">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6E145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12981</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9B7C8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325.17</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6F7FBF">
                  <w:pPr>
                    <w:jc w:val="center"/>
                    <w:rPr>
                      <w:rFonts w:hint="default" w:ascii="Times New Roman" w:hAnsi="Times New Roman" w:eastAsia="宋体" w:cs="Times New Roman"/>
                      <w:i w:val="0"/>
                      <w:iCs w:val="0"/>
                      <w:color w:val="auto"/>
                      <w:sz w:val="21"/>
                      <w:szCs w:val="21"/>
                      <w:highlight w:val="none"/>
                      <w:u w:val="none"/>
                    </w:rPr>
                  </w:pP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C6EAB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325.17</w:t>
                  </w:r>
                </w:p>
              </w:tc>
            </w:tr>
            <w:tr w14:paraId="45F7849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D88009">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BAEDA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鄢家凼社区</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D347B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224.96</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67E441">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277DD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224.96</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160C9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3811</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3208F4">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0AAED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3811</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AFE6A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96.74</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5BE6A2">
                  <w:pPr>
                    <w:jc w:val="center"/>
                    <w:rPr>
                      <w:rFonts w:hint="default" w:ascii="Times New Roman" w:hAnsi="Times New Roman" w:eastAsia="宋体" w:cs="Times New Roman"/>
                      <w:i w:val="0"/>
                      <w:iCs w:val="0"/>
                      <w:color w:val="auto"/>
                      <w:sz w:val="21"/>
                      <w:szCs w:val="21"/>
                      <w:highlight w:val="none"/>
                      <w:u w:val="none"/>
                    </w:rPr>
                  </w:pP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5EAC2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96.74</w:t>
                  </w:r>
                </w:p>
              </w:tc>
            </w:tr>
            <w:tr w14:paraId="6FB76A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B7C836">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0A6BF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杨家祠村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E8655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561.65</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AE8040">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76010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561.65</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E13C1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10697</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6C4972">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29D06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10697</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74105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259.21</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FD953B">
                  <w:pPr>
                    <w:jc w:val="center"/>
                    <w:rPr>
                      <w:rFonts w:hint="default" w:ascii="Times New Roman" w:hAnsi="Times New Roman" w:eastAsia="宋体" w:cs="Times New Roman"/>
                      <w:i w:val="0"/>
                      <w:iCs w:val="0"/>
                      <w:color w:val="auto"/>
                      <w:sz w:val="21"/>
                      <w:szCs w:val="21"/>
                      <w:highlight w:val="none"/>
                      <w:u w:val="none"/>
                    </w:rPr>
                  </w:pP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FE259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259.21</w:t>
                  </w:r>
                </w:p>
              </w:tc>
            </w:tr>
            <w:tr w14:paraId="0BCF6BA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6012E8">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512C2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周王沟村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43234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453.14</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DF02B6">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35476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453.14</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8561B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9389</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8959FC">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28C48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9389</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C4DD5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245.5</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1A0051">
                  <w:pPr>
                    <w:jc w:val="center"/>
                    <w:rPr>
                      <w:rFonts w:hint="default" w:ascii="Times New Roman" w:hAnsi="Times New Roman" w:eastAsia="宋体" w:cs="Times New Roman"/>
                      <w:i w:val="0"/>
                      <w:iCs w:val="0"/>
                      <w:color w:val="auto"/>
                      <w:sz w:val="21"/>
                      <w:szCs w:val="21"/>
                      <w:highlight w:val="none"/>
                      <w:u w:val="none"/>
                    </w:rPr>
                  </w:pP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DD4D5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245.5</w:t>
                  </w:r>
                </w:p>
              </w:tc>
            </w:tr>
            <w:tr w14:paraId="531AA06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9EF7EB">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6EEF8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小计</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13FA61">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8750.06</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1A69AD">
                  <w:pPr>
                    <w:jc w:val="center"/>
                    <w:rPr>
                      <w:rFonts w:hint="default" w:ascii="Times New Roman" w:hAnsi="Times New Roman" w:eastAsia="宋体" w:cs="Times New Roman"/>
                      <w:b/>
                      <w:bCs/>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7D9451">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8750.06</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F1CF6D">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194426</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9FAD5C">
                  <w:pPr>
                    <w:jc w:val="center"/>
                    <w:rPr>
                      <w:rFonts w:hint="default" w:ascii="Times New Roman" w:hAnsi="Times New Roman" w:eastAsia="宋体" w:cs="Times New Roman"/>
                      <w:b/>
                      <w:bCs/>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3938FF">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194426</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5294A7">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4788.06</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31ECDC">
                  <w:pPr>
                    <w:jc w:val="center"/>
                    <w:rPr>
                      <w:rFonts w:hint="default" w:ascii="Times New Roman" w:hAnsi="Times New Roman" w:eastAsia="宋体" w:cs="Times New Roman"/>
                      <w:b/>
                      <w:bCs/>
                      <w:i w:val="0"/>
                      <w:iCs w:val="0"/>
                      <w:color w:val="auto"/>
                      <w:sz w:val="21"/>
                      <w:szCs w:val="21"/>
                      <w:highlight w:val="none"/>
                      <w:u w:val="none"/>
                    </w:rPr>
                  </w:pP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DC044E">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4788.06</w:t>
                  </w:r>
                </w:p>
              </w:tc>
            </w:tr>
            <w:tr w14:paraId="394953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jc w:val="center"/>
              </w:trPr>
              <w:tc>
                <w:tcPr>
                  <w:tcW w:w="35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E14D4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大佛镇</w:t>
                  </w: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CF20F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陈家桥村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00BD9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641.19</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8B775B">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567C6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641.19</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C9BE2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14109</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8E1AC0">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E8912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14109</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F31E4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345.93</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108A6C">
                  <w:pPr>
                    <w:jc w:val="center"/>
                    <w:rPr>
                      <w:rFonts w:hint="default" w:ascii="Times New Roman" w:hAnsi="Times New Roman" w:eastAsia="宋体" w:cs="Times New Roman"/>
                      <w:i w:val="0"/>
                      <w:iCs w:val="0"/>
                      <w:color w:val="auto"/>
                      <w:sz w:val="21"/>
                      <w:szCs w:val="21"/>
                      <w:highlight w:val="none"/>
                      <w:u w:val="none"/>
                    </w:rPr>
                  </w:pP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5D905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345.93</w:t>
                  </w:r>
                </w:p>
              </w:tc>
            </w:tr>
            <w:tr w14:paraId="5A2839E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39C826">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9E3E9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大佛社区</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C51BD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360.53</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6B5219">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4D2E7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360.53</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1B6A9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10199</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3565B4">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8ADE7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10199</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DD02B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224.55</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ABC0A7">
                  <w:pPr>
                    <w:jc w:val="center"/>
                    <w:rPr>
                      <w:rFonts w:hint="default" w:ascii="Times New Roman" w:hAnsi="Times New Roman" w:eastAsia="宋体" w:cs="Times New Roman"/>
                      <w:i w:val="0"/>
                      <w:iCs w:val="0"/>
                      <w:color w:val="auto"/>
                      <w:sz w:val="21"/>
                      <w:szCs w:val="21"/>
                      <w:highlight w:val="none"/>
                      <w:u w:val="none"/>
                    </w:rPr>
                  </w:pP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6F486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224.55</w:t>
                  </w:r>
                </w:p>
              </w:tc>
            </w:tr>
            <w:tr w14:paraId="0D0CDC6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BFA3D5">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E2D2D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大堰社区</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FDD58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354.06</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E2D16D">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D18F5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354.06</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3662C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10505</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4C9C6D">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651CB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10505</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3623A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243.66</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E77D01">
                  <w:pPr>
                    <w:jc w:val="center"/>
                    <w:rPr>
                      <w:rFonts w:hint="default" w:ascii="Times New Roman" w:hAnsi="Times New Roman" w:eastAsia="宋体" w:cs="Times New Roman"/>
                      <w:i w:val="0"/>
                      <w:iCs w:val="0"/>
                      <w:color w:val="auto"/>
                      <w:sz w:val="21"/>
                      <w:szCs w:val="21"/>
                      <w:highlight w:val="none"/>
                      <w:u w:val="none"/>
                    </w:rPr>
                  </w:pP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8FACF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243.66</w:t>
                  </w:r>
                </w:p>
              </w:tc>
            </w:tr>
            <w:tr w14:paraId="49A1C61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1AA6ED">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C75E2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东禅社区</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DA505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568.29</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D97E9D">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5BDAF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568.29</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0DE7B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12546</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DEE3FD">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A02F4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12546</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53502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292.58</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64138C">
                  <w:pPr>
                    <w:jc w:val="center"/>
                    <w:rPr>
                      <w:rFonts w:hint="default" w:ascii="Times New Roman" w:hAnsi="Times New Roman" w:eastAsia="宋体" w:cs="Times New Roman"/>
                      <w:i w:val="0"/>
                      <w:iCs w:val="0"/>
                      <w:color w:val="auto"/>
                      <w:sz w:val="21"/>
                      <w:szCs w:val="21"/>
                      <w:highlight w:val="none"/>
                      <w:u w:val="none"/>
                    </w:rPr>
                  </w:pP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FECAD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292.58</w:t>
                  </w:r>
                </w:p>
              </w:tc>
            </w:tr>
            <w:tr w14:paraId="00FCBA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7FEBC6">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EE741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东禅水库</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BB278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24.39</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A30253">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AA504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24.39</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7F2F6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697</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E924E7">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E5A6C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697</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81C5A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16.2</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439EB6">
                  <w:pPr>
                    <w:jc w:val="center"/>
                    <w:rPr>
                      <w:rFonts w:hint="default" w:ascii="Times New Roman" w:hAnsi="Times New Roman" w:eastAsia="宋体" w:cs="Times New Roman"/>
                      <w:i w:val="0"/>
                      <w:iCs w:val="0"/>
                      <w:color w:val="auto"/>
                      <w:sz w:val="21"/>
                      <w:szCs w:val="21"/>
                      <w:highlight w:val="none"/>
                      <w:u w:val="none"/>
                    </w:rPr>
                  </w:pP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07868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16.2</w:t>
                  </w:r>
                </w:p>
              </w:tc>
            </w:tr>
            <w:tr w14:paraId="5C25C33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3567A7">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97687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东禅寺村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DC0E5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369.3</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9C0F47">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5F695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369.3</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B76BA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8450</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C577DE">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0885B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8450</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E655F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237.09</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2064F6">
                  <w:pPr>
                    <w:jc w:val="center"/>
                    <w:rPr>
                      <w:rFonts w:hint="default" w:ascii="Times New Roman" w:hAnsi="Times New Roman" w:eastAsia="宋体" w:cs="Times New Roman"/>
                      <w:i w:val="0"/>
                      <w:iCs w:val="0"/>
                      <w:color w:val="auto"/>
                      <w:sz w:val="21"/>
                      <w:szCs w:val="21"/>
                      <w:highlight w:val="none"/>
                      <w:u w:val="none"/>
                    </w:rPr>
                  </w:pP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AC22E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237.09</w:t>
                  </w:r>
                </w:p>
              </w:tc>
            </w:tr>
            <w:tr w14:paraId="5D34ABF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8FDF89">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1A28F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二龙村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21E84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466.13</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27C57D">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F7BDC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466.13</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13041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10585</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C47197">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79B37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10585</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EA007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261.31</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32470A">
                  <w:pPr>
                    <w:jc w:val="center"/>
                    <w:rPr>
                      <w:rFonts w:hint="default" w:ascii="Times New Roman" w:hAnsi="Times New Roman" w:eastAsia="宋体" w:cs="Times New Roman"/>
                      <w:i w:val="0"/>
                      <w:iCs w:val="0"/>
                      <w:color w:val="auto"/>
                      <w:sz w:val="21"/>
                      <w:szCs w:val="21"/>
                      <w:highlight w:val="none"/>
                      <w:u w:val="none"/>
                    </w:rPr>
                  </w:pP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BFF84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261.31</w:t>
                  </w:r>
                </w:p>
              </w:tc>
            </w:tr>
            <w:tr w14:paraId="5122A72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027DF6">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4E7DE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观音寺村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7E1C8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537.44</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8EE49C">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CA851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537.44</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F8B3F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11852</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56F202">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18F7B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11852</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83AC5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321.95</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E670CF">
                  <w:pPr>
                    <w:jc w:val="center"/>
                    <w:rPr>
                      <w:rFonts w:hint="default" w:ascii="Times New Roman" w:hAnsi="Times New Roman" w:eastAsia="宋体" w:cs="Times New Roman"/>
                      <w:i w:val="0"/>
                      <w:iCs w:val="0"/>
                      <w:color w:val="auto"/>
                      <w:sz w:val="21"/>
                      <w:szCs w:val="21"/>
                      <w:highlight w:val="none"/>
                      <w:u w:val="none"/>
                    </w:rPr>
                  </w:pP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D1FBD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321.95</w:t>
                  </w:r>
                </w:p>
              </w:tc>
            </w:tr>
            <w:tr w14:paraId="12131F0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CBEED8">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8063B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红鞍村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1CCD6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726.18</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49E70A">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1012E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726.18</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E0AF3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15758</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EF1612">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D3FD7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15758</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919C7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380.05</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FFF59A">
                  <w:pPr>
                    <w:jc w:val="center"/>
                    <w:rPr>
                      <w:rFonts w:hint="default" w:ascii="Times New Roman" w:hAnsi="Times New Roman" w:eastAsia="宋体" w:cs="Times New Roman"/>
                      <w:i w:val="0"/>
                      <w:iCs w:val="0"/>
                      <w:color w:val="auto"/>
                      <w:sz w:val="21"/>
                      <w:szCs w:val="21"/>
                      <w:highlight w:val="none"/>
                      <w:u w:val="none"/>
                    </w:rPr>
                  </w:pP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DB275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380.05</w:t>
                  </w:r>
                </w:p>
              </w:tc>
            </w:tr>
            <w:tr w14:paraId="50F5AF7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9BC7F8">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E8519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节龙庙村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054CC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601.45</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04E2F9">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B95E6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601.45</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BA8DC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10547</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AAC84D">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CBD0F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10547</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DE45C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252.29</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D1E426">
                  <w:pPr>
                    <w:jc w:val="center"/>
                    <w:rPr>
                      <w:rFonts w:hint="default" w:ascii="Times New Roman" w:hAnsi="Times New Roman" w:eastAsia="宋体" w:cs="Times New Roman"/>
                      <w:i w:val="0"/>
                      <w:iCs w:val="0"/>
                      <w:color w:val="auto"/>
                      <w:sz w:val="21"/>
                      <w:szCs w:val="21"/>
                      <w:highlight w:val="none"/>
                      <w:u w:val="none"/>
                    </w:rPr>
                  </w:pP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E4B5F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252.29</w:t>
                  </w:r>
                </w:p>
              </w:tc>
            </w:tr>
            <w:tr w14:paraId="5BEC047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2C514C">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BC418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罗汉寺村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33D08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581.45</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D4FE5C">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675C8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581.45</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02BE0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13012</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8E47B3">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28736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13012</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774E4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299.01</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25713A">
                  <w:pPr>
                    <w:jc w:val="center"/>
                    <w:rPr>
                      <w:rFonts w:hint="default" w:ascii="Times New Roman" w:hAnsi="Times New Roman" w:eastAsia="宋体" w:cs="Times New Roman"/>
                      <w:i w:val="0"/>
                      <w:iCs w:val="0"/>
                      <w:color w:val="auto"/>
                      <w:sz w:val="21"/>
                      <w:szCs w:val="21"/>
                      <w:highlight w:val="none"/>
                      <w:u w:val="none"/>
                    </w:rPr>
                  </w:pP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BA260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299.01</w:t>
                  </w:r>
                </w:p>
              </w:tc>
            </w:tr>
            <w:tr w14:paraId="0704CF9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929020">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47413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吕河坝村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80CDC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320.43</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F7C73F">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0FED0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320.43</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8F1FB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7981</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CF18F6">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FCD2D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7981</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A8675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208.94</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EC5640">
                  <w:pPr>
                    <w:jc w:val="center"/>
                    <w:rPr>
                      <w:rFonts w:hint="default" w:ascii="Times New Roman" w:hAnsi="Times New Roman" w:eastAsia="宋体" w:cs="Times New Roman"/>
                      <w:i w:val="0"/>
                      <w:iCs w:val="0"/>
                      <w:color w:val="auto"/>
                      <w:sz w:val="21"/>
                      <w:szCs w:val="21"/>
                      <w:highlight w:val="none"/>
                      <w:u w:val="none"/>
                    </w:rPr>
                  </w:pP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8D505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208.94</w:t>
                  </w:r>
                </w:p>
              </w:tc>
            </w:tr>
            <w:tr w14:paraId="5AC41FC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3C8764">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42F8B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骑龙店村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E0BC5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376.53</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FEDC11">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3C7CB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376.53</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C37A2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6617</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B6C10D">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E0161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6617</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526D9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167.43</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CAF04D">
                  <w:pPr>
                    <w:jc w:val="center"/>
                    <w:rPr>
                      <w:rFonts w:hint="default" w:ascii="Times New Roman" w:hAnsi="Times New Roman" w:eastAsia="宋体" w:cs="Times New Roman"/>
                      <w:i w:val="0"/>
                      <w:iCs w:val="0"/>
                      <w:color w:val="auto"/>
                      <w:sz w:val="21"/>
                      <w:szCs w:val="21"/>
                      <w:highlight w:val="none"/>
                      <w:u w:val="none"/>
                    </w:rPr>
                  </w:pP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B6A0A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167.43</w:t>
                  </w:r>
                </w:p>
              </w:tc>
            </w:tr>
            <w:tr w14:paraId="062237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BAE6D4">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88D8D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双埝塘村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6BD7A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530.26</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475318">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67686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530.26</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14DE7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11132</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C098CF">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6A687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11132</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5A174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279.1</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CE215D">
                  <w:pPr>
                    <w:jc w:val="center"/>
                    <w:rPr>
                      <w:rFonts w:hint="default" w:ascii="Times New Roman" w:hAnsi="Times New Roman" w:eastAsia="宋体" w:cs="Times New Roman"/>
                      <w:i w:val="0"/>
                      <w:iCs w:val="0"/>
                      <w:color w:val="auto"/>
                      <w:sz w:val="21"/>
                      <w:szCs w:val="21"/>
                      <w:highlight w:val="none"/>
                      <w:u w:val="none"/>
                    </w:rPr>
                  </w:pP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D1006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279.1</w:t>
                  </w:r>
                </w:p>
              </w:tc>
            </w:tr>
            <w:tr w14:paraId="69538D2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C8F591">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4D111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铁牛湾村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F1582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394.31</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8B2AE4">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26E75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394.31</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CA200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12892</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9EADC9">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0D7D8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12892</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4524F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312.12</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C9B676">
                  <w:pPr>
                    <w:jc w:val="center"/>
                    <w:rPr>
                      <w:rFonts w:hint="default" w:ascii="Times New Roman" w:hAnsi="Times New Roman" w:eastAsia="宋体" w:cs="Times New Roman"/>
                      <w:i w:val="0"/>
                      <w:iCs w:val="0"/>
                      <w:color w:val="auto"/>
                      <w:sz w:val="21"/>
                      <w:szCs w:val="21"/>
                      <w:highlight w:val="none"/>
                      <w:u w:val="none"/>
                    </w:rPr>
                  </w:pP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6FB39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312.12</w:t>
                  </w:r>
                </w:p>
              </w:tc>
            </w:tr>
            <w:tr w14:paraId="3AAA23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6BD801">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1818D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源柏村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E7B93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697.73</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5C69DF">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8EAFA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697.73</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3B991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16312</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A79FAA">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CD814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16312</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3F5DB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409.15</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D2B871">
                  <w:pPr>
                    <w:jc w:val="center"/>
                    <w:rPr>
                      <w:rFonts w:hint="default" w:ascii="Times New Roman" w:hAnsi="Times New Roman" w:eastAsia="宋体" w:cs="Times New Roman"/>
                      <w:i w:val="0"/>
                      <w:iCs w:val="0"/>
                      <w:color w:val="auto"/>
                      <w:sz w:val="21"/>
                      <w:szCs w:val="21"/>
                      <w:highlight w:val="none"/>
                      <w:u w:val="none"/>
                    </w:rPr>
                  </w:pP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49D67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409.15</w:t>
                  </w:r>
                </w:p>
              </w:tc>
            </w:tr>
            <w:tr w14:paraId="78DCD0D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1A6DEE">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610D1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小计</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327415">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7549.67</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4CC0EB">
                  <w:pPr>
                    <w:jc w:val="center"/>
                    <w:rPr>
                      <w:rFonts w:hint="default" w:ascii="Times New Roman" w:hAnsi="Times New Roman" w:eastAsia="宋体" w:cs="Times New Roman"/>
                      <w:b/>
                      <w:bCs/>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0D3D94">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7549.67</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656AA2">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173194</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E0CCF2">
                  <w:pPr>
                    <w:jc w:val="center"/>
                    <w:rPr>
                      <w:rFonts w:hint="default" w:ascii="Times New Roman" w:hAnsi="Times New Roman" w:eastAsia="宋体" w:cs="Times New Roman"/>
                      <w:b/>
                      <w:bCs/>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596D3B">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173194</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37D721">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4251.36</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BE2A10">
                  <w:pPr>
                    <w:jc w:val="center"/>
                    <w:rPr>
                      <w:rFonts w:hint="default" w:ascii="Times New Roman" w:hAnsi="Times New Roman" w:eastAsia="宋体" w:cs="Times New Roman"/>
                      <w:b/>
                      <w:bCs/>
                      <w:i w:val="0"/>
                      <w:iCs w:val="0"/>
                      <w:color w:val="auto"/>
                      <w:sz w:val="21"/>
                      <w:szCs w:val="21"/>
                      <w:highlight w:val="none"/>
                      <w:u w:val="none"/>
                    </w:rPr>
                  </w:pP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49E2AE">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4251.36</w:t>
                  </w:r>
                </w:p>
              </w:tc>
            </w:tr>
            <w:tr w14:paraId="0CACE8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jc w:val="center"/>
              </w:trPr>
              <w:tc>
                <w:tcPr>
                  <w:tcW w:w="35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CFD8C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高寺镇</w:t>
                  </w: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6A400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佛岩村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D2451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169.03</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1CC7E0">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7D6B9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169.03</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920CC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4406</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4A533E">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88C64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4406</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C60E2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107.21</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C20CC0">
                  <w:pPr>
                    <w:jc w:val="center"/>
                    <w:rPr>
                      <w:rFonts w:hint="default" w:ascii="Times New Roman" w:hAnsi="Times New Roman" w:eastAsia="宋体" w:cs="Times New Roman"/>
                      <w:i w:val="0"/>
                      <w:iCs w:val="0"/>
                      <w:color w:val="auto"/>
                      <w:sz w:val="21"/>
                      <w:szCs w:val="21"/>
                      <w:highlight w:val="none"/>
                      <w:u w:val="none"/>
                    </w:rPr>
                  </w:pP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A3540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107.21</w:t>
                  </w:r>
                </w:p>
              </w:tc>
            </w:tr>
            <w:tr w14:paraId="5AAAD69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67F685">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29597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高峰社区</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0305C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1387.03</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92171D">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1EBE3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1387.03</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B2158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32853</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1A26F1">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FA630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32853</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FAEC2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852.9</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D2CBE6">
                  <w:pPr>
                    <w:jc w:val="center"/>
                    <w:rPr>
                      <w:rFonts w:hint="default" w:ascii="Times New Roman" w:hAnsi="Times New Roman" w:eastAsia="宋体" w:cs="Times New Roman"/>
                      <w:i w:val="0"/>
                      <w:iCs w:val="0"/>
                      <w:color w:val="auto"/>
                      <w:sz w:val="21"/>
                      <w:szCs w:val="21"/>
                      <w:highlight w:val="none"/>
                      <w:u w:val="none"/>
                    </w:rPr>
                  </w:pP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FB3E5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852.9</w:t>
                  </w:r>
                </w:p>
              </w:tc>
            </w:tr>
            <w:tr w14:paraId="0A098F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1E27C3">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D73ED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鼓楼村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36054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753.61</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C85C1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73.4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95FD9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680.21</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CC163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18592</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F7DCC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2366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84650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16226</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A4169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523.92</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794A8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72.3 </w:t>
                  </w: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431F8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451.62</w:t>
                  </w:r>
                </w:p>
              </w:tc>
            </w:tr>
            <w:tr w14:paraId="7AF178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B93A13">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88B3F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简乐桥村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5B289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705.53</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A53A31">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8C553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705.53</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81F04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13177</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006C6D">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F7BAB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13177</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0E78D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318.07</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56A064">
                  <w:pPr>
                    <w:jc w:val="center"/>
                    <w:rPr>
                      <w:rFonts w:hint="default" w:ascii="Times New Roman" w:hAnsi="Times New Roman" w:eastAsia="宋体" w:cs="Times New Roman"/>
                      <w:i w:val="0"/>
                      <w:iCs w:val="0"/>
                      <w:color w:val="auto"/>
                      <w:sz w:val="21"/>
                      <w:szCs w:val="21"/>
                      <w:highlight w:val="none"/>
                      <w:u w:val="none"/>
                    </w:rPr>
                  </w:pP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4EDB9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318.07</w:t>
                  </w:r>
                </w:p>
              </w:tc>
            </w:tr>
            <w:tr w14:paraId="790F72D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C19B4E">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C3984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金光村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44419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1425.35</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30612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438.4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99DA2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986.95</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C99C8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27387</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EFDFA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9067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8C60F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18320</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8A540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690.54</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43A66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244.7 </w:t>
                  </w: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808E5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445.84</w:t>
                  </w:r>
                </w:p>
              </w:tc>
            </w:tr>
            <w:tr w14:paraId="088AE81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0FF2C1">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D294D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聚贤村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AE20F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1158.23</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C38E6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151.5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57969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1006.73</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EDFF4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24716</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79687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2997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21687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21719</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BE884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591.07</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FF3EA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86.3 </w:t>
                  </w: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E746C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504.77</w:t>
                  </w:r>
                </w:p>
              </w:tc>
            </w:tr>
            <w:tr w14:paraId="6963079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352871">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F589D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来龙村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7A4F8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734.56</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C90FB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82.8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52AB6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651.76</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4A426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15589</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841FD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1749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3BC9C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13840</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41988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400.5</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0BF14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51.3 </w:t>
                  </w: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4992E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349.2</w:t>
                  </w:r>
                </w:p>
              </w:tc>
            </w:tr>
            <w:tr w14:paraId="1A15FF8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CB8768">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9EDE6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梨子湾村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632DD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1033.3</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3D4CD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206.9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C81D9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826.4</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6C1F2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24763</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5496E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5483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CB4B6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19280</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71BE6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676.77</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FA78D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157.6 </w:t>
                  </w: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09977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519.17</w:t>
                  </w:r>
                </w:p>
              </w:tc>
            </w:tr>
            <w:tr w14:paraId="6631F7F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48664C">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936A8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凉水社区</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3B76B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599.7</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F4299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230.6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1EAC6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369.1</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FBF5E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16160</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57122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6005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3DDC0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10155</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5CE4A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411.53</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00B92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169.4 </w:t>
                  </w: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E3355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242.13</w:t>
                  </w:r>
                </w:p>
              </w:tc>
            </w:tr>
            <w:tr w14:paraId="6B6AE41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AB9AB4">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C44AC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模范村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967B7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734.74</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6ABE7A">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66B52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734.74</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8EF78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19225</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F7DF4C">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7C983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19225</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E55AF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476.75</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CDA6F6">
                  <w:pPr>
                    <w:jc w:val="center"/>
                    <w:rPr>
                      <w:rFonts w:hint="default" w:ascii="Times New Roman" w:hAnsi="Times New Roman" w:eastAsia="宋体" w:cs="Times New Roman"/>
                      <w:i w:val="0"/>
                      <w:iCs w:val="0"/>
                      <w:color w:val="auto"/>
                      <w:sz w:val="21"/>
                      <w:szCs w:val="21"/>
                      <w:highlight w:val="none"/>
                      <w:u w:val="none"/>
                    </w:rPr>
                  </w:pP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EED01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476.75</w:t>
                  </w:r>
                </w:p>
              </w:tc>
            </w:tr>
            <w:tr w14:paraId="4E15A88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DE6E8A">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AF7A0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清水村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C1DA2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1111.4</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E24E1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95.4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284D0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1016</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8EE05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28305</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A00EC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2936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8BBEE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25369</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C2751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730.87</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3D08D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78.8 </w:t>
                  </w: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70059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652.07</w:t>
                  </w:r>
                </w:p>
              </w:tc>
            </w:tr>
            <w:tr w14:paraId="3F583ED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383BFE">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AD74E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三河咀村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832A2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832.46</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E6C84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173.2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42F7F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659.26</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93A87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20260</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84674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4160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FED29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16100</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8941A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516.71</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D4F79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111.4 </w:t>
                  </w: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69F0D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405.31</w:t>
                  </w:r>
                </w:p>
              </w:tc>
            </w:tr>
            <w:tr w14:paraId="6B170C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A53EFB">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D60F5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石堰村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FF4F1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630.77</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4DA59F">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D1C6C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630.77</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1F7EF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12710</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DAE4A3">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8B5E1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12710</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F5B26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324.25</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F5E733">
                  <w:pPr>
                    <w:jc w:val="center"/>
                    <w:rPr>
                      <w:rFonts w:hint="default" w:ascii="Times New Roman" w:hAnsi="Times New Roman" w:eastAsia="宋体" w:cs="Times New Roman"/>
                      <w:i w:val="0"/>
                      <w:iCs w:val="0"/>
                      <w:color w:val="auto"/>
                      <w:sz w:val="21"/>
                      <w:szCs w:val="21"/>
                      <w:highlight w:val="none"/>
                      <w:u w:val="none"/>
                    </w:rPr>
                  </w:pP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2173B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324.25</w:t>
                  </w:r>
                </w:p>
              </w:tc>
            </w:tr>
            <w:tr w14:paraId="4D9A930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C4A907">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B1DF3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天鹅村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161C6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865.15</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A803C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65.8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AC95E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799.35</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831C7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18286</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03409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1575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6F454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16711</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C8475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468.02</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EE867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45.8 </w:t>
                  </w: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84DD5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422.22</w:t>
                  </w:r>
                </w:p>
              </w:tc>
            </w:tr>
            <w:tr w14:paraId="0AB966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1C91F9">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D8DEF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万寿村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BAB4A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1068.4</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0CC608">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7A03C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1068.4</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D98A1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19259</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038ADC">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7E0D9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19259</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5F737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452.18</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92F931">
                  <w:pPr>
                    <w:jc w:val="center"/>
                    <w:rPr>
                      <w:rFonts w:hint="default" w:ascii="Times New Roman" w:hAnsi="Times New Roman" w:eastAsia="宋体" w:cs="Times New Roman"/>
                      <w:i w:val="0"/>
                      <w:iCs w:val="0"/>
                      <w:color w:val="auto"/>
                      <w:sz w:val="21"/>
                      <w:szCs w:val="21"/>
                      <w:highlight w:val="none"/>
                      <w:u w:val="none"/>
                    </w:rPr>
                  </w:pP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9D900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452.18</w:t>
                  </w:r>
                </w:p>
              </w:tc>
            </w:tr>
            <w:tr w14:paraId="50A297F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B41324">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BB634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香泉社区</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47D68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1518.56</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746A45">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8C128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1518.56</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75EEC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28144</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1F0FA3">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963EE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28144</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490AF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713.93</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1CE4D5">
                  <w:pPr>
                    <w:jc w:val="center"/>
                    <w:rPr>
                      <w:rFonts w:hint="default" w:ascii="Times New Roman" w:hAnsi="Times New Roman" w:eastAsia="宋体" w:cs="Times New Roman"/>
                      <w:i w:val="0"/>
                      <w:iCs w:val="0"/>
                      <w:color w:val="auto"/>
                      <w:sz w:val="21"/>
                      <w:szCs w:val="21"/>
                      <w:highlight w:val="none"/>
                      <w:u w:val="none"/>
                    </w:rPr>
                  </w:pP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E18C6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713.93</w:t>
                  </w:r>
                </w:p>
              </w:tc>
            </w:tr>
            <w:tr w14:paraId="2452EC0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235461">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7579C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孝义村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B319E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887.08</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8F787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290.5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7E1A6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596.58</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5117B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19595</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38982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7277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DE8CA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12318</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79EA9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487.5</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CF898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193.2 </w:t>
                  </w: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81E19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294.3</w:t>
                  </w:r>
                </w:p>
              </w:tc>
            </w:tr>
            <w:tr w14:paraId="559B981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8B089E">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63EBF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燕子村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FB08F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1570.64</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2CA3F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102.3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2A862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1468.34</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A5558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40306</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30064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2360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5F8F4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37946</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AA7C4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1001.8</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B1618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62.7 </w:t>
                  </w: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D2965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939.1</w:t>
                  </w:r>
                </w:p>
              </w:tc>
            </w:tr>
            <w:tr w14:paraId="623625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781C00">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DD8F5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永安社区</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F12F7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789.44</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1A17E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233.6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8C696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555.84</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05F37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17386</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F17EE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4336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092E6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13050</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37C60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464.31</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875C9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113.9 </w:t>
                  </w: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D73EB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350.41</w:t>
                  </w:r>
                </w:p>
              </w:tc>
            </w:tr>
            <w:tr w14:paraId="7EB9F56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8B3DD2">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080F0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永胜社区</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8167A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972.25</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982B0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225.4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6A786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746.85</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4B932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23574</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3A778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5027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8E3D6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18547</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41636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611.83</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077B4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131.6 </w:t>
                  </w: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93093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480.23</w:t>
                  </w:r>
                </w:p>
              </w:tc>
            </w:tr>
            <w:tr w14:paraId="24BCEF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05306E">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4D378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小计</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C4DFD8">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18947.23</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C1AA15">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2369.8</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26D2BE">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16577.43</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2AE405">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424693</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DAB9F4">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55338</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D4E08A">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369355</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84DFDE">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10820.66</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8AFF8E">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1519</w:t>
                  </w: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8C8F41">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9301.66</w:t>
                  </w:r>
                </w:p>
              </w:tc>
            </w:tr>
            <w:tr w14:paraId="600EDA1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jc w:val="center"/>
              </w:trPr>
              <w:tc>
                <w:tcPr>
                  <w:tcW w:w="35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66B00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劳动镇</w:t>
                  </w: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96456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敖家寨村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DEE29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265.31</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03257B">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4AACF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265.31</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4B9DF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5399</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272A7F">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0E539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5399</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4C9DF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138.52</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5FC8B4">
                  <w:pPr>
                    <w:jc w:val="center"/>
                    <w:rPr>
                      <w:rFonts w:hint="default" w:ascii="Times New Roman" w:hAnsi="Times New Roman" w:eastAsia="宋体" w:cs="Times New Roman"/>
                      <w:i w:val="0"/>
                      <w:iCs w:val="0"/>
                      <w:color w:val="auto"/>
                      <w:sz w:val="21"/>
                      <w:szCs w:val="21"/>
                      <w:highlight w:val="none"/>
                      <w:u w:val="none"/>
                    </w:rPr>
                  </w:pP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A5F98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138.52</w:t>
                  </w:r>
                </w:p>
              </w:tc>
            </w:tr>
            <w:tr w14:paraId="0D55241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4105F3">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F8929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百花村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8D832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337.96</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09E90A">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7D088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337.96</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C1B58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7637</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7937AD">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CD8B1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7637</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19B5C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184.69</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2C9455">
                  <w:pPr>
                    <w:jc w:val="center"/>
                    <w:rPr>
                      <w:rFonts w:hint="default" w:ascii="Times New Roman" w:hAnsi="Times New Roman" w:eastAsia="宋体" w:cs="Times New Roman"/>
                      <w:i w:val="0"/>
                      <w:iCs w:val="0"/>
                      <w:color w:val="auto"/>
                      <w:sz w:val="21"/>
                      <w:szCs w:val="21"/>
                      <w:highlight w:val="none"/>
                      <w:u w:val="none"/>
                    </w:rPr>
                  </w:pP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97BAF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184.69</w:t>
                  </w:r>
                </w:p>
              </w:tc>
            </w:tr>
            <w:tr w14:paraId="352DD6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F78AFB">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7D185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潮水村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3F1AF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601.98</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5AD16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124.6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B2CD3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477.38</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ABF7C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15440</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396D0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3131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EFA77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12309</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9E21E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380.72</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58FD6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85.8 </w:t>
                  </w: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92BFB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294.92</w:t>
                  </w:r>
                </w:p>
              </w:tc>
            </w:tr>
            <w:tr w14:paraId="0E7802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E49100">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0AD98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崇古村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3244D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538.26</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BFD8B1">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8EDBF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538.26</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AFED2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12484</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28AD26">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A1037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12484</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4D4D9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307.74</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408E42">
                  <w:pPr>
                    <w:jc w:val="center"/>
                    <w:rPr>
                      <w:rFonts w:hint="default" w:ascii="Times New Roman" w:hAnsi="Times New Roman" w:eastAsia="宋体" w:cs="Times New Roman"/>
                      <w:i w:val="0"/>
                      <w:iCs w:val="0"/>
                      <w:color w:val="auto"/>
                      <w:sz w:val="21"/>
                      <w:szCs w:val="21"/>
                      <w:highlight w:val="none"/>
                      <w:u w:val="none"/>
                    </w:rPr>
                  </w:pP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F81C2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307.74</w:t>
                  </w:r>
                </w:p>
              </w:tc>
            </w:tr>
            <w:tr w14:paraId="0FF114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54CE0D">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756CA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福乐社区</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226D1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434.53</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8341CC">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CE914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434.53</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9215A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9599</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769F61">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D3AE3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9599</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FE924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244.55</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7B89E7">
                  <w:pPr>
                    <w:jc w:val="center"/>
                    <w:rPr>
                      <w:rFonts w:hint="default" w:ascii="Times New Roman" w:hAnsi="Times New Roman" w:eastAsia="宋体" w:cs="Times New Roman"/>
                      <w:i w:val="0"/>
                      <w:iCs w:val="0"/>
                      <w:color w:val="auto"/>
                      <w:sz w:val="21"/>
                      <w:szCs w:val="21"/>
                      <w:highlight w:val="none"/>
                      <w:u w:val="none"/>
                    </w:rPr>
                  </w:pP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1FA4D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244.55</w:t>
                  </w:r>
                </w:p>
              </w:tc>
            </w:tr>
            <w:tr w14:paraId="39E90B2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9AF6A7">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AB62D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回龙庵村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1E2FC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601.08</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67FE50">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9AF70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601.08</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B0882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11603</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A33A18">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758D7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11603</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50076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267.85</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8FEF7E">
                  <w:pPr>
                    <w:jc w:val="center"/>
                    <w:rPr>
                      <w:rFonts w:hint="default" w:ascii="Times New Roman" w:hAnsi="Times New Roman" w:eastAsia="宋体" w:cs="Times New Roman"/>
                      <w:i w:val="0"/>
                      <w:iCs w:val="0"/>
                      <w:color w:val="auto"/>
                      <w:sz w:val="21"/>
                      <w:szCs w:val="21"/>
                      <w:highlight w:val="none"/>
                      <w:u w:val="none"/>
                    </w:rPr>
                  </w:pP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2F64E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267.85</w:t>
                  </w:r>
                </w:p>
              </w:tc>
            </w:tr>
            <w:tr w14:paraId="4A8CFDB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01B399">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D24DA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回龙社区</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1AE76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207.39</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C12CDC">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320C3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207.39</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D61BB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4000</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00020B">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772D4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4000</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8083C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96.19</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0365C5">
                  <w:pPr>
                    <w:jc w:val="center"/>
                    <w:rPr>
                      <w:rFonts w:hint="default" w:ascii="Times New Roman" w:hAnsi="Times New Roman" w:eastAsia="宋体" w:cs="Times New Roman"/>
                      <w:i w:val="0"/>
                      <w:iCs w:val="0"/>
                      <w:color w:val="auto"/>
                      <w:sz w:val="21"/>
                      <w:szCs w:val="21"/>
                      <w:highlight w:val="none"/>
                      <w:u w:val="none"/>
                    </w:rPr>
                  </w:pP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60811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96.19</w:t>
                  </w:r>
                </w:p>
              </w:tc>
            </w:tr>
            <w:tr w14:paraId="30F26D6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94DC3B">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3C27C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旧居村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02FE2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790.24</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D6D0A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85.6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F02F8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704.64</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81E5D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15611</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EE5A3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2452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4CF63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13159</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82FF7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398.5</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54039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56.9 </w:t>
                  </w: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4BACE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341.6</w:t>
                  </w:r>
                </w:p>
              </w:tc>
            </w:tr>
            <w:tr w14:paraId="306CCA5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12BB3D">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6BA6B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老观音村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D7E0F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660.48</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C516D0">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380B6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660.48</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20243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11552</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D42D04">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D1AF8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11552</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9C1A4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286.49</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6D01F6">
                  <w:pPr>
                    <w:jc w:val="center"/>
                    <w:rPr>
                      <w:rFonts w:hint="default" w:ascii="Times New Roman" w:hAnsi="Times New Roman" w:eastAsia="宋体" w:cs="Times New Roman"/>
                      <w:i w:val="0"/>
                      <w:iCs w:val="0"/>
                      <w:color w:val="auto"/>
                      <w:sz w:val="21"/>
                      <w:szCs w:val="21"/>
                      <w:highlight w:val="none"/>
                      <w:u w:val="none"/>
                    </w:rPr>
                  </w:pP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6DE66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286.49</w:t>
                  </w:r>
                </w:p>
              </w:tc>
            </w:tr>
            <w:tr w14:paraId="1AF8C80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82CA12">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635A3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庙山村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0EF33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417.55</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F39C90">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33315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417.55</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53199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8968</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20A6B6">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F8487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8968</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E4127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206.84</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97DA3A">
                  <w:pPr>
                    <w:jc w:val="center"/>
                    <w:rPr>
                      <w:rFonts w:hint="default" w:ascii="Times New Roman" w:hAnsi="Times New Roman" w:eastAsia="宋体" w:cs="Times New Roman"/>
                      <w:i w:val="0"/>
                      <w:iCs w:val="0"/>
                      <w:color w:val="auto"/>
                      <w:sz w:val="21"/>
                      <w:szCs w:val="21"/>
                      <w:highlight w:val="none"/>
                      <w:u w:val="none"/>
                    </w:rPr>
                  </w:pP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6304D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206.84</w:t>
                  </w:r>
                </w:p>
              </w:tc>
            </w:tr>
            <w:tr w14:paraId="1D3B00C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BCD588">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06E75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七门村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B747E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905.47</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F361E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259.8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14140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645.67</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E6436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15910</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4081F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7273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63CF4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8637</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D5C4F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414.21</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3ECC9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194.9 </w:t>
                  </w: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ABB12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219.31</w:t>
                  </w:r>
                </w:p>
              </w:tc>
            </w:tr>
            <w:tr w14:paraId="0CF227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44AB74">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7557D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双祠堂村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4B733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736.78</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4910EB">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54905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736.78</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44DBC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16790</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A48BED">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26EC5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16790</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6C38E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439.67</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E37F5C">
                  <w:pPr>
                    <w:jc w:val="center"/>
                    <w:rPr>
                      <w:rFonts w:hint="default" w:ascii="Times New Roman" w:hAnsi="Times New Roman" w:eastAsia="宋体" w:cs="Times New Roman"/>
                      <w:i w:val="0"/>
                      <w:iCs w:val="0"/>
                      <w:color w:val="auto"/>
                      <w:sz w:val="21"/>
                      <w:szCs w:val="21"/>
                      <w:highlight w:val="none"/>
                      <w:u w:val="none"/>
                    </w:rPr>
                  </w:pP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308ED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439.67</w:t>
                  </w:r>
                </w:p>
              </w:tc>
            </w:tr>
            <w:tr w14:paraId="2BADB4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0A9C15">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26620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双龙村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AD29F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186.03</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0BAE1B">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3F268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186.03</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67C41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3916</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295811">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90EC2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3916</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69759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99.46</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8F97CF">
                  <w:pPr>
                    <w:jc w:val="center"/>
                    <w:rPr>
                      <w:rFonts w:hint="default" w:ascii="Times New Roman" w:hAnsi="Times New Roman" w:eastAsia="宋体" w:cs="Times New Roman"/>
                      <w:i w:val="0"/>
                      <w:iCs w:val="0"/>
                      <w:color w:val="auto"/>
                      <w:sz w:val="21"/>
                      <w:szCs w:val="21"/>
                      <w:highlight w:val="none"/>
                      <w:u w:val="none"/>
                    </w:rPr>
                  </w:pP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A538B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99.46</w:t>
                  </w:r>
                </w:p>
              </w:tc>
            </w:tr>
            <w:tr w14:paraId="75AD41D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466BF1">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4B02E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天宫村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496B5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531.39</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4431FA">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203B7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531.39</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92771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10386</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A5FB95">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88D40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10386</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236D0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266.49</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2AC209">
                  <w:pPr>
                    <w:jc w:val="center"/>
                    <w:rPr>
                      <w:rFonts w:hint="default" w:ascii="Times New Roman" w:hAnsi="Times New Roman" w:eastAsia="宋体" w:cs="Times New Roman"/>
                      <w:i w:val="0"/>
                      <w:iCs w:val="0"/>
                      <w:color w:val="auto"/>
                      <w:sz w:val="21"/>
                      <w:szCs w:val="21"/>
                      <w:highlight w:val="none"/>
                      <w:u w:val="none"/>
                    </w:rPr>
                  </w:pP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6D307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266.49</w:t>
                  </w:r>
                </w:p>
              </w:tc>
            </w:tr>
            <w:tr w14:paraId="5853A7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141CA0">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A209A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远朝门村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EB462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169.55</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05E2A7">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FF5E3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169.55</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58E85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3431</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154C27">
                  <w:pPr>
                    <w:jc w:val="center"/>
                    <w:rPr>
                      <w:rFonts w:hint="default" w:ascii="Times New Roman" w:hAnsi="Times New Roman" w:eastAsia="宋体" w:cs="Times New Roman"/>
                      <w:i w:val="0"/>
                      <w:iCs w:val="0"/>
                      <w:color w:val="auto"/>
                      <w:sz w:val="21"/>
                      <w:szCs w:val="21"/>
                      <w:highlight w:val="none"/>
                      <w:u w:val="none"/>
                    </w:rPr>
                  </w:pP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49503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3431</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58DBB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87.75</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C2D5D8">
                  <w:pPr>
                    <w:jc w:val="center"/>
                    <w:rPr>
                      <w:rFonts w:hint="default" w:ascii="Times New Roman" w:hAnsi="Times New Roman" w:eastAsia="宋体" w:cs="Times New Roman"/>
                      <w:i w:val="0"/>
                      <w:iCs w:val="0"/>
                      <w:color w:val="auto"/>
                      <w:sz w:val="21"/>
                      <w:szCs w:val="21"/>
                      <w:highlight w:val="none"/>
                      <w:u w:val="none"/>
                    </w:rPr>
                  </w:pP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D660F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87.75</w:t>
                  </w:r>
                </w:p>
              </w:tc>
            </w:tr>
            <w:tr w14:paraId="5B117B9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625EDA">
                  <w:pPr>
                    <w:jc w:val="center"/>
                    <w:rPr>
                      <w:rFonts w:hint="default" w:ascii="Times New Roman" w:hAnsi="Times New Roman" w:eastAsia="宋体" w:cs="Times New Roman"/>
                      <w:b/>
                      <w:bCs/>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B53FF3">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小计</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BD5B50">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7384</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E3843B">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470</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D1AF4F">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6914</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885ED8">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152726</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4D75EF">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12856</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A05D20">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139870</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5A7080">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3819.67</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84FE20">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337.6</w:t>
                  </w: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32FE2E">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3482.07</w:t>
                  </w:r>
                </w:p>
              </w:tc>
            </w:tr>
            <w:tr w14:paraId="4217118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5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CAB2C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天池镇</w:t>
                  </w: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AB0CC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宝鼎村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F951E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357.7</w:t>
                  </w:r>
                </w:p>
              </w:tc>
              <w:tc>
                <w:tcPr>
                  <w:tcW w:w="4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4F4A8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357.7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5E3C24">
                  <w:pPr>
                    <w:jc w:val="center"/>
                    <w:rPr>
                      <w:rFonts w:hint="default" w:ascii="Times New Roman" w:hAnsi="Times New Roman" w:eastAsia="宋体" w:cs="Times New Roman"/>
                      <w:i w:val="0"/>
                      <w:iCs w:val="0"/>
                      <w:color w:val="auto"/>
                      <w:sz w:val="21"/>
                      <w:szCs w:val="21"/>
                      <w:highlight w:val="none"/>
                      <w:u w:val="none"/>
                    </w:rPr>
                  </w:pP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487F7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8904</w:t>
                  </w:r>
                </w:p>
              </w:tc>
              <w:tc>
                <w:tcPr>
                  <w:tcW w:w="4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23E0F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8904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DC98F0">
                  <w:pPr>
                    <w:jc w:val="center"/>
                    <w:rPr>
                      <w:rFonts w:hint="default" w:ascii="Times New Roman" w:hAnsi="Times New Roman" w:eastAsia="宋体" w:cs="Times New Roman"/>
                      <w:i w:val="0"/>
                      <w:iCs w:val="0"/>
                      <w:color w:val="auto"/>
                      <w:sz w:val="21"/>
                      <w:szCs w:val="21"/>
                      <w:highlight w:val="none"/>
                      <w:u w:val="none"/>
                    </w:rPr>
                  </w:pP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E0A6B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217.9</w:t>
                  </w:r>
                </w:p>
              </w:tc>
              <w:tc>
                <w:tcPr>
                  <w:tcW w:w="4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BAEEC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217.9 </w:t>
                  </w: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8A7E2E">
                  <w:pPr>
                    <w:jc w:val="center"/>
                    <w:rPr>
                      <w:rFonts w:hint="default" w:ascii="Times New Roman" w:hAnsi="Times New Roman" w:eastAsia="宋体" w:cs="Times New Roman"/>
                      <w:i w:val="0"/>
                      <w:iCs w:val="0"/>
                      <w:color w:val="auto"/>
                      <w:sz w:val="21"/>
                      <w:szCs w:val="21"/>
                      <w:highlight w:val="none"/>
                      <w:u w:val="none"/>
                    </w:rPr>
                  </w:pPr>
                </w:p>
              </w:tc>
            </w:tr>
            <w:tr w14:paraId="5681EB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822DD4">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0DBD8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黄家园村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A9B29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188.9</w:t>
                  </w:r>
                </w:p>
              </w:tc>
              <w:tc>
                <w:tcPr>
                  <w:tcW w:w="4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38DEC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188.9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9B5453">
                  <w:pPr>
                    <w:jc w:val="center"/>
                    <w:rPr>
                      <w:rFonts w:hint="default" w:ascii="Times New Roman" w:hAnsi="Times New Roman" w:eastAsia="宋体" w:cs="Times New Roman"/>
                      <w:i w:val="0"/>
                      <w:iCs w:val="0"/>
                      <w:color w:val="auto"/>
                      <w:sz w:val="21"/>
                      <w:szCs w:val="21"/>
                      <w:highlight w:val="none"/>
                      <w:u w:val="none"/>
                    </w:rPr>
                  </w:pP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89D50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4486</w:t>
                  </w:r>
                </w:p>
              </w:tc>
              <w:tc>
                <w:tcPr>
                  <w:tcW w:w="4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609B5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4486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8CC1D3">
                  <w:pPr>
                    <w:jc w:val="center"/>
                    <w:rPr>
                      <w:rFonts w:hint="default" w:ascii="Times New Roman" w:hAnsi="Times New Roman" w:eastAsia="宋体" w:cs="Times New Roman"/>
                      <w:i w:val="0"/>
                      <w:iCs w:val="0"/>
                      <w:color w:val="auto"/>
                      <w:sz w:val="21"/>
                      <w:szCs w:val="21"/>
                      <w:highlight w:val="none"/>
                      <w:u w:val="none"/>
                    </w:rPr>
                  </w:pP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85EAB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159.4</w:t>
                  </w:r>
                </w:p>
              </w:tc>
              <w:tc>
                <w:tcPr>
                  <w:tcW w:w="4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DF276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159.4 </w:t>
                  </w: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5B09DB">
                  <w:pPr>
                    <w:jc w:val="center"/>
                    <w:rPr>
                      <w:rFonts w:hint="default" w:ascii="Times New Roman" w:hAnsi="Times New Roman" w:eastAsia="宋体" w:cs="Times New Roman"/>
                      <w:i w:val="0"/>
                      <w:iCs w:val="0"/>
                      <w:color w:val="auto"/>
                      <w:sz w:val="21"/>
                      <w:szCs w:val="21"/>
                      <w:highlight w:val="none"/>
                      <w:u w:val="none"/>
                    </w:rPr>
                  </w:pPr>
                </w:p>
              </w:tc>
            </w:tr>
            <w:tr w14:paraId="2A17F9E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4924C9">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3B069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黄岭铺村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E7676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242.4</w:t>
                  </w:r>
                </w:p>
              </w:tc>
              <w:tc>
                <w:tcPr>
                  <w:tcW w:w="4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5A62A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242.4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A2EBD1">
                  <w:pPr>
                    <w:jc w:val="center"/>
                    <w:rPr>
                      <w:rFonts w:hint="default" w:ascii="Times New Roman" w:hAnsi="Times New Roman" w:eastAsia="宋体" w:cs="Times New Roman"/>
                      <w:i w:val="0"/>
                      <w:iCs w:val="0"/>
                      <w:color w:val="auto"/>
                      <w:sz w:val="21"/>
                      <w:szCs w:val="21"/>
                      <w:highlight w:val="none"/>
                      <w:u w:val="none"/>
                    </w:rPr>
                  </w:pP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0616E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4853</w:t>
                  </w:r>
                </w:p>
              </w:tc>
              <w:tc>
                <w:tcPr>
                  <w:tcW w:w="4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5F581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4853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D30B5C">
                  <w:pPr>
                    <w:jc w:val="center"/>
                    <w:rPr>
                      <w:rFonts w:hint="default" w:ascii="Times New Roman" w:hAnsi="Times New Roman" w:eastAsia="宋体" w:cs="Times New Roman"/>
                      <w:i w:val="0"/>
                      <w:iCs w:val="0"/>
                      <w:color w:val="auto"/>
                      <w:sz w:val="21"/>
                      <w:szCs w:val="21"/>
                      <w:highlight w:val="none"/>
                      <w:u w:val="none"/>
                    </w:rPr>
                  </w:pP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74BAD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141</w:t>
                  </w:r>
                </w:p>
              </w:tc>
              <w:tc>
                <w:tcPr>
                  <w:tcW w:w="4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EB7C6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141.0 </w:t>
                  </w: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D1D7FA">
                  <w:pPr>
                    <w:jc w:val="center"/>
                    <w:rPr>
                      <w:rFonts w:hint="default" w:ascii="Times New Roman" w:hAnsi="Times New Roman" w:eastAsia="宋体" w:cs="Times New Roman"/>
                      <w:i w:val="0"/>
                      <w:iCs w:val="0"/>
                      <w:color w:val="auto"/>
                      <w:sz w:val="21"/>
                      <w:szCs w:val="21"/>
                      <w:highlight w:val="none"/>
                      <w:u w:val="none"/>
                    </w:rPr>
                  </w:pPr>
                </w:p>
              </w:tc>
            </w:tr>
            <w:tr w14:paraId="43916B4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E6006B">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6AAAD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可印堂村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32D5F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178.8</w:t>
                  </w:r>
                </w:p>
              </w:tc>
              <w:tc>
                <w:tcPr>
                  <w:tcW w:w="4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143BD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178.8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19775B">
                  <w:pPr>
                    <w:jc w:val="center"/>
                    <w:rPr>
                      <w:rFonts w:hint="default" w:ascii="Times New Roman" w:hAnsi="Times New Roman" w:eastAsia="宋体" w:cs="Times New Roman"/>
                      <w:i w:val="0"/>
                      <w:iCs w:val="0"/>
                      <w:color w:val="auto"/>
                      <w:sz w:val="21"/>
                      <w:szCs w:val="21"/>
                      <w:highlight w:val="none"/>
                      <w:u w:val="none"/>
                    </w:rPr>
                  </w:pP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53201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4450</w:t>
                  </w:r>
                </w:p>
              </w:tc>
              <w:tc>
                <w:tcPr>
                  <w:tcW w:w="4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D930D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4450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1CE404">
                  <w:pPr>
                    <w:jc w:val="center"/>
                    <w:rPr>
                      <w:rFonts w:hint="default" w:ascii="Times New Roman" w:hAnsi="Times New Roman" w:eastAsia="宋体" w:cs="Times New Roman"/>
                      <w:i w:val="0"/>
                      <w:iCs w:val="0"/>
                      <w:color w:val="auto"/>
                      <w:sz w:val="21"/>
                      <w:szCs w:val="21"/>
                      <w:highlight w:val="none"/>
                      <w:u w:val="none"/>
                    </w:rPr>
                  </w:pP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2C540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111.7</w:t>
                  </w:r>
                </w:p>
              </w:tc>
              <w:tc>
                <w:tcPr>
                  <w:tcW w:w="45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4CEA3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111.7 </w:t>
                  </w: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18BD92">
                  <w:pPr>
                    <w:jc w:val="center"/>
                    <w:rPr>
                      <w:rFonts w:hint="default" w:ascii="Times New Roman" w:hAnsi="Times New Roman" w:eastAsia="宋体" w:cs="Times New Roman"/>
                      <w:i w:val="0"/>
                      <w:iCs w:val="0"/>
                      <w:color w:val="auto"/>
                      <w:sz w:val="21"/>
                      <w:szCs w:val="21"/>
                      <w:highlight w:val="none"/>
                      <w:u w:val="none"/>
                    </w:rPr>
                  </w:pPr>
                </w:p>
              </w:tc>
            </w:tr>
            <w:tr w14:paraId="6CBD26A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F368DA">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04075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刘痣垭村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3A9C6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185.8</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9B9FF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185.8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E31D84">
                  <w:pPr>
                    <w:jc w:val="center"/>
                    <w:rPr>
                      <w:rFonts w:hint="default" w:ascii="Times New Roman" w:hAnsi="Times New Roman" w:eastAsia="宋体" w:cs="Times New Roman"/>
                      <w:i w:val="0"/>
                      <w:iCs w:val="0"/>
                      <w:color w:val="auto"/>
                      <w:sz w:val="21"/>
                      <w:szCs w:val="21"/>
                      <w:highlight w:val="none"/>
                      <w:u w:val="none"/>
                    </w:rPr>
                  </w:pP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87B3B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4339</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FBB88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4339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0C0A06">
                  <w:pPr>
                    <w:jc w:val="center"/>
                    <w:rPr>
                      <w:rFonts w:hint="default" w:ascii="Times New Roman" w:hAnsi="Times New Roman" w:eastAsia="宋体" w:cs="Times New Roman"/>
                      <w:i w:val="0"/>
                      <w:iCs w:val="0"/>
                      <w:color w:val="auto"/>
                      <w:sz w:val="21"/>
                      <w:szCs w:val="21"/>
                      <w:highlight w:val="none"/>
                      <w:u w:val="none"/>
                    </w:rPr>
                  </w:pP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B3DA4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118.9</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513B9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118.9 </w:t>
                  </w: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35F555">
                  <w:pPr>
                    <w:jc w:val="center"/>
                    <w:rPr>
                      <w:rFonts w:hint="default" w:ascii="Times New Roman" w:hAnsi="Times New Roman" w:eastAsia="宋体" w:cs="Times New Roman"/>
                      <w:i w:val="0"/>
                      <w:iCs w:val="0"/>
                      <w:color w:val="auto"/>
                      <w:sz w:val="21"/>
                      <w:szCs w:val="21"/>
                      <w:highlight w:val="none"/>
                      <w:u w:val="none"/>
                    </w:rPr>
                  </w:pPr>
                </w:p>
              </w:tc>
            </w:tr>
            <w:tr w14:paraId="518CAFC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F663A7">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1538C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棉花湾社区</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3A24C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79.5</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EB59C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79.5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A8CF3E">
                  <w:pPr>
                    <w:jc w:val="center"/>
                    <w:rPr>
                      <w:rFonts w:hint="default" w:ascii="Times New Roman" w:hAnsi="Times New Roman" w:eastAsia="宋体" w:cs="Times New Roman"/>
                      <w:i w:val="0"/>
                      <w:iCs w:val="0"/>
                      <w:color w:val="auto"/>
                      <w:sz w:val="21"/>
                      <w:szCs w:val="21"/>
                      <w:highlight w:val="none"/>
                      <w:u w:val="none"/>
                    </w:rPr>
                  </w:pP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72911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1545</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BCD36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1545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00454E">
                  <w:pPr>
                    <w:jc w:val="center"/>
                    <w:rPr>
                      <w:rFonts w:hint="default" w:ascii="Times New Roman" w:hAnsi="Times New Roman" w:eastAsia="宋体" w:cs="Times New Roman"/>
                      <w:i w:val="0"/>
                      <w:iCs w:val="0"/>
                      <w:color w:val="auto"/>
                      <w:sz w:val="21"/>
                      <w:szCs w:val="21"/>
                      <w:highlight w:val="none"/>
                      <w:u w:val="none"/>
                    </w:rPr>
                  </w:pP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8F9B5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38.2</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3A7EF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38.2 </w:t>
                  </w: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7FBC5D">
                  <w:pPr>
                    <w:jc w:val="center"/>
                    <w:rPr>
                      <w:rFonts w:hint="default" w:ascii="Times New Roman" w:hAnsi="Times New Roman" w:eastAsia="宋体" w:cs="Times New Roman"/>
                      <w:i w:val="0"/>
                      <w:iCs w:val="0"/>
                      <w:color w:val="auto"/>
                      <w:sz w:val="21"/>
                      <w:szCs w:val="21"/>
                      <w:highlight w:val="none"/>
                      <w:u w:val="none"/>
                    </w:rPr>
                  </w:pPr>
                </w:p>
              </w:tc>
            </w:tr>
            <w:tr w14:paraId="3E8918C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083D95">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328C9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牛栏店村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727BD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253.1</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50D66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253.1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1F1D7C">
                  <w:pPr>
                    <w:jc w:val="center"/>
                    <w:rPr>
                      <w:rFonts w:hint="default" w:ascii="Times New Roman" w:hAnsi="Times New Roman" w:eastAsia="宋体" w:cs="Times New Roman"/>
                      <w:i w:val="0"/>
                      <w:iCs w:val="0"/>
                      <w:color w:val="auto"/>
                      <w:sz w:val="21"/>
                      <w:szCs w:val="21"/>
                      <w:highlight w:val="none"/>
                      <w:u w:val="none"/>
                    </w:rPr>
                  </w:pP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A4CA6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5875</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AAE6F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5875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6686A5">
                  <w:pPr>
                    <w:jc w:val="center"/>
                    <w:rPr>
                      <w:rFonts w:hint="default" w:ascii="Times New Roman" w:hAnsi="Times New Roman" w:eastAsia="宋体" w:cs="Times New Roman"/>
                      <w:i w:val="0"/>
                      <w:iCs w:val="0"/>
                      <w:color w:val="auto"/>
                      <w:sz w:val="21"/>
                      <w:szCs w:val="21"/>
                      <w:highlight w:val="none"/>
                      <w:u w:val="none"/>
                    </w:rPr>
                  </w:pP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1602A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167.8</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D718F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167.8 </w:t>
                  </w: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1539EC">
                  <w:pPr>
                    <w:jc w:val="center"/>
                    <w:rPr>
                      <w:rFonts w:hint="default" w:ascii="Times New Roman" w:hAnsi="Times New Roman" w:eastAsia="宋体" w:cs="Times New Roman"/>
                      <w:i w:val="0"/>
                      <w:iCs w:val="0"/>
                      <w:color w:val="auto"/>
                      <w:sz w:val="21"/>
                      <w:szCs w:val="21"/>
                      <w:highlight w:val="none"/>
                      <w:u w:val="none"/>
                    </w:rPr>
                  </w:pPr>
                </w:p>
              </w:tc>
            </w:tr>
            <w:tr w14:paraId="4B8289E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815BF8">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94588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群乐村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2065C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123.8</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0585E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123.8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352913">
                  <w:pPr>
                    <w:jc w:val="center"/>
                    <w:rPr>
                      <w:rFonts w:hint="default" w:ascii="Times New Roman" w:hAnsi="Times New Roman" w:eastAsia="宋体" w:cs="Times New Roman"/>
                      <w:i w:val="0"/>
                      <w:iCs w:val="0"/>
                      <w:color w:val="auto"/>
                      <w:sz w:val="21"/>
                      <w:szCs w:val="21"/>
                      <w:highlight w:val="none"/>
                      <w:u w:val="none"/>
                    </w:rPr>
                  </w:pP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C117B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2786</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ACADC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2786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28FCCF">
                  <w:pPr>
                    <w:jc w:val="center"/>
                    <w:rPr>
                      <w:rFonts w:hint="default" w:ascii="Times New Roman" w:hAnsi="Times New Roman" w:eastAsia="宋体" w:cs="Times New Roman"/>
                      <w:i w:val="0"/>
                      <w:iCs w:val="0"/>
                      <w:color w:val="auto"/>
                      <w:sz w:val="21"/>
                      <w:szCs w:val="21"/>
                      <w:highlight w:val="none"/>
                      <w:u w:val="none"/>
                    </w:rPr>
                  </w:pP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6482B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63.7</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F844B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63.7 </w:t>
                  </w: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F4C686">
                  <w:pPr>
                    <w:jc w:val="center"/>
                    <w:rPr>
                      <w:rFonts w:hint="default" w:ascii="Times New Roman" w:hAnsi="Times New Roman" w:eastAsia="宋体" w:cs="Times New Roman"/>
                      <w:i w:val="0"/>
                      <w:iCs w:val="0"/>
                      <w:color w:val="auto"/>
                      <w:sz w:val="21"/>
                      <w:szCs w:val="21"/>
                      <w:highlight w:val="none"/>
                      <w:u w:val="none"/>
                    </w:rPr>
                  </w:pPr>
                </w:p>
              </w:tc>
            </w:tr>
            <w:tr w14:paraId="42080C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26BDC7">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8F27E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石板垭社区</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DB70F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17.3</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305D7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17.3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3C43B6">
                  <w:pPr>
                    <w:jc w:val="center"/>
                    <w:rPr>
                      <w:rFonts w:hint="default" w:ascii="Times New Roman" w:hAnsi="Times New Roman" w:eastAsia="宋体" w:cs="Times New Roman"/>
                      <w:i w:val="0"/>
                      <w:iCs w:val="0"/>
                      <w:color w:val="auto"/>
                      <w:sz w:val="21"/>
                      <w:szCs w:val="21"/>
                      <w:highlight w:val="none"/>
                      <w:u w:val="none"/>
                    </w:rPr>
                  </w:pP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A4B8D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301</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C6915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301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6AC5DF">
                  <w:pPr>
                    <w:jc w:val="center"/>
                    <w:rPr>
                      <w:rFonts w:hint="default" w:ascii="Times New Roman" w:hAnsi="Times New Roman" w:eastAsia="宋体" w:cs="Times New Roman"/>
                      <w:i w:val="0"/>
                      <w:iCs w:val="0"/>
                      <w:color w:val="auto"/>
                      <w:sz w:val="21"/>
                      <w:szCs w:val="21"/>
                      <w:highlight w:val="none"/>
                      <w:u w:val="none"/>
                    </w:rPr>
                  </w:pP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251E3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8.9</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EDC1C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8.9 </w:t>
                  </w: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BF086D">
                  <w:pPr>
                    <w:jc w:val="center"/>
                    <w:rPr>
                      <w:rFonts w:hint="default" w:ascii="Times New Roman" w:hAnsi="Times New Roman" w:eastAsia="宋体" w:cs="Times New Roman"/>
                      <w:i w:val="0"/>
                      <w:iCs w:val="0"/>
                      <w:color w:val="auto"/>
                      <w:sz w:val="21"/>
                      <w:szCs w:val="21"/>
                      <w:highlight w:val="none"/>
                      <w:u w:val="none"/>
                    </w:rPr>
                  </w:pPr>
                </w:p>
              </w:tc>
            </w:tr>
            <w:tr w14:paraId="1889420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8D061A">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EBBAF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团店村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A1899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137</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A816A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137.0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4D9720">
                  <w:pPr>
                    <w:jc w:val="center"/>
                    <w:rPr>
                      <w:rFonts w:hint="default" w:ascii="Times New Roman" w:hAnsi="Times New Roman" w:eastAsia="宋体" w:cs="Times New Roman"/>
                      <w:i w:val="0"/>
                      <w:iCs w:val="0"/>
                      <w:color w:val="auto"/>
                      <w:sz w:val="21"/>
                      <w:szCs w:val="21"/>
                      <w:highlight w:val="none"/>
                      <w:u w:val="none"/>
                    </w:rPr>
                  </w:pP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294B7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2969</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26D68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2969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C29CAA">
                  <w:pPr>
                    <w:jc w:val="center"/>
                    <w:rPr>
                      <w:rFonts w:hint="default" w:ascii="Times New Roman" w:hAnsi="Times New Roman" w:eastAsia="宋体" w:cs="Times New Roman"/>
                      <w:i w:val="0"/>
                      <w:iCs w:val="0"/>
                      <w:color w:val="auto"/>
                      <w:sz w:val="21"/>
                      <w:szCs w:val="21"/>
                      <w:highlight w:val="none"/>
                      <w:u w:val="none"/>
                    </w:rPr>
                  </w:pP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5B94A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75.4</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D5A3E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75.4 </w:t>
                  </w: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3AF36D">
                  <w:pPr>
                    <w:jc w:val="center"/>
                    <w:rPr>
                      <w:rFonts w:hint="default" w:ascii="Times New Roman" w:hAnsi="Times New Roman" w:eastAsia="宋体" w:cs="Times New Roman"/>
                      <w:i w:val="0"/>
                      <w:iCs w:val="0"/>
                      <w:color w:val="auto"/>
                      <w:sz w:val="21"/>
                      <w:szCs w:val="21"/>
                      <w:highlight w:val="none"/>
                      <w:u w:val="none"/>
                    </w:rPr>
                  </w:pPr>
                </w:p>
              </w:tc>
            </w:tr>
            <w:tr w14:paraId="0FDE635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F16252">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C64CB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香炉沟村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0E1F1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192.8</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AFB2E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192.8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D0B300">
                  <w:pPr>
                    <w:jc w:val="center"/>
                    <w:rPr>
                      <w:rFonts w:hint="default" w:ascii="Times New Roman" w:hAnsi="Times New Roman" w:eastAsia="宋体" w:cs="Times New Roman"/>
                      <w:i w:val="0"/>
                      <w:iCs w:val="0"/>
                      <w:color w:val="auto"/>
                      <w:sz w:val="21"/>
                      <w:szCs w:val="21"/>
                      <w:highlight w:val="none"/>
                      <w:u w:val="none"/>
                    </w:rPr>
                  </w:pP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3874E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2681</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2D5F6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2681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742B44">
                  <w:pPr>
                    <w:jc w:val="center"/>
                    <w:rPr>
                      <w:rFonts w:hint="default" w:ascii="Times New Roman" w:hAnsi="Times New Roman" w:eastAsia="宋体" w:cs="Times New Roman"/>
                      <w:i w:val="0"/>
                      <w:iCs w:val="0"/>
                      <w:color w:val="auto"/>
                      <w:sz w:val="21"/>
                      <w:szCs w:val="21"/>
                      <w:highlight w:val="none"/>
                      <w:u w:val="none"/>
                    </w:rPr>
                  </w:pP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3D720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84.4</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925C4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84.4 </w:t>
                  </w: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5FDEE8">
                  <w:pPr>
                    <w:jc w:val="center"/>
                    <w:rPr>
                      <w:rFonts w:hint="default" w:ascii="Times New Roman" w:hAnsi="Times New Roman" w:eastAsia="宋体" w:cs="Times New Roman"/>
                      <w:i w:val="0"/>
                      <w:iCs w:val="0"/>
                      <w:color w:val="auto"/>
                      <w:sz w:val="21"/>
                      <w:szCs w:val="21"/>
                      <w:highlight w:val="none"/>
                      <w:u w:val="none"/>
                    </w:rPr>
                  </w:pPr>
                </w:p>
              </w:tc>
            </w:tr>
            <w:tr w14:paraId="030191F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E795E7">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197BA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徐家桥社区</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E1319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144.6</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7C1FD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144.6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2844F6">
                  <w:pPr>
                    <w:jc w:val="center"/>
                    <w:rPr>
                      <w:rFonts w:hint="default" w:ascii="Times New Roman" w:hAnsi="Times New Roman" w:eastAsia="宋体" w:cs="Times New Roman"/>
                      <w:i w:val="0"/>
                      <w:iCs w:val="0"/>
                      <w:color w:val="auto"/>
                      <w:sz w:val="21"/>
                      <w:szCs w:val="21"/>
                      <w:highlight w:val="none"/>
                      <w:u w:val="none"/>
                    </w:rPr>
                  </w:pP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81BE2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3909</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B205B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3909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3B9F99">
                  <w:pPr>
                    <w:jc w:val="center"/>
                    <w:rPr>
                      <w:rFonts w:hint="default" w:ascii="Times New Roman" w:hAnsi="Times New Roman" w:eastAsia="宋体" w:cs="Times New Roman"/>
                      <w:i w:val="0"/>
                      <w:iCs w:val="0"/>
                      <w:color w:val="auto"/>
                      <w:sz w:val="21"/>
                      <w:szCs w:val="21"/>
                      <w:highlight w:val="none"/>
                      <w:u w:val="none"/>
                    </w:rPr>
                  </w:pP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12696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99.6</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1469C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99.6 </w:t>
                  </w: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22E1D1">
                  <w:pPr>
                    <w:jc w:val="center"/>
                    <w:rPr>
                      <w:rFonts w:hint="default" w:ascii="Times New Roman" w:hAnsi="Times New Roman" w:eastAsia="宋体" w:cs="Times New Roman"/>
                      <w:i w:val="0"/>
                      <w:iCs w:val="0"/>
                      <w:color w:val="auto"/>
                      <w:sz w:val="21"/>
                      <w:szCs w:val="21"/>
                      <w:highlight w:val="none"/>
                      <w:u w:val="none"/>
                    </w:rPr>
                  </w:pPr>
                </w:p>
              </w:tc>
            </w:tr>
            <w:tr w14:paraId="09A1BF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D64C3C">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B29464">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小计</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CF66BB">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2101.7</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FE5243">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2101.7</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83B5CF">
                  <w:pPr>
                    <w:jc w:val="center"/>
                    <w:rPr>
                      <w:rFonts w:hint="default" w:ascii="Times New Roman" w:hAnsi="Times New Roman" w:eastAsia="宋体" w:cs="Times New Roman"/>
                      <w:b/>
                      <w:bCs/>
                      <w:i w:val="0"/>
                      <w:iCs w:val="0"/>
                      <w:color w:val="auto"/>
                      <w:sz w:val="21"/>
                      <w:szCs w:val="21"/>
                      <w:highlight w:val="none"/>
                      <w:u w:val="none"/>
                    </w:rPr>
                  </w:pP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22C615">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47098</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749D84">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47098</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0498E1">
                  <w:pPr>
                    <w:jc w:val="center"/>
                    <w:rPr>
                      <w:rFonts w:hint="default" w:ascii="Times New Roman" w:hAnsi="Times New Roman" w:eastAsia="宋体" w:cs="Times New Roman"/>
                      <w:b/>
                      <w:bCs/>
                      <w:i w:val="0"/>
                      <w:iCs w:val="0"/>
                      <w:color w:val="auto"/>
                      <w:sz w:val="21"/>
                      <w:szCs w:val="21"/>
                      <w:highlight w:val="none"/>
                      <w:u w:val="none"/>
                    </w:rPr>
                  </w:pP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21C89B">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1286.9</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7D29FB">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1286.9</w:t>
                  </w: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B92F1D">
                  <w:pPr>
                    <w:jc w:val="center"/>
                    <w:rPr>
                      <w:rFonts w:hint="default" w:ascii="Times New Roman" w:hAnsi="Times New Roman" w:eastAsia="宋体" w:cs="Times New Roman"/>
                      <w:b/>
                      <w:bCs/>
                      <w:i w:val="0"/>
                      <w:iCs w:val="0"/>
                      <w:color w:val="auto"/>
                      <w:sz w:val="21"/>
                      <w:szCs w:val="21"/>
                      <w:highlight w:val="none"/>
                      <w:u w:val="none"/>
                    </w:rPr>
                  </w:pPr>
                </w:p>
              </w:tc>
            </w:tr>
            <w:tr w14:paraId="7BA0691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5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F5428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中天镇</w:t>
                  </w: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51E96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大楼湾村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0A583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3.7</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0E16B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3.7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9BC2FE">
                  <w:pPr>
                    <w:jc w:val="center"/>
                    <w:rPr>
                      <w:rFonts w:hint="default" w:ascii="Times New Roman" w:hAnsi="Times New Roman" w:eastAsia="宋体" w:cs="Times New Roman"/>
                      <w:i w:val="0"/>
                      <w:iCs w:val="0"/>
                      <w:color w:val="auto"/>
                      <w:sz w:val="21"/>
                      <w:szCs w:val="21"/>
                      <w:highlight w:val="none"/>
                      <w:u w:val="none"/>
                    </w:rPr>
                  </w:pP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3EC09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119</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B4369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119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A65CAC">
                  <w:pPr>
                    <w:jc w:val="center"/>
                    <w:rPr>
                      <w:rFonts w:hint="default" w:ascii="Times New Roman" w:hAnsi="Times New Roman" w:eastAsia="宋体" w:cs="Times New Roman"/>
                      <w:i w:val="0"/>
                      <w:iCs w:val="0"/>
                      <w:color w:val="auto"/>
                      <w:sz w:val="21"/>
                      <w:szCs w:val="21"/>
                      <w:highlight w:val="none"/>
                      <w:u w:val="none"/>
                    </w:rPr>
                  </w:pP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A2008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3.8</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F54D3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3.8 </w:t>
                  </w: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C76639">
                  <w:pPr>
                    <w:jc w:val="center"/>
                    <w:rPr>
                      <w:rFonts w:hint="default" w:ascii="Times New Roman" w:hAnsi="Times New Roman" w:eastAsia="宋体" w:cs="Times New Roman"/>
                      <w:i w:val="0"/>
                      <w:iCs w:val="0"/>
                      <w:color w:val="auto"/>
                      <w:sz w:val="21"/>
                      <w:szCs w:val="21"/>
                      <w:highlight w:val="none"/>
                      <w:u w:val="none"/>
                    </w:rPr>
                  </w:pPr>
                </w:p>
              </w:tc>
            </w:tr>
            <w:tr w14:paraId="4409B8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9056BB">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827A1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普照村</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10D3C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43.3</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88CEF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43.3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A4DD4F">
                  <w:pPr>
                    <w:jc w:val="center"/>
                    <w:rPr>
                      <w:rFonts w:hint="default" w:ascii="Times New Roman" w:hAnsi="Times New Roman" w:eastAsia="宋体" w:cs="Times New Roman"/>
                      <w:i w:val="0"/>
                      <w:iCs w:val="0"/>
                      <w:color w:val="auto"/>
                      <w:sz w:val="21"/>
                      <w:szCs w:val="21"/>
                      <w:highlight w:val="none"/>
                      <w:u w:val="none"/>
                    </w:rPr>
                  </w:pP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47973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1054</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4757A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1054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615EB6">
                  <w:pPr>
                    <w:jc w:val="center"/>
                    <w:rPr>
                      <w:rFonts w:hint="default" w:ascii="Times New Roman" w:hAnsi="Times New Roman" w:eastAsia="宋体" w:cs="Times New Roman"/>
                      <w:i w:val="0"/>
                      <w:iCs w:val="0"/>
                      <w:color w:val="auto"/>
                      <w:sz w:val="21"/>
                      <w:szCs w:val="21"/>
                      <w:highlight w:val="none"/>
                      <w:u w:val="none"/>
                    </w:rPr>
                  </w:pP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5AA40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24.7</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CAAED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24.7 </w:t>
                  </w: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814313">
                  <w:pPr>
                    <w:jc w:val="center"/>
                    <w:rPr>
                      <w:rFonts w:hint="default" w:ascii="Times New Roman" w:hAnsi="Times New Roman" w:eastAsia="宋体" w:cs="Times New Roman"/>
                      <w:i w:val="0"/>
                      <w:iCs w:val="0"/>
                      <w:color w:val="auto"/>
                      <w:sz w:val="21"/>
                      <w:szCs w:val="21"/>
                      <w:highlight w:val="none"/>
                      <w:u w:val="none"/>
                    </w:rPr>
                  </w:pPr>
                </w:p>
              </w:tc>
            </w:tr>
            <w:tr w14:paraId="42672D9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632CBE">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CA0FC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中天社区</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78AB1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93.1</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F3231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93.1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2A483C">
                  <w:pPr>
                    <w:jc w:val="center"/>
                    <w:rPr>
                      <w:rFonts w:hint="default" w:ascii="Times New Roman" w:hAnsi="Times New Roman" w:eastAsia="宋体" w:cs="Times New Roman"/>
                      <w:i w:val="0"/>
                      <w:iCs w:val="0"/>
                      <w:color w:val="auto"/>
                      <w:sz w:val="21"/>
                      <w:szCs w:val="21"/>
                      <w:highlight w:val="none"/>
                      <w:u w:val="none"/>
                    </w:rPr>
                  </w:pP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23051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1870</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CE577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1870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69E769">
                  <w:pPr>
                    <w:jc w:val="center"/>
                    <w:rPr>
                      <w:rFonts w:hint="default" w:ascii="Times New Roman" w:hAnsi="Times New Roman" w:eastAsia="宋体" w:cs="Times New Roman"/>
                      <w:i w:val="0"/>
                      <w:iCs w:val="0"/>
                      <w:color w:val="auto"/>
                      <w:sz w:val="21"/>
                      <w:szCs w:val="21"/>
                      <w:highlight w:val="none"/>
                      <w:u w:val="none"/>
                    </w:rPr>
                  </w:pP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AD1D0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45</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9F33A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45.0 </w:t>
                  </w: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BBF0C6">
                  <w:pPr>
                    <w:jc w:val="center"/>
                    <w:rPr>
                      <w:rFonts w:hint="default" w:ascii="Times New Roman" w:hAnsi="Times New Roman" w:eastAsia="宋体" w:cs="Times New Roman"/>
                      <w:i w:val="0"/>
                      <w:iCs w:val="0"/>
                      <w:color w:val="auto"/>
                      <w:sz w:val="21"/>
                      <w:szCs w:val="21"/>
                      <w:highlight w:val="none"/>
                      <w:u w:val="none"/>
                    </w:rPr>
                  </w:pPr>
                </w:p>
              </w:tc>
            </w:tr>
            <w:tr w14:paraId="15DCB9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jc w:val="center"/>
              </w:trPr>
              <w:tc>
                <w:tcPr>
                  <w:tcW w:w="3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98A32C">
                  <w:pPr>
                    <w:jc w:val="center"/>
                    <w:rPr>
                      <w:rFonts w:hint="default" w:ascii="Times New Roman" w:hAnsi="Times New Roman" w:eastAsia="宋体" w:cs="Times New Roman"/>
                      <w:i w:val="0"/>
                      <w:iCs w:val="0"/>
                      <w:color w:val="auto"/>
                      <w:sz w:val="21"/>
                      <w:szCs w:val="21"/>
                      <w:highlight w:val="none"/>
                      <w:u w:val="none"/>
                    </w:rPr>
                  </w:pPr>
                </w:p>
              </w:tc>
              <w:tc>
                <w:tcPr>
                  <w:tcW w:w="5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ADA153">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小计</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CDD776">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140.1</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ED866D">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140.1</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AFDED9">
                  <w:pPr>
                    <w:jc w:val="center"/>
                    <w:rPr>
                      <w:rFonts w:hint="default" w:ascii="Times New Roman" w:hAnsi="Times New Roman" w:eastAsia="宋体" w:cs="Times New Roman"/>
                      <w:b/>
                      <w:bCs/>
                      <w:i w:val="0"/>
                      <w:iCs w:val="0"/>
                      <w:color w:val="auto"/>
                      <w:sz w:val="21"/>
                      <w:szCs w:val="21"/>
                      <w:highlight w:val="none"/>
                      <w:u w:val="none"/>
                    </w:rPr>
                  </w:pP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FB46FE">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3043</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2EC1F8">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3043</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617BF0">
                  <w:pPr>
                    <w:jc w:val="center"/>
                    <w:rPr>
                      <w:rFonts w:hint="default" w:ascii="Times New Roman" w:hAnsi="Times New Roman" w:eastAsia="宋体" w:cs="Times New Roman"/>
                      <w:b/>
                      <w:bCs/>
                      <w:i w:val="0"/>
                      <w:iCs w:val="0"/>
                      <w:color w:val="auto"/>
                      <w:sz w:val="21"/>
                      <w:szCs w:val="21"/>
                      <w:highlight w:val="none"/>
                      <w:u w:val="none"/>
                    </w:rPr>
                  </w:pP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814820">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73.5</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CAA6F2">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73.5</w:t>
                  </w: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33F839">
                  <w:pPr>
                    <w:jc w:val="center"/>
                    <w:rPr>
                      <w:rFonts w:hint="default" w:ascii="Times New Roman" w:hAnsi="Times New Roman" w:eastAsia="宋体" w:cs="Times New Roman"/>
                      <w:b/>
                      <w:bCs/>
                      <w:i w:val="0"/>
                      <w:iCs w:val="0"/>
                      <w:color w:val="auto"/>
                      <w:sz w:val="21"/>
                      <w:szCs w:val="21"/>
                      <w:highlight w:val="none"/>
                      <w:u w:val="none"/>
                    </w:rPr>
                  </w:pPr>
                </w:p>
              </w:tc>
            </w:tr>
            <w:tr w14:paraId="550CB72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jc w:val="center"/>
              </w:trPr>
              <w:tc>
                <w:tcPr>
                  <w:tcW w:w="886"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A526C9">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合计</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288829">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 xml:space="preserve">44872.8 </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81A230">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5081.6</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F24953">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 xml:space="preserve">39791.2 </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1F0AFD">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995180</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1D24AF">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118335</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D94C3C">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876845</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120AE9">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 xml:space="preserve">25040.2 </w:t>
                  </w:r>
                </w:p>
              </w:tc>
              <w:tc>
                <w:tcPr>
                  <w:tcW w:w="4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AB3661">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3217</w:t>
                  </w: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230EFD">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 xml:space="preserve">21823.2 </w:t>
                  </w:r>
                </w:p>
              </w:tc>
            </w:tr>
          </w:tbl>
          <w:p w14:paraId="5C460D39">
            <w:pPr>
              <w:jc w:val="both"/>
              <w:rPr>
                <w:rFonts w:hint="default" w:ascii="Times New Roman" w:hAnsi="Times New Roman" w:eastAsia="宋体" w:cs="Times New Roman"/>
                <w:color w:val="auto"/>
                <w:sz w:val="24"/>
                <w:szCs w:val="24"/>
                <w:vertAlign w:val="baseline"/>
                <w:lang w:eastAsia="zh-CN"/>
              </w:rPr>
            </w:pPr>
          </w:p>
          <w:p w14:paraId="1D7002A7">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w:t>
            </w:r>
            <w:r>
              <w:rPr>
                <w:rFonts w:hint="default" w:ascii="Times New Roman" w:hAnsi="Times New Roman" w:eastAsia="宋体" w:cs="Times New Roman"/>
                <w:color w:val="auto"/>
                <w:spacing w:val="-7"/>
                <w:sz w:val="24"/>
                <w:szCs w:val="24"/>
                <w:lang w:val="en-US" w:eastAsia="zh-CN"/>
              </w:rPr>
              <w:t>5</w:t>
            </w:r>
            <w:r>
              <w:rPr>
                <w:rFonts w:hint="default" w:ascii="Times New Roman" w:hAnsi="Times New Roman" w:eastAsia="宋体" w:cs="Times New Roman"/>
                <w:color w:val="auto"/>
                <w:spacing w:val="-7"/>
                <w:sz w:val="24"/>
                <w:szCs w:val="24"/>
                <w:lang w:eastAsia="zh-CN"/>
              </w:rPr>
              <w:t>）采伐要求</w:t>
            </w:r>
          </w:p>
          <w:p w14:paraId="75C0A0AF">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1）采伐前后的目标树种平均胸径不降低。</w:t>
            </w:r>
          </w:p>
          <w:p w14:paraId="43745F82">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2）采伐补植后的林木分布均匀，不造成林窗、林中空地等。</w:t>
            </w:r>
          </w:p>
          <w:p w14:paraId="55DE5A59">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3）伐除时尽量降低伐根高度，使立木伐口距地面≤10cm。</w:t>
            </w:r>
          </w:p>
          <w:p w14:paraId="2BBB41FE">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4）杜绝出现采优留劣、以伐代抚等破坏森林资源的行为出现。</w:t>
            </w:r>
          </w:p>
          <w:p w14:paraId="3366B947">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5）注意保留和窝抚天然更新的幼树幼苗，尤其要保留更新起来的珍稀、珍贵和乡土阔叶树的幼树幼苗。</w:t>
            </w:r>
          </w:p>
          <w:p w14:paraId="4D2AEEFC">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w:t>
            </w:r>
            <w:r>
              <w:rPr>
                <w:rFonts w:hint="default" w:ascii="Times New Roman" w:hAnsi="Times New Roman" w:eastAsia="宋体" w:cs="Times New Roman"/>
                <w:color w:val="auto"/>
                <w:spacing w:val="-7"/>
                <w:sz w:val="24"/>
                <w:szCs w:val="24"/>
                <w:lang w:val="en-US" w:eastAsia="zh-CN"/>
              </w:rPr>
              <w:t>6</w:t>
            </w:r>
            <w:r>
              <w:rPr>
                <w:rFonts w:hint="default" w:ascii="Times New Roman" w:hAnsi="Times New Roman" w:eastAsia="宋体" w:cs="Times New Roman"/>
                <w:color w:val="auto"/>
                <w:spacing w:val="-7"/>
                <w:sz w:val="24"/>
                <w:szCs w:val="24"/>
                <w:lang w:eastAsia="zh-CN"/>
              </w:rPr>
              <w:t>）采伐限额</w:t>
            </w:r>
          </w:p>
          <w:p w14:paraId="556E16F2">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根据《四川省林业和草原局关于加强“十四五”期间林木采伐管理的通知》（川林规〔2022〕1号）“根据森林资源保护和科学经营需要，抚育采伐、低产低效林改造分项限额不足的，可调整使用主伐采伐限额和更新采伐限额”、“省级不可预见性采伐限额由省林草局统筹管理，专项用于重大自然灾害、公共安全和自然保护区等特殊情况的采伐所需”，本年度作业涉及采伐属于“以提高森林质量为目的，经省级以上批准实施的森林经营保护项目范围内的林木采伐”。</w:t>
            </w:r>
          </w:p>
          <w:p w14:paraId="3ABE4AAC">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十四五”期间乐至县年森林采伐限额共计31164立方米。其中商品林主伐年限额指标326立方米，抚育采伐年限额指标为8018立方米，低产林改造年限额指标为2099立方米，其他采伐年限额指标为1358立方米；公益林更新采伐年限额指标245立方米，抚育采伐年限额指标为19055立方米，低效林改造年限额指标为61立方米，其他采伐年限额指标为2立方米。</w:t>
            </w:r>
          </w:p>
          <w:p w14:paraId="590496C2">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本年度作业采伐为抚育采伐、低产林改培采伐，乐至县年抚育采伐、低产林改培采伐分项采伐限额不足时，调整使用主伐采伐限额和其他采伐限额，剩余不足部分申请使用省级不可预见性采伐限额，由项目实施单位先向乐至县林草主管部门提出书面申请，经逐级核实确认后，再由资阳市林草主管部门向省林草局提交书面申请，省林草局审核批复同意后，由乐至县林草主管部门核发林木采伐许可证。</w:t>
            </w:r>
          </w:p>
          <w:p w14:paraId="72E3027D">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w:t>
            </w:r>
            <w:r>
              <w:rPr>
                <w:rFonts w:hint="default" w:ascii="Times New Roman" w:hAnsi="Times New Roman" w:eastAsia="宋体" w:cs="Times New Roman"/>
                <w:color w:val="auto"/>
                <w:spacing w:val="-7"/>
                <w:sz w:val="24"/>
                <w:szCs w:val="24"/>
                <w:lang w:val="en-US" w:eastAsia="zh-CN"/>
              </w:rPr>
              <w:t>7</w:t>
            </w:r>
            <w:r>
              <w:rPr>
                <w:rFonts w:hint="default" w:ascii="Times New Roman" w:hAnsi="Times New Roman" w:eastAsia="宋体" w:cs="Times New Roman"/>
                <w:color w:val="auto"/>
                <w:spacing w:val="-7"/>
                <w:sz w:val="24"/>
                <w:szCs w:val="24"/>
                <w:lang w:eastAsia="zh-CN"/>
              </w:rPr>
              <w:t>）伐前公示</w:t>
            </w:r>
          </w:p>
          <w:p w14:paraId="4C3BAB42">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在获得林木采伐许可证之后、正式采伐之前，应在伐区及附近的交通要道设立公示牌，对采伐作业进行公示。公示的内容应包括采伐地点、四至界线、面积、采伐类型及方法、采伐林木蓄积量、出材量，林木采伐许可证号、负责人、举报电话等。公示时间不应少于7天。</w:t>
            </w:r>
          </w:p>
          <w:p w14:paraId="11B1B912">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w:t>
            </w:r>
            <w:r>
              <w:rPr>
                <w:rFonts w:hint="default" w:ascii="Times New Roman" w:hAnsi="Times New Roman" w:eastAsia="宋体" w:cs="Times New Roman"/>
                <w:color w:val="auto"/>
                <w:spacing w:val="-7"/>
                <w:sz w:val="24"/>
                <w:szCs w:val="24"/>
                <w:lang w:val="en-US" w:eastAsia="zh-CN"/>
              </w:rPr>
              <w:t>8</w:t>
            </w:r>
            <w:r>
              <w:rPr>
                <w:rFonts w:hint="default" w:ascii="Times New Roman" w:hAnsi="Times New Roman" w:eastAsia="宋体" w:cs="Times New Roman"/>
                <w:color w:val="auto"/>
                <w:spacing w:val="-7"/>
                <w:sz w:val="24"/>
                <w:szCs w:val="24"/>
                <w:lang w:eastAsia="zh-CN"/>
              </w:rPr>
              <w:t>）采伐边界标记</w:t>
            </w:r>
          </w:p>
          <w:p w14:paraId="49471566">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按照作业设计图和小班位置，实地标明各个小班采伐范围，在现地用油漆标记出伐区范围。</w:t>
            </w:r>
          </w:p>
          <w:p w14:paraId="62FC5695">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w:t>
            </w:r>
            <w:r>
              <w:rPr>
                <w:rFonts w:hint="default" w:ascii="Times New Roman" w:hAnsi="Times New Roman" w:eastAsia="宋体" w:cs="Times New Roman"/>
                <w:color w:val="auto"/>
                <w:spacing w:val="-7"/>
                <w:sz w:val="24"/>
                <w:szCs w:val="24"/>
                <w:lang w:val="en-US" w:eastAsia="zh-CN"/>
              </w:rPr>
              <w:t>9</w:t>
            </w:r>
            <w:r>
              <w:rPr>
                <w:rFonts w:hint="default" w:ascii="Times New Roman" w:hAnsi="Times New Roman" w:eastAsia="宋体" w:cs="Times New Roman"/>
                <w:color w:val="auto"/>
                <w:spacing w:val="-7"/>
                <w:sz w:val="24"/>
                <w:szCs w:val="24"/>
                <w:lang w:eastAsia="zh-CN"/>
              </w:rPr>
              <w:t>）现场培训及技术交底</w:t>
            </w:r>
          </w:p>
          <w:p w14:paraId="47BC185D">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采伐作业前，设计单位应前往现场与施工单位进行采伐定界、选树标记等技术交底，施工单位应聘请专业人员对采伐作业人员进行伐木操作培训、安全培训等。</w:t>
            </w:r>
          </w:p>
          <w:p w14:paraId="23DCC086">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w:t>
            </w:r>
            <w:r>
              <w:rPr>
                <w:rFonts w:hint="default" w:ascii="Times New Roman" w:hAnsi="Times New Roman" w:eastAsia="宋体" w:cs="Times New Roman"/>
                <w:color w:val="auto"/>
                <w:spacing w:val="-7"/>
                <w:sz w:val="24"/>
                <w:szCs w:val="24"/>
                <w:lang w:val="en-US" w:eastAsia="zh-CN"/>
              </w:rPr>
              <w:t>10</w:t>
            </w:r>
            <w:r>
              <w:rPr>
                <w:rFonts w:hint="default" w:ascii="Times New Roman" w:hAnsi="Times New Roman" w:eastAsia="宋体" w:cs="Times New Roman"/>
                <w:color w:val="auto"/>
                <w:spacing w:val="-7"/>
                <w:sz w:val="24"/>
                <w:szCs w:val="24"/>
                <w:lang w:eastAsia="zh-CN"/>
              </w:rPr>
              <w:t>）安全与场地卫生</w:t>
            </w:r>
          </w:p>
          <w:p w14:paraId="71B6A26B">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采伐作业首先应做到“安全第一”，保证作业人员的安全与健康，避免发生伤亡事故。</w:t>
            </w:r>
          </w:p>
          <w:p w14:paraId="2E552583">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w:t>
            </w:r>
            <w:r>
              <w:rPr>
                <w:rFonts w:hint="default" w:ascii="Times New Roman" w:hAnsi="Times New Roman" w:eastAsia="宋体" w:cs="Times New Roman"/>
                <w:color w:val="auto"/>
                <w:spacing w:val="-7"/>
                <w:sz w:val="24"/>
                <w:szCs w:val="24"/>
                <w:lang w:val="en-US" w:eastAsia="zh-CN"/>
              </w:rPr>
              <w:t>11</w:t>
            </w:r>
            <w:r>
              <w:rPr>
                <w:rFonts w:hint="default" w:ascii="Times New Roman" w:hAnsi="Times New Roman" w:eastAsia="宋体" w:cs="Times New Roman"/>
                <w:color w:val="auto"/>
                <w:spacing w:val="-7"/>
                <w:sz w:val="24"/>
                <w:szCs w:val="24"/>
                <w:lang w:eastAsia="zh-CN"/>
              </w:rPr>
              <w:t>）目标树选择及标记</w:t>
            </w:r>
          </w:p>
          <w:p w14:paraId="7496C029">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fldChar w:fldCharType="begin"/>
            </w:r>
            <w:r>
              <w:rPr>
                <w:rFonts w:hint="default" w:ascii="Times New Roman" w:hAnsi="Times New Roman" w:eastAsia="宋体" w:cs="Times New Roman"/>
                <w:color w:val="auto"/>
                <w:spacing w:val="-7"/>
                <w:sz w:val="24"/>
                <w:szCs w:val="24"/>
                <w:lang w:eastAsia="zh-CN"/>
              </w:rPr>
              <w:instrText xml:space="preserve"> = 1 \* GB3 \* MERGEFORMAT </w:instrText>
            </w:r>
            <w:r>
              <w:rPr>
                <w:rFonts w:hint="default" w:ascii="Times New Roman" w:hAnsi="Times New Roman" w:eastAsia="宋体" w:cs="Times New Roman"/>
                <w:color w:val="auto"/>
                <w:spacing w:val="-7"/>
                <w:sz w:val="24"/>
                <w:szCs w:val="24"/>
                <w:lang w:eastAsia="zh-CN"/>
              </w:rPr>
              <w:fldChar w:fldCharType="separate"/>
            </w:r>
            <w:r>
              <w:rPr>
                <w:rFonts w:hint="default" w:ascii="Times New Roman" w:hAnsi="Times New Roman" w:eastAsia="宋体" w:cs="Times New Roman"/>
                <w:color w:val="auto"/>
              </w:rPr>
              <w:t>①</w:t>
            </w:r>
            <w:r>
              <w:rPr>
                <w:rFonts w:hint="default" w:ascii="Times New Roman" w:hAnsi="Times New Roman" w:eastAsia="宋体" w:cs="Times New Roman"/>
                <w:color w:val="auto"/>
                <w:spacing w:val="-7"/>
                <w:sz w:val="24"/>
                <w:szCs w:val="24"/>
                <w:lang w:eastAsia="zh-CN"/>
              </w:rPr>
              <w:fldChar w:fldCharType="end"/>
            </w:r>
            <w:r>
              <w:rPr>
                <w:rFonts w:hint="default" w:ascii="Times New Roman" w:hAnsi="Times New Roman" w:eastAsia="宋体" w:cs="Times New Roman"/>
                <w:color w:val="auto"/>
                <w:spacing w:val="-7"/>
                <w:sz w:val="24"/>
                <w:szCs w:val="24"/>
                <w:lang w:eastAsia="zh-CN"/>
              </w:rPr>
              <w:t>目标树选择对象</w:t>
            </w:r>
          </w:p>
          <w:p w14:paraId="5E62F7E8">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一是选择干型良好、有培育前景的目的树种作为目标树，二是选择已经更新起来的保持生物多样性、调整林分结构、形成混交林的伴生树种（包括珍稀树种、乡土阔叶树种及一些小乔木）作为生态目标树，并进行目标树标记。</w:t>
            </w:r>
          </w:p>
          <w:p w14:paraId="5651C7E5">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fldChar w:fldCharType="begin"/>
            </w:r>
            <w:r>
              <w:rPr>
                <w:rFonts w:hint="default" w:ascii="Times New Roman" w:hAnsi="Times New Roman" w:eastAsia="宋体" w:cs="Times New Roman"/>
                <w:color w:val="auto"/>
                <w:spacing w:val="-7"/>
                <w:sz w:val="24"/>
                <w:szCs w:val="24"/>
                <w:lang w:eastAsia="zh-CN"/>
              </w:rPr>
              <w:instrText xml:space="preserve"> = 2 \* GB3 \* MERGEFORMAT </w:instrText>
            </w:r>
            <w:r>
              <w:rPr>
                <w:rFonts w:hint="default" w:ascii="Times New Roman" w:hAnsi="Times New Roman" w:eastAsia="宋体" w:cs="Times New Roman"/>
                <w:color w:val="auto"/>
                <w:spacing w:val="-7"/>
                <w:sz w:val="24"/>
                <w:szCs w:val="24"/>
                <w:lang w:eastAsia="zh-CN"/>
              </w:rPr>
              <w:fldChar w:fldCharType="separate"/>
            </w:r>
            <w:r>
              <w:rPr>
                <w:rFonts w:hint="default" w:ascii="Times New Roman" w:hAnsi="Times New Roman" w:eastAsia="宋体" w:cs="Times New Roman"/>
                <w:color w:val="auto"/>
              </w:rPr>
              <w:t>②</w:t>
            </w:r>
            <w:r>
              <w:rPr>
                <w:rFonts w:hint="default" w:ascii="Times New Roman" w:hAnsi="Times New Roman" w:eastAsia="宋体" w:cs="Times New Roman"/>
                <w:color w:val="auto"/>
                <w:spacing w:val="-7"/>
                <w:sz w:val="24"/>
                <w:szCs w:val="24"/>
                <w:lang w:eastAsia="zh-CN"/>
              </w:rPr>
              <w:fldChar w:fldCharType="end"/>
            </w:r>
            <w:r>
              <w:rPr>
                <w:rFonts w:hint="default" w:ascii="Times New Roman" w:hAnsi="Times New Roman" w:eastAsia="宋体" w:cs="Times New Roman"/>
                <w:color w:val="auto"/>
                <w:spacing w:val="-7"/>
                <w:sz w:val="24"/>
                <w:szCs w:val="24"/>
                <w:lang w:eastAsia="zh-CN"/>
              </w:rPr>
              <w:t>目标树选择标准</w:t>
            </w:r>
          </w:p>
          <w:p w14:paraId="095910B1">
            <w:pPr>
              <w:numPr>
                <w:ilvl w:val="0"/>
                <w:numId w:val="3"/>
              </w:num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属于目的树种：特优木或优势木，占据林分的主林层；</w:t>
            </w:r>
          </w:p>
          <w:p w14:paraId="6F3AD682">
            <w:pPr>
              <w:numPr>
                <w:ilvl w:val="0"/>
                <w:numId w:val="3"/>
              </w:num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生活力强：有良好的生长趋势和完美的树冠和良好的冠形；</w:t>
            </w:r>
          </w:p>
          <w:p w14:paraId="07C6D7E5">
            <w:pPr>
              <w:numPr>
                <w:ilvl w:val="0"/>
                <w:numId w:val="3"/>
              </w:num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干材质量好：干形通直圆满，尖削度小，至少有6-8m以上完好的干材或完好的干材占全树高的2/3以上；</w:t>
            </w:r>
          </w:p>
          <w:p w14:paraId="1A351DEF">
            <w:pPr>
              <w:numPr>
                <w:ilvl w:val="0"/>
                <w:numId w:val="3"/>
              </w:num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无机械损伤：没有明显的机械损伤和病虫害的痕迹，特别是在树干基部不能出现各种原因导致的损伤情况，保证能在未来的10-50年内正常生长，达到目标直径要求；</w:t>
            </w:r>
          </w:p>
          <w:p w14:paraId="7873F179">
            <w:pPr>
              <w:numPr>
                <w:ilvl w:val="0"/>
                <w:numId w:val="3"/>
              </w:num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优先选择实生起源的林木：目标树必须是实生林木，以保证林分质量进步在长期尺度和遗传基础上能实现。</w:t>
            </w:r>
          </w:p>
          <w:p w14:paraId="68CDB80A">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fldChar w:fldCharType="begin"/>
            </w:r>
            <w:r>
              <w:rPr>
                <w:rFonts w:hint="default" w:ascii="Times New Roman" w:hAnsi="Times New Roman" w:eastAsia="宋体" w:cs="Times New Roman"/>
                <w:color w:val="auto"/>
                <w:spacing w:val="-7"/>
                <w:sz w:val="24"/>
                <w:szCs w:val="24"/>
                <w:lang w:eastAsia="zh-CN"/>
              </w:rPr>
              <w:instrText xml:space="preserve"> = 3 \* GB3 \* MERGEFORMAT </w:instrText>
            </w:r>
            <w:r>
              <w:rPr>
                <w:rFonts w:hint="default" w:ascii="Times New Roman" w:hAnsi="Times New Roman" w:eastAsia="宋体" w:cs="Times New Roman"/>
                <w:color w:val="auto"/>
                <w:spacing w:val="-7"/>
                <w:sz w:val="24"/>
                <w:szCs w:val="24"/>
                <w:lang w:eastAsia="zh-CN"/>
              </w:rPr>
              <w:fldChar w:fldCharType="separate"/>
            </w:r>
            <w:r>
              <w:rPr>
                <w:rFonts w:hint="default" w:ascii="Times New Roman" w:hAnsi="Times New Roman" w:eastAsia="宋体" w:cs="Times New Roman"/>
                <w:color w:val="auto"/>
              </w:rPr>
              <w:t>③</w:t>
            </w:r>
            <w:r>
              <w:rPr>
                <w:rFonts w:hint="default" w:ascii="Times New Roman" w:hAnsi="Times New Roman" w:eastAsia="宋体" w:cs="Times New Roman"/>
                <w:color w:val="auto"/>
                <w:spacing w:val="-7"/>
                <w:sz w:val="24"/>
                <w:szCs w:val="24"/>
                <w:lang w:eastAsia="zh-CN"/>
              </w:rPr>
              <w:fldChar w:fldCharType="end"/>
            </w:r>
            <w:r>
              <w:rPr>
                <w:rFonts w:hint="default" w:ascii="Times New Roman" w:hAnsi="Times New Roman" w:eastAsia="宋体" w:cs="Times New Roman"/>
                <w:color w:val="auto"/>
                <w:spacing w:val="-7"/>
                <w:sz w:val="24"/>
                <w:szCs w:val="24"/>
                <w:lang w:eastAsia="zh-CN"/>
              </w:rPr>
              <w:t>目标树的数量控制指标</w:t>
            </w:r>
          </w:p>
          <w:p w14:paraId="38F5CA18">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同时兼顾两个指标。一是目标树控制距离：针叶树为当前胸径的20倍，阔叶树为当前胸径的25倍或30倍；二是目标树总数，针叶树为每亩20左右，阔叶树每亩10~15左右，混交林一般不超过20株。</w:t>
            </w:r>
          </w:p>
          <w:p w14:paraId="09DFA678">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fldChar w:fldCharType="begin"/>
            </w:r>
            <w:r>
              <w:rPr>
                <w:rFonts w:hint="default" w:ascii="Times New Roman" w:hAnsi="Times New Roman" w:eastAsia="宋体" w:cs="Times New Roman"/>
                <w:color w:val="auto"/>
                <w:spacing w:val="-7"/>
                <w:sz w:val="24"/>
                <w:szCs w:val="24"/>
                <w:lang w:eastAsia="zh-CN"/>
              </w:rPr>
              <w:instrText xml:space="preserve"> = 4 \* GB3 \* MERGEFORMAT </w:instrText>
            </w:r>
            <w:r>
              <w:rPr>
                <w:rFonts w:hint="default" w:ascii="Times New Roman" w:hAnsi="Times New Roman" w:eastAsia="宋体" w:cs="Times New Roman"/>
                <w:color w:val="auto"/>
                <w:spacing w:val="-7"/>
                <w:sz w:val="24"/>
                <w:szCs w:val="24"/>
                <w:lang w:eastAsia="zh-CN"/>
              </w:rPr>
              <w:fldChar w:fldCharType="separate"/>
            </w:r>
            <w:r>
              <w:rPr>
                <w:rFonts w:hint="default" w:ascii="Times New Roman" w:hAnsi="Times New Roman" w:eastAsia="宋体" w:cs="Times New Roman"/>
                <w:color w:val="auto"/>
              </w:rPr>
              <w:t>④</w:t>
            </w:r>
            <w:r>
              <w:rPr>
                <w:rFonts w:hint="default" w:ascii="Times New Roman" w:hAnsi="Times New Roman" w:eastAsia="宋体" w:cs="Times New Roman"/>
                <w:color w:val="auto"/>
                <w:spacing w:val="-7"/>
                <w:sz w:val="24"/>
                <w:szCs w:val="24"/>
                <w:lang w:eastAsia="zh-CN"/>
              </w:rPr>
              <w:fldChar w:fldCharType="end"/>
            </w:r>
            <w:r>
              <w:rPr>
                <w:rFonts w:hint="default" w:ascii="Times New Roman" w:hAnsi="Times New Roman" w:eastAsia="宋体" w:cs="Times New Roman"/>
                <w:color w:val="auto"/>
                <w:spacing w:val="-7"/>
                <w:sz w:val="24"/>
                <w:szCs w:val="24"/>
                <w:lang w:eastAsia="zh-CN"/>
              </w:rPr>
              <w:t>目标树标记</w:t>
            </w:r>
          </w:p>
          <w:p w14:paraId="12C57608">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对选择的目标树，在树高1.3m处用红油漆标记打“圈”， 标记均朝向同一方向避免在森林抚育采伐时误伐。</w:t>
            </w:r>
          </w:p>
          <w:p w14:paraId="275C3591">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w:t>
            </w:r>
            <w:r>
              <w:rPr>
                <w:rFonts w:hint="default" w:ascii="Times New Roman" w:hAnsi="Times New Roman" w:eastAsia="宋体" w:cs="Times New Roman"/>
                <w:color w:val="auto"/>
                <w:spacing w:val="-7"/>
                <w:sz w:val="24"/>
                <w:szCs w:val="24"/>
                <w:lang w:val="en-US" w:eastAsia="zh-CN"/>
              </w:rPr>
              <w:t>12</w:t>
            </w:r>
            <w:r>
              <w:rPr>
                <w:rFonts w:hint="default" w:ascii="Times New Roman" w:hAnsi="Times New Roman" w:eastAsia="宋体" w:cs="Times New Roman"/>
                <w:color w:val="auto"/>
                <w:spacing w:val="-7"/>
                <w:sz w:val="24"/>
                <w:szCs w:val="24"/>
                <w:lang w:eastAsia="zh-CN"/>
              </w:rPr>
              <w:t>）采伐木选择及标记</w:t>
            </w:r>
          </w:p>
          <w:p w14:paraId="5D81387F">
            <w:pPr>
              <w:spacing w:before="36" w:line="360" w:lineRule="auto"/>
              <w:ind w:firstLine="612"/>
              <w:rPr>
                <w:rFonts w:hint="default" w:ascii="Times New Roman" w:hAnsi="Times New Roman" w:eastAsia="宋体" w:cs="Times New Roman"/>
                <w:color w:val="auto"/>
                <w:spacing w:val="-7"/>
                <w:sz w:val="24"/>
                <w:szCs w:val="24"/>
                <w:lang w:val="en-US" w:eastAsia="zh-CN"/>
              </w:rPr>
            </w:pPr>
            <w:r>
              <w:rPr>
                <w:rFonts w:hint="default" w:ascii="Times New Roman" w:hAnsi="Times New Roman" w:eastAsia="宋体" w:cs="Times New Roman"/>
                <w:color w:val="auto"/>
                <w:spacing w:val="-7"/>
                <w:sz w:val="24"/>
                <w:szCs w:val="24"/>
                <w:lang w:eastAsia="zh-CN"/>
              </w:rPr>
              <w:t>实行林木分级，采用克拉夫特林木生长分级法，共分为5级</w:t>
            </w:r>
            <w:r>
              <w:rPr>
                <w:rFonts w:hint="default" w:ascii="Times New Roman" w:hAnsi="Times New Roman" w:eastAsia="宋体" w:cs="Times New Roman"/>
                <w:color w:val="auto"/>
                <w:spacing w:val="-7"/>
                <w:sz w:val="24"/>
                <w:szCs w:val="24"/>
                <w:lang w:val="en-US" w:eastAsia="zh-CN"/>
              </w:rPr>
              <w:t>。</w:t>
            </w:r>
          </w:p>
          <w:p w14:paraId="2B36E00E">
            <w:pPr>
              <w:spacing w:before="36" w:line="360" w:lineRule="auto"/>
              <w:ind w:firstLine="612"/>
              <w:rPr>
                <w:rFonts w:hint="default" w:ascii="Times New Roman" w:hAnsi="Times New Roman" w:eastAsia="宋体" w:cs="Times New Roman"/>
                <w:color w:val="auto"/>
                <w:spacing w:val="-7"/>
                <w:sz w:val="24"/>
                <w:szCs w:val="24"/>
                <w:lang w:val="en-US" w:eastAsia="zh-CN"/>
              </w:rPr>
            </w:pPr>
            <w:r>
              <w:rPr>
                <w:rFonts w:hint="default" w:ascii="Times New Roman" w:hAnsi="Times New Roman" w:eastAsia="宋体" w:cs="Times New Roman"/>
                <w:color w:val="auto"/>
                <w:spacing w:val="-7"/>
                <w:sz w:val="24"/>
                <w:szCs w:val="24"/>
                <w:lang w:val="en-US" w:eastAsia="zh-CN"/>
              </w:rPr>
              <w:t>I级：优势木，树高和胸径最大，树冠大且居于主林层以上，受光照条件最好；</w:t>
            </w:r>
          </w:p>
          <w:p w14:paraId="7A49731C">
            <w:pPr>
              <w:spacing w:before="36" w:line="360" w:lineRule="auto"/>
              <w:ind w:firstLine="612"/>
              <w:rPr>
                <w:rFonts w:hint="default" w:ascii="Times New Roman" w:hAnsi="Times New Roman" w:eastAsia="宋体" w:cs="Times New Roman"/>
                <w:color w:val="auto"/>
                <w:spacing w:val="-7"/>
                <w:sz w:val="24"/>
                <w:szCs w:val="24"/>
                <w:lang w:val="en-US" w:eastAsia="zh-CN"/>
              </w:rPr>
            </w:pPr>
            <w:r>
              <w:rPr>
                <w:rFonts w:hint="default" w:ascii="Times New Roman" w:hAnsi="Times New Roman" w:eastAsia="宋体" w:cs="Times New Roman"/>
                <w:color w:val="auto"/>
                <w:spacing w:val="-7"/>
                <w:sz w:val="24"/>
                <w:szCs w:val="24"/>
                <w:lang w:val="en-US" w:eastAsia="zh-CN"/>
              </w:rPr>
              <w:t>Ⅱ级：亚优势木，树高和胸径略次于I级木，树冠向四周发育且较均匀对称，树冠略小于I级木，处于主林层；</w:t>
            </w:r>
          </w:p>
          <w:p w14:paraId="0C022170">
            <w:pPr>
              <w:spacing w:before="36" w:line="360" w:lineRule="auto"/>
              <w:ind w:firstLine="612"/>
              <w:rPr>
                <w:rFonts w:hint="default" w:ascii="Times New Roman" w:hAnsi="Times New Roman" w:eastAsia="宋体" w:cs="Times New Roman"/>
                <w:color w:val="auto"/>
                <w:spacing w:val="-7"/>
                <w:sz w:val="24"/>
                <w:szCs w:val="24"/>
                <w:lang w:val="en-US" w:eastAsia="zh-CN"/>
              </w:rPr>
            </w:pPr>
            <w:r>
              <w:rPr>
                <w:rFonts w:hint="default" w:ascii="Times New Roman" w:hAnsi="Times New Roman" w:eastAsia="宋体" w:cs="Times New Roman"/>
                <w:color w:val="auto"/>
                <w:spacing w:val="-7"/>
                <w:sz w:val="24"/>
                <w:szCs w:val="24"/>
                <w:lang w:val="en-US" w:eastAsia="zh-CN"/>
              </w:rPr>
              <w:t>Ⅲ级：中等木，树高和胸径较I级和Ⅱ级立木差，属于中等，树冠较窄且能伸到主林层，但侧方受压，树干的圆满度较I、Ⅱ级木为大；</w:t>
            </w:r>
          </w:p>
          <w:p w14:paraId="47D723E3">
            <w:pPr>
              <w:spacing w:before="36" w:line="360" w:lineRule="auto"/>
              <w:ind w:firstLine="612"/>
              <w:rPr>
                <w:rFonts w:hint="default" w:ascii="Times New Roman" w:hAnsi="Times New Roman" w:eastAsia="宋体" w:cs="Times New Roman"/>
                <w:color w:val="auto"/>
                <w:spacing w:val="-7"/>
                <w:sz w:val="24"/>
                <w:szCs w:val="24"/>
                <w:lang w:val="en-US" w:eastAsia="zh-CN"/>
              </w:rPr>
            </w:pPr>
            <w:r>
              <w:rPr>
                <w:rFonts w:hint="default" w:ascii="Times New Roman" w:hAnsi="Times New Roman" w:eastAsia="宋体" w:cs="Times New Roman"/>
                <w:color w:val="auto"/>
                <w:spacing w:val="-7"/>
                <w:sz w:val="24"/>
                <w:szCs w:val="24"/>
                <w:lang w:val="en-US" w:eastAsia="zh-CN"/>
              </w:rPr>
              <w:t>Ⅳ级：被压木，树高和胸径生长都非常落后，树冠窄小，受挤压，通常处于主林冠层以下或只有少数能达到主林冠层，多为小径木；</w:t>
            </w:r>
          </w:p>
          <w:p w14:paraId="430C8A63">
            <w:pPr>
              <w:spacing w:before="36" w:line="360" w:lineRule="auto"/>
              <w:ind w:firstLine="612"/>
              <w:rPr>
                <w:rFonts w:hint="default" w:ascii="Times New Roman" w:hAnsi="Times New Roman" w:eastAsia="宋体" w:cs="Times New Roman"/>
                <w:color w:val="auto"/>
                <w:spacing w:val="-7"/>
                <w:sz w:val="24"/>
                <w:szCs w:val="24"/>
                <w:lang w:val="en-US" w:eastAsia="zh-CN"/>
              </w:rPr>
            </w:pPr>
            <w:r>
              <w:rPr>
                <w:rFonts w:hint="default" w:ascii="Times New Roman" w:hAnsi="Times New Roman" w:eastAsia="宋体" w:cs="Times New Roman"/>
                <w:color w:val="auto"/>
                <w:spacing w:val="-7"/>
                <w:sz w:val="24"/>
                <w:szCs w:val="24"/>
                <w:lang w:val="en-US" w:eastAsia="zh-CN"/>
              </w:rPr>
              <w:t>V级：濒死木或枯死木，完全处于主林冠之下，得不到直射光，树冠稀疏或枯黄，林木生长极其落后，濒临枯死或已枯死。</w:t>
            </w:r>
          </w:p>
          <w:p w14:paraId="326AFC92">
            <w:pPr>
              <w:spacing w:before="36" w:line="360" w:lineRule="auto"/>
              <w:ind w:firstLine="612"/>
              <w:rPr>
                <w:rFonts w:hint="default" w:ascii="Times New Roman" w:hAnsi="Times New Roman" w:eastAsia="宋体" w:cs="Times New Roman"/>
                <w:color w:val="auto"/>
                <w:spacing w:val="-7"/>
                <w:sz w:val="24"/>
                <w:szCs w:val="24"/>
                <w:lang w:val="en-US" w:eastAsia="zh-CN"/>
              </w:rPr>
            </w:pPr>
            <w:r>
              <w:rPr>
                <w:rFonts w:hint="default" w:ascii="Times New Roman" w:hAnsi="Times New Roman" w:eastAsia="宋体" w:cs="Times New Roman"/>
                <w:color w:val="auto"/>
                <w:spacing w:val="-7"/>
                <w:sz w:val="24"/>
                <w:szCs w:val="24"/>
                <w:lang w:val="en-US" w:eastAsia="zh-CN"/>
              </w:rPr>
              <w:t>采伐木选择标记密度过大、生长不良以及林木分级中的Ⅴ级木和部分Ⅳ级木。3人一组沿等高线从小班一端到另外一端进行作业，一个人负责选择采伐木并测量胸径，第二个人负责记录并估测树高，第三人负责油漆标记并砍除障碍物。采伐木用红色油漆在树高1.3m处标记打“叉”，标记均朝向同一方向。）</w:t>
            </w:r>
          </w:p>
          <w:p w14:paraId="78C6C76E">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w:t>
            </w:r>
            <w:r>
              <w:rPr>
                <w:rFonts w:hint="default" w:ascii="Times New Roman" w:hAnsi="Times New Roman" w:eastAsia="宋体" w:cs="Times New Roman"/>
                <w:color w:val="auto"/>
                <w:spacing w:val="-7"/>
                <w:sz w:val="24"/>
                <w:szCs w:val="24"/>
                <w:lang w:val="en-US" w:eastAsia="zh-CN"/>
              </w:rPr>
              <w:t>13</w:t>
            </w:r>
            <w:r>
              <w:rPr>
                <w:rFonts w:hint="default" w:ascii="Times New Roman" w:hAnsi="Times New Roman" w:eastAsia="宋体" w:cs="Times New Roman"/>
                <w:color w:val="auto"/>
                <w:spacing w:val="-7"/>
                <w:sz w:val="24"/>
                <w:szCs w:val="24"/>
                <w:lang w:eastAsia="zh-CN"/>
              </w:rPr>
              <w:t>）伐木工艺设计</w:t>
            </w:r>
          </w:p>
          <w:p w14:paraId="71868A39">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val="en-US" w:eastAsia="zh-CN"/>
              </w:rPr>
              <w:t>1）</w:t>
            </w:r>
            <w:r>
              <w:rPr>
                <w:rFonts w:hint="default" w:ascii="Times New Roman" w:hAnsi="Times New Roman" w:eastAsia="宋体" w:cs="Times New Roman"/>
                <w:color w:val="auto"/>
                <w:spacing w:val="-7"/>
                <w:sz w:val="24"/>
                <w:szCs w:val="24"/>
                <w:lang w:eastAsia="zh-CN"/>
              </w:rPr>
              <w:t>伐木操作</w:t>
            </w:r>
          </w:p>
          <w:p w14:paraId="2EBAA81E">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先清除被伐木周围藤条、灌木和攀缘植物等障碍物，再进行伐木。伐木时要严格控制林木倒向，观察被伐木树冠形状、树干是否腐朽、倾斜、弯曲，风向和风力，周围其他树木位置等情况，判断和选定树木倒向。</w:t>
            </w:r>
          </w:p>
          <w:p w14:paraId="02BC4F9B">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伐木时用机器和手工作业相结合的方式，主要工具为油锯、砍斧、弯把锯和砍刀等，伐木操作如下：</w:t>
            </w:r>
          </w:p>
          <w:p w14:paraId="761AB7AC">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val="en-US" w:eastAsia="zh-CN"/>
              </w:rPr>
              <w:t>A.</w:t>
            </w:r>
            <w:r>
              <w:rPr>
                <w:rFonts w:hint="default" w:ascii="Times New Roman" w:hAnsi="Times New Roman" w:eastAsia="宋体" w:cs="Times New Roman"/>
                <w:color w:val="auto"/>
                <w:spacing w:val="-7"/>
                <w:sz w:val="24"/>
                <w:szCs w:val="24"/>
                <w:lang w:eastAsia="zh-CN"/>
              </w:rPr>
              <w:t>伐木应为木材生产的下道工序创造必要的条件。</w:t>
            </w:r>
          </w:p>
          <w:p w14:paraId="32FBDE4A">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val="en-US" w:eastAsia="zh-CN"/>
              </w:rPr>
              <w:t>B.</w:t>
            </w:r>
            <w:r>
              <w:rPr>
                <w:rFonts w:hint="default" w:ascii="Times New Roman" w:hAnsi="Times New Roman" w:eastAsia="宋体" w:cs="Times New Roman"/>
                <w:color w:val="auto"/>
                <w:spacing w:val="-7"/>
                <w:sz w:val="24"/>
                <w:szCs w:val="24"/>
                <w:lang w:eastAsia="zh-CN"/>
              </w:rPr>
              <w:t>采用留弦借向、锯下口以及锯楔和支杆等方法，控制采伐树木倒向伐区规定的树倒方向。</w:t>
            </w:r>
          </w:p>
          <w:p w14:paraId="35187EF4">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val="en-US" w:eastAsia="zh-CN"/>
              </w:rPr>
              <w:t>C.</w:t>
            </w:r>
            <w:r>
              <w:rPr>
                <w:rFonts w:hint="default" w:ascii="Times New Roman" w:hAnsi="Times New Roman" w:eastAsia="宋体" w:cs="Times New Roman"/>
                <w:color w:val="auto"/>
                <w:spacing w:val="-7"/>
                <w:sz w:val="24"/>
                <w:szCs w:val="24"/>
                <w:lang w:eastAsia="zh-CN"/>
              </w:rPr>
              <w:t>尽量避免使树倒向伐根、立木、倒木、岩石、陡坎或凹凸不平的地段，以减少木材损失。</w:t>
            </w:r>
          </w:p>
          <w:p w14:paraId="335D41BD">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val="en-US" w:eastAsia="zh-CN"/>
              </w:rPr>
              <w:t>D.</w:t>
            </w:r>
            <w:r>
              <w:rPr>
                <w:rFonts w:hint="default" w:ascii="Times New Roman" w:hAnsi="Times New Roman" w:eastAsia="宋体" w:cs="Times New Roman"/>
                <w:color w:val="auto"/>
                <w:spacing w:val="-7"/>
                <w:sz w:val="24"/>
                <w:szCs w:val="24"/>
                <w:lang w:eastAsia="zh-CN"/>
              </w:rPr>
              <w:t>降低伐根，使其达到采伐技术规程要求：伐桩高度≤10cm。</w:t>
            </w:r>
          </w:p>
          <w:p w14:paraId="0142E0D6">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val="en-US" w:eastAsia="zh-CN"/>
              </w:rPr>
              <w:t>E.</w:t>
            </w:r>
            <w:r>
              <w:rPr>
                <w:rFonts w:hint="default" w:ascii="Times New Roman" w:hAnsi="Times New Roman" w:eastAsia="宋体" w:cs="Times New Roman"/>
                <w:color w:val="auto"/>
                <w:spacing w:val="-7"/>
                <w:sz w:val="24"/>
                <w:szCs w:val="24"/>
                <w:lang w:eastAsia="zh-CN"/>
              </w:rPr>
              <w:t>伐木时应先锯下口，后锯上口。下口应抽片，上口应留弦挂耳。下口深度应为树木根部直径的1/4～1/3。下口开口高度为其深度的1/2。抽片或砍口应达到下口尽头处。上口与下口的上锯口应在同一水平面上，留弦厚度随树木径级大小而增减，以树木能够倒地为限。</w:t>
            </w:r>
          </w:p>
          <w:p w14:paraId="433D526A">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val="en-US" w:eastAsia="zh-CN"/>
              </w:rPr>
              <w:t>F.</w:t>
            </w:r>
            <w:r>
              <w:rPr>
                <w:rFonts w:hint="default" w:ascii="Times New Roman" w:hAnsi="Times New Roman" w:eastAsia="宋体" w:cs="Times New Roman"/>
                <w:color w:val="auto"/>
                <w:spacing w:val="-7"/>
                <w:sz w:val="24"/>
                <w:szCs w:val="24"/>
                <w:lang w:eastAsia="zh-CN"/>
              </w:rPr>
              <w:t>伐木时应具备有伐木楔或支杆等必要的辅助工具，并掌握其正确的使用方法。采伐胸径20cm以上的倾斜树或选定倒向与自然倒向不同时，应使用辅助工具控制树倒方向，不应使用铁制伐木楔。</w:t>
            </w:r>
          </w:p>
          <w:p w14:paraId="65FBDF68">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val="en-US" w:eastAsia="zh-CN"/>
              </w:rPr>
              <w:t>G.</w:t>
            </w:r>
            <w:r>
              <w:rPr>
                <w:rFonts w:hint="default" w:ascii="Times New Roman" w:hAnsi="Times New Roman" w:eastAsia="宋体" w:cs="Times New Roman"/>
                <w:color w:val="auto"/>
                <w:spacing w:val="-7"/>
                <w:sz w:val="24"/>
                <w:szCs w:val="24"/>
                <w:lang w:eastAsia="zh-CN"/>
              </w:rPr>
              <w:t>不应用树推树或连倒砸树的方法伐木。</w:t>
            </w:r>
          </w:p>
          <w:p w14:paraId="37565814">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val="en-US" w:eastAsia="zh-CN"/>
              </w:rPr>
              <w:t>（14）</w:t>
            </w:r>
            <w:r>
              <w:rPr>
                <w:rFonts w:hint="default" w:ascii="Times New Roman" w:hAnsi="Times New Roman" w:eastAsia="宋体" w:cs="Times New Roman"/>
                <w:color w:val="auto"/>
                <w:spacing w:val="-7"/>
                <w:sz w:val="24"/>
                <w:szCs w:val="24"/>
                <w:lang w:eastAsia="zh-CN"/>
              </w:rPr>
              <w:t>造材</w:t>
            </w:r>
          </w:p>
          <w:p w14:paraId="2F2CFF22">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根据《原条造材》LY/T 1370-2018标准合理造材，坚持“量尺造材，材尽其用，劣材优造”的原则，材种长度≥2m。胸径较大的林木采用油锯造材，胸径较小的林木采用弯把锯造材。</w:t>
            </w:r>
          </w:p>
          <w:p w14:paraId="0DFACA3F">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val="en-US" w:eastAsia="zh-CN"/>
              </w:rPr>
              <w:t>A.</w:t>
            </w:r>
            <w:r>
              <w:rPr>
                <w:rFonts w:hint="default" w:ascii="Times New Roman" w:hAnsi="Times New Roman" w:eastAsia="宋体" w:cs="Times New Roman"/>
                <w:color w:val="auto"/>
                <w:spacing w:val="-7"/>
                <w:sz w:val="24"/>
                <w:szCs w:val="24"/>
                <w:lang w:eastAsia="zh-CN"/>
              </w:rPr>
              <w:t>造材前，应清除妨碍作业的灌木、枝丫等障碍物，并认真检查原条有无滚落危险。对锯断有滚落危险的，应先掩盖牢后造材。</w:t>
            </w:r>
          </w:p>
          <w:p w14:paraId="4714C177">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val="en-US" w:eastAsia="zh-CN"/>
              </w:rPr>
              <w:t>B.</w:t>
            </w:r>
            <w:r>
              <w:rPr>
                <w:rFonts w:hint="default" w:ascii="Times New Roman" w:hAnsi="Times New Roman" w:eastAsia="宋体" w:cs="Times New Roman"/>
                <w:color w:val="auto"/>
                <w:spacing w:val="-7"/>
                <w:sz w:val="24"/>
                <w:szCs w:val="24"/>
                <w:lang w:eastAsia="zh-CN"/>
              </w:rPr>
              <w:t>造材时，造材工应站在上坡方向，下方不应有人作业或停留。</w:t>
            </w:r>
          </w:p>
          <w:p w14:paraId="0D5D1AE5">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val="en-US" w:eastAsia="zh-CN"/>
              </w:rPr>
              <w:t>C.</w:t>
            </w:r>
            <w:r>
              <w:rPr>
                <w:rFonts w:hint="default" w:ascii="Times New Roman" w:hAnsi="Times New Roman" w:eastAsia="宋体" w:cs="Times New Roman"/>
                <w:color w:val="auto"/>
                <w:spacing w:val="-7"/>
                <w:sz w:val="24"/>
                <w:szCs w:val="24"/>
                <w:lang w:eastAsia="zh-CN"/>
              </w:rPr>
              <w:t>造材前，划好下锯横线，以便合理下锯造材。</w:t>
            </w:r>
          </w:p>
          <w:p w14:paraId="474C726A">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val="en-US" w:eastAsia="zh-CN"/>
              </w:rPr>
              <w:t>D.</w:t>
            </w:r>
            <w:r>
              <w:rPr>
                <w:rFonts w:hint="default" w:ascii="Times New Roman" w:hAnsi="Times New Roman" w:eastAsia="宋体" w:cs="Times New Roman"/>
                <w:color w:val="auto"/>
                <w:spacing w:val="-7"/>
                <w:sz w:val="24"/>
                <w:szCs w:val="24"/>
                <w:lang w:eastAsia="zh-CN"/>
              </w:rPr>
              <w:t>造材工人应严格按划线标志下锯，不应躲包让节。</w:t>
            </w:r>
          </w:p>
          <w:p w14:paraId="7BB0F8B2">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val="en-US" w:eastAsia="zh-CN"/>
              </w:rPr>
              <w:t>E.</w:t>
            </w:r>
            <w:r>
              <w:rPr>
                <w:rFonts w:hint="default" w:ascii="Times New Roman" w:hAnsi="Times New Roman" w:eastAsia="宋体" w:cs="Times New Roman"/>
                <w:color w:val="auto"/>
                <w:spacing w:val="-7"/>
                <w:sz w:val="24"/>
                <w:szCs w:val="24"/>
                <w:lang w:eastAsia="zh-CN"/>
              </w:rPr>
              <w:t>锯截时锯板应端正，并与原条轴线相垂直，防止锯口偏斜。</w:t>
            </w:r>
          </w:p>
          <w:p w14:paraId="65014A51">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val="en-US" w:eastAsia="zh-CN"/>
              </w:rPr>
              <w:t>F.</w:t>
            </w:r>
            <w:r>
              <w:rPr>
                <w:rFonts w:hint="default" w:ascii="Times New Roman" w:hAnsi="Times New Roman" w:eastAsia="宋体" w:cs="Times New Roman"/>
                <w:color w:val="auto"/>
                <w:spacing w:val="-7"/>
                <w:sz w:val="24"/>
                <w:szCs w:val="24"/>
                <w:lang w:eastAsia="zh-CN"/>
              </w:rPr>
              <w:t>下锯时注意相邻树木，不应锯伤相邻树木。</w:t>
            </w:r>
          </w:p>
          <w:p w14:paraId="777FE197">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val="en-US" w:eastAsia="zh-CN"/>
              </w:rPr>
              <w:t>G.</w:t>
            </w:r>
            <w:r>
              <w:rPr>
                <w:rFonts w:hint="default" w:ascii="Times New Roman" w:hAnsi="Times New Roman" w:eastAsia="宋体" w:cs="Times New Roman"/>
                <w:color w:val="auto"/>
                <w:spacing w:val="-7"/>
                <w:sz w:val="24"/>
                <w:szCs w:val="24"/>
                <w:lang w:eastAsia="zh-CN"/>
              </w:rPr>
              <w:t>下锯前，应将被造材木放平实，以免造成劈裂材。</w:t>
            </w:r>
          </w:p>
          <w:p w14:paraId="30B940A9">
            <w:pPr>
              <w:spacing w:before="36" w:line="360" w:lineRule="auto"/>
              <w:ind w:firstLine="612"/>
              <w:rPr>
                <w:rFonts w:hint="default" w:ascii="Times New Roman" w:hAnsi="Times New Roman" w:eastAsia="宋体" w:cs="Times New Roman"/>
                <w:color w:val="auto"/>
                <w:spacing w:val="-7"/>
                <w:sz w:val="24"/>
                <w:szCs w:val="24"/>
                <w:lang w:val="en-US" w:eastAsia="zh-CN"/>
              </w:rPr>
            </w:pPr>
          </w:p>
          <w:p w14:paraId="4AE88B5E">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val="en-US" w:eastAsia="zh-CN"/>
              </w:rPr>
              <w:t>（15）</w:t>
            </w:r>
            <w:r>
              <w:rPr>
                <w:rFonts w:hint="default" w:ascii="Times New Roman" w:hAnsi="Times New Roman" w:eastAsia="宋体" w:cs="Times New Roman"/>
                <w:color w:val="auto"/>
                <w:spacing w:val="-7"/>
                <w:sz w:val="24"/>
                <w:szCs w:val="24"/>
                <w:lang w:eastAsia="zh-CN"/>
              </w:rPr>
              <w:t>集材</w:t>
            </w:r>
          </w:p>
          <w:p w14:paraId="0D4185F4">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人力集材，长度≥2m、小头去皮直径≥8cm以上的木材应全部运出。</w:t>
            </w:r>
          </w:p>
          <w:p w14:paraId="7491FEC5">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val="en-US" w:eastAsia="zh-CN"/>
              </w:rPr>
              <w:t>A.</w:t>
            </w:r>
            <w:r>
              <w:rPr>
                <w:rFonts w:hint="default" w:ascii="Times New Roman" w:hAnsi="Times New Roman" w:eastAsia="宋体" w:cs="Times New Roman"/>
                <w:color w:val="auto"/>
                <w:spacing w:val="-7"/>
                <w:sz w:val="24"/>
                <w:szCs w:val="24"/>
                <w:lang w:eastAsia="zh-CN"/>
              </w:rPr>
              <w:t>集材时应减少对幼树幼苗和地表破坏。</w:t>
            </w:r>
          </w:p>
          <w:p w14:paraId="6C5B6DB7">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val="en-US" w:eastAsia="zh-CN"/>
              </w:rPr>
              <w:t>B.</w:t>
            </w:r>
            <w:r>
              <w:rPr>
                <w:rFonts w:hint="default" w:ascii="Times New Roman" w:hAnsi="Times New Roman" w:eastAsia="宋体" w:cs="Times New Roman"/>
                <w:color w:val="auto"/>
                <w:spacing w:val="-7"/>
                <w:sz w:val="24"/>
                <w:szCs w:val="24"/>
                <w:lang w:eastAsia="zh-CN"/>
              </w:rPr>
              <w:t>要保持集材道路面平整，及时除去倒木、乱石等障碍物。</w:t>
            </w:r>
          </w:p>
          <w:p w14:paraId="1518259A">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val="en-US" w:eastAsia="zh-CN"/>
              </w:rPr>
              <w:t>C.</w:t>
            </w:r>
            <w:r>
              <w:rPr>
                <w:rFonts w:hint="default" w:ascii="Times New Roman" w:hAnsi="Times New Roman" w:eastAsia="宋体" w:cs="Times New Roman"/>
                <w:color w:val="auto"/>
                <w:spacing w:val="-7"/>
                <w:sz w:val="24"/>
                <w:szCs w:val="24"/>
                <w:lang w:eastAsia="zh-CN"/>
              </w:rPr>
              <w:t>在搬运之前，应按不同材种要求造材，尽可能减轻搬运重量。</w:t>
            </w:r>
          </w:p>
          <w:p w14:paraId="7B96BBAC">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val="en-US" w:eastAsia="zh-CN"/>
              </w:rPr>
              <w:t>D.</w:t>
            </w:r>
            <w:r>
              <w:rPr>
                <w:rFonts w:hint="default" w:ascii="Times New Roman" w:hAnsi="Times New Roman" w:eastAsia="宋体" w:cs="Times New Roman"/>
                <w:color w:val="auto"/>
                <w:spacing w:val="-7"/>
                <w:sz w:val="24"/>
                <w:szCs w:val="24"/>
                <w:lang w:eastAsia="zh-CN"/>
              </w:rPr>
              <w:t>人力搬运应尽可能利用吊钩、撬棍、绳索，避免手、足直接接触，几人共同作业时，应有人指挥步调一致。</w:t>
            </w:r>
          </w:p>
          <w:p w14:paraId="2082FD56">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w:t>
            </w:r>
            <w:r>
              <w:rPr>
                <w:rFonts w:hint="default" w:ascii="Times New Roman" w:hAnsi="Times New Roman" w:eastAsia="宋体" w:cs="Times New Roman"/>
                <w:color w:val="auto"/>
                <w:spacing w:val="-7"/>
                <w:sz w:val="24"/>
                <w:szCs w:val="24"/>
                <w:lang w:val="en-US" w:eastAsia="zh-CN"/>
              </w:rPr>
              <w:t>16</w:t>
            </w:r>
            <w:r>
              <w:rPr>
                <w:rFonts w:hint="default" w:ascii="Times New Roman" w:hAnsi="Times New Roman" w:eastAsia="宋体" w:cs="Times New Roman"/>
                <w:color w:val="auto"/>
                <w:spacing w:val="-7"/>
                <w:sz w:val="24"/>
                <w:szCs w:val="24"/>
                <w:lang w:eastAsia="zh-CN"/>
              </w:rPr>
              <w:t>）归楞、装车及运出</w:t>
            </w:r>
          </w:p>
          <w:p w14:paraId="7EFF6130">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本次项目建设不单独设置楞场，充分利用道路旁的田边地角或搁荒地，临时归楞。人力归楞、装车。有利用价值的采伐剩余物（长度≥1m、小头去皮直径≥4cm，但又不符合规格材标准规定的枝丫、梢头、截头等）应运出利用。</w:t>
            </w:r>
          </w:p>
          <w:p w14:paraId="5636AE6E">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w:t>
            </w:r>
            <w:r>
              <w:rPr>
                <w:rFonts w:hint="default" w:ascii="Times New Roman" w:hAnsi="Times New Roman" w:eastAsia="宋体" w:cs="Times New Roman"/>
                <w:color w:val="auto"/>
                <w:spacing w:val="-7"/>
                <w:sz w:val="24"/>
                <w:szCs w:val="24"/>
                <w:lang w:val="en-US" w:eastAsia="zh-CN"/>
              </w:rPr>
              <w:t>17</w:t>
            </w:r>
            <w:r>
              <w:rPr>
                <w:rFonts w:hint="default" w:ascii="Times New Roman" w:hAnsi="Times New Roman" w:eastAsia="宋体" w:cs="Times New Roman"/>
                <w:color w:val="auto"/>
                <w:spacing w:val="-7"/>
                <w:sz w:val="24"/>
                <w:szCs w:val="24"/>
                <w:lang w:eastAsia="zh-CN"/>
              </w:rPr>
              <w:t>）剩余物清理</w:t>
            </w:r>
          </w:p>
          <w:p w14:paraId="673EB54E">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及时将可利用木材运走，同时清理采伐剩余物。伐区剩余物清理是对木材生产以外的各类梢、枝、灌木、杂草进行清运，本次设计涉及现有林改培和林下经济的伐区剩余物全部清理出林分，以利于林窗补植和林下种植的实施，其余伐区顺山沿等高线采用归堆法、归带法、散铺法处理采伐剩余物。清理时采用人力清理，清理的剩余物可用于居民的烧材或运到伐区外适当位置切片粉碎后深埋处理，以免污染环境，杜绝森林火灾隐患。</w:t>
            </w:r>
          </w:p>
          <w:p w14:paraId="1613D984">
            <w:pPr>
              <w:spacing w:before="36"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w:t>
            </w:r>
            <w:r>
              <w:rPr>
                <w:rFonts w:hint="default" w:ascii="Times New Roman" w:hAnsi="Times New Roman" w:eastAsia="宋体" w:cs="Times New Roman"/>
                <w:color w:val="auto"/>
                <w:spacing w:val="-7"/>
                <w:sz w:val="24"/>
                <w:szCs w:val="24"/>
                <w:lang w:val="en-US" w:eastAsia="zh-CN"/>
              </w:rPr>
              <w:t>18</w:t>
            </w:r>
            <w:r>
              <w:rPr>
                <w:rFonts w:hint="default" w:ascii="Times New Roman" w:hAnsi="Times New Roman" w:eastAsia="宋体" w:cs="Times New Roman"/>
                <w:color w:val="auto"/>
                <w:spacing w:val="-7"/>
                <w:sz w:val="24"/>
                <w:szCs w:val="24"/>
                <w:lang w:eastAsia="zh-CN"/>
              </w:rPr>
              <w:t>）验收</w:t>
            </w:r>
          </w:p>
          <w:p w14:paraId="486D9155">
            <w:pPr>
              <w:spacing w:before="36" w:line="360" w:lineRule="auto"/>
              <w:ind w:firstLine="612"/>
              <w:rPr>
                <w:rFonts w:hint="default" w:ascii="Times New Roman" w:hAnsi="Times New Roman" w:eastAsia="宋体" w:cs="Times New Roman"/>
                <w:color w:val="auto"/>
                <w:sz w:val="24"/>
                <w:szCs w:val="24"/>
                <w:vertAlign w:val="baseline"/>
                <w:lang w:eastAsia="zh-CN"/>
              </w:rPr>
            </w:pPr>
            <w:r>
              <w:rPr>
                <w:rFonts w:hint="default" w:ascii="Times New Roman" w:hAnsi="Times New Roman" w:eastAsia="宋体" w:cs="Times New Roman"/>
                <w:color w:val="auto"/>
                <w:spacing w:val="-7"/>
                <w:sz w:val="24"/>
                <w:szCs w:val="24"/>
                <w:lang w:eastAsia="zh-CN"/>
              </w:rPr>
              <w:t>采伐生产必须严格按作业设计及有关采伐规程规范的要求进行生产，剩余物应按项目建设的需要进行清理，以满足项目施工的顺利进行。清理完成后，林业主管部门应组织有关部门专业技术人员进行伐区验收，写出采伐验收报告，填写验收单。</w:t>
            </w:r>
          </w:p>
        </w:tc>
      </w:tr>
    </w:tbl>
    <w:p w14:paraId="4B1F8C37">
      <w:pPr>
        <w:jc w:val="center"/>
        <w:rPr>
          <w:rFonts w:hint="default" w:ascii="Times New Roman" w:hAnsi="Times New Roman" w:eastAsia="宋体" w:cs="Times New Roman"/>
          <w:color w:val="auto"/>
        </w:rPr>
        <w:sectPr>
          <w:footerReference r:id="rId9" w:type="default"/>
          <w:pgSz w:w="16839" w:h="11906" w:orient="landscape"/>
          <w:pgMar w:top="1687" w:right="1431" w:bottom="1687" w:left="1179" w:header="0" w:footer="1001" w:gutter="0"/>
          <w:cols w:space="720" w:num="1"/>
        </w:sectPr>
      </w:pPr>
    </w:p>
    <w:p w14:paraId="1C2B2DE2">
      <w:pPr>
        <w:spacing w:line="91" w:lineRule="auto"/>
        <w:rPr>
          <w:rFonts w:hint="default" w:ascii="Times New Roman" w:hAnsi="Times New Roman" w:eastAsia="宋体" w:cs="Times New Roman"/>
          <w:color w:val="auto"/>
          <w:sz w:val="2"/>
        </w:rPr>
      </w:pPr>
    </w:p>
    <w:p w14:paraId="29EFB17C">
      <w:pPr>
        <w:spacing w:line="91" w:lineRule="auto"/>
        <w:rPr>
          <w:rFonts w:hint="default" w:ascii="Times New Roman" w:hAnsi="Times New Roman" w:eastAsia="宋体" w:cs="Times New Roman"/>
          <w:color w:val="auto"/>
          <w:sz w:val="2"/>
        </w:rPr>
      </w:pPr>
    </w:p>
    <w:tbl>
      <w:tblPr>
        <w:tblStyle w:val="43"/>
        <w:tblW w:w="8787"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476"/>
        <w:gridCol w:w="8311"/>
      </w:tblGrid>
      <w:tr w14:paraId="3C160C7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190" w:hRule="atLeast"/>
          <w:jc w:val="center"/>
        </w:trPr>
        <w:tc>
          <w:tcPr>
            <w:tcW w:w="488" w:type="dxa"/>
            <w:textDirection w:val="tbRlV"/>
            <w:vAlign w:val="center"/>
          </w:tcPr>
          <w:p w14:paraId="78BBDF99">
            <w:pPr>
              <w:spacing w:before="106" w:line="180" w:lineRule="auto"/>
              <w:ind w:firstLine="5564"/>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1"/>
                <w:sz w:val="24"/>
                <w:szCs w:val="24"/>
              </w:rPr>
              <w:t>总平面及现场布置</w:t>
            </w:r>
          </w:p>
        </w:tc>
        <w:tc>
          <w:tcPr>
            <w:tcW w:w="8577" w:type="dxa"/>
            <w:vAlign w:val="center"/>
          </w:tcPr>
          <w:p w14:paraId="332C3185">
            <w:pPr>
              <w:spacing w:before="42" w:line="360" w:lineRule="auto"/>
              <w:ind w:firstLine="612"/>
              <w:outlineLvl w:val="1"/>
              <w:rPr>
                <w:rFonts w:hint="default" w:ascii="Times New Roman" w:hAnsi="Times New Roman" w:eastAsia="宋体" w:cs="Times New Roman"/>
                <w:b/>
                <w:bCs/>
                <w:color w:val="auto"/>
                <w:spacing w:val="-7"/>
                <w:sz w:val="28"/>
                <w:szCs w:val="28"/>
              </w:rPr>
            </w:pPr>
            <w:bookmarkStart w:id="10" w:name="_Toc13253"/>
            <w:r>
              <w:rPr>
                <w:rFonts w:hint="default" w:ascii="Times New Roman" w:hAnsi="Times New Roman" w:eastAsia="宋体" w:cs="Times New Roman"/>
                <w:b/>
                <w:bCs/>
                <w:color w:val="auto"/>
                <w:spacing w:val="-7"/>
                <w:sz w:val="28"/>
                <w:szCs w:val="28"/>
              </w:rPr>
              <w:t>二、总平面及现场布置</w:t>
            </w:r>
            <w:bookmarkEnd w:id="10"/>
          </w:p>
          <w:p w14:paraId="507F8AAC">
            <w:pPr>
              <w:spacing w:before="42" w:line="360" w:lineRule="auto"/>
              <w:ind w:firstLine="612"/>
              <w:rPr>
                <w:rFonts w:hint="default" w:ascii="Times New Roman" w:hAnsi="Times New Roman" w:eastAsia="宋体" w:cs="Times New Roman"/>
                <w:b/>
                <w:bCs/>
                <w:color w:val="auto"/>
                <w:sz w:val="28"/>
                <w:szCs w:val="28"/>
              </w:rPr>
            </w:pPr>
            <w:r>
              <w:rPr>
                <w:rFonts w:hint="default" w:ascii="Times New Roman" w:hAnsi="Times New Roman" w:eastAsia="宋体" w:cs="Times New Roman"/>
                <w:b/>
                <w:bCs/>
                <w:color w:val="auto"/>
                <w:spacing w:val="-7"/>
                <w:sz w:val="28"/>
                <w:szCs w:val="28"/>
              </w:rPr>
              <w:t>1、工程总体布置</w:t>
            </w:r>
          </w:p>
          <w:p w14:paraId="622AB32A">
            <w:pPr>
              <w:spacing w:before="42" w:line="360" w:lineRule="auto"/>
              <w:ind w:firstLine="612"/>
              <w:rPr>
                <w:rFonts w:hint="default" w:ascii="Times New Roman" w:hAnsi="Times New Roman" w:eastAsia="宋体" w:cs="Times New Roman"/>
                <w:color w:val="auto"/>
                <w:spacing w:val="-7"/>
                <w:sz w:val="24"/>
                <w:szCs w:val="24"/>
              </w:rPr>
            </w:pPr>
            <w:r>
              <w:rPr>
                <w:rFonts w:hint="default" w:ascii="Times New Roman" w:hAnsi="Times New Roman" w:eastAsia="宋体" w:cs="Times New Roman"/>
                <w:color w:val="auto"/>
                <w:spacing w:val="-7"/>
                <w:sz w:val="24"/>
                <w:szCs w:val="24"/>
              </w:rPr>
              <w:t>（1）储备林建设工程布局</w:t>
            </w:r>
          </w:p>
          <w:p w14:paraId="6BFB43AE">
            <w:pPr>
              <w:spacing w:before="42" w:line="360" w:lineRule="auto"/>
              <w:ind w:firstLine="612"/>
              <w:rPr>
                <w:rFonts w:hint="default" w:ascii="Times New Roman" w:hAnsi="Times New Roman" w:eastAsia="宋体" w:cs="Times New Roman"/>
                <w:color w:val="auto"/>
                <w:spacing w:val="-7"/>
                <w:sz w:val="24"/>
                <w:szCs w:val="24"/>
              </w:rPr>
            </w:pPr>
            <w:r>
              <w:rPr>
                <w:rFonts w:hint="default" w:ascii="Times New Roman" w:hAnsi="Times New Roman" w:eastAsia="宋体" w:cs="Times New Roman"/>
                <w:color w:val="auto"/>
                <w:spacing w:val="-7"/>
                <w:sz w:val="24"/>
                <w:szCs w:val="24"/>
              </w:rPr>
              <w:t>人工林集约栽培：主要涉及大佛镇、劳动镇、良安镇、天池镇、中和场镇。</w:t>
            </w:r>
          </w:p>
          <w:p w14:paraId="6053BEE8">
            <w:pPr>
              <w:spacing w:before="42" w:line="360" w:lineRule="auto"/>
              <w:ind w:firstLine="612"/>
              <w:rPr>
                <w:rFonts w:hint="default" w:ascii="Times New Roman" w:hAnsi="Times New Roman" w:eastAsia="宋体" w:cs="Times New Roman"/>
                <w:color w:val="auto"/>
                <w:spacing w:val="-7"/>
                <w:sz w:val="24"/>
                <w:szCs w:val="24"/>
              </w:rPr>
            </w:pPr>
            <w:r>
              <w:rPr>
                <w:rFonts w:hint="default" w:ascii="Times New Roman" w:hAnsi="Times New Roman" w:eastAsia="宋体" w:cs="Times New Roman"/>
                <w:color w:val="auto"/>
                <w:spacing w:val="-7"/>
                <w:sz w:val="24"/>
                <w:szCs w:val="24"/>
              </w:rPr>
              <w:t>现有林改培：主要涉及高寺镇、劳动镇、天池镇、中天镇。</w:t>
            </w:r>
          </w:p>
          <w:p w14:paraId="121E5ED3">
            <w:pPr>
              <w:spacing w:before="42" w:line="360" w:lineRule="auto"/>
              <w:ind w:firstLine="612"/>
              <w:rPr>
                <w:rFonts w:hint="default" w:ascii="Times New Roman" w:hAnsi="Times New Roman" w:eastAsia="宋体" w:cs="Times New Roman"/>
                <w:color w:val="auto"/>
                <w:spacing w:val="-7"/>
                <w:sz w:val="24"/>
                <w:szCs w:val="24"/>
              </w:rPr>
            </w:pPr>
            <w:r>
              <w:rPr>
                <w:rFonts w:hint="default" w:ascii="Times New Roman" w:hAnsi="Times New Roman" w:eastAsia="宋体" w:cs="Times New Roman"/>
                <w:color w:val="auto"/>
                <w:spacing w:val="-7"/>
                <w:sz w:val="24"/>
                <w:szCs w:val="24"/>
              </w:rPr>
              <w:t>中幼林抚育：主要涉及宝林镇、大佛镇、高寺镇、劳动镇。</w:t>
            </w:r>
          </w:p>
          <w:p w14:paraId="07A6E782">
            <w:pPr>
              <w:spacing w:before="42"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rPr>
              <w:t>林业产业建设：</w:t>
            </w:r>
            <w:r>
              <w:rPr>
                <w:rFonts w:hint="default" w:ascii="Times New Roman" w:hAnsi="Times New Roman" w:eastAsia="宋体" w:cs="Times New Roman"/>
                <w:color w:val="auto"/>
                <w:spacing w:val="-7"/>
                <w:sz w:val="24"/>
                <w:szCs w:val="24"/>
                <w:lang w:val="en-US" w:eastAsia="zh-CN"/>
              </w:rPr>
              <w:t>其中特色经济林</w:t>
            </w:r>
            <w:r>
              <w:rPr>
                <w:rFonts w:hint="default" w:ascii="Times New Roman" w:hAnsi="Times New Roman" w:eastAsia="宋体" w:cs="Times New Roman"/>
                <w:color w:val="auto"/>
                <w:spacing w:val="-7"/>
                <w:sz w:val="24"/>
                <w:szCs w:val="24"/>
              </w:rPr>
              <w:t>主要集中在高寺镇鼓楼村、金光村、来龙村、梨子湾村、凉水社区、模范村、天鹅村、香泉社区和永安社区</w:t>
            </w:r>
            <w:r>
              <w:rPr>
                <w:rFonts w:hint="default" w:ascii="Times New Roman" w:hAnsi="Times New Roman" w:eastAsia="宋体" w:cs="Times New Roman"/>
                <w:color w:val="auto"/>
                <w:spacing w:val="-7"/>
                <w:sz w:val="24"/>
                <w:szCs w:val="24"/>
                <w:lang w:eastAsia="zh-CN"/>
              </w:rPr>
              <w:t>；</w:t>
            </w:r>
          </w:p>
          <w:p w14:paraId="4098DE03">
            <w:pPr>
              <w:spacing w:before="42"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珍稀林木集约栽培</w:t>
            </w:r>
            <w:r>
              <w:rPr>
                <w:rFonts w:hint="default" w:ascii="Times New Roman" w:hAnsi="Times New Roman" w:eastAsia="宋体" w:cs="Times New Roman"/>
                <w:color w:val="auto"/>
                <w:spacing w:val="-7"/>
                <w:sz w:val="24"/>
                <w:szCs w:val="24"/>
              </w:rPr>
              <w:t>主要集中在</w:t>
            </w:r>
            <w:r>
              <w:rPr>
                <w:rFonts w:hint="default" w:ascii="Times New Roman" w:hAnsi="Times New Roman" w:eastAsia="宋体" w:cs="Times New Roman"/>
                <w:color w:val="auto"/>
                <w:spacing w:val="-7"/>
                <w:sz w:val="24"/>
                <w:szCs w:val="24"/>
                <w:lang w:eastAsia="zh-CN"/>
              </w:rPr>
              <w:t>高寺镇简乐桥村、清水村、石堰村、万寿村和燕子村；</w:t>
            </w:r>
          </w:p>
          <w:p w14:paraId="7558E7DE">
            <w:pPr>
              <w:spacing w:before="42"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lang w:eastAsia="zh-CN"/>
              </w:rPr>
              <w:t>林下种菌</w:t>
            </w:r>
            <w:r>
              <w:rPr>
                <w:rFonts w:hint="default" w:ascii="Times New Roman" w:hAnsi="Times New Roman" w:eastAsia="宋体" w:cs="Times New Roman"/>
                <w:color w:val="auto"/>
                <w:spacing w:val="-7"/>
                <w:sz w:val="24"/>
                <w:szCs w:val="24"/>
              </w:rPr>
              <w:t>主要集中在高寺镇孝义村和永安社区</w:t>
            </w:r>
            <w:r>
              <w:rPr>
                <w:rFonts w:hint="default" w:ascii="Times New Roman" w:hAnsi="Times New Roman" w:eastAsia="宋体" w:cs="Times New Roman"/>
                <w:color w:val="auto"/>
                <w:spacing w:val="-7"/>
                <w:sz w:val="24"/>
                <w:szCs w:val="24"/>
                <w:lang w:eastAsia="zh-CN"/>
              </w:rPr>
              <w:t>；</w:t>
            </w:r>
          </w:p>
          <w:p w14:paraId="608A9F9E">
            <w:pPr>
              <w:spacing w:before="42"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rPr>
              <w:t>林下中药材建设区域主要集中在高寺镇简乐桥村、清水村、石堰村、万寿村和燕子村</w:t>
            </w:r>
            <w:r>
              <w:rPr>
                <w:rFonts w:hint="default" w:ascii="Times New Roman" w:hAnsi="Times New Roman" w:eastAsia="宋体" w:cs="Times New Roman"/>
                <w:color w:val="auto"/>
                <w:spacing w:val="-7"/>
                <w:sz w:val="24"/>
                <w:szCs w:val="24"/>
                <w:lang w:eastAsia="zh-CN"/>
              </w:rPr>
              <w:t>；</w:t>
            </w:r>
          </w:p>
          <w:p w14:paraId="2F9A08B1">
            <w:pPr>
              <w:spacing w:before="42" w:line="360" w:lineRule="auto"/>
              <w:ind w:firstLine="612"/>
              <w:rPr>
                <w:rFonts w:hint="default" w:ascii="Times New Roman" w:hAnsi="Times New Roman" w:eastAsia="宋体" w:cs="Times New Roman"/>
                <w:color w:val="auto"/>
                <w:spacing w:val="-7"/>
                <w:sz w:val="24"/>
                <w:szCs w:val="24"/>
                <w:lang w:eastAsia="zh-CN"/>
              </w:rPr>
            </w:pPr>
            <w:r>
              <w:rPr>
                <w:rFonts w:hint="default" w:ascii="Times New Roman" w:hAnsi="Times New Roman" w:eastAsia="宋体" w:cs="Times New Roman"/>
                <w:color w:val="auto"/>
                <w:spacing w:val="-7"/>
                <w:sz w:val="24"/>
                <w:szCs w:val="24"/>
              </w:rPr>
              <w:t>林下花卉建设区域全部集中在高寺镇来龙村</w:t>
            </w:r>
            <w:r>
              <w:rPr>
                <w:rFonts w:hint="default" w:ascii="Times New Roman" w:hAnsi="Times New Roman" w:eastAsia="宋体" w:cs="Times New Roman"/>
                <w:color w:val="auto"/>
                <w:spacing w:val="-7"/>
                <w:sz w:val="24"/>
                <w:szCs w:val="24"/>
                <w:lang w:eastAsia="zh-CN"/>
              </w:rPr>
              <w:t>。</w:t>
            </w:r>
          </w:p>
          <w:p w14:paraId="4EBA7F1E">
            <w:pPr>
              <w:spacing w:before="42" w:line="360" w:lineRule="auto"/>
              <w:ind w:firstLine="612"/>
              <w:rPr>
                <w:rFonts w:hint="default" w:ascii="Times New Roman" w:hAnsi="Times New Roman" w:eastAsia="宋体" w:cs="Times New Roman"/>
                <w:b/>
                <w:bCs/>
                <w:color w:val="auto"/>
                <w:spacing w:val="-7"/>
                <w:sz w:val="28"/>
                <w:szCs w:val="28"/>
              </w:rPr>
            </w:pPr>
            <w:r>
              <w:rPr>
                <w:rFonts w:hint="default" w:ascii="Times New Roman" w:hAnsi="Times New Roman" w:eastAsia="宋体" w:cs="Times New Roman"/>
                <w:b/>
                <w:bCs/>
                <w:color w:val="auto"/>
                <w:spacing w:val="-7"/>
                <w:sz w:val="28"/>
                <w:szCs w:val="28"/>
              </w:rPr>
              <w:t>2、施工组织</w:t>
            </w:r>
          </w:p>
          <w:p w14:paraId="3AE86EC0">
            <w:pPr>
              <w:pStyle w:val="11"/>
              <w:widowControl w:val="0"/>
              <w:kinsoku/>
              <w:autoSpaceDE/>
              <w:autoSpaceDN/>
              <w:adjustRightInd/>
              <w:snapToGrid/>
              <w:spacing w:before="0" w:line="360" w:lineRule="auto"/>
              <w:ind w:firstLine="456" w:firstLineChars="200"/>
              <w:jc w:val="both"/>
              <w:textAlignment w:val="auto"/>
              <w:rPr>
                <w:rFonts w:hint="default" w:ascii="Times New Roman" w:hAnsi="Times New Roman" w:eastAsia="宋体" w:cs="Times New Roman"/>
                <w:color w:val="auto"/>
                <w:spacing w:val="-6"/>
              </w:rPr>
            </w:pPr>
            <w:r>
              <w:rPr>
                <w:rFonts w:hint="default" w:ascii="Times New Roman" w:hAnsi="Times New Roman" w:eastAsia="宋体" w:cs="Times New Roman"/>
                <w:color w:val="auto"/>
                <w:spacing w:val="-6"/>
              </w:rPr>
              <w:t>（1）供电</w:t>
            </w:r>
          </w:p>
          <w:p w14:paraId="49E2B3E7">
            <w:pPr>
              <w:pStyle w:val="11"/>
              <w:widowControl w:val="0"/>
              <w:kinsoku/>
              <w:autoSpaceDE/>
              <w:autoSpaceDN/>
              <w:adjustRightInd/>
              <w:snapToGrid/>
              <w:spacing w:before="0" w:line="360" w:lineRule="auto"/>
              <w:ind w:firstLine="456" w:firstLineChars="200"/>
              <w:jc w:val="both"/>
              <w:textAlignment w:val="auto"/>
              <w:rPr>
                <w:rFonts w:hint="default" w:ascii="Times New Roman" w:hAnsi="Times New Roman" w:eastAsia="宋体" w:cs="Times New Roman"/>
                <w:color w:val="auto"/>
                <w:spacing w:val="-6"/>
              </w:rPr>
            </w:pPr>
            <w:r>
              <w:rPr>
                <w:rFonts w:hint="default" w:ascii="Times New Roman" w:hAnsi="Times New Roman" w:eastAsia="宋体" w:cs="Times New Roman"/>
                <w:color w:val="auto"/>
                <w:spacing w:val="-6"/>
              </w:rPr>
              <w:t>本工程就近从项目区附近电站引入，系统采用三相四线制，配电电压为220~380V，使用电压220V。负荷等级为三级负荷。</w:t>
            </w:r>
          </w:p>
          <w:p w14:paraId="3E1B8181">
            <w:pPr>
              <w:pStyle w:val="11"/>
              <w:widowControl w:val="0"/>
              <w:kinsoku/>
              <w:autoSpaceDE/>
              <w:autoSpaceDN/>
              <w:adjustRightInd/>
              <w:snapToGrid/>
              <w:spacing w:before="0" w:line="360" w:lineRule="auto"/>
              <w:ind w:firstLine="456" w:firstLineChars="200"/>
              <w:jc w:val="both"/>
              <w:textAlignment w:val="auto"/>
              <w:rPr>
                <w:rFonts w:hint="default" w:ascii="Times New Roman" w:hAnsi="Times New Roman" w:eastAsia="宋体" w:cs="Times New Roman"/>
                <w:color w:val="auto"/>
                <w:spacing w:val="-6"/>
              </w:rPr>
            </w:pPr>
            <w:r>
              <w:rPr>
                <w:rFonts w:hint="default" w:ascii="Times New Roman" w:hAnsi="Times New Roman" w:eastAsia="宋体" w:cs="Times New Roman"/>
                <w:color w:val="auto"/>
                <w:spacing w:val="-6"/>
              </w:rPr>
              <w:t>（2）给排水系统</w:t>
            </w:r>
          </w:p>
          <w:p w14:paraId="61C6D5F4">
            <w:pPr>
              <w:pStyle w:val="11"/>
              <w:widowControl w:val="0"/>
              <w:kinsoku/>
              <w:autoSpaceDE/>
              <w:autoSpaceDN/>
              <w:adjustRightInd/>
              <w:snapToGrid/>
              <w:spacing w:before="0" w:line="360" w:lineRule="auto"/>
              <w:ind w:firstLine="456" w:firstLineChars="200"/>
              <w:jc w:val="both"/>
              <w:textAlignment w:val="auto"/>
              <w:rPr>
                <w:rFonts w:hint="default" w:ascii="Times New Roman" w:hAnsi="Times New Roman" w:eastAsia="宋体" w:cs="Times New Roman"/>
                <w:color w:val="auto"/>
                <w:spacing w:val="-6"/>
              </w:rPr>
            </w:pPr>
            <w:r>
              <w:rPr>
                <w:rFonts w:hint="default" w:ascii="Times New Roman" w:hAnsi="Times New Roman" w:eastAsia="宋体" w:cs="Times New Roman"/>
                <w:color w:val="auto"/>
                <w:spacing w:val="-6"/>
              </w:rPr>
              <w:t>①供水系统</w:t>
            </w:r>
          </w:p>
          <w:p w14:paraId="53E8B4DA">
            <w:pPr>
              <w:pStyle w:val="11"/>
              <w:widowControl w:val="0"/>
              <w:kinsoku/>
              <w:autoSpaceDE/>
              <w:autoSpaceDN/>
              <w:adjustRightInd/>
              <w:snapToGrid/>
              <w:spacing w:before="0" w:line="360" w:lineRule="auto"/>
              <w:ind w:firstLine="456" w:firstLineChars="200"/>
              <w:jc w:val="both"/>
              <w:textAlignment w:val="auto"/>
              <w:rPr>
                <w:rFonts w:hint="default" w:ascii="Times New Roman" w:hAnsi="Times New Roman" w:eastAsia="宋体" w:cs="Times New Roman"/>
                <w:color w:val="auto"/>
                <w:spacing w:val="-6"/>
              </w:rPr>
            </w:pPr>
            <w:r>
              <w:rPr>
                <w:rFonts w:hint="default" w:ascii="Times New Roman" w:hAnsi="Times New Roman" w:eastAsia="宋体" w:cs="Times New Roman"/>
                <w:color w:val="auto"/>
                <w:spacing w:val="-6"/>
              </w:rPr>
              <w:t>本工程消防水池兼做灌溉水源，200m³/处。</w:t>
            </w:r>
          </w:p>
          <w:p w14:paraId="7FA7D79C">
            <w:pPr>
              <w:pStyle w:val="11"/>
              <w:widowControl w:val="0"/>
              <w:kinsoku/>
              <w:autoSpaceDE/>
              <w:autoSpaceDN/>
              <w:adjustRightInd/>
              <w:snapToGrid/>
              <w:spacing w:before="0" w:line="360" w:lineRule="auto"/>
              <w:ind w:firstLine="456" w:firstLineChars="200"/>
              <w:jc w:val="both"/>
              <w:textAlignment w:val="auto"/>
              <w:rPr>
                <w:rFonts w:hint="default" w:ascii="Times New Roman" w:hAnsi="Times New Roman" w:eastAsia="宋体" w:cs="Times New Roman"/>
                <w:color w:val="auto"/>
                <w:spacing w:val="-6"/>
              </w:rPr>
            </w:pPr>
            <w:r>
              <w:rPr>
                <w:rFonts w:hint="default" w:ascii="Times New Roman" w:hAnsi="Times New Roman" w:eastAsia="宋体" w:cs="Times New Roman"/>
                <w:color w:val="auto"/>
                <w:spacing w:val="-6"/>
              </w:rPr>
              <w:t>②雨水工程</w:t>
            </w:r>
          </w:p>
          <w:p w14:paraId="06AE1701">
            <w:pPr>
              <w:pStyle w:val="11"/>
              <w:widowControl w:val="0"/>
              <w:kinsoku/>
              <w:autoSpaceDE/>
              <w:autoSpaceDN/>
              <w:adjustRightInd/>
              <w:snapToGrid/>
              <w:spacing w:before="0" w:line="360" w:lineRule="auto"/>
              <w:ind w:firstLine="456" w:firstLineChars="200"/>
              <w:jc w:val="both"/>
              <w:textAlignment w:val="auto"/>
              <w:rPr>
                <w:rFonts w:hint="default" w:ascii="Times New Roman" w:hAnsi="Times New Roman" w:eastAsia="宋体" w:cs="Times New Roman"/>
                <w:color w:val="auto"/>
                <w:spacing w:val="-6"/>
              </w:rPr>
            </w:pPr>
            <w:r>
              <w:rPr>
                <w:rFonts w:hint="default" w:ascii="Times New Roman" w:hAnsi="Times New Roman" w:eastAsia="宋体" w:cs="Times New Roman"/>
                <w:color w:val="auto"/>
                <w:spacing w:val="-6"/>
              </w:rPr>
              <w:t>达到自然水体标准后用于道路绿化浇灌。室外的雨水、冲洗路面水经管网收集后排至场地外的沟渠。污水、雨水管均采用双壁波纹管，橡胶圈接口下管道连接采用管顶平接，严禁无坡或倒坡，雨水管道和附属构筑物应保证其密实性，防止污水外渗和地下水入渗。</w:t>
            </w:r>
          </w:p>
          <w:p w14:paraId="0B6887F5">
            <w:pPr>
              <w:pStyle w:val="11"/>
              <w:widowControl w:val="0"/>
              <w:kinsoku/>
              <w:autoSpaceDE/>
              <w:autoSpaceDN/>
              <w:adjustRightInd/>
              <w:snapToGrid/>
              <w:spacing w:before="0" w:line="360" w:lineRule="auto"/>
              <w:ind w:firstLine="456" w:firstLineChars="200"/>
              <w:jc w:val="both"/>
              <w:textAlignment w:val="auto"/>
              <w:rPr>
                <w:rFonts w:hint="default" w:ascii="Times New Roman" w:hAnsi="Times New Roman" w:eastAsia="宋体" w:cs="Times New Roman"/>
                <w:color w:val="auto"/>
                <w:spacing w:val="-6"/>
              </w:rPr>
            </w:pPr>
            <w:r>
              <w:rPr>
                <w:rFonts w:hint="default" w:ascii="Times New Roman" w:hAnsi="Times New Roman" w:eastAsia="宋体" w:cs="Times New Roman"/>
                <w:color w:val="auto"/>
                <w:spacing w:val="-6"/>
              </w:rPr>
              <w:t>③污水工程</w:t>
            </w:r>
          </w:p>
          <w:p w14:paraId="0FAD0744">
            <w:pPr>
              <w:pStyle w:val="11"/>
              <w:widowControl w:val="0"/>
              <w:kinsoku/>
              <w:autoSpaceDE/>
              <w:autoSpaceDN/>
              <w:adjustRightInd/>
              <w:snapToGrid/>
              <w:spacing w:before="0" w:line="360" w:lineRule="auto"/>
              <w:ind w:firstLine="456" w:firstLineChars="200"/>
              <w:jc w:val="both"/>
              <w:textAlignment w:val="auto"/>
              <w:rPr>
                <w:rFonts w:hint="default" w:ascii="Times New Roman" w:hAnsi="Times New Roman" w:eastAsia="宋体" w:cs="Times New Roman"/>
                <w:color w:val="auto"/>
                <w:spacing w:val="-6"/>
              </w:rPr>
            </w:pPr>
            <w:r>
              <w:rPr>
                <w:rFonts w:hint="default" w:ascii="Times New Roman" w:hAnsi="Times New Roman" w:eastAsia="宋体" w:cs="Times New Roman"/>
                <w:color w:val="auto"/>
                <w:spacing w:val="-6"/>
              </w:rPr>
              <w:t>生活污水依托附近村民房屋自家旱厕处理后用作农肥不外排，污水处理设备处理达标后用于附近农灌。</w:t>
            </w:r>
          </w:p>
          <w:p w14:paraId="20082D1A">
            <w:pPr>
              <w:pStyle w:val="11"/>
              <w:widowControl w:val="0"/>
              <w:kinsoku/>
              <w:autoSpaceDE/>
              <w:autoSpaceDN/>
              <w:adjustRightInd/>
              <w:snapToGrid/>
              <w:spacing w:before="0" w:line="360" w:lineRule="auto"/>
              <w:ind w:firstLine="456" w:firstLineChars="200"/>
              <w:jc w:val="both"/>
              <w:textAlignment w:val="auto"/>
              <w:rPr>
                <w:rFonts w:hint="default" w:ascii="Times New Roman" w:hAnsi="Times New Roman" w:eastAsia="宋体" w:cs="Times New Roman"/>
                <w:color w:val="auto"/>
                <w:spacing w:val="-6"/>
              </w:rPr>
            </w:pPr>
            <w:r>
              <w:rPr>
                <w:rFonts w:hint="default" w:ascii="Times New Roman" w:hAnsi="Times New Roman" w:eastAsia="宋体" w:cs="Times New Roman"/>
                <w:color w:val="auto"/>
                <w:spacing w:val="-6"/>
              </w:rPr>
              <w:t>（3）临时工程</w:t>
            </w:r>
          </w:p>
          <w:p w14:paraId="75B35363">
            <w:pPr>
              <w:pStyle w:val="11"/>
              <w:widowControl w:val="0"/>
              <w:kinsoku/>
              <w:autoSpaceDE/>
              <w:autoSpaceDN/>
              <w:adjustRightInd/>
              <w:snapToGrid/>
              <w:spacing w:before="0" w:line="360" w:lineRule="auto"/>
              <w:ind w:firstLine="456" w:firstLineChars="200"/>
              <w:jc w:val="both"/>
              <w:textAlignment w:val="auto"/>
              <w:rPr>
                <w:rFonts w:hint="default" w:ascii="Times New Roman" w:hAnsi="Times New Roman" w:eastAsia="宋体" w:cs="Times New Roman"/>
                <w:color w:val="auto"/>
                <w:spacing w:val="-6"/>
              </w:rPr>
            </w:pPr>
            <w:r>
              <w:rPr>
                <w:rFonts w:hint="default" w:ascii="Times New Roman" w:hAnsi="Times New Roman" w:eastAsia="宋体" w:cs="Times New Roman"/>
                <w:color w:val="auto"/>
                <w:spacing w:val="-6"/>
              </w:rPr>
              <w:t>①施工便道</w:t>
            </w:r>
          </w:p>
          <w:p w14:paraId="673D3CA6">
            <w:pPr>
              <w:pStyle w:val="11"/>
              <w:widowControl w:val="0"/>
              <w:kinsoku/>
              <w:autoSpaceDE/>
              <w:autoSpaceDN/>
              <w:adjustRightInd/>
              <w:snapToGrid/>
              <w:spacing w:before="0" w:line="360" w:lineRule="auto"/>
              <w:ind w:firstLine="456" w:firstLineChars="200"/>
              <w:jc w:val="both"/>
              <w:textAlignment w:val="auto"/>
              <w:rPr>
                <w:rFonts w:hint="default" w:ascii="Times New Roman" w:hAnsi="Times New Roman" w:eastAsia="宋体" w:cs="Times New Roman"/>
                <w:color w:val="auto"/>
                <w:spacing w:val="-6"/>
              </w:rPr>
            </w:pPr>
            <w:r>
              <w:rPr>
                <w:rFonts w:hint="default" w:ascii="Times New Roman" w:hAnsi="Times New Roman" w:eastAsia="宋体" w:cs="Times New Roman"/>
                <w:color w:val="auto"/>
                <w:spacing w:val="-6"/>
              </w:rPr>
              <w:t>现有碎石道路基本能满足前期道路建设的运输条件，待道路建设完成后，交通及其他配套设施齐全，能满足建构筑物及配套设施建设，故不再单独布设施工便道。</w:t>
            </w:r>
          </w:p>
          <w:p w14:paraId="2109CC62">
            <w:pPr>
              <w:pStyle w:val="11"/>
              <w:widowControl w:val="0"/>
              <w:kinsoku/>
              <w:autoSpaceDE/>
              <w:autoSpaceDN/>
              <w:adjustRightInd/>
              <w:snapToGrid/>
              <w:spacing w:before="0" w:line="360" w:lineRule="auto"/>
              <w:ind w:firstLine="456" w:firstLineChars="200"/>
              <w:jc w:val="both"/>
              <w:textAlignment w:val="auto"/>
              <w:rPr>
                <w:rFonts w:hint="default" w:ascii="Times New Roman" w:hAnsi="Times New Roman" w:eastAsia="宋体" w:cs="Times New Roman"/>
                <w:color w:val="auto"/>
                <w:spacing w:val="-6"/>
              </w:rPr>
            </w:pPr>
            <w:r>
              <w:rPr>
                <w:rFonts w:hint="default" w:ascii="Times New Roman" w:hAnsi="Times New Roman" w:eastAsia="宋体" w:cs="Times New Roman"/>
                <w:color w:val="auto"/>
                <w:spacing w:val="-6"/>
              </w:rPr>
              <w:t>②表土堆场</w:t>
            </w:r>
          </w:p>
          <w:p w14:paraId="25F72580">
            <w:pPr>
              <w:pStyle w:val="11"/>
              <w:widowControl w:val="0"/>
              <w:kinsoku/>
              <w:autoSpaceDE/>
              <w:autoSpaceDN/>
              <w:adjustRightInd/>
              <w:snapToGrid/>
              <w:spacing w:before="0" w:line="360" w:lineRule="auto"/>
              <w:ind w:firstLine="456" w:firstLineChars="200"/>
              <w:jc w:val="both"/>
              <w:textAlignment w:val="auto"/>
              <w:rPr>
                <w:rFonts w:hint="default" w:ascii="Times New Roman" w:hAnsi="Times New Roman" w:eastAsia="宋体" w:cs="Times New Roman"/>
                <w:color w:val="auto"/>
                <w:spacing w:val="-6"/>
              </w:rPr>
            </w:pPr>
            <w:r>
              <w:rPr>
                <w:rFonts w:hint="default" w:ascii="Times New Roman" w:hAnsi="Times New Roman" w:eastAsia="宋体" w:cs="Times New Roman"/>
                <w:color w:val="auto"/>
                <w:spacing w:val="-6"/>
              </w:rPr>
              <w:t>道路工程路基开挖前剥离表土，剥离的表土主要用于灌溉系统管沟回填（回填高度高出周边地表0.3m）和弃土场复耕回覆，表土回覆在道路工程、灌溉系统施工结束之后，结合道路工程每公里挖填土石方情况，开挖土石方量主要集中于K0+000-K1+000，在K8+800地势较为平坦处新增1处临时堆土场，作为土石方调配临时中转站，占地3000m</w:t>
            </w:r>
            <w:r>
              <w:rPr>
                <w:rFonts w:hint="default" w:ascii="Times New Roman" w:hAnsi="Times New Roman" w:eastAsia="宋体" w:cs="Times New Roman"/>
                <w:color w:val="auto"/>
                <w:spacing w:val="-6"/>
                <w:vertAlign w:val="superscript"/>
              </w:rPr>
              <w:t>2</w:t>
            </w:r>
            <w:r>
              <w:rPr>
                <w:rFonts w:hint="default" w:ascii="Times New Roman" w:hAnsi="Times New Roman" w:eastAsia="宋体" w:cs="Times New Roman"/>
                <w:color w:val="auto"/>
                <w:spacing w:val="-6"/>
              </w:rPr>
              <w:t>，堆土高度不超过2.5m，临时堆土场容量约为0.75万m</w:t>
            </w:r>
            <w:r>
              <w:rPr>
                <w:rFonts w:hint="default" w:ascii="Times New Roman" w:hAnsi="Times New Roman" w:eastAsia="宋体" w:cs="Times New Roman"/>
                <w:color w:val="auto"/>
                <w:spacing w:val="-6"/>
                <w:vertAlign w:val="superscript"/>
              </w:rPr>
              <w:t>3</w:t>
            </w:r>
            <w:r>
              <w:rPr>
                <w:rFonts w:hint="default" w:ascii="Times New Roman" w:hAnsi="Times New Roman" w:eastAsia="宋体" w:cs="Times New Roman"/>
                <w:color w:val="auto"/>
                <w:spacing w:val="-6"/>
              </w:rPr>
              <w:t>。</w:t>
            </w:r>
          </w:p>
          <w:p w14:paraId="1C44315E">
            <w:pPr>
              <w:pStyle w:val="11"/>
              <w:widowControl w:val="0"/>
              <w:kinsoku/>
              <w:autoSpaceDE/>
              <w:autoSpaceDN/>
              <w:adjustRightInd/>
              <w:snapToGrid/>
              <w:spacing w:before="0" w:line="360" w:lineRule="auto"/>
              <w:ind w:firstLine="456" w:firstLineChars="200"/>
              <w:jc w:val="both"/>
              <w:textAlignment w:val="auto"/>
              <w:rPr>
                <w:rFonts w:hint="default" w:ascii="Times New Roman" w:hAnsi="Times New Roman" w:eastAsia="宋体" w:cs="Times New Roman"/>
                <w:color w:val="auto"/>
                <w:spacing w:val="-6"/>
              </w:rPr>
            </w:pPr>
            <w:r>
              <w:rPr>
                <w:rFonts w:hint="default" w:ascii="Times New Roman" w:hAnsi="Times New Roman" w:eastAsia="宋体" w:cs="Times New Roman"/>
                <w:color w:val="auto"/>
                <w:spacing w:val="-6"/>
              </w:rPr>
              <w:t>在施工完毕后用于绿化和迹地恢复。</w:t>
            </w:r>
          </w:p>
          <w:p w14:paraId="74B17E72">
            <w:pPr>
              <w:pStyle w:val="11"/>
              <w:widowControl w:val="0"/>
              <w:kinsoku/>
              <w:autoSpaceDE/>
              <w:autoSpaceDN/>
              <w:adjustRightInd/>
              <w:snapToGrid/>
              <w:spacing w:before="0" w:line="360" w:lineRule="auto"/>
              <w:ind w:firstLine="456" w:firstLineChars="200"/>
              <w:jc w:val="both"/>
              <w:textAlignment w:val="auto"/>
              <w:rPr>
                <w:rFonts w:hint="default" w:ascii="Times New Roman" w:hAnsi="Times New Roman" w:eastAsia="宋体" w:cs="Times New Roman"/>
                <w:color w:val="auto"/>
                <w:spacing w:val="-6"/>
              </w:rPr>
            </w:pPr>
            <w:r>
              <w:rPr>
                <w:rFonts w:hint="default" w:ascii="Times New Roman" w:hAnsi="Times New Roman" w:eastAsia="宋体" w:cs="Times New Roman"/>
                <w:color w:val="auto"/>
                <w:spacing w:val="-6"/>
              </w:rPr>
              <w:t>③施工营地</w:t>
            </w:r>
          </w:p>
          <w:p w14:paraId="7B911972">
            <w:pPr>
              <w:pStyle w:val="11"/>
              <w:widowControl w:val="0"/>
              <w:kinsoku/>
              <w:autoSpaceDE/>
              <w:autoSpaceDN/>
              <w:adjustRightInd/>
              <w:snapToGrid/>
              <w:spacing w:before="0" w:line="360" w:lineRule="auto"/>
              <w:ind w:firstLine="456" w:firstLineChars="200"/>
              <w:jc w:val="both"/>
              <w:textAlignment w:val="auto"/>
              <w:rPr>
                <w:rFonts w:hint="default" w:ascii="Times New Roman" w:hAnsi="Times New Roman" w:eastAsia="宋体" w:cs="Times New Roman"/>
                <w:color w:val="auto"/>
                <w:spacing w:val="-6"/>
              </w:rPr>
            </w:pPr>
            <w:r>
              <w:rPr>
                <w:rFonts w:hint="default" w:ascii="Times New Roman" w:hAnsi="Times New Roman" w:eastAsia="宋体" w:cs="Times New Roman"/>
                <w:color w:val="auto"/>
                <w:spacing w:val="-6"/>
              </w:rPr>
              <w:t>施工营地在项目附近租用当地民房解决，不单独设置施工营地。</w:t>
            </w:r>
          </w:p>
          <w:p w14:paraId="2A90DDBD">
            <w:pPr>
              <w:pStyle w:val="11"/>
              <w:widowControl w:val="0"/>
              <w:kinsoku/>
              <w:autoSpaceDE/>
              <w:autoSpaceDN/>
              <w:adjustRightInd/>
              <w:snapToGrid/>
              <w:spacing w:before="0" w:line="360" w:lineRule="auto"/>
              <w:ind w:firstLine="456" w:firstLineChars="200"/>
              <w:jc w:val="both"/>
              <w:textAlignment w:val="auto"/>
              <w:rPr>
                <w:rFonts w:hint="default" w:ascii="Times New Roman" w:hAnsi="Times New Roman" w:eastAsia="宋体" w:cs="Times New Roman"/>
                <w:color w:val="auto"/>
                <w:spacing w:val="-6"/>
              </w:rPr>
            </w:pPr>
            <w:r>
              <w:rPr>
                <w:rFonts w:hint="default" w:ascii="Times New Roman" w:hAnsi="Times New Roman" w:eastAsia="宋体" w:cs="Times New Roman"/>
                <w:color w:val="auto"/>
                <w:spacing w:val="-6"/>
              </w:rPr>
              <w:t>④弃渣场</w:t>
            </w:r>
          </w:p>
          <w:p w14:paraId="703012DD">
            <w:pPr>
              <w:pStyle w:val="11"/>
              <w:widowControl w:val="0"/>
              <w:kinsoku/>
              <w:autoSpaceDE/>
              <w:autoSpaceDN/>
              <w:adjustRightInd/>
              <w:snapToGrid/>
              <w:spacing w:before="0" w:line="360" w:lineRule="auto"/>
              <w:ind w:firstLine="456" w:firstLineChars="200"/>
              <w:jc w:val="both"/>
              <w:textAlignment w:val="auto"/>
              <w:rPr>
                <w:rFonts w:hint="default" w:ascii="Times New Roman" w:hAnsi="Times New Roman" w:eastAsia="宋体" w:cs="Times New Roman"/>
                <w:color w:val="auto"/>
                <w:spacing w:val="-6"/>
              </w:rPr>
            </w:pPr>
            <w:r>
              <w:rPr>
                <w:rFonts w:hint="default" w:ascii="Times New Roman" w:hAnsi="Times New Roman" w:eastAsia="宋体" w:cs="Times New Roman"/>
                <w:color w:val="auto"/>
                <w:spacing w:val="-6"/>
              </w:rPr>
              <w:t>本工程具有主体工程路基、建筑工程产生的永久弃渣较少，主体设计在防火道路K0+250-K0+500设置一处弃渣场，临时占地面积1500m</w:t>
            </w:r>
            <w:r>
              <w:rPr>
                <w:rFonts w:hint="default" w:ascii="Times New Roman" w:hAnsi="Times New Roman" w:eastAsia="宋体" w:cs="Times New Roman"/>
                <w:color w:val="auto"/>
                <w:spacing w:val="-6"/>
                <w:vertAlign w:val="superscript"/>
              </w:rPr>
              <w:t>2</w:t>
            </w:r>
            <w:r>
              <w:rPr>
                <w:rFonts w:hint="default" w:ascii="Times New Roman" w:hAnsi="Times New Roman" w:eastAsia="宋体" w:cs="Times New Roman"/>
                <w:color w:val="auto"/>
                <w:spacing w:val="-6"/>
              </w:rPr>
              <w:t>，弃土场容量2.2万m</w:t>
            </w:r>
            <w:r>
              <w:rPr>
                <w:rFonts w:hint="default" w:ascii="Times New Roman" w:hAnsi="Times New Roman" w:eastAsia="宋体" w:cs="Times New Roman"/>
                <w:color w:val="auto"/>
                <w:spacing w:val="-6"/>
                <w:vertAlign w:val="superscript"/>
              </w:rPr>
              <w:t>3</w:t>
            </w:r>
            <w:r>
              <w:rPr>
                <w:rFonts w:hint="default" w:ascii="Times New Roman" w:hAnsi="Times New Roman" w:eastAsia="宋体" w:cs="Times New Roman"/>
                <w:color w:val="auto"/>
                <w:spacing w:val="-6"/>
              </w:rPr>
              <w:t>，最大堆高14.8m，为4级坡地型弃渣场。挡渣墙长280m。挡渣墙底宽2.65m，顶宽1.5m，埋深1.52m，采用M7.5浆砌片石修筑，墙体内部设置φ100mmPVC排水管，排水管比降为4%。墙身及基础为M7.5浆砌片石，岩石地基应清除表面风化层，基础嵌入基岩的深度不少于0.5m。挡渣墙每隔10～15米设置一道沉降缝，缝宽2cm。</w:t>
            </w:r>
          </w:p>
          <w:p w14:paraId="70F7A6F5">
            <w:pPr>
              <w:pStyle w:val="11"/>
              <w:widowControl w:val="0"/>
              <w:kinsoku/>
              <w:autoSpaceDE/>
              <w:autoSpaceDN/>
              <w:adjustRightInd/>
              <w:snapToGrid/>
              <w:spacing w:before="0" w:line="360" w:lineRule="auto"/>
              <w:ind w:firstLine="456" w:firstLineChars="200"/>
              <w:jc w:val="both"/>
              <w:textAlignment w:val="auto"/>
              <w:rPr>
                <w:rFonts w:hint="default" w:ascii="Times New Roman" w:hAnsi="Times New Roman" w:eastAsia="宋体" w:cs="Times New Roman"/>
                <w:color w:val="auto"/>
                <w:spacing w:val="-6"/>
              </w:rPr>
            </w:pPr>
            <w:r>
              <w:rPr>
                <w:rFonts w:hint="default" w:ascii="Times New Roman" w:hAnsi="Times New Roman" w:eastAsia="宋体" w:cs="Times New Roman"/>
                <w:color w:val="auto"/>
                <w:spacing w:val="-6"/>
              </w:rPr>
              <w:t>临时弃渣场用于弃渣和剥离表土的临时堆放，表土用于后期绿化、临时施工场地及临时堆场迹地恢复使用；弃渣临时堆放于弃渣场，并及时清运至政府指定弃渣场堆放。本项目临时弃渣场周围100m范围为空地，无学校、医院、散居农户等环境敏感点，项目周围无名胜古迹和重点文物保护单位，也无自然保护区、风景名胜区等需要特殊保护的对象，周边环境对工程的建设没有制约因素。本项目临时弃渣场占地面积小，施工结束后施工场地及时进行植被恢复，因此生态影响较小。</w:t>
            </w:r>
          </w:p>
          <w:p w14:paraId="60AFE7E2">
            <w:pPr>
              <w:pStyle w:val="11"/>
              <w:widowControl w:val="0"/>
              <w:kinsoku/>
              <w:autoSpaceDE/>
              <w:autoSpaceDN/>
              <w:adjustRightInd/>
              <w:snapToGrid/>
              <w:spacing w:before="0" w:line="360" w:lineRule="auto"/>
              <w:ind w:firstLine="562" w:firstLineChars="200"/>
              <w:jc w:val="both"/>
              <w:textAlignment w:val="auto"/>
              <w:rPr>
                <w:rFonts w:hint="default" w:ascii="Times New Roman" w:hAnsi="Times New Roman" w:eastAsia="宋体" w:cs="Times New Roman"/>
                <w:b/>
                <w:bCs/>
                <w:snapToGrid/>
                <w:color w:val="auto"/>
                <w:kern w:val="2"/>
                <w:sz w:val="28"/>
                <w:szCs w:val="28"/>
              </w:rPr>
            </w:pPr>
            <w:r>
              <w:rPr>
                <w:rFonts w:hint="default" w:ascii="Times New Roman" w:hAnsi="Times New Roman" w:eastAsia="宋体" w:cs="Times New Roman"/>
                <w:b/>
                <w:bCs/>
                <w:snapToGrid/>
                <w:color w:val="auto"/>
                <w:kern w:val="2"/>
                <w:sz w:val="28"/>
                <w:szCs w:val="28"/>
              </w:rPr>
              <w:t>3、工程占地</w:t>
            </w:r>
          </w:p>
          <w:p w14:paraId="10C4EF08">
            <w:pPr>
              <w:pStyle w:val="11"/>
              <w:widowControl w:val="0"/>
              <w:kinsoku/>
              <w:autoSpaceDE/>
              <w:autoSpaceDN/>
              <w:adjustRightInd/>
              <w:snapToGrid/>
              <w:spacing w:before="0" w:line="360" w:lineRule="auto"/>
              <w:ind w:firstLine="452" w:firstLineChars="200"/>
              <w:jc w:val="both"/>
              <w:textAlignment w:val="auto"/>
              <w:rPr>
                <w:rFonts w:hint="default" w:ascii="Times New Roman" w:hAnsi="Times New Roman" w:eastAsia="宋体" w:cs="Times New Roman"/>
                <w:color w:val="auto"/>
                <w:spacing w:val="-7"/>
                <w:lang w:val="en-US" w:eastAsia="zh-CN"/>
              </w:rPr>
            </w:pPr>
            <w:r>
              <w:rPr>
                <w:rFonts w:hint="default" w:ascii="Times New Roman" w:hAnsi="Times New Roman" w:eastAsia="宋体" w:cs="Times New Roman"/>
                <w:color w:val="auto"/>
                <w:spacing w:val="-7"/>
              </w:rPr>
              <w:t>乐至县北部片区国家储备林建设及森林质量提升项目位于资阳市乐至县宝林镇、大佛镇、高寺镇、劳动镇、良安镇、天池镇、中和场镇、中天镇等</w:t>
            </w:r>
            <w:r>
              <w:rPr>
                <w:rFonts w:hint="default" w:ascii="Times New Roman" w:hAnsi="Times New Roman" w:eastAsia="宋体" w:cs="Times New Roman"/>
                <w:color w:val="auto"/>
                <w:spacing w:val="-7"/>
                <w:lang w:val="en-US" w:eastAsia="zh-CN"/>
              </w:rPr>
              <w:t>8</w:t>
            </w:r>
            <w:r>
              <w:rPr>
                <w:rFonts w:hint="default" w:ascii="Times New Roman" w:hAnsi="Times New Roman" w:eastAsia="宋体" w:cs="Times New Roman"/>
                <w:color w:val="auto"/>
                <w:spacing w:val="-7"/>
              </w:rPr>
              <w:t>个片区，实际建设面积共计58082.2</w:t>
            </w:r>
            <w:r>
              <w:rPr>
                <w:rFonts w:hint="default" w:ascii="Times New Roman" w:hAnsi="Times New Roman" w:eastAsia="宋体" w:cs="Times New Roman"/>
                <w:color w:val="auto"/>
                <w:spacing w:val="-7"/>
                <w:lang w:val="en-US" w:eastAsia="zh-CN"/>
              </w:rPr>
              <w:t>亩</w:t>
            </w:r>
            <w:r>
              <w:rPr>
                <w:rFonts w:hint="default" w:ascii="Times New Roman" w:hAnsi="Times New Roman" w:eastAsia="宋体" w:cs="Times New Roman"/>
                <w:color w:val="auto"/>
                <w:spacing w:val="-7"/>
              </w:rPr>
              <w:t>，其中永久占地58082.2</w:t>
            </w:r>
            <w:r>
              <w:rPr>
                <w:rFonts w:hint="default" w:ascii="Times New Roman" w:hAnsi="Times New Roman" w:eastAsia="宋体" w:cs="Times New Roman"/>
                <w:color w:val="auto"/>
                <w:spacing w:val="-7"/>
                <w:lang w:val="en-US" w:eastAsia="zh-CN"/>
              </w:rPr>
              <w:t>亩</w:t>
            </w:r>
            <w:r>
              <w:rPr>
                <w:rFonts w:hint="default" w:ascii="Times New Roman" w:hAnsi="Times New Roman" w:eastAsia="宋体" w:cs="Times New Roman"/>
                <w:color w:val="auto"/>
                <w:spacing w:val="-7"/>
              </w:rPr>
              <w:t>，临时占地</w:t>
            </w:r>
            <w:r>
              <w:rPr>
                <w:rFonts w:hint="default" w:ascii="Times New Roman" w:hAnsi="Times New Roman" w:eastAsia="宋体" w:cs="Times New Roman"/>
                <w:color w:val="auto"/>
                <w:spacing w:val="-7"/>
                <w:lang w:val="en-US" w:eastAsia="zh-CN"/>
              </w:rPr>
              <w:t>6.75亩</w:t>
            </w:r>
            <w:r>
              <w:rPr>
                <w:rFonts w:hint="default" w:ascii="Times New Roman" w:hAnsi="Times New Roman" w:eastAsia="宋体" w:cs="Times New Roman"/>
                <w:color w:val="auto"/>
                <w:spacing w:val="-7"/>
              </w:rPr>
              <w:t>。临时堆土场</w:t>
            </w:r>
            <w:r>
              <w:rPr>
                <w:rFonts w:hint="default" w:ascii="Times New Roman" w:hAnsi="Times New Roman" w:eastAsia="宋体" w:cs="Times New Roman"/>
                <w:color w:val="auto"/>
                <w:lang w:val="en-US" w:eastAsia="zh-CN"/>
              </w:rPr>
              <w:t>4.5</w:t>
            </w:r>
            <w:r>
              <w:rPr>
                <w:rFonts w:hint="default" w:ascii="Times New Roman" w:hAnsi="Times New Roman" w:eastAsia="宋体" w:cs="Times New Roman"/>
                <w:color w:val="auto"/>
                <w:spacing w:val="-7"/>
                <w:lang w:val="en-US" w:eastAsia="zh-CN"/>
              </w:rPr>
              <w:t>亩</w:t>
            </w:r>
            <w:r>
              <w:rPr>
                <w:rFonts w:hint="default" w:ascii="Times New Roman" w:hAnsi="Times New Roman" w:eastAsia="宋体" w:cs="Times New Roman"/>
                <w:color w:val="auto"/>
                <w:spacing w:val="-7"/>
                <w:lang w:eastAsia="zh-CN"/>
              </w:rPr>
              <w:t>、</w:t>
            </w:r>
            <w:r>
              <w:rPr>
                <w:rFonts w:hint="default" w:ascii="Times New Roman" w:hAnsi="Times New Roman" w:eastAsia="宋体" w:cs="Times New Roman"/>
                <w:color w:val="auto"/>
                <w:spacing w:val="-7"/>
              </w:rPr>
              <w:t>弃土场占地</w:t>
            </w:r>
            <w:r>
              <w:rPr>
                <w:rFonts w:hint="default" w:ascii="Times New Roman" w:hAnsi="Times New Roman" w:eastAsia="宋体" w:cs="Times New Roman"/>
                <w:color w:val="auto"/>
                <w:szCs w:val="21"/>
                <w:lang w:val="en-US" w:eastAsia="zh-CN"/>
              </w:rPr>
              <w:t>2.2</w:t>
            </w:r>
            <w:r>
              <w:rPr>
                <w:rFonts w:hint="default" w:ascii="Times New Roman" w:hAnsi="Times New Roman" w:eastAsia="宋体" w:cs="Times New Roman"/>
                <w:color w:val="auto"/>
                <w:szCs w:val="21"/>
              </w:rPr>
              <w:t>5</w:t>
            </w:r>
            <w:r>
              <w:rPr>
                <w:rFonts w:hint="default" w:ascii="Times New Roman" w:hAnsi="Times New Roman" w:eastAsia="宋体" w:cs="Times New Roman"/>
                <w:color w:val="auto"/>
                <w:spacing w:val="-7"/>
                <w:lang w:val="en-US" w:eastAsia="zh-CN"/>
              </w:rPr>
              <w:t>亩</w:t>
            </w:r>
            <w:r>
              <w:rPr>
                <w:rFonts w:hint="default" w:ascii="Times New Roman" w:hAnsi="Times New Roman" w:eastAsia="宋体" w:cs="Times New Roman"/>
                <w:color w:val="auto"/>
                <w:spacing w:val="-7"/>
              </w:rPr>
              <w:t>，所占土地原地貌类型主要为林地</w:t>
            </w:r>
            <w:r>
              <w:rPr>
                <w:rFonts w:hint="default" w:ascii="Times New Roman" w:hAnsi="Times New Roman" w:eastAsia="宋体" w:cs="Times New Roman"/>
                <w:color w:val="auto"/>
                <w:spacing w:val="-7"/>
                <w:lang w:eastAsia="zh-CN"/>
              </w:rPr>
              <w:t>，</w:t>
            </w:r>
            <w:r>
              <w:rPr>
                <w:rFonts w:hint="default" w:ascii="Times New Roman" w:hAnsi="Times New Roman" w:eastAsia="宋体" w:cs="Times New Roman"/>
                <w:color w:val="auto"/>
                <w:spacing w:val="-7"/>
                <w:lang w:val="en-US" w:eastAsia="zh-CN"/>
              </w:rPr>
              <w:t>不涉及基本农田</w:t>
            </w:r>
            <w:r>
              <w:rPr>
                <w:rFonts w:hint="default" w:ascii="Times New Roman" w:hAnsi="Times New Roman" w:eastAsia="宋体" w:cs="Times New Roman"/>
                <w:color w:val="auto"/>
                <w:spacing w:val="-7"/>
              </w:rPr>
              <w:t>。</w:t>
            </w:r>
            <w:r>
              <w:rPr>
                <w:rFonts w:hint="default" w:ascii="Times New Roman" w:hAnsi="Times New Roman" w:eastAsia="宋体" w:cs="Times New Roman"/>
                <w:color w:val="auto"/>
                <w:spacing w:val="-7"/>
                <w:lang w:val="en-US" w:eastAsia="zh-CN"/>
              </w:rPr>
              <w:t>项目建设均在流转协议明确的占地内进行，项目不新增占地。</w:t>
            </w:r>
          </w:p>
          <w:p w14:paraId="79404850">
            <w:pPr>
              <w:ind w:firstLine="482" w:firstLineChars="200"/>
              <w:jc w:val="center"/>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表2-</w:t>
            </w:r>
            <w:r>
              <w:rPr>
                <w:rFonts w:hint="default" w:ascii="Times New Roman" w:hAnsi="Times New Roman" w:eastAsia="宋体" w:cs="Times New Roman"/>
                <w:b/>
                <w:bCs/>
                <w:color w:val="auto"/>
                <w:sz w:val="24"/>
                <w:lang w:val="en-US" w:eastAsia="zh-CN"/>
              </w:rPr>
              <w:t>9</w:t>
            </w:r>
            <w:r>
              <w:rPr>
                <w:rFonts w:hint="default" w:ascii="Times New Roman" w:hAnsi="Times New Roman" w:eastAsia="宋体" w:cs="Times New Roman"/>
                <w:b/>
                <w:bCs/>
                <w:color w:val="auto"/>
                <w:sz w:val="24"/>
              </w:rPr>
              <w:t xml:space="preserve">  工程占地表（单位：</w:t>
            </w:r>
            <w:r>
              <w:rPr>
                <w:rFonts w:hint="default" w:ascii="Times New Roman" w:hAnsi="Times New Roman" w:eastAsia="宋体" w:cs="Times New Roman"/>
                <w:b/>
                <w:bCs/>
                <w:color w:val="auto"/>
                <w:sz w:val="24"/>
                <w:lang w:val="en-US" w:eastAsia="zh-CN"/>
              </w:rPr>
              <w:t>亩</w:t>
            </w:r>
            <w:r>
              <w:rPr>
                <w:rFonts w:hint="default" w:ascii="Times New Roman" w:hAnsi="Times New Roman" w:eastAsia="宋体" w:cs="Times New Roman"/>
                <w:b/>
                <w:bCs/>
                <w:color w:val="auto"/>
                <w:sz w:val="24"/>
              </w:rPr>
              <w:t>）</w:t>
            </w:r>
          </w:p>
          <w:tbl>
            <w:tblPr>
              <w:tblStyle w:val="33"/>
              <w:tblW w:w="4998"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31"/>
              <w:gridCol w:w="1538"/>
              <w:gridCol w:w="1377"/>
              <w:gridCol w:w="1382"/>
              <w:gridCol w:w="2774"/>
            </w:tblGrid>
            <w:tr w14:paraId="1021921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4" w:hRule="atLeast"/>
                <w:jc w:val="center"/>
              </w:trPr>
              <w:tc>
                <w:tcPr>
                  <w:tcW w:w="1667" w:type="pct"/>
                  <w:gridSpan w:val="2"/>
                  <w:vAlign w:val="center"/>
                </w:tcPr>
                <w:p w14:paraId="428C3528">
                  <w:pPr>
                    <w:jc w:val="center"/>
                    <w:rPr>
                      <w:rFonts w:hint="default" w:ascii="Times New Roman" w:hAnsi="Times New Roman" w:eastAsia="宋体" w:cs="Times New Roman"/>
                      <w:color w:val="auto"/>
                      <w:sz w:val="21"/>
                      <w:szCs w:val="21"/>
                    </w:rPr>
                  </w:pPr>
                  <w:bookmarkStart w:id="11" w:name="_Hlk54558331"/>
                  <w:r>
                    <w:rPr>
                      <w:rFonts w:hint="default" w:ascii="Times New Roman" w:hAnsi="Times New Roman" w:eastAsia="宋体" w:cs="Times New Roman"/>
                      <w:color w:val="auto"/>
                      <w:sz w:val="21"/>
                      <w:szCs w:val="21"/>
                    </w:rPr>
                    <w:t>工程单元</w:t>
                  </w:r>
                </w:p>
              </w:tc>
              <w:tc>
                <w:tcPr>
                  <w:tcW w:w="829" w:type="pct"/>
                  <w:vAlign w:val="center"/>
                </w:tcPr>
                <w:p w14:paraId="3A027105">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占地面积</w:t>
                  </w:r>
                </w:p>
              </w:tc>
              <w:tc>
                <w:tcPr>
                  <w:tcW w:w="832" w:type="pct"/>
                  <w:vMerge w:val="restart"/>
                  <w:vAlign w:val="center"/>
                </w:tcPr>
                <w:p w14:paraId="48A6719F">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占地性质</w:t>
                  </w:r>
                </w:p>
              </w:tc>
              <w:tc>
                <w:tcPr>
                  <w:tcW w:w="1670" w:type="pct"/>
                  <w:vAlign w:val="center"/>
                </w:tcPr>
                <w:p w14:paraId="1482EE4A">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占地类型</w:t>
                  </w:r>
                </w:p>
              </w:tc>
            </w:tr>
            <w:tr w14:paraId="72353F2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41" w:type="pct"/>
                  <w:vMerge w:val="restart"/>
                  <w:vAlign w:val="center"/>
                </w:tcPr>
                <w:p w14:paraId="7483A88B">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黄柏集约栽培</w:t>
                  </w:r>
                </w:p>
              </w:tc>
              <w:tc>
                <w:tcPr>
                  <w:tcW w:w="926" w:type="pct"/>
                  <w:vAlign w:val="center"/>
                </w:tcPr>
                <w:p w14:paraId="7B367AB2">
                  <w:pPr>
                    <w:keepNext w:val="0"/>
                    <w:keepLines w:val="0"/>
                    <w:widowControl/>
                    <w:suppressLineNumbers w:val="0"/>
                    <w:spacing w:line="240" w:lineRule="auto"/>
                    <w:jc w:val="center"/>
                    <w:textAlignment w:val="center"/>
                    <w:rPr>
                      <w:rFonts w:hint="default" w:ascii="Times New Roman" w:hAnsi="Times New Roman" w:eastAsia="宋体" w:cs="Times New Roman"/>
                      <w:color w:val="auto"/>
                      <w:sz w:val="21"/>
                      <w:szCs w:val="21"/>
                    </w:rPr>
                  </w:pPr>
                  <w:r>
                    <w:rPr>
                      <w:rFonts w:hint="default" w:ascii="Times New Roman" w:hAnsi="Times New Roman" w:cs="Times New Roman" w:eastAsiaTheme="minorEastAsia"/>
                      <w:i w:val="0"/>
                      <w:iCs w:val="0"/>
                      <w:color w:val="auto"/>
                      <w:kern w:val="0"/>
                      <w:sz w:val="21"/>
                      <w:szCs w:val="21"/>
                      <w:highlight w:val="none"/>
                      <w:u w:val="none"/>
                      <w:lang w:val="en-US" w:eastAsia="zh-CN" w:bidi="ar"/>
                    </w:rPr>
                    <w:t>天池镇</w:t>
                  </w:r>
                </w:p>
              </w:tc>
              <w:tc>
                <w:tcPr>
                  <w:tcW w:w="829" w:type="pct"/>
                  <w:vAlign w:val="center"/>
                </w:tcPr>
                <w:p w14:paraId="45B0AE1B">
                  <w:pPr>
                    <w:keepNext w:val="0"/>
                    <w:keepLines w:val="0"/>
                    <w:widowControl/>
                    <w:suppressLineNumbers w:val="0"/>
                    <w:spacing w:line="240" w:lineRule="auto"/>
                    <w:jc w:val="center"/>
                    <w:textAlignment w:val="center"/>
                    <w:rPr>
                      <w:rFonts w:hint="default" w:ascii="Times New Roman" w:hAnsi="Times New Roman" w:eastAsia="宋体" w:cs="Times New Roman"/>
                      <w:color w:val="auto"/>
                      <w:sz w:val="21"/>
                      <w:szCs w:val="21"/>
                    </w:rPr>
                  </w:pPr>
                  <w:r>
                    <w:rPr>
                      <w:rFonts w:hint="default" w:ascii="Times New Roman" w:hAnsi="Times New Roman" w:cs="Times New Roman" w:eastAsiaTheme="minorEastAsia"/>
                      <w:i w:val="0"/>
                      <w:iCs w:val="0"/>
                      <w:color w:val="auto"/>
                      <w:kern w:val="0"/>
                      <w:sz w:val="21"/>
                      <w:szCs w:val="21"/>
                      <w:highlight w:val="none"/>
                      <w:u w:val="none"/>
                      <w:lang w:val="en-US" w:eastAsia="zh-CN" w:bidi="ar"/>
                    </w:rPr>
                    <w:t xml:space="preserve">902.6 </w:t>
                  </w:r>
                </w:p>
              </w:tc>
              <w:tc>
                <w:tcPr>
                  <w:tcW w:w="832" w:type="pct"/>
                  <w:vMerge w:val="restart"/>
                  <w:vAlign w:val="center"/>
                </w:tcPr>
                <w:p w14:paraId="1A62AC63">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永久占地</w:t>
                  </w:r>
                </w:p>
              </w:tc>
              <w:tc>
                <w:tcPr>
                  <w:tcW w:w="1670" w:type="pct"/>
                  <w:vMerge w:val="restart"/>
                  <w:vAlign w:val="center"/>
                </w:tcPr>
                <w:p w14:paraId="3793B228">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采伐迹地1372.1亩；灌木林地5598.4亩；宜林地122.8亩；竹林地535.1亩</w:t>
                  </w:r>
                </w:p>
              </w:tc>
            </w:tr>
            <w:tr w14:paraId="576B0EB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41" w:type="pct"/>
                  <w:vMerge w:val="continue"/>
                  <w:vAlign w:val="center"/>
                </w:tcPr>
                <w:p w14:paraId="1AA78610">
                  <w:pPr>
                    <w:jc w:val="center"/>
                    <w:rPr>
                      <w:rFonts w:hint="default" w:ascii="Times New Roman" w:hAnsi="Times New Roman" w:eastAsia="宋体" w:cs="Times New Roman"/>
                      <w:color w:val="auto"/>
                      <w:sz w:val="21"/>
                      <w:szCs w:val="21"/>
                    </w:rPr>
                  </w:pPr>
                </w:p>
              </w:tc>
              <w:tc>
                <w:tcPr>
                  <w:tcW w:w="926" w:type="pct"/>
                  <w:vAlign w:val="center"/>
                </w:tcPr>
                <w:p w14:paraId="247B907A">
                  <w:pPr>
                    <w:keepNext w:val="0"/>
                    <w:keepLines w:val="0"/>
                    <w:widowControl/>
                    <w:suppressLineNumbers w:val="0"/>
                    <w:spacing w:line="240" w:lineRule="auto"/>
                    <w:jc w:val="center"/>
                    <w:textAlignment w:val="center"/>
                    <w:rPr>
                      <w:rFonts w:hint="default" w:ascii="Times New Roman" w:hAnsi="Times New Roman" w:eastAsia="宋体" w:cs="Times New Roman"/>
                      <w:color w:val="auto"/>
                      <w:sz w:val="21"/>
                      <w:szCs w:val="21"/>
                    </w:rPr>
                  </w:pPr>
                  <w:r>
                    <w:rPr>
                      <w:rFonts w:hint="default" w:ascii="Times New Roman" w:hAnsi="Times New Roman" w:cs="Times New Roman" w:eastAsiaTheme="minorEastAsia"/>
                      <w:i w:val="0"/>
                      <w:iCs w:val="0"/>
                      <w:color w:val="auto"/>
                      <w:kern w:val="0"/>
                      <w:sz w:val="21"/>
                      <w:szCs w:val="21"/>
                      <w:highlight w:val="none"/>
                      <w:u w:val="none"/>
                      <w:lang w:val="en-US" w:eastAsia="zh-CN" w:bidi="ar"/>
                    </w:rPr>
                    <w:t>中和场镇</w:t>
                  </w:r>
                </w:p>
              </w:tc>
              <w:tc>
                <w:tcPr>
                  <w:tcW w:w="829" w:type="pct"/>
                  <w:vAlign w:val="center"/>
                </w:tcPr>
                <w:p w14:paraId="6D92595C">
                  <w:pPr>
                    <w:keepNext w:val="0"/>
                    <w:keepLines w:val="0"/>
                    <w:widowControl/>
                    <w:suppressLineNumbers w:val="0"/>
                    <w:spacing w:line="240" w:lineRule="auto"/>
                    <w:jc w:val="center"/>
                    <w:textAlignment w:val="center"/>
                    <w:rPr>
                      <w:rFonts w:hint="default" w:ascii="Times New Roman" w:hAnsi="Times New Roman" w:eastAsia="宋体" w:cs="Times New Roman"/>
                      <w:color w:val="auto"/>
                      <w:sz w:val="21"/>
                      <w:szCs w:val="21"/>
                    </w:rPr>
                  </w:pPr>
                  <w:r>
                    <w:rPr>
                      <w:rFonts w:hint="default" w:ascii="Times New Roman" w:hAnsi="Times New Roman" w:cs="Times New Roman" w:eastAsiaTheme="minorEastAsia"/>
                      <w:i w:val="0"/>
                      <w:iCs w:val="0"/>
                      <w:color w:val="auto"/>
                      <w:kern w:val="0"/>
                      <w:sz w:val="21"/>
                      <w:szCs w:val="21"/>
                      <w:highlight w:val="none"/>
                      <w:u w:val="none"/>
                      <w:lang w:val="en-US" w:eastAsia="zh-CN" w:bidi="ar"/>
                    </w:rPr>
                    <w:t xml:space="preserve">455.3 </w:t>
                  </w:r>
                </w:p>
              </w:tc>
              <w:tc>
                <w:tcPr>
                  <w:tcW w:w="832" w:type="pct"/>
                  <w:vMerge w:val="continue"/>
                  <w:vAlign w:val="center"/>
                </w:tcPr>
                <w:p w14:paraId="4274AEAA">
                  <w:pPr>
                    <w:jc w:val="center"/>
                    <w:rPr>
                      <w:rFonts w:hint="default" w:ascii="Times New Roman" w:hAnsi="Times New Roman" w:eastAsia="宋体" w:cs="Times New Roman"/>
                      <w:color w:val="auto"/>
                      <w:sz w:val="21"/>
                      <w:szCs w:val="21"/>
                    </w:rPr>
                  </w:pPr>
                </w:p>
              </w:tc>
              <w:tc>
                <w:tcPr>
                  <w:tcW w:w="1670" w:type="pct"/>
                  <w:vMerge w:val="continue"/>
                  <w:vAlign w:val="center"/>
                </w:tcPr>
                <w:p w14:paraId="16F78B49">
                  <w:pPr>
                    <w:jc w:val="center"/>
                    <w:rPr>
                      <w:rFonts w:hint="default" w:ascii="Times New Roman" w:hAnsi="Times New Roman" w:eastAsia="宋体" w:cs="Times New Roman"/>
                      <w:color w:val="auto"/>
                      <w:sz w:val="21"/>
                      <w:szCs w:val="21"/>
                    </w:rPr>
                  </w:pPr>
                </w:p>
              </w:tc>
            </w:tr>
            <w:tr w14:paraId="14A1FA8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41" w:type="pct"/>
                  <w:vMerge w:val="continue"/>
                  <w:vAlign w:val="center"/>
                </w:tcPr>
                <w:p w14:paraId="462F0EA9">
                  <w:pPr>
                    <w:jc w:val="center"/>
                    <w:rPr>
                      <w:rFonts w:hint="default" w:ascii="Times New Roman" w:hAnsi="Times New Roman" w:eastAsia="宋体" w:cs="Times New Roman"/>
                      <w:color w:val="auto"/>
                      <w:sz w:val="21"/>
                      <w:szCs w:val="21"/>
                    </w:rPr>
                  </w:pPr>
                </w:p>
              </w:tc>
              <w:tc>
                <w:tcPr>
                  <w:tcW w:w="926" w:type="pct"/>
                  <w:vAlign w:val="center"/>
                </w:tcPr>
                <w:p w14:paraId="243FF326">
                  <w:pPr>
                    <w:keepNext w:val="0"/>
                    <w:keepLines w:val="0"/>
                    <w:widowControl/>
                    <w:suppressLineNumbers w:val="0"/>
                    <w:spacing w:line="240" w:lineRule="auto"/>
                    <w:jc w:val="center"/>
                    <w:textAlignment w:val="center"/>
                    <w:rPr>
                      <w:rFonts w:hint="default" w:ascii="Times New Roman" w:hAnsi="Times New Roman" w:eastAsia="宋体" w:cs="Times New Roman"/>
                      <w:color w:val="auto"/>
                      <w:sz w:val="21"/>
                      <w:szCs w:val="21"/>
                    </w:rPr>
                  </w:pPr>
                  <w:r>
                    <w:rPr>
                      <w:rFonts w:hint="default" w:ascii="Times New Roman" w:hAnsi="Times New Roman" w:cs="Times New Roman" w:eastAsiaTheme="minorEastAsia"/>
                      <w:i w:val="0"/>
                      <w:iCs w:val="0"/>
                      <w:color w:val="auto"/>
                      <w:kern w:val="0"/>
                      <w:sz w:val="21"/>
                      <w:szCs w:val="21"/>
                      <w:highlight w:val="none"/>
                      <w:u w:val="none"/>
                      <w:lang w:val="en-US" w:eastAsia="zh-CN" w:bidi="ar"/>
                    </w:rPr>
                    <w:t>良安镇</w:t>
                  </w:r>
                </w:p>
              </w:tc>
              <w:tc>
                <w:tcPr>
                  <w:tcW w:w="829" w:type="pct"/>
                  <w:vAlign w:val="center"/>
                </w:tcPr>
                <w:p w14:paraId="6B3C677D">
                  <w:pPr>
                    <w:keepNext w:val="0"/>
                    <w:keepLines w:val="0"/>
                    <w:widowControl/>
                    <w:suppressLineNumbers w:val="0"/>
                    <w:spacing w:line="240" w:lineRule="auto"/>
                    <w:jc w:val="center"/>
                    <w:textAlignment w:val="center"/>
                    <w:rPr>
                      <w:rFonts w:hint="default" w:ascii="Times New Roman" w:hAnsi="Times New Roman" w:eastAsia="宋体" w:cs="Times New Roman"/>
                      <w:color w:val="auto"/>
                      <w:sz w:val="21"/>
                      <w:szCs w:val="21"/>
                    </w:rPr>
                  </w:pPr>
                  <w:r>
                    <w:rPr>
                      <w:rFonts w:hint="default" w:ascii="Times New Roman" w:hAnsi="Times New Roman" w:cs="Times New Roman" w:eastAsiaTheme="minorEastAsia"/>
                      <w:i w:val="0"/>
                      <w:iCs w:val="0"/>
                      <w:color w:val="auto"/>
                      <w:kern w:val="0"/>
                      <w:sz w:val="21"/>
                      <w:szCs w:val="21"/>
                      <w:highlight w:val="none"/>
                      <w:u w:val="none"/>
                      <w:lang w:val="en-US" w:eastAsia="zh-CN" w:bidi="ar"/>
                    </w:rPr>
                    <w:t xml:space="preserve">3421.0 </w:t>
                  </w:r>
                </w:p>
              </w:tc>
              <w:tc>
                <w:tcPr>
                  <w:tcW w:w="832" w:type="pct"/>
                  <w:vMerge w:val="continue"/>
                  <w:vAlign w:val="center"/>
                </w:tcPr>
                <w:p w14:paraId="07E34556">
                  <w:pPr>
                    <w:jc w:val="center"/>
                    <w:rPr>
                      <w:rFonts w:hint="default" w:ascii="Times New Roman" w:hAnsi="Times New Roman" w:eastAsia="宋体" w:cs="Times New Roman"/>
                      <w:color w:val="auto"/>
                      <w:sz w:val="21"/>
                      <w:szCs w:val="21"/>
                    </w:rPr>
                  </w:pPr>
                </w:p>
              </w:tc>
              <w:tc>
                <w:tcPr>
                  <w:tcW w:w="1670" w:type="pct"/>
                  <w:vMerge w:val="continue"/>
                  <w:vAlign w:val="center"/>
                </w:tcPr>
                <w:p w14:paraId="712B7A5B">
                  <w:pPr>
                    <w:jc w:val="center"/>
                    <w:rPr>
                      <w:rFonts w:hint="default" w:ascii="Times New Roman" w:hAnsi="Times New Roman" w:eastAsia="宋体" w:cs="Times New Roman"/>
                      <w:color w:val="auto"/>
                      <w:sz w:val="21"/>
                      <w:szCs w:val="21"/>
                    </w:rPr>
                  </w:pPr>
                </w:p>
              </w:tc>
            </w:tr>
            <w:tr w14:paraId="7EB3476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41" w:type="pct"/>
                  <w:vMerge w:val="continue"/>
                  <w:vAlign w:val="center"/>
                </w:tcPr>
                <w:p w14:paraId="6D912A6B">
                  <w:pPr>
                    <w:jc w:val="center"/>
                    <w:rPr>
                      <w:rFonts w:hint="default" w:ascii="Times New Roman" w:hAnsi="Times New Roman" w:eastAsia="宋体" w:cs="Times New Roman"/>
                      <w:color w:val="auto"/>
                      <w:sz w:val="21"/>
                      <w:szCs w:val="21"/>
                    </w:rPr>
                  </w:pPr>
                </w:p>
              </w:tc>
              <w:tc>
                <w:tcPr>
                  <w:tcW w:w="926" w:type="pct"/>
                  <w:vAlign w:val="center"/>
                </w:tcPr>
                <w:p w14:paraId="2A1AB6C9">
                  <w:pPr>
                    <w:keepNext w:val="0"/>
                    <w:keepLines w:val="0"/>
                    <w:widowControl/>
                    <w:suppressLineNumbers w:val="0"/>
                    <w:spacing w:line="240" w:lineRule="auto"/>
                    <w:jc w:val="center"/>
                    <w:textAlignment w:val="center"/>
                    <w:rPr>
                      <w:rFonts w:hint="default" w:ascii="Times New Roman" w:hAnsi="Times New Roman" w:eastAsia="宋体" w:cs="Times New Roman"/>
                      <w:color w:val="auto"/>
                      <w:sz w:val="21"/>
                      <w:szCs w:val="21"/>
                    </w:rPr>
                  </w:pPr>
                  <w:r>
                    <w:rPr>
                      <w:rFonts w:hint="default" w:ascii="Times New Roman" w:hAnsi="Times New Roman" w:cs="Times New Roman" w:eastAsiaTheme="minorEastAsia"/>
                      <w:i w:val="0"/>
                      <w:iCs w:val="0"/>
                      <w:color w:val="auto"/>
                      <w:kern w:val="0"/>
                      <w:sz w:val="21"/>
                      <w:szCs w:val="21"/>
                      <w:highlight w:val="none"/>
                      <w:u w:val="none"/>
                      <w:lang w:val="en-US" w:eastAsia="zh-CN" w:bidi="ar"/>
                    </w:rPr>
                    <w:t>劳动镇</w:t>
                  </w:r>
                </w:p>
              </w:tc>
              <w:tc>
                <w:tcPr>
                  <w:tcW w:w="829" w:type="pct"/>
                  <w:vAlign w:val="center"/>
                </w:tcPr>
                <w:p w14:paraId="320CA831">
                  <w:pPr>
                    <w:keepNext w:val="0"/>
                    <w:keepLines w:val="0"/>
                    <w:widowControl/>
                    <w:suppressLineNumbers w:val="0"/>
                    <w:spacing w:line="240" w:lineRule="auto"/>
                    <w:jc w:val="center"/>
                    <w:textAlignment w:val="center"/>
                    <w:rPr>
                      <w:rFonts w:hint="default" w:ascii="Times New Roman" w:hAnsi="Times New Roman" w:eastAsia="宋体" w:cs="Times New Roman"/>
                      <w:color w:val="auto"/>
                      <w:sz w:val="21"/>
                      <w:szCs w:val="21"/>
                    </w:rPr>
                  </w:pPr>
                  <w:r>
                    <w:rPr>
                      <w:rFonts w:hint="default" w:ascii="Times New Roman" w:hAnsi="Times New Roman" w:cs="Times New Roman" w:eastAsiaTheme="minorEastAsia"/>
                      <w:i w:val="0"/>
                      <w:iCs w:val="0"/>
                      <w:color w:val="auto"/>
                      <w:kern w:val="0"/>
                      <w:sz w:val="21"/>
                      <w:szCs w:val="21"/>
                      <w:highlight w:val="none"/>
                      <w:u w:val="none"/>
                      <w:lang w:val="en-US" w:eastAsia="zh-CN" w:bidi="ar"/>
                    </w:rPr>
                    <w:t xml:space="preserve">554.1 </w:t>
                  </w:r>
                </w:p>
              </w:tc>
              <w:tc>
                <w:tcPr>
                  <w:tcW w:w="832" w:type="pct"/>
                  <w:vMerge w:val="continue"/>
                  <w:vAlign w:val="center"/>
                </w:tcPr>
                <w:p w14:paraId="51559CA3">
                  <w:pPr>
                    <w:jc w:val="center"/>
                    <w:rPr>
                      <w:rFonts w:hint="default" w:ascii="Times New Roman" w:hAnsi="Times New Roman" w:eastAsia="宋体" w:cs="Times New Roman"/>
                      <w:color w:val="auto"/>
                      <w:sz w:val="21"/>
                      <w:szCs w:val="21"/>
                    </w:rPr>
                  </w:pPr>
                </w:p>
              </w:tc>
              <w:tc>
                <w:tcPr>
                  <w:tcW w:w="1670" w:type="pct"/>
                  <w:vMerge w:val="continue"/>
                  <w:vAlign w:val="center"/>
                </w:tcPr>
                <w:p w14:paraId="5BF57999">
                  <w:pPr>
                    <w:jc w:val="center"/>
                    <w:rPr>
                      <w:rFonts w:hint="default" w:ascii="Times New Roman" w:hAnsi="Times New Roman" w:eastAsia="宋体" w:cs="Times New Roman"/>
                      <w:color w:val="auto"/>
                      <w:sz w:val="21"/>
                      <w:szCs w:val="21"/>
                    </w:rPr>
                  </w:pPr>
                </w:p>
              </w:tc>
            </w:tr>
            <w:tr w14:paraId="4B94C49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41" w:type="pct"/>
                  <w:vMerge w:val="continue"/>
                  <w:vAlign w:val="center"/>
                </w:tcPr>
                <w:p w14:paraId="52D6E58F">
                  <w:pPr>
                    <w:jc w:val="center"/>
                    <w:rPr>
                      <w:rFonts w:hint="default" w:ascii="Times New Roman" w:hAnsi="Times New Roman" w:eastAsia="宋体" w:cs="Times New Roman"/>
                      <w:color w:val="auto"/>
                      <w:sz w:val="21"/>
                      <w:szCs w:val="21"/>
                    </w:rPr>
                  </w:pPr>
                </w:p>
              </w:tc>
              <w:tc>
                <w:tcPr>
                  <w:tcW w:w="926" w:type="pct"/>
                  <w:vAlign w:val="center"/>
                </w:tcPr>
                <w:p w14:paraId="550A6C60">
                  <w:pPr>
                    <w:keepNext w:val="0"/>
                    <w:keepLines w:val="0"/>
                    <w:widowControl/>
                    <w:suppressLineNumbers w:val="0"/>
                    <w:spacing w:line="240" w:lineRule="auto"/>
                    <w:jc w:val="center"/>
                    <w:textAlignment w:val="center"/>
                    <w:rPr>
                      <w:rFonts w:hint="default" w:ascii="Times New Roman" w:hAnsi="Times New Roman" w:eastAsia="宋体" w:cs="Times New Roman"/>
                      <w:color w:val="auto"/>
                      <w:sz w:val="21"/>
                      <w:szCs w:val="21"/>
                    </w:rPr>
                  </w:pPr>
                  <w:r>
                    <w:rPr>
                      <w:rFonts w:hint="default" w:ascii="Times New Roman" w:hAnsi="Times New Roman" w:cs="Times New Roman" w:eastAsiaTheme="minorEastAsia"/>
                      <w:i w:val="0"/>
                      <w:iCs w:val="0"/>
                      <w:color w:val="auto"/>
                      <w:kern w:val="0"/>
                      <w:sz w:val="21"/>
                      <w:szCs w:val="21"/>
                      <w:highlight w:val="none"/>
                      <w:u w:val="none"/>
                      <w:lang w:val="en-US" w:eastAsia="zh-CN" w:bidi="ar"/>
                    </w:rPr>
                    <w:t>大佛镇</w:t>
                  </w:r>
                </w:p>
              </w:tc>
              <w:tc>
                <w:tcPr>
                  <w:tcW w:w="829" w:type="pct"/>
                  <w:vAlign w:val="center"/>
                </w:tcPr>
                <w:p w14:paraId="76772FD7">
                  <w:pPr>
                    <w:keepNext w:val="0"/>
                    <w:keepLines w:val="0"/>
                    <w:widowControl/>
                    <w:suppressLineNumbers w:val="0"/>
                    <w:spacing w:line="240" w:lineRule="auto"/>
                    <w:jc w:val="center"/>
                    <w:textAlignment w:val="center"/>
                    <w:rPr>
                      <w:rFonts w:hint="default" w:ascii="Times New Roman" w:hAnsi="Times New Roman" w:eastAsia="宋体" w:cs="Times New Roman"/>
                      <w:color w:val="auto"/>
                      <w:sz w:val="21"/>
                      <w:szCs w:val="21"/>
                    </w:rPr>
                  </w:pPr>
                  <w:r>
                    <w:rPr>
                      <w:rFonts w:hint="default" w:ascii="Times New Roman" w:hAnsi="Times New Roman" w:cs="Times New Roman" w:eastAsiaTheme="minorEastAsia"/>
                      <w:i w:val="0"/>
                      <w:iCs w:val="0"/>
                      <w:color w:val="auto"/>
                      <w:kern w:val="0"/>
                      <w:sz w:val="21"/>
                      <w:szCs w:val="21"/>
                      <w:highlight w:val="none"/>
                      <w:u w:val="none"/>
                      <w:lang w:val="en-US" w:eastAsia="zh-CN" w:bidi="ar"/>
                    </w:rPr>
                    <w:t xml:space="preserve">2295.4 </w:t>
                  </w:r>
                </w:p>
              </w:tc>
              <w:tc>
                <w:tcPr>
                  <w:tcW w:w="832" w:type="pct"/>
                  <w:vMerge w:val="continue"/>
                  <w:vAlign w:val="center"/>
                </w:tcPr>
                <w:p w14:paraId="2C0AC186">
                  <w:pPr>
                    <w:jc w:val="center"/>
                    <w:rPr>
                      <w:rFonts w:hint="default" w:ascii="Times New Roman" w:hAnsi="Times New Roman" w:eastAsia="宋体" w:cs="Times New Roman"/>
                      <w:color w:val="auto"/>
                      <w:sz w:val="21"/>
                      <w:szCs w:val="21"/>
                    </w:rPr>
                  </w:pPr>
                </w:p>
              </w:tc>
              <w:tc>
                <w:tcPr>
                  <w:tcW w:w="1670" w:type="pct"/>
                  <w:vMerge w:val="continue"/>
                  <w:vAlign w:val="center"/>
                </w:tcPr>
                <w:p w14:paraId="4F337D12">
                  <w:pPr>
                    <w:jc w:val="center"/>
                    <w:rPr>
                      <w:rFonts w:hint="default" w:ascii="Times New Roman" w:hAnsi="Times New Roman" w:eastAsia="宋体" w:cs="Times New Roman"/>
                      <w:color w:val="auto"/>
                      <w:sz w:val="21"/>
                      <w:szCs w:val="21"/>
                    </w:rPr>
                  </w:pPr>
                </w:p>
              </w:tc>
            </w:tr>
            <w:tr w14:paraId="19D029C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41" w:type="pct"/>
                  <w:vMerge w:val="restart"/>
                  <w:vAlign w:val="center"/>
                </w:tcPr>
                <w:p w14:paraId="696B4A59">
                  <w:pPr>
                    <w:jc w:val="center"/>
                    <w:rPr>
                      <w:rFonts w:hint="default" w:ascii="Times New Roman" w:hAnsi="Times New Roman" w:eastAsia="宋体" w:cs="Times New Roman"/>
                      <w:color w:val="auto"/>
                      <w:sz w:val="21"/>
                      <w:szCs w:val="21"/>
                    </w:rPr>
                  </w:pPr>
                  <w:r>
                    <w:rPr>
                      <w:rFonts w:hint="default" w:ascii="Times New Roman" w:hAnsi="Times New Roman" w:cs="Times New Roman" w:eastAsiaTheme="minorEastAsia"/>
                      <w:i w:val="0"/>
                      <w:iCs w:val="0"/>
                      <w:color w:val="auto"/>
                      <w:kern w:val="0"/>
                      <w:sz w:val="21"/>
                      <w:szCs w:val="21"/>
                      <w:highlight w:val="none"/>
                      <w:u w:val="none"/>
                      <w:lang w:val="en-US" w:eastAsia="zh-CN" w:bidi="ar"/>
                    </w:rPr>
                    <w:t>现有林改培</w:t>
                  </w:r>
                </w:p>
              </w:tc>
              <w:tc>
                <w:tcPr>
                  <w:tcW w:w="926" w:type="pct"/>
                  <w:vAlign w:val="center"/>
                </w:tcPr>
                <w:p w14:paraId="0B42991E">
                  <w:pPr>
                    <w:keepNext w:val="0"/>
                    <w:keepLines w:val="0"/>
                    <w:widowControl/>
                    <w:suppressLineNumbers w:val="0"/>
                    <w:spacing w:line="240" w:lineRule="auto"/>
                    <w:jc w:val="center"/>
                    <w:textAlignment w:val="center"/>
                    <w:rPr>
                      <w:rFonts w:hint="default" w:ascii="Times New Roman" w:hAnsi="Times New Roman" w:cs="Times New Roman" w:eastAsiaTheme="minorEastAsia"/>
                      <w:i w:val="0"/>
                      <w:iCs w:val="0"/>
                      <w:color w:val="auto"/>
                      <w:kern w:val="0"/>
                      <w:sz w:val="21"/>
                      <w:szCs w:val="21"/>
                      <w:highlight w:val="none"/>
                      <w:u w:val="none"/>
                      <w:lang w:val="en-US" w:eastAsia="zh-CN" w:bidi="ar"/>
                    </w:rPr>
                  </w:pPr>
                  <w:r>
                    <w:rPr>
                      <w:rFonts w:hint="default" w:ascii="Times New Roman" w:hAnsi="Times New Roman" w:cs="Times New Roman" w:eastAsiaTheme="minorEastAsia"/>
                      <w:i w:val="0"/>
                      <w:iCs w:val="0"/>
                      <w:color w:val="auto"/>
                      <w:kern w:val="0"/>
                      <w:sz w:val="21"/>
                      <w:szCs w:val="21"/>
                      <w:highlight w:val="none"/>
                      <w:u w:val="none"/>
                      <w:lang w:val="en-US" w:eastAsia="zh-CN" w:bidi="ar"/>
                    </w:rPr>
                    <w:t>高寺镇</w:t>
                  </w:r>
                </w:p>
              </w:tc>
              <w:tc>
                <w:tcPr>
                  <w:tcW w:w="829" w:type="pct"/>
                  <w:vAlign w:val="center"/>
                </w:tcPr>
                <w:p w14:paraId="4AC36F6D">
                  <w:pPr>
                    <w:keepNext w:val="0"/>
                    <w:keepLines w:val="0"/>
                    <w:widowControl/>
                    <w:suppressLineNumbers w:val="0"/>
                    <w:spacing w:line="240" w:lineRule="auto"/>
                    <w:jc w:val="center"/>
                    <w:textAlignment w:val="center"/>
                    <w:rPr>
                      <w:rFonts w:hint="default" w:ascii="Times New Roman" w:hAnsi="Times New Roman" w:cs="Times New Roman" w:eastAsiaTheme="minorEastAsia"/>
                      <w:i w:val="0"/>
                      <w:iCs w:val="0"/>
                      <w:color w:val="auto"/>
                      <w:kern w:val="0"/>
                      <w:sz w:val="21"/>
                      <w:szCs w:val="21"/>
                      <w:highlight w:val="none"/>
                      <w:u w:val="none"/>
                      <w:lang w:val="en-US" w:eastAsia="zh-CN" w:bidi="ar"/>
                    </w:rPr>
                  </w:pPr>
                  <w:r>
                    <w:rPr>
                      <w:rFonts w:hint="default" w:ascii="Times New Roman" w:hAnsi="Times New Roman" w:cs="Times New Roman" w:eastAsiaTheme="minorEastAsia"/>
                      <w:i w:val="0"/>
                      <w:iCs w:val="0"/>
                      <w:color w:val="auto"/>
                      <w:kern w:val="0"/>
                      <w:sz w:val="21"/>
                      <w:szCs w:val="21"/>
                      <w:highlight w:val="none"/>
                      <w:u w:val="none"/>
                      <w:lang w:val="en-US" w:eastAsia="zh-CN" w:bidi="ar"/>
                    </w:rPr>
                    <w:t xml:space="preserve">2369.8 </w:t>
                  </w:r>
                </w:p>
              </w:tc>
              <w:tc>
                <w:tcPr>
                  <w:tcW w:w="832" w:type="pct"/>
                  <w:vMerge w:val="restart"/>
                  <w:vAlign w:val="center"/>
                </w:tcPr>
                <w:p w14:paraId="4BD9A145">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永久占地</w:t>
                  </w:r>
                </w:p>
              </w:tc>
              <w:tc>
                <w:tcPr>
                  <w:tcW w:w="1670" w:type="pct"/>
                  <w:vMerge w:val="restart"/>
                  <w:vAlign w:val="center"/>
                </w:tcPr>
                <w:p w14:paraId="1A21062A">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均为乔木林地</w:t>
                  </w:r>
                </w:p>
              </w:tc>
            </w:tr>
            <w:tr w14:paraId="01F22A9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41" w:type="pct"/>
                  <w:vMerge w:val="continue"/>
                  <w:vAlign w:val="center"/>
                </w:tcPr>
                <w:p w14:paraId="6E863523">
                  <w:pPr>
                    <w:jc w:val="center"/>
                    <w:rPr>
                      <w:rFonts w:hint="default" w:ascii="Times New Roman" w:hAnsi="Times New Roman" w:eastAsia="宋体" w:cs="Times New Roman"/>
                      <w:color w:val="auto"/>
                      <w:sz w:val="21"/>
                      <w:szCs w:val="21"/>
                    </w:rPr>
                  </w:pPr>
                </w:p>
              </w:tc>
              <w:tc>
                <w:tcPr>
                  <w:tcW w:w="926" w:type="pct"/>
                  <w:vAlign w:val="center"/>
                </w:tcPr>
                <w:p w14:paraId="39FEB5A0">
                  <w:pPr>
                    <w:keepNext w:val="0"/>
                    <w:keepLines w:val="0"/>
                    <w:widowControl/>
                    <w:suppressLineNumbers w:val="0"/>
                    <w:spacing w:line="240" w:lineRule="auto"/>
                    <w:jc w:val="center"/>
                    <w:textAlignment w:val="center"/>
                    <w:rPr>
                      <w:rFonts w:hint="default" w:ascii="Times New Roman" w:hAnsi="Times New Roman" w:cs="Times New Roman" w:eastAsiaTheme="minorEastAsia"/>
                      <w:i w:val="0"/>
                      <w:iCs w:val="0"/>
                      <w:color w:val="auto"/>
                      <w:kern w:val="0"/>
                      <w:sz w:val="21"/>
                      <w:szCs w:val="21"/>
                      <w:highlight w:val="none"/>
                      <w:u w:val="none"/>
                      <w:lang w:val="en-US" w:eastAsia="zh-CN" w:bidi="ar"/>
                    </w:rPr>
                  </w:pPr>
                  <w:r>
                    <w:rPr>
                      <w:rFonts w:hint="default" w:ascii="Times New Roman" w:hAnsi="Times New Roman" w:cs="Times New Roman" w:eastAsiaTheme="minorEastAsia"/>
                      <w:i w:val="0"/>
                      <w:iCs w:val="0"/>
                      <w:color w:val="auto"/>
                      <w:kern w:val="0"/>
                      <w:sz w:val="21"/>
                      <w:szCs w:val="21"/>
                      <w:highlight w:val="none"/>
                      <w:u w:val="none"/>
                      <w:lang w:val="en-US" w:eastAsia="zh-CN" w:bidi="ar"/>
                    </w:rPr>
                    <w:t>劳动镇</w:t>
                  </w:r>
                </w:p>
              </w:tc>
              <w:tc>
                <w:tcPr>
                  <w:tcW w:w="829" w:type="pct"/>
                  <w:vAlign w:val="center"/>
                </w:tcPr>
                <w:p w14:paraId="1BEF251B">
                  <w:pPr>
                    <w:keepNext w:val="0"/>
                    <w:keepLines w:val="0"/>
                    <w:widowControl/>
                    <w:suppressLineNumbers w:val="0"/>
                    <w:spacing w:line="240" w:lineRule="auto"/>
                    <w:jc w:val="center"/>
                    <w:textAlignment w:val="center"/>
                    <w:rPr>
                      <w:rFonts w:hint="default" w:ascii="Times New Roman" w:hAnsi="Times New Roman" w:cs="Times New Roman" w:eastAsiaTheme="minorEastAsia"/>
                      <w:i w:val="0"/>
                      <w:iCs w:val="0"/>
                      <w:color w:val="auto"/>
                      <w:kern w:val="0"/>
                      <w:sz w:val="21"/>
                      <w:szCs w:val="21"/>
                      <w:highlight w:val="none"/>
                      <w:u w:val="none"/>
                      <w:lang w:val="en-US" w:eastAsia="zh-CN" w:bidi="ar"/>
                    </w:rPr>
                  </w:pPr>
                  <w:r>
                    <w:rPr>
                      <w:rFonts w:hint="default" w:ascii="Times New Roman" w:hAnsi="Times New Roman" w:cs="Times New Roman" w:eastAsiaTheme="minorEastAsia"/>
                      <w:i w:val="0"/>
                      <w:iCs w:val="0"/>
                      <w:color w:val="auto"/>
                      <w:kern w:val="0"/>
                      <w:sz w:val="21"/>
                      <w:szCs w:val="21"/>
                      <w:highlight w:val="none"/>
                      <w:u w:val="none"/>
                      <w:lang w:val="en-US" w:eastAsia="zh-CN" w:bidi="ar"/>
                    </w:rPr>
                    <w:t xml:space="preserve">470.0 </w:t>
                  </w:r>
                </w:p>
              </w:tc>
              <w:tc>
                <w:tcPr>
                  <w:tcW w:w="832" w:type="pct"/>
                  <w:vMerge w:val="continue"/>
                  <w:vAlign w:val="center"/>
                </w:tcPr>
                <w:p w14:paraId="28766D9A">
                  <w:pPr>
                    <w:jc w:val="center"/>
                    <w:rPr>
                      <w:rFonts w:hint="default" w:ascii="Times New Roman" w:hAnsi="Times New Roman" w:eastAsia="宋体" w:cs="Times New Roman"/>
                      <w:color w:val="auto"/>
                      <w:sz w:val="21"/>
                      <w:szCs w:val="21"/>
                    </w:rPr>
                  </w:pPr>
                </w:p>
              </w:tc>
              <w:tc>
                <w:tcPr>
                  <w:tcW w:w="1670" w:type="pct"/>
                  <w:vMerge w:val="continue"/>
                  <w:vAlign w:val="center"/>
                </w:tcPr>
                <w:p w14:paraId="33B49DAF">
                  <w:pPr>
                    <w:jc w:val="center"/>
                    <w:rPr>
                      <w:rFonts w:hint="default" w:ascii="Times New Roman" w:hAnsi="Times New Roman" w:eastAsia="宋体" w:cs="Times New Roman"/>
                      <w:color w:val="auto"/>
                      <w:sz w:val="21"/>
                      <w:szCs w:val="21"/>
                    </w:rPr>
                  </w:pPr>
                </w:p>
              </w:tc>
            </w:tr>
            <w:tr w14:paraId="1F8E3C7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41" w:type="pct"/>
                  <w:vMerge w:val="continue"/>
                  <w:vAlign w:val="center"/>
                </w:tcPr>
                <w:p w14:paraId="1631941D">
                  <w:pPr>
                    <w:jc w:val="center"/>
                    <w:rPr>
                      <w:rFonts w:hint="default" w:ascii="Times New Roman" w:hAnsi="Times New Roman" w:eastAsia="宋体" w:cs="Times New Roman"/>
                      <w:color w:val="auto"/>
                      <w:sz w:val="21"/>
                      <w:szCs w:val="21"/>
                    </w:rPr>
                  </w:pPr>
                </w:p>
              </w:tc>
              <w:tc>
                <w:tcPr>
                  <w:tcW w:w="926" w:type="pct"/>
                  <w:vAlign w:val="center"/>
                </w:tcPr>
                <w:p w14:paraId="7E4BCF6F">
                  <w:pPr>
                    <w:keepNext w:val="0"/>
                    <w:keepLines w:val="0"/>
                    <w:widowControl/>
                    <w:suppressLineNumbers w:val="0"/>
                    <w:spacing w:line="240" w:lineRule="auto"/>
                    <w:jc w:val="center"/>
                    <w:textAlignment w:val="center"/>
                    <w:rPr>
                      <w:rFonts w:hint="default" w:ascii="Times New Roman" w:hAnsi="Times New Roman" w:cs="Times New Roman" w:eastAsiaTheme="minorEastAsia"/>
                      <w:i w:val="0"/>
                      <w:iCs w:val="0"/>
                      <w:color w:val="auto"/>
                      <w:kern w:val="0"/>
                      <w:sz w:val="21"/>
                      <w:szCs w:val="21"/>
                      <w:highlight w:val="none"/>
                      <w:u w:val="none"/>
                      <w:lang w:val="en-US" w:eastAsia="zh-CN" w:bidi="ar"/>
                    </w:rPr>
                  </w:pPr>
                  <w:r>
                    <w:rPr>
                      <w:rFonts w:hint="default" w:ascii="Times New Roman" w:hAnsi="Times New Roman" w:cs="Times New Roman" w:eastAsiaTheme="minorEastAsia"/>
                      <w:i w:val="0"/>
                      <w:iCs w:val="0"/>
                      <w:color w:val="auto"/>
                      <w:kern w:val="0"/>
                      <w:sz w:val="21"/>
                      <w:szCs w:val="21"/>
                      <w:highlight w:val="none"/>
                      <w:u w:val="none"/>
                      <w:lang w:val="en-US" w:eastAsia="zh-CN" w:bidi="ar"/>
                    </w:rPr>
                    <w:t>天池镇</w:t>
                  </w:r>
                </w:p>
              </w:tc>
              <w:tc>
                <w:tcPr>
                  <w:tcW w:w="829" w:type="pct"/>
                  <w:vAlign w:val="center"/>
                </w:tcPr>
                <w:p w14:paraId="275A2E1E">
                  <w:pPr>
                    <w:keepNext w:val="0"/>
                    <w:keepLines w:val="0"/>
                    <w:widowControl/>
                    <w:suppressLineNumbers w:val="0"/>
                    <w:spacing w:line="240" w:lineRule="auto"/>
                    <w:jc w:val="center"/>
                    <w:textAlignment w:val="center"/>
                    <w:rPr>
                      <w:rFonts w:hint="default" w:ascii="Times New Roman" w:hAnsi="Times New Roman" w:cs="Times New Roman" w:eastAsiaTheme="minorEastAsia"/>
                      <w:i w:val="0"/>
                      <w:iCs w:val="0"/>
                      <w:color w:val="auto"/>
                      <w:kern w:val="0"/>
                      <w:sz w:val="21"/>
                      <w:szCs w:val="21"/>
                      <w:highlight w:val="none"/>
                      <w:u w:val="none"/>
                      <w:lang w:val="en-US" w:eastAsia="zh-CN" w:bidi="ar"/>
                    </w:rPr>
                  </w:pPr>
                  <w:r>
                    <w:rPr>
                      <w:rFonts w:hint="default" w:ascii="Times New Roman" w:hAnsi="Times New Roman" w:cs="Times New Roman" w:eastAsiaTheme="minorEastAsia"/>
                      <w:i w:val="0"/>
                      <w:iCs w:val="0"/>
                      <w:color w:val="auto"/>
                      <w:kern w:val="0"/>
                      <w:sz w:val="21"/>
                      <w:szCs w:val="21"/>
                      <w:highlight w:val="none"/>
                      <w:u w:val="none"/>
                      <w:lang w:val="en-US" w:eastAsia="zh-CN" w:bidi="ar"/>
                    </w:rPr>
                    <w:t xml:space="preserve">2101.7 </w:t>
                  </w:r>
                </w:p>
              </w:tc>
              <w:tc>
                <w:tcPr>
                  <w:tcW w:w="832" w:type="pct"/>
                  <w:vMerge w:val="continue"/>
                  <w:vAlign w:val="center"/>
                </w:tcPr>
                <w:p w14:paraId="797FD66E">
                  <w:pPr>
                    <w:jc w:val="center"/>
                    <w:rPr>
                      <w:rFonts w:hint="default" w:ascii="Times New Roman" w:hAnsi="Times New Roman" w:eastAsia="宋体" w:cs="Times New Roman"/>
                      <w:color w:val="auto"/>
                      <w:sz w:val="21"/>
                      <w:szCs w:val="21"/>
                    </w:rPr>
                  </w:pPr>
                </w:p>
              </w:tc>
              <w:tc>
                <w:tcPr>
                  <w:tcW w:w="1670" w:type="pct"/>
                  <w:vMerge w:val="continue"/>
                  <w:vAlign w:val="center"/>
                </w:tcPr>
                <w:p w14:paraId="5F672118">
                  <w:pPr>
                    <w:jc w:val="center"/>
                    <w:rPr>
                      <w:rFonts w:hint="default" w:ascii="Times New Roman" w:hAnsi="Times New Roman" w:eastAsia="宋体" w:cs="Times New Roman"/>
                      <w:color w:val="auto"/>
                      <w:sz w:val="21"/>
                      <w:szCs w:val="21"/>
                    </w:rPr>
                  </w:pPr>
                </w:p>
              </w:tc>
            </w:tr>
            <w:tr w14:paraId="77D2122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41" w:type="pct"/>
                  <w:vMerge w:val="continue"/>
                  <w:vAlign w:val="center"/>
                </w:tcPr>
                <w:p w14:paraId="1E0AF5FF">
                  <w:pPr>
                    <w:jc w:val="center"/>
                    <w:rPr>
                      <w:rFonts w:hint="default" w:ascii="Times New Roman" w:hAnsi="Times New Roman" w:eastAsia="宋体" w:cs="Times New Roman"/>
                      <w:color w:val="auto"/>
                      <w:sz w:val="21"/>
                      <w:szCs w:val="21"/>
                    </w:rPr>
                  </w:pPr>
                </w:p>
              </w:tc>
              <w:tc>
                <w:tcPr>
                  <w:tcW w:w="926" w:type="pct"/>
                  <w:vAlign w:val="center"/>
                </w:tcPr>
                <w:p w14:paraId="4660C667">
                  <w:pPr>
                    <w:keepNext w:val="0"/>
                    <w:keepLines w:val="0"/>
                    <w:widowControl/>
                    <w:suppressLineNumbers w:val="0"/>
                    <w:spacing w:line="240" w:lineRule="auto"/>
                    <w:jc w:val="center"/>
                    <w:textAlignment w:val="center"/>
                    <w:rPr>
                      <w:rFonts w:hint="default" w:ascii="Times New Roman" w:hAnsi="Times New Roman" w:cs="Times New Roman" w:eastAsiaTheme="minorEastAsia"/>
                      <w:i w:val="0"/>
                      <w:iCs w:val="0"/>
                      <w:color w:val="auto"/>
                      <w:kern w:val="0"/>
                      <w:sz w:val="21"/>
                      <w:szCs w:val="21"/>
                      <w:highlight w:val="none"/>
                      <w:u w:val="none"/>
                      <w:lang w:val="en-US" w:eastAsia="zh-CN" w:bidi="ar"/>
                    </w:rPr>
                  </w:pPr>
                  <w:r>
                    <w:rPr>
                      <w:rFonts w:hint="default" w:ascii="Times New Roman" w:hAnsi="Times New Roman" w:cs="Times New Roman" w:eastAsiaTheme="minorEastAsia"/>
                      <w:i w:val="0"/>
                      <w:iCs w:val="0"/>
                      <w:color w:val="auto"/>
                      <w:kern w:val="0"/>
                      <w:sz w:val="21"/>
                      <w:szCs w:val="21"/>
                      <w:highlight w:val="none"/>
                      <w:u w:val="none"/>
                      <w:lang w:val="en-US" w:eastAsia="zh-CN" w:bidi="ar"/>
                    </w:rPr>
                    <w:t>中天镇</w:t>
                  </w:r>
                </w:p>
              </w:tc>
              <w:tc>
                <w:tcPr>
                  <w:tcW w:w="829" w:type="pct"/>
                  <w:vAlign w:val="center"/>
                </w:tcPr>
                <w:p w14:paraId="1749B939">
                  <w:pPr>
                    <w:keepNext w:val="0"/>
                    <w:keepLines w:val="0"/>
                    <w:widowControl/>
                    <w:suppressLineNumbers w:val="0"/>
                    <w:spacing w:line="240" w:lineRule="auto"/>
                    <w:jc w:val="center"/>
                    <w:textAlignment w:val="center"/>
                    <w:rPr>
                      <w:rFonts w:hint="default" w:ascii="Times New Roman" w:hAnsi="Times New Roman" w:cs="Times New Roman" w:eastAsiaTheme="minorEastAsia"/>
                      <w:i w:val="0"/>
                      <w:iCs w:val="0"/>
                      <w:color w:val="auto"/>
                      <w:kern w:val="0"/>
                      <w:sz w:val="21"/>
                      <w:szCs w:val="21"/>
                      <w:highlight w:val="none"/>
                      <w:u w:val="none"/>
                      <w:lang w:val="en-US" w:eastAsia="zh-CN" w:bidi="ar"/>
                    </w:rPr>
                  </w:pPr>
                  <w:r>
                    <w:rPr>
                      <w:rFonts w:hint="default" w:ascii="Times New Roman" w:hAnsi="Times New Roman" w:cs="Times New Roman" w:eastAsiaTheme="minorEastAsia"/>
                      <w:i w:val="0"/>
                      <w:iCs w:val="0"/>
                      <w:color w:val="auto"/>
                      <w:kern w:val="0"/>
                      <w:sz w:val="21"/>
                      <w:szCs w:val="21"/>
                      <w:highlight w:val="none"/>
                      <w:u w:val="none"/>
                      <w:lang w:val="en-US" w:eastAsia="zh-CN" w:bidi="ar"/>
                    </w:rPr>
                    <w:t xml:space="preserve">140.1 </w:t>
                  </w:r>
                </w:p>
              </w:tc>
              <w:tc>
                <w:tcPr>
                  <w:tcW w:w="832" w:type="pct"/>
                  <w:vMerge w:val="continue"/>
                  <w:vAlign w:val="center"/>
                </w:tcPr>
                <w:p w14:paraId="312653B5">
                  <w:pPr>
                    <w:jc w:val="center"/>
                    <w:rPr>
                      <w:rFonts w:hint="default" w:ascii="Times New Roman" w:hAnsi="Times New Roman" w:eastAsia="宋体" w:cs="Times New Roman"/>
                      <w:color w:val="auto"/>
                      <w:sz w:val="21"/>
                      <w:szCs w:val="21"/>
                    </w:rPr>
                  </w:pPr>
                </w:p>
              </w:tc>
              <w:tc>
                <w:tcPr>
                  <w:tcW w:w="1670" w:type="pct"/>
                  <w:vMerge w:val="continue"/>
                  <w:vAlign w:val="center"/>
                </w:tcPr>
                <w:p w14:paraId="603F9AE5">
                  <w:pPr>
                    <w:jc w:val="center"/>
                    <w:rPr>
                      <w:rFonts w:hint="default" w:ascii="Times New Roman" w:hAnsi="Times New Roman" w:eastAsia="宋体" w:cs="Times New Roman"/>
                      <w:color w:val="auto"/>
                      <w:sz w:val="21"/>
                      <w:szCs w:val="21"/>
                    </w:rPr>
                  </w:pPr>
                </w:p>
              </w:tc>
            </w:tr>
            <w:tr w14:paraId="2013C8B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41" w:type="pct"/>
                  <w:vMerge w:val="restart"/>
                  <w:vAlign w:val="center"/>
                </w:tcPr>
                <w:p w14:paraId="7E44068E">
                  <w:pPr>
                    <w:jc w:val="center"/>
                    <w:rPr>
                      <w:rFonts w:hint="default" w:ascii="Times New Roman" w:hAnsi="Times New Roman" w:eastAsia="宋体" w:cs="Times New Roman"/>
                      <w:color w:val="auto"/>
                      <w:sz w:val="21"/>
                      <w:szCs w:val="21"/>
                    </w:rPr>
                  </w:pPr>
                  <w:r>
                    <w:rPr>
                      <w:rFonts w:hint="default" w:ascii="Times New Roman" w:hAnsi="Times New Roman" w:cs="Times New Roman" w:eastAsiaTheme="minorEastAsia"/>
                      <w:i w:val="0"/>
                      <w:iCs w:val="0"/>
                      <w:color w:val="auto"/>
                      <w:kern w:val="0"/>
                      <w:sz w:val="21"/>
                      <w:szCs w:val="21"/>
                      <w:highlight w:val="none"/>
                      <w:u w:val="none"/>
                      <w:lang w:val="en-US" w:eastAsia="zh-CN" w:bidi="ar"/>
                    </w:rPr>
                    <w:t>中幼林抚育</w:t>
                  </w:r>
                </w:p>
              </w:tc>
              <w:tc>
                <w:tcPr>
                  <w:tcW w:w="926" w:type="pct"/>
                  <w:vAlign w:val="center"/>
                </w:tcPr>
                <w:p w14:paraId="394FBA94">
                  <w:pPr>
                    <w:keepNext w:val="0"/>
                    <w:keepLines w:val="0"/>
                    <w:widowControl/>
                    <w:suppressLineNumbers w:val="0"/>
                    <w:spacing w:line="240" w:lineRule="auto"/>
                    <w:jc w:val="center"/>
                    <w:textAlignment w:val="center"/>
                    <w:rPr>
                      <w:rFonts w:hint="default" w:ascii="Times New Roman" w:hAnsi="Times New Roman" w:cs="Times New Roman" w:eastAsiaTheme="minorEastAsia"/>
                      <w:i w:val="0"/>
                      <w:iCs w:val="0"/>
                      <w:color w:val="auto"/>
                      <w:kern w:val="0"/>
                      <w:sz w:val="21"/>
                      <w:szCs w:val="21"/>
                      <w:highlight w:val="none"/>
                      <w:u w:val="none"/>
                      <w:lang w:val="en-US" w:eastAsia="zh-CN" w:bidi="ar"/>
                    </w:rPr>
                  </w:pPr>
                  <w:r>
                    <w:rPr>
                      <w:rFonts w:hint="default" w:ascii="Times New Roman" w:hAnsi="Times New Roman" w:cs="Times New Roman" w:eastAsiaTheme="minorEastAsia"/>
                      <w:i w:val="0"/>
                      <w:iCs w:val="0"/>
                      <w:color w:val="auto"/>
                      <w:kern w:val="0"/>
                      <w:sz w:val="21"/>
                      <w:szCs w:val="21"/>
                      <w:highlight w:val="none"/>
                      <w:u w:val="none"/>
                      <w:lang w:val="en-US" w:eastAsia="zh-CN" w:bidi="ar"/>
                    </w:rPr>
                    <w:t>宝林镇</w:t>
                  </w:r>
                </w:p>
              </w:tc>
              <w:tc>
                <w:tcPr>
                  <w:tcW w:w="829" w:type="pct"/>
                  <w:vAlign w:val="center"/>
                </w:tcPr>
                <w:p w14:paraId="3170175E">
                  <w:pPr>
                    <w:keepNext w:val="0"/>
                    <w:keepLines w:val="0"/>
                    <w:widowControl/>
                    <w:suppressLineNumbers w:val="0"/>
                    <w:spacing w:line="240" w:lineRule="auto"/>
                    <w:jc w:val="center"/>
                    <w:textAlignment w:val="center"/>
                    <w:rPr>
                      <w:rFonts w:hint="default" w:ascii="Times New Roman" w:hAnsi="Times New Roman" w:cs="Times New Roman" w:eastAsiaTheme="minorEastAsia"/>
                      <w:i w:val="0"/>
                      <w:iCs w:val="0"/>
                      <w:color w:val="auto"/>
                      <w:kern w:val="0"/>
                      <w:sz w:val="21"/>
                      <w:szCs w:val="21"/>
                      <w:highlight w:val="none"/>
                      <w:u w:val="none"/>
                      <w:lang w:val="en-US" w:eastAsia="zh-CN" w:bidi="ar"/>
                    </w:rPr>
                  </w:pPr>
                  <w:r>
                    <w:rPr>
                      <w:rFonts w:hint="default" w:ascii="Times New Roman" w:hAnsi="Times New Roman" w:cs="Times New Roman" w:eastAsiaTheme="minorEastAsia"/>
                      <w:i w:val="0"/>
                      <w:iCs w:val="0"/>
                      <w:color w:val="auto"/>
                      <w:kern w:val="0"/>
                      <w:sz w:val="21"/>
                      <w:szCs w:val="21"/>
                      <w:highlight w:val="none"/>
                      <w:u w:val="none"/>
                      <w:lang w:val="en-US" w:eastAsia="zh-CN" w:bidi="ar"/>
                    </w:rPr>
                    <w:t xml:space="preserve">8750.1 </w:t>
                  </w:r>
                </w:p>
              </w:tc>
              <w:tc>
                <w:tcPr>
                  <w:tcW w:w="832" w:type="pct"/>
                  <w:vMerge w:val="restart"/>
                  <w:vAlign w:val="center"/>
                </w:tcPr>
                <w:p w14:paraId="001C09DF">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永久占地</w:t>
                  </w:r>
                </w:p>
              </w:tc>
              <w:tc>
                <w:tcPr>
                  <w:tcW w:w="1670" w:type="pct"/>
                  <w:vMerge w:val="restart"/>
                  <w:vAlign w:val="center"/>
                </w:tcPr>
                <w:p w14:paraId="73DD08EC">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均为乔木林地</w:t>
                  </w:r>
                </w:p>
              </w:tc>
            </w:tr>
            <w:tr w14:paraId="3800B26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41" w:type="pct"/>
                  <w:vMerge w:val="continue"/>
                  <w:vAlign w:val="center"/>
                </w:tcPr>
                <w:p w14:paraId="05DF3CE5">
                  <w:pPr>
                    <w:jc w:val="center"/>
                    <w:rPr>
                      <w:rFonts w:hint="default" w:ascii="Times New Roman" w:hAnsi="Times New Roman" w:eastAsia="宋体" w:cs="Times New Roman"/>
                      <w:color w:val="auto"/>
                      <w:sz w:val="21"/>
                      <w:szCs w:val="21"/>
                    </w:rPr>
                  </w:pPr>
                </w:p>
              </w:tc>
              <w:tc>
                <w:tcPr>
                  <w:tcW w:w="926" w:type="pct"/>
                  <w:vAlign w:val="center"/>
                </w:tcPr>
                <w:p w14:paraId="5FD967C6">
                  <w:pPr>
                    <w:keepNext w:val="0"/>
                    <w:keepLines w:val="0"/>
                    <w:widowControl/>
                    <w:suppressLineNumbers w:val="0"/>
                    <w:spacing w:line="240" w:lineRule="auto"/>
                    <w:jc w:val="center"/>
                    <w:textAlignment w:val="center"/>
                    <w:rPr>
                      <w:rFonts w:hint="default" w:ascii="Times New Roman" w:hAnsi="Times New Roman" w:cs="Times New Roman" w:eastAsiaTheme="minorEastAsia"/>
                      <w:i w:val="0"/>
                      <w:iCs w:val="0"/>
                      <w:color w:val="auto"/>
                      <w:kern w:val="0"/>
                      <w:sz w:val="21"/>
                      <w:szCs w:val="21"/>
                      <w:highlight w:val="none"/>
                      <w:u w:val="none"/>
                      <w:lang w:val="en-US" w:eastAsia="zh-CN" w:bidi="ar"/>
                    </w:rPr>
                  </w:pPr>
                  <w:r>
                    <w:rPr>
                      <w:rFonts w:hint="default" w:ascii="Times New Roman" w:hAnsi="Times New Roman" w:cs="Times New Roman" w:eastAsiaTheme="minorEastAsia"/>
                      <w:i w:val="0"/>
                      <w:iCs w:val="0"/>
                      <w:color w:val="auto"/>
                      <w:kern w:val="0"/>
                      <w:sz w:val="21"/>
                      <w:szCs w:val="21"/>
                      <w:highlight w:val="none"/>
                      <w:u w:val="none"/>
                      <w:lang w:val="en-US" w:eastAsia="zh-CN" w:bidi="ar"/>
                    </w:rPr>
                    <w:t>大佛镇</w:t>
                  </w:r>
                </w:p>
              </w:tc>
              <w:tc>
                <w:tcPr>
                  <w:tcW w:w="829" w:type="pct"/>
                  <w:vAlign w:val="center"/>
                </w:tcPr>
                <w:p w14:paraId="3A928026">
                  <w:pPr>
                    <w:keepNext w:val="0"/>
                    <w:keepLines w:val="0"/>
                    <w:widowControl/>
                    <w:suppressLineNumbers w:val="0"/>
                    <w:spacing w:line="240" w:lineRule="auto"/>
                    <w:jc w:val="center"/>
                    <w:textAlignment w:val="center"/>
                    <w:rPr>
                      <w:rFonts w:hint="default" w:ascii="Times New Roman" w:hAnsi="Times New Roman" w:cs="Times New Roman" w:eastAsiaTheme="minorEastAsia"/>
                      <w:i w:val="0"/>
                      <w:iCs w:val="0"/>
                      <w:color w:val="auto"/>
                      <w:kern w:val="0"/>
                      <w:sz w:val="21"/>
                      <w:szCs w:val="21"/>
                      <w:highlight w:val="none"/>
                      <w:u w:val="none"/>
                      <w:lang w:val="en-US" w:eastAsia="zh-CN" w:bidi="ar"/>
                    </w:rPr>
                  </w:pPr>
                  <w:r>
                    <w:rPr>
                      <w:rFonts w:hint="default" w:ascii="Times New Roman" w:hAnsi="Times New Roman" w:cs="Times New Roman" w:eastAsiaTheme="minorEastAsia"/>
                      <w:i w:val="0"/>
                      <w:iCs w:val="0"/>
                      <w:color w:val="auto"/>
                      <w:kern w:val="0"/>
                      <w:sz w:val="21"/>
                      <w:szCs w:val="21"/>
                      <w:highlight w:val="none"/>
                      <w:u w:val="none"/>
                      <w:lang w:val="en-US" w:eastAsia="zh-CN" w:bidi="ar"/>
                    </w:rPr>
                    <w:t xml:space="preserve">7549.7 </w:t>
                  </w:r>
                </w:p>
              </w:tc>
              <w:tc>
                <w:tcPr>
                  <w:tcW w:w="832" w:type="pct"/>
                  <w:vMerge w:val="continue"/>
                  <w:vAlign w:val="center"/>
                </w:tcPr>
                <w:p w14:paraId="5A4A78DD">
                  <w:pPr>
                    <w:jc w:val="center"/>
                    <w:rPr>
                      <w:rFonts w:hint="default" w:ascii="Times New Roman" w:hAnsi="Times New Roman" w:eastAsia="宋体" w:cs="Times New Roman"/>
                      <w:color w:val="auto"/>
                      <w:sz w:val="21"/>
                      <w:szCs w:val="21"/>
                    </w:rPr>
                  </w:pPr>
                </w:p>
              </w:tc>
              <w:tc>
                <w:tcPr>
                  <w:tcW w:w="1670" w:type="pct"/>
                  <w:vMerge w:val="continue"/>
                  <w:vAlign w:val="center"/>
                </w:tcPr>
                <w:p w14:paraId="0129E9E3">
                  <w:pPr>
                    <w:jc w:val="center"/>
                    <w:rPr>
                      <w:rFonts w:hint="default" w:ascii="Times New Roman" w:hAnsi="Times New Roman" w:eastAsia="宋体" w:cs="Times New Roman"/>
                      <w:color w:val="auto"/>
                      <w:sz w:val="21"/>
                      <w:szCs w:val="21"/>
                    </w:rPr>
                  </w:pPr>
                </w:p>
              </w:tc>
            </w:tr>
            <w:tr w14:paraId="07FE000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41" w:type="pct"/>
                  <w:vMerge w:val="continue"/>
                  <w:vAlign w:val="center"/>
                </w:tcPr>
                <w:p w14:paraId="71232B57">
                  <w:pPr>
                    <w:jc w:val="center"/>
                    <w:rPr>
                      <w:rFonts w:hint="default" w:ascii="Times New Roman" w:hAnsi="Times New Roman" w:eastAsia="宋体" w:cs="Times New Roman"/>
                      <w:color w:val="auto"/>
                      <w:sz w:val="21"/>
                      <w:szCs w:val="21"/>
                    </w:rPr>
                  </w:pPr>
                </w:p>
              </w:tc>
              <w:tc>
                <w:tcPr>
                  <w:tcW w:w="926" w:type="pct"/>
                  <w:vAlign w:val="center"/>
                </w:tcPr>
                <w:p w14:paraId="658A4B07">
                  <w:pPr>
                    <w:keepNext w:val="0"/>
                    <w:keepLines w:val="0"/>
                    <w:widowControl/>
                    <w:suppressLineNumbers w:val="0"/>
                    <w:spacing w:line="240" w:lineRule="auto"/>
                    <w:jc w:val="center"/>
                    <w:textAlignment w:val="center"/>
                    <w:rPr>
                      <w:rFonts w:hint="default" w:ascii="Times New Roman" w:hAnsi="Times New Roman" w:cs="Times New Roman" w:eastAsiaTheme="minorEastAsia"/>
                      <w:i w:val="0"/>
                      <w:iCs w:val="0"/>
                      <w:color w:val="auto"/>
                      <w:kern w:val="0"/>
                      <w:sz w:val="21"/>
                      <w:szCs w:val="21"/>
                      <w:highlight w:val="none"/>
                      <w:u w:val="none"/>
                      <w:lang w:val="en-US" w:eastAsia="zh-CN" w:bidi="ar"/>
                    </w:rPr>
                  </w:pPr>
                  <w:r>
                    <w:rPr>
                      <w:rFonts w:hint="default" w:ascii="Times New Roman" w:hAnsi="Times New Roman" w:cs="Times New Roman" w:eastAsiaTheme="minorEastAsia"/>
                      <w:i w:val="0"/>
                      <w:iCs w:val="0"/>
                      <w:color w:val="auto"/>
                      <w:kern w:val="0"/>
                      <w:sz w:val="21"/>
                      <w:szCs w:val="21"/>
                      <w:highlight w:val="none"/>
                      <w:u w:val="none"/>
                      <w:lang w:val="en-US" w:eastAsia="zh-CN" w:bidi="ar"/>
                    </w:rPr>
                    <w:t>高寺镇</w:t>
                  </w:r>
                </w:p>
              </w:tc>
              <w:tc>
                <w:tcPr>
                  <w:tcW w:w="829" w:type="pct"/>
                  <w:vAlign w:val="center"/>
                </w:tcPr>
                <w:p w14:paraId="0F00AF43">
                  <w:pPr>
                    <w:keepNext w:val="0"/>
                    <w:keepLines w:val="0"/>
                    <w:widowControl/>
                    <w:suppressLineNumbers w:val="0"/>
                    <w:spacing w:line="240" w:lineRule="auto"/>
                    <w:jc w:val="center"/>
                    <w:textAlignment w:val="center"/>
                    <w:rPr>
                      <w:rFonts w:hint="default" w:ascii="Times New Roman" w:hAnsi="Times New Roman" w:cs="Times New Roman" w:eastAsiaTheme="minorEastAsia"/>
                      <w:i w:val="0"/>
                      <w:iCs w:val="0"/>
                      <w:color w:val="auto"/>
                      <w:kern w:val="0"/>
                      <w:sz w:val="21"/>
                      <w:szCs w:val="21"/>
                      <w:highlight w:val="none"/>
                      <w:u w:val="none"/>
                      <w:lang w:val="en-US" w:eastAsia="zh-CN" w:bidi="ar"/>
                    </w:rPr>
                  </w:pPr>
                  <w:r>
                    <w:rPr>
                      <w:rFonts w:hint="default" w:ascii="Times New Roman" w:hAnsi="Times New Roman" w:cs="Times New Roman" w:eastAsiaTheme="minorEastAsia"/>
                      <w:i w:val="0"/>
                      <w:iCs w:val="0"/>
                      <w:color w:val="auto"/>
                      <w:kern w:val="0"/>
                      <w:sz w:val="21"/>
                      <w:szCs w:val="21"/>
                      <w:highlight w:val="none"/>
                      <w:u w:val="none"/>
                      <w:lang w:val="en-US" w:eastAsia="zh-CN" w:bidi="ar"/>
                    </w:rPr>
                    <w:t xml:space="preserve">16577.4 </w:t>
                  </w:r>
                </w:p>
              </w:tc>
              <w:tc>
                <w:tcPr>
                  <w:tcW w:w="832" w:type="pct"/>
                  <w:vMerge w:val="continue"/>
                  <w:vAlign w:val="center"/>
                </w:tcPr>
                <w:p w14:paraId="00E4BAE1">
                  <w:pPr>
                    <w:jc w:val="center"/>
                    <w:rPr>
                      <w:rFonts w:hint="default" w:ascii="Times New Roman" w:hAnsi="Times New Roman" w:eastAsia="宋体" w:cs="Times New Roman"/>
                      <w:color w:val="auto"/>
                      <w:sz w:val="21"/>
                      <w:szCs w:val="21"/>
                    </w:rPr>
                  </w:pPr>
                </w:p>
              </w:tc>
              <w:tc>
                <w:tcPr>
                  <w:tcW w:w="1670" w:type="pct"/>
                  <w:vMerge w:val="continue"/>
                  <w:vAlign w:val="center"/>
                </w:tcPr>
                <w:p w14:paraId="695BAB38">
                  <w:pPr>
                    <w:jc w:val="center"/>
                    <w:rPr>
                      <w:rFonts w:hint="default" w:ascii="Times New Roman" w:hAnsi="Times New Roman" w:eastAsia="宋体" w:cs="Times New Roman"/>
                      <w:color w:val="auto"/>
                      <w:sz w:val="21"/>
                      <w:szCs w:val="21"/>
                    </w:rPr>
                  </w:pPr>
                </w:p>
              </w:tc>
            </w:tr>
            <w:tr w14:paraId="0B71C2F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41" w:type="pct"/>
                  <w:vMerge w:val="continue"/>
                  <w:vAlign w:val="center"/>
                </w:tcPr>
                <w:p w14:paraId="0352244A">
                  <w:pPr>
                    <w:jc w:val="center"/>
                    <w:rPr>
                      <w:rFonts w:hint="default" w:ascii="Times New Roman" w:hAnsi="Times New Roman" w:eastAsia="宋体" w:cs="Times New Roman"/>
                      <w:color w:val="auto"/>
                      <w:sz w:val="21"/>
                      <w:szCs w:val="21"/>
                    </w:rPr>
                  </w:pPr>
                </w:p>
              </w:tc>
              <w:tc>
                <w:tcPr>
                  <w:tcW w:w="926" w:type="pct"/>
                  <w:vAlign w:val="center"/>
                </w:tcPr>
                <w:p w14:paraId="7AE4BFF3">
                  <w:pPr>
                    <w:keepNext w:val="0"/>
                    <w:keepLines w:val="0"/>
                    <w:widowControl/>
                    <w:suppressLineNumbers w:val="0"/>
                    <w:spacing w:line="240" w:lineRule="auto"/>
                    <w:jc w:val="center"/>
                    <w:textAlignment w:val="center"/>
                    <w:rPr>
                      <w:rFonts w:hint="default" w:ascii="Times New Roman" w:hAnsi="Times New Roman" w:cs="Times New Roman" w:eastAsiaTheme="minorEastAsia"/>
                      <w:i w:val="0"/>
                      <w:iCs w:val="0"/>
                      <w:color w:val="auto"/>
                      <w:kern w:val="0"/>
                      <w:sz w:val="21"/>
                      <w:szCs w:val="21"/>
                      <w:highlight w:val="none"/>
                      <w:u w:val="none"/>
                      <w:lang w:val="en-US" w:eastAsia="zh-CN" w:bidi="ar"/>
                    </w:rPr>
                  </w:pPr>
                  <w:r>
                    <w:rPr>
                      <w:rFonts w:hint="default" w:ascii="Times New Roman" w:hAnsi="Times New Roman" w:cs="Times New Roman" w:eastAsiaTheme="minorEastAsia"/>
                      <w:i w:val="0"/>
                      <w:iCs w:val="0"/>
                      <w:color w:val="auto"/>
                      <w:kern w:val="0"/>
                      <w:sz w:val="21"/>
                      <w:szCs w:val="21"/>
                      <w:highlight w:val="none"/>
                      <w:u w:val="none"/>
                      <w:lang w:val="en-US" w:eastAsia="zh-CN" w:bidi="ar"/>
                    </w:rPr>
                    <w:t>劳动镇</w:t>
                  </w:r>
                </w:p>
              </w:tc>
              <w:tc>
                <w:tcPr>
                  <w:tcW w:w="829" w:type="pct"/>
                  <w:vAlign w:val="center"/>
                </w:tcPr>
                <w:p w14:paraId="518D58F7">
                  <w:pPr>
                    <w:keepNext w:val="0"/>
                    <w:keepLines w:val="0"/>
                    <w:widowControl/>
                    <w:suppressLineNumbers w:val="0"/>
                    <w:spacing w:line="240" w:lineRule="auto"/>
                    <w:jc w:val="center"/>
                    <w:textAlignment w:val="center"/>
                    <w:rPr>
                      <w:rFonts w:hint="default" w:ascii="Times New Roman" w:hAnsi="Times New Roman" w:cs="Times New Roman" w:eastAsiaTheme="minorEastAsia"/>
                      <w:i w:val="0"/>
                      <w:iCs w:val="0"/>
                      <w:color w:val="auto"/>
                      <w:kern w:val="0"/>
                      <w:sz w:val="21"/>
                      <w:szCs w:val="21"/>
                      <w:highlight w:val="none"/>
                      <w:u w:val="none"/>
                      <w:lang w:val="en-US" w:eastAsia="zh-CN" w:bidi="ar"/>
                    </w:rPr>
                  </w:pPr>
                  <w:r>
                    <w:rPr>
                      <w:rFonts w:hint="default" w:ascii="Times New Roman" w:hAnsi="Times New Roman" w:cs="Times New Roman" w:eastAsiaTheme="minorEastAsia"/>
                      <w:i w:val="0"/>
                      <w:iCs w:val="0"/>
                      <w:color w:val="auto"/>
                      <w:kern w:val="0"/>
                      <w:sz w:val="21"/>
                      <w:szCs w:val="21"/>
                      <w:highlight w:val="none"/>
                      <w:u w:val="none"/>
                      <w:lang w:val="en-US" w:eastAsia="zh-CN" w:bidi="ar"/>
                    </w:rPr>
                    <w:t xml:space="preserve">6914.0 </w:t>
                  </w:r>
                </w:p>
              </w:tc>
              <w:tc>
                <w:tcPr>
                  <w:tcW w:w="832" w:type="pct"/>
                  <w:vMerge w:val="continue"/>
                  <w:vAlign w:val="center"/>
                </w:tcPr>
                <w:p w14:paraId="059097DD">
                  <w:pPr>
                    <w:jc w:val="center"/>
                    <w:rPr>
                      <w:rFonts w:hint="default" w:ascii="Times New Roman" w:hAnsi="Times New Roman" w:eastAsia="宋体" w:cs="Times New Roman"/>
                      <w:color w:val="auto"/>
                      <w:sz w:val="21"/>
                      <w:szCs w:val="21"/>
                    </w:rPr>
                  </w:pPr>
                </w:p>
              </w:tc>
              <w:tc>
                <w:tcPr>
                  <w:tcW w:w="1670" w:type="pct"/>
                  <w:vMerge w:val="continue"/>
                  <w:vAlign w:val="center"/>
                </w:tcPr>
                <w:p w14:paraId="1CE1955F">
                  <w:pPr>
                    <w:jc w:val="center"/>
                    <w:rPr>
                      <w:rFonts w:hint="default" w:ascii="Times New Roman" w:hAnsi="Times New Roman" w:eastAsia="宋体" w:cs="Times New Roman"/>
                      <w:color w:val="auto"/>
                      <w:sz w:val="21"/>
                      <w:szCs w:val="21"/>
                    </w:rPr>
                  </w:pPr>
                </w:p>
              </w:tc>
            </w:tr>
            <w:tr w14:paraId="48BF1B1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41" w:type="pct"/>
                  <w:vAlign w:val="center"/>
                </w:tcPr>
                <w:p w14:paraId="22E52485">
                  <w:pPr>
                    <w:keepNext w:val="0"/>
                    <w:keepLines w:val="0"/>
                    <w:widowControl/>
                    <w:suppressLineNumbers w:val="0"/>
                    <w:spacing w:line="240" w:lineRule="auto"/>
                    <w:jc w:val="center"/>
                    <w:textAlignment w:val="center"/>
                    <w:rPr>
                      <w:rFonts w:hint="default" w:ascii="Times New Roman" w:hAnsi="Times New Roman" w:eastAsia="宋体" w:cs="Times New Roman"/>
                      <w:color w:val="auto"/>
                      <w:sz w:val="21"/>
                      <w:szCs w:val="21"/>
                    </w:rPr>
                  </w:pPr>
                  <w:r>
                    <w:rPr>
                      <w:rFonts w:hint="default" w:ascii="Times New Roman" w:hAnsi="Times New Roman" w:cs="Times New Roman" w:eastAsiaTheme="minorEastAsia"/>
                      <w:i w:val="0"/>
                      <w:iCs w:val="0"/>
                      <w:color w:val="auto"/>
                      <w:kern w:val="0"/>
                      <w:sz w:val="21"/>
                      <w:szCs w:val="21"/>
                      <w:highlight w:val="none"/>
                      <w:u w:val="none"/>
                      <w:lang w:val="en-US" w:eastAsia="zh-CN" w:bidi="ar"/>
                    </w:rPr>
                    <w:t>林下种菌</w:t>
                  </w:r>
                </w:p>
              </w:tc>
              <w:tc>
                <w:tcPr>
                  <w:tcW w:w="926" w:type="pct"/>
                  <w:vAlign w:val="center"/>
                </w:tcPr>
                <w:p w14:paraId="3F938A52">
                  <w:pPr>
                    <w:keepNext w:val="0"/>
                    <w:keepLines w:val="0"/>
                    <w:widowControl/>
                    <w:suppressLineNumbers w:val="0"/>
                    <w:spacing w:line="240" w:lineRule="auto"/>
                    <w:jc w:val="center"/>
                    <w:textAlignment w:val="center"/>
                    <w:rPr>
                      <w:rFonts w:hint="default" w:ascii="Times New Roman" w:hAnsi="Times New Roman" w:cs="Times New Roman" w:eastAsiaTheme="minorEastAsia"/>
                      <w:i w:val="0"/>
                      <w:iCs w:val="0"/>
                      <w:color w:val="auto"/>
                      <w:kern w:val="0"/>
                      <w:sz w:val="21"/>
                      <w:szCs w:val="21"/>
                      <w:highlight w:val="none"/>
                      <w:u w:val="none"/>
                      <w:lang w:val="en-US" w:eastAsia="zh-CN" w:bidi="ar"/>
                    </w:rPr>
                  </w:pPr>
                  <w:r>
                    <w:rPr>
                      <w:rFonts w:hint="default" w:ascii="Times New Roman" w:hAnsi="Times New Roman" w:cs="Times New Roman" w:eastAsiaTheme="minorEastAsia"/>
                      <w:i w:val="0"/>
                      <w:iCs w:val="0"/>
                      <w:color w:val="auto"/>
                      <w:kern w:val="0"/>
                      <w:sz w:val="21"/>
                      <w:szCs w:val="21"/>
                      <w:highlight w:val="none"/>
                      <w:u w:val="none"/>
                      <w:lang w:val="en-US" w:eastAsia="zh-CN" w:bidi="ar"/>
                    </w:rPr>
                    <w:t>高寺镇</w:t>
                  </w:r>
                </w:p>
              </w:tc>
              <w:tc>
                <w:tcPr>
                  <w:tcW w:w="829" w:type="pct"/>
                  <w:vAlign w:val="center"/>
                </w:tcPr>
                <w:p w14:paraId="71DFDA73">
                  <w:pPr>
                    <w:keepNext w:val="0"/>
                    <w:keepLines w:val="0"/>
                    <w:widowControl/>
                    <w:suppressLineNumbers w:val="0"/>
                    <w:spacing w:line="240" w:lineRule="auto"/>
                    <w:jc w:val="center"/>
                    <w:textAlignment w:val="center"/>
                    <w:rPr>
                      <w:rFonts w:hint="default" w:ascii="Times New Roman" w:hAnsi="Times New Roman" w:cs="Times New Roman" w:eastAsiaTheme="minorEastAsia"/>
                      <w:i w:val="0"/>
                      <w:iCs w:val="0"/>
                      <w:color w:val="auto"/>
                      <w:kern w:val="0"/>
                      <w:sz w:val="21"/>
                      <w:szCs w:val="21"/>
                      <w:highlight w:val="none"/>
                      <w:u w:val="none"/>
                      <w:lang w:val="en-US" w:eastAsia="zh-CN" w:bidi="ar"/>
                    </w:rPr>
                  </w:pPr>
                  <w:r>
                    <w:rPr>
                      <w:rFonts w:hint="default" w:ascii="Times New Roman" w:hAnsi="Times New Roman" w:cs="Times New Roman" w:eastAsiaTheme="minorEastAsia"/>
                      <w:i w:val="0"/>
                      <w:iCs w:val="0"/>
                      <w:color w:val="auto"/>
                      <w:kern w:val="0"/>
                      <w:sz w:val="21"/>
                      <w:szCs w:val="21"/>
                      <w:highlight w:val="none"/>
                      <w:u w:val="none"/>
                      <w:lang w:val="en-US" w:eastAsia="zh-CN" w:bidi="ar"/>
                    </w:rPr>
                    <w:t>500</w:t>
                  </w:r>
                </w:p>
              </w:tc>
              <w:tc>
                <w:tcPr>
                  <w:tcW w:w="832" w:type="pct"/>
                  <w:vAlign w:val="center"/>
                </w:tcPr>
                <w:p w14:paraId="5FD9C154">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永久占地</w:t>
                  </w:r>
                </w:p>
              </w:tc>
              <w:tc>
                <w:tcPr>
                  <w:tcW w:w="1670" w:type="pct"/>
                  <w:vAlign w:val="center"/>
                </w:tcPr>
                <w:p w14:paraId="63A175E2">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为灌木林地</w:t>
                  </w:r>
                </w:p>
              </w:tc>
            </w:tr>
            <w:tr w14:paraId="576825C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41" w:type="pct"/>
                  <w:vAlign w:val="center"/>
                </w:tcPr>
                <w:p w14:paraId="7538597F">
                  <w:pPr>
                    <w:keepNext w:val="0"/>
                    <w:keepLines w:val="0"/>
                    <w:widowControl/>
                    <w:suppressLineNumbers w:val="0"/>
                    <w:spacing w:line="240" w:lineRule="auto"/>
                    <w:jc w:val="center"/>
                    <w:textAlignment w:val="center"/>
                    <w:rPr>
                      <w:rFonts w:hint="default" w:ascii="Times New Roman" w:hAnsi="Times New Roman" w:eastAsia="宋体" w:cs="Times New Roman"/>
                      <w:color w:val="auto"/>
                      <w:sz w:val="21"/>
                      <w:szCs w:val="21"/>
                    </w:rPr>
                  </w:pPr>
                  <w:r>
                    <w:rPr>
                      <w:rFonts w:hint="default" w:ascii="Times New Roman" w:hAnsi="Times New Roman" w:cs="Times New Roman" w:eastAsiaTheme="minorEastAsia"/>
                      <w:i w:val="0"/>
                      <w:iCs w:val="0"/>
                      <w:color w:val="auto"/>
                      <w:kern w:val="0"/>
                      <w:sz w:val="21"/>
                      <w:szCs w:val="21"/>
                      <w:highlight w:val="none"/>
                      <w:u w:val="none"/>
                      <w:lang w:val="en-US" w:eastAsia="zh-CN" w:bidi="ar"/>
                    </w:rPr>
                    <w:t>特色经济林</w:t>
                  </w:r>
                </w:p>
              </w:tc>
              <w:tc>
                <w:tcPr>
                  <w:tcW w:w="926" w:type="pct"/>
                  <w:vAlign w:val="center"/>
                </w:tcPr>
                <w:p w14:paraId="2DBE7124">
                  <w:pPr>
                    <w:keepNext w:val="0"/>
                    <w:keepLines w:val="0"/>
                    <w:widowControl/>
                    <w:suppressLineNumbers w:val="0"/>
                    <w:spacing w:line="240" w:lineRule="auto"/>
                    <w:jc w:val="center"/>
                    <w:textAlignment w:val="center"/>
                    <w:rPr>
                      <w:rFonts w:hint="default" w:ascii="Times New Roman" w:hAnsi="Times New Roman" w:cs="Times New Roman" w:eastAsiaTheme="minorEastAsia"/>
                      <w:i w:val="0"/>
                      <w:iCs w:val="0"/>
                      <w:color w:val="auto"/>
                      <w:kern w:val="0"/>
                      <w:sz w:val="21"/>
                      <w:szCs w:val="21"/>
                      <w:highlight w:val="none"/>
                      <w:u w:val="none"/>
                      <w:lang w:val="en-US" w:eastAsia="zh-CN" w:bidi="ar"/>
                    </w:rPr>
                  </w:pPr>
                  <w:r>
                    <w:rPr>
                      <w:rFonts w:hint="default" w:ascii="Times New Roman" w:hAnsi="Times New Roman" w:cs="Times New Roman" w:eastAsiaTheme="minorEastAsia"/>
                      <w:i w:val="0"/>
                      <w:iCs w:val="0"/>
                      <w:color w:val="auto"/>
                      <w:kern w:val="0"/>
                      <w:sz w:val="21"/>
                      <w:szCs w:val="21"/>
                      <w:highlight w:val="none"/>
                      <w:u w:val="none"/>
                      <w:lang w:val="en-US" w:eastAsia="zh-CN" w:bidi="ar"/>
                    </w:rPr>
                    <w:t>高寺镇</w:t>
                  </w:r>
                </w:p>
              </w:tc>
              <w:tc>
                <w:tcPr>
                  <w:tcW w:w="829" w:type="pct"/>
                  <w:vAlign w:val="center"/>
                </w:tcPr>
                <w:p w14:paraId="7C01D244">
                  <w:pPr>
                    <w:keepNext w:val="0"/>
                    <w:keepLines w:val="0"/>
                    <w:widowControl/>
                    <w:suppressLineNumbers w:val="0"/>
                    <w:spacing w:line="240" w:lineRule="auto"/>
                    <w:jc w:val="center"/>
                    <w:textAlignment w:val="center"/>
                    <w:rPr>
                      <w:rFonts w:hint="default" w:ascii="Times New Roman" w:hAnsi="Times New Roman" w:cs="Times New Roman" w:eastAsiaTheme="minorEastAsia"/>
                      <w:i w:val="0"/>
                      <w:iCs w:val="0"/>
                      <w:color w:val="auto"/>
                      <w:kern w:val="0"/>
                      <w:sz w:val="21"/>
                      <w:szCs w:val="21"/>
                      <w:highlight w:val="none"/>
                      <w:u w:val="none"/>
                      <w:lang w:val="en-US" w:eastAsia="zh-CN" w:bidi="ar"/>
                    </w:rPr>
                  </w:pPr>
                  <w:r>
                    <w:rPr>
                      <w:rFonts w:hint="default" w:ascii="Times New Roman" w:hAnsi="Times New Roman" w:cs="Times New Roman" w:eastAsiaTheme="minorEastAsia"/>
                      <w:i w:val="0"/>
                      <w:iCs w:val="0"/>
                      <w:color w:val="auto"/>
                      <w:kern w:val="0"/>
                      <w:sz w:val="21"/>
                      <w:szCs w:val="21"/>
                      <w:highlight w:val="none"/>
                      <w:u w:val="none"/>
                      <w:lang w:val="en-US" w:eastAsia="zh-CN" w:bidi="ar"/>
                    </w:rPr>
                    <w:t xml:space="preserve">3000.0 </w:t>
                  </w:r>
                </w:p>
              </w:tc>
              <w:tc>
                <w:tcPr>
                  <w:tcW w:w="832" w:type="pct"/>
                  <w:vAlign w:val="center"/>
                </w:tcPr>
                <w:p w14:paraId="227D2CA7">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永久占地</w:t>
                  </w:r>
                </w:p>
              </w:tc>
              <w:tc>
                <w:tcPr>
                  <w:tcW w:w="1670" w:type="pct"/>
                  <w:vAlign w:val="center"/>
                </w:tcPr>
                <w:p w14:paraId="0E5B0E8B">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为灌木林地和其他园地区域</w:t>
                  </w:r>
                </w:p>
              </w:tc>
            </w:tr>
            <w:tr w14:paraId="686F064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41" w:type="pct"/>
                  <w:vAlign w:val="center"/>
                </w:tcPr>
                <w:p w14:paraId="050BCDCA">
                  <w:pPr>
                    <w:keepNext w:val="0"/>
                    <w:keepLines w:val="0"/>
                    <w:widowControl/>
                    <w:suppressLineNumbers w:val="0"/>
                    <w:spacing w:line="240" w:lineRule="auto"/>
                    <w:jc w:val="center"/>
                    <w:textAlignment w:val="center"/>
                    <w:rPr>
                      <w:rFonts w:hint="default" w:ascii="Times New Roman" w:hAnsi="Times New Roman" w:eastAsia="宋体" w:cs="Times New Roman"/>
                      <w:color w:val="auto"/>
                      <w:sz w:val="21"/>
                      <w:szCs w:val="21"/>
                    </w:rPr>
                  </w:pPr>
                  <w:r>
                    <w:rPr>
                      <w:rFonts w:hint="default" w:ascii="Times New Roman" w:hAnsi="Times New Roman" w:cs="Times New Roman" w:eastAsiaTheme="minorEastAsia"/>
                      <w:i w:val="0"/>
                      <w:iCs w:val="0"/>
                      <w:color w:val="auto"/>
                      <w:kern w:val="0"/>
                      <w:sz w:val="21"/>
                      <w:szCs w:val="21"/>
                      <w:highlight w:val="none"/>
                      <w:u w:val="none"/>
                      <w:lang w:val="en-US" w:eastAsia="zh-CN" w:bidi="ar"/>
                    </w:rPr>
                    <w:t>林下花卉(特色经济林下套种）</w:t>
                  </w:r>
                </w:p>
              </w:tc>
              <w:tc>
                <w:tcPr>
                  <w:tcW w:w="926" w:type="pct"/>
                  <w:vAlign w:val="center"/>
                </w:tcPr>
                <w:p w14:paraId="7B9C4517">
                  <w:pPr>
                    <w:keepNext w:val="0"/>
                    <w:keepLines w:val="0"/>
                    <w:widowControl/>
                    <w:suppressLineNumbers w:val="0"/>
                    <w:spacing w:line="240" w:lineRule="auto"/>
                    <w:jc w:val="center"/>
                    <w:textAlignment w:val="center"/>
                    <w:rPr>
                      <w:rFonts w:hint="default" w:ascii="Times New Roman" w:hAnsi="Times New Roman" w:cs="Times New Roman" w:eastAsiaTheme="minorEastAsia"/>
                      <w:i w:val="0"/>
                      <w:iCs w:val="0"/>
                      <w:color w:val="auto"/>
                      <w:kern w:val="0"/>
                      <w:sz w:val="21"/>
                      <w:szCs w:val="21"/>
                      <w:highlight w:val="none"/>
                      <w:u w:val="none"/>
                      <w:lang w:val="en-US" w:eastAsia="zh-CN" w:bidi="ar"/>
                    </w:rPr>
                  </w:pPr>
                  <w:r>
                    <w:rPr>
                      <w:rFonts w:hint="default" w:ascii="Times New Roman" w:hAnsi="Times New Roman" w:cs="Times New Roman" w:eastAsiaTheme="minorEastAsia"/>
                      <w:i w:val="0"/>
                      <w:iCs w:val="0"/>
                      <w:color w:val="auto"/>
                      <w:kern w:val="0"/>
                      <w:sz w:val="21"/>
                      <w:szCs w:val="21"/>
                      <w:highlight w:val="none"/>
                      <w:u w:val="none"/>
                      <w:lang w:val="en-US" w:eastAsia="zh-CN" w:bidi="ar"/>
                    </w:rPr>
                    <w:t>高寺镇</w:t>
                  </w:r>
                </w:p>
              </w:tc>
              <w:tc>
                <w:tcPr>
                  <w:tcW w:w="829" w:type="pct"/>
                  <w:vAlign w:val="center"/>
                </w:tcPr>
                <w:p w14:paraId="710FEC4B">
                  <w:pPr>
                    <w:keepNext w:val="0"/>
                    <w:keepLines w:val="0"/>
                    <w:widowControl/>
                    <w:suppressLineNumbers w:val="0"/>
                    <w:spacing w:line="240" w:lineRule="auto"/>
                    <w:jc w:val="center"/>
                    <w:textAlignment w:val="center"/>
                    <w:rPr>
                      <w:rFonts w:hint="default" w:ascii="Times New Roman" w:hAnsi="Times New Roman" w:cs="Times New Roman" w:eastAsiaTheme="minorEastAsia"/>
                      <w:i w:val="0"/>
                      <w:iCs w:val="0"/>
                      <w:color w:val="auto"/>
                      <w:kern w:val="0"/>
                      <w:sz w:val="21"/>
                      <w:szCs w:val="21"/>
                      <w:highlight w:val="none"/>
                      <w:u w:val="none"/>
                      <w:lang w:val="en-US" w:eastAsia="zh-CN" w:bidi="ar"/>
                    </w:rPr>
                  </w:pPr>
                  <w:r>
                    <w:rPr>
                      <w:rFonts w:hint="default" w:ascii="Times New Roman" w:hAnsi="Times New Roman" w:cs="Times New Roman" w:eastAsiaTheme="minorEastAsia"/>
                      <w:i w:val="0"/>
                      <w:iCs w:val="0"/>
                      <w:color w:val="auto"/>
                      <w:kern w:val="0"/>
                      <w:sz w:val="21"/>
                      <w:szCs w:val="21"/>
                      <w:highlight w:val="none"/>
                      <w:u w:val="none"/>
                      <w:lang w:val="en-US" w:eastAsia="zh-CN" w:bidi="ar"/>
                    </w:rPr>
                    <w:t>205</w:t>
                  </w:r>
                </w:p>
              </w:tc>
              <w:tc>
                <w:tcPr>
                  <w:tcW w:w="832" w:type="pct"/>
                  <w:vAlign w:val="center"/>
                </w:tcPr>
                <w:p w14:paraId="389494A2">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永久占地</w:t>
                  </w:r>
                </w:p>
              </w:tc>
              <w:tc>
                <w:tcPr>
                  <w:tcW w:w="1670" w:type="pct"/>
                  <w:vAlign w:val="center"/>
                </w:tcPr>
                <w:p w14:paraId="5BC046AC">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为特色经济林林下</w:t>
                  </w:r>
                </w:p>
              </w:tc>
            </w:tr>
            <w:tr w14:paraId="7501CAD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41" w:type="pct"/>
                  <w:vAlign w:val="center"/>
                </w:tcPr>
                <w:p w14:paraId="219E58CA">
                  <w:pPr>
                    <w:keepNext w:val="0"/>
                    <w:keepLines w:val="0"/>
                    <w:widowControl/>
                    <w:suppressLineNumbers w:val="0"/>
                    <w:spacing w:line="240" w:lineRule="auto"/>
                    <w:jc w:val="center"/>
                    <w:textAlignment w:val="center"/>
                    <w:rPr>
                      <w:rFonts w:hint="default" w:ascii="Times New Roman" w:hAnsi="Times New Roman" w:eastAsia="宋体" w:cs="Times New Roman"/>
                      <w:color w:val="auto"/>
                      <w:sz w:val="21"/>
                      <w:szCs w:val="21"/>
                    </w:rPr>
                  </w:pPr>
                  <w:r>
                    <w:rPr>
                      <w:rFonts w:hint="default" w:ascii="Times New Roman" w:hAnsi="Times New Roman" w:cs="Times New Roman" w:eastAsiaTheme="minorEastAsia"/>
                      <w:i w:val="0"/>
                      <w:iCs w:val="0"/>
                      <w:color w:val="auto"/>
                      <w:kern w:val="0"/>
                      <w:sz w:val="21"/>
                      <w:szCs w:val="21"/>
                      <w:highlight w:val="none"/>
                      <w:u w:val="none"/>
                      <w:lang w:val="en-US" w:eastAsia="zh-CN" w:bidi="ar"/>
                    </w:rPr>
                    <w:t>珍稀林木</w:t>
                  </w:r>
                </w:p>
              </w:tc>
              <w:tc>
                <w:tcPr>
                  <w:tcW w:w="926" w:type="pct"/>
                  <w:vAlign w:val="center"/>
                </w:tcPr>
                <w:p w14:paraId="0FFCF6D3">
                  <w:pPr>
                    <w:keepNext w:val="0"/>
                    <w:keepLines w:val="0"/>
                    <w:widowControl/>
                    <w:suppressLineNumbers w:val="0"/>
                    <w:spacing w:line="240" w:lineRule="auto"/>
                    <w:jc w:val="center"/>
                    <w:textAlignment w:val="center"/>
                    <w:rPr>
                      <w:rFonts w:hint="default" w:ascii="Times New Roman" w:hAnsi="Times New Roman" w:cs="Times New Roman" w:eastAsiaTheme="minorEastAsia"/>
                      <w:i w:val="0"/>
                      <w:iCs w:val="0"/>
                      <w:color w:val="auto"/>
                      <w:kern w:val="0"/>
                      <w:sz w:val="21"/>
                      <w:szCs w:val="21"/>
                      <w:highlight w:val="none"/>
                      <w:u w:val="none"/>
                      <w:lang w:val="en-US" w:eastAsia="zh-CN" w:bidi="ar"/>
                    </w:rPr>
                  </w:pPr>
                  <w:r>
                    <w:rPr>
                      <w:rFonts w:hint="default" w:ascii="Times New Roman" w:hAnsi="Times New Roman" w:cs="Times New Roman" w:eastAsiaTheme="minorEastAsia"/>
                      <w:i w:val="0"/>
                      <w:iCs w:val="0"/>
                      <w:color w:val="auto"/>
                      <w:kern w:val="0"/>
                      <w:sz w:val="21"/>
                      <w:szCs w:val="21"/>
                      <w:highlight w:val="none"/>
                      <w:u w:val="none"/>
                      <w:lang w:val="en-US" w:eastAsia="zh-CN" w:bidi="ar"/>
                    </w:rPr>
                    <w:t>高寺镇</w:t>
                  </w:r>
                </w:p>
              </w:tc>
              <w:tc>
                <w:tcPr>
                  <w:tcW w:w="829" w:type="pct"/>
                  <w:vAlign w:val="center"/>
                </w:tcPr>
                <w:p w14:paraId="65383691">
                  <w:pPr>
                    <w:keepNext w:val="0"/>
                    <w:keepLines w:val="0"/>
                    <w:widowControl/>
                    <w:suppressLineNumbers w:val="0"/>
                    <w:spacing w:line="240" w:lineRule="auto"/>
                    <w:jc w:val="center"/>
                    <w:textAlignment w:val="center"/>
                    <w:rPr>
                      <w:rFonts w:hint="default" w:ascii="Times New Roman" w:hAnsi="Times New Roman" w:cs="Times New Roman" w:eastAsiaTheme="minorEastAsia"/>
                      <w:i w:val="0"/>
                      <w:iCs w:val="0"/>
                      <w:color w:val="auto"/>
                      <w:kern w:val="0"/>
                      <w:sz w:val="21"/>
                      <w:szCs w:val="21"/>
                      <w:highlight w:val="none"/>
                      <w:u w:val="none"/>
                      <w:lang w:val="en-US" w:eastAsia="zh-CN" w:bidi="ar"/>
                    </w:rPr>
                  </w:pPr>
                  <w:r>
                    <w:rPr>
                      <w:rFonts w:hint="default" w:ascii="Times New Roman" w:hAnsi="Times New Roman" w:cs="Times New Roman" w:eastAsiaTheme="minorEastAsia"/>
                      <w:i w:val="0"/>
                      <w:iCs w:val="0"/>
                      <w:color w:val="auto"/>
                      <w:kern w:val="0"/>
                      <w:sz w:val="21"/>
                      <w:szCs w:val="21"/>
                      <w:highlight w:val="none"/>
                      <w:u w:val="none"/>
                      <w:lang w:val="en-US" w:eastAsia="zh-CN" w:bidi="ar"/>
                    </w:rPr>
                    <w:t>2081</w:t>
                  </w:r>
                </w:p>
              </w:tc>
              <w:tc>
                <w:tcPr>
                  <w:tcW w:w="832" w:type="pct"/>
                  <w:vAlign w:val="center"/>
                </w:tcPr>
                <w:p w14:paraId="39192E65">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永久占地</w:t>
                  </w:r>
                </w:p>
              </w:tc>
              <w:tc>
                <w:tcPr>
                  <w:tcW w:w="1670" w:type="pct"/>
                  <w:vAlign w:val="center"/>
                </w:tcPr>
                <w:p w14:paraId="2010A86B">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为灌木林地和其他园地区域</w:t>
                  </w:r>
                </w:p>
              </w:tc>
            </w:tr>
            <w:tr w14:paraId="0BDCA05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41" w:type="pct"/>
                  <w:vAlign w:val="center"/>
                </w:tcPr>
                <w:p w14:paraId="004974FE">
                  <w:pPr>
                    <w:keepNext w:val="0"/>
                    <w:keepLines w:val="0"/>
                    <w:widowControl/>
                    <w:suppressLineNumbers w:val="0"/>
                    <w:spacing w:line="240" w:lineRule="auto"/>
                    <w:jc w:val="center"/>
                    <w:textAlignment w:val="center"/>
                    <w:rPr>
                      <w:rFonts w:hint="default" w:ascii="Times New Roman" w:hAnsi="Times New Roman" w:eastAsia="宋体" w:cs="Times New Roman"/>
                      <w:color w:val="auto"/>
                      <w:sz w:val="21"/>
                      <w:szCs w:val="21"/>
                    </w:rPr>
                  </w:pPr>
                  <w:r>
                    <w:rPr>
                      <w:rFonts w:hint="default" w:ascii="Times New Roman" w:hAnsi="Times New Roman" w:cs="Times New Roman" w:eastAsiaTheme="minorEastAsia"/>
                      <w:i w:val="0"/>
                      <w:iCs w:val="0"/>
                      <w:color w:val="auto"/>
                      <w:kern w:val="0"/>
                      <w:sz w:val="21"/>
                      <w:szCs w:val="21"/>
                      <w:highlight w:val="none"/>
                      <w:u w:val="none"/>
                      <w:lang w:val="en-US" w:eastAsia="zh-CN" w:bidi="ar"/>
                    </w:rPr>
                    <w:t>林下中药材（珍稀林木下套种）</w:t>
                  </w:r>
                </w:p>
              </w:tc>
              <w:tc>
                <w:tcPr>
                  <w:tcW w:w="926" w:type="pct"/>
                  <w:vAlign w:val="center"/>
                </w:tcPr>
                <w:p w14:paraId="5576AAB4">
                  <w:pPr>
                    <w:keepNext w:val="0"/>
                    <w:keepLines w:val="0"/>
                    <w:widowControl/>
                    <w:suppressLineNumbers w:val="0"/>
                    <w:spacing w:line="240" w:lineRule="auto"/>
                    <w:jc w:val="center"/>
                    <w:textAlignment w:val="center"/>
                    <w:rPr>
                      <w:rFonts w:hint="default" w:ascii="Times New Roman" w:hAnsi="Times New Roman" w:cs="Times New Roman" w:eastAsiaTheme="minorEastAsia"/>
                      <w:i w:val="0"/>
                      <w:iCs w:val="0"/>
                      <w:color w:val="auto"/>
                      <w:kern w:val="0"/>
                      <w:sz w:val="21"/>
                      <w:szCs w:val="21"/>
                      <w:highlight w:val="none"/>
                      <w:u w:val="none"/>
                      <w:lang w:val="en-US" w:eastAsia="zh-CN" w:bidi="ar"/>
                    </w:rPr>
                  </w:pPr>
                  <w:r>
                    <w:rPr>
                      <w:rFonts w:hint="default" w:ascii="Times New Roman" w:hAnsi="Times New Roman" w:cs="Times New Roman" w:eastAsiaTheme="minorEastAsia"/>
                      <w:i w:val="0"/>
                      <w:iCs w:val="0"/>
                      <w:color w:val="auto"/>
                      <w:kern w:val="0"/>
                      <w:sz w:val="21"/>
                      <w:szCs w:val="21"/>
                      <w:highlight w:val="none"/>
                      <w:u w:val="none"/>
                      <w:lang w:val="en-US" w:eastAsia="zh-CN" w:bidi="ar"/>
                    </w:rPr>
                    <w:t>高寺镇</w:t>
                  </w:r>
                </w:p>
              </w:tc>
              <w:tc>
                <w:tcPr>
                  <w:tcW w:w="829" w:type="pct"/>
                  <w:vAlign w:val="center"/>
                </w:tcPr>
                <w:p w14:paraId="21E952D3">
                  <w:pPr>
                    <w:keepNext w:val="0"/>
                    <w:keepLines w:val="0"/>
                    <w:widowControl/>
                    <w:suppressLineNumbers w:val="0"/>
                    <w:spacing w:line="240" w:lineRule="auto"/>
                    <w:jc w:val="center"/>
                    <w:textAlignment w:val="center"/>
                    <w:rPr>
                      <w:rFonts w:hint="default" w:ascii="Times New Roman" w:hAnsi="Times New Roman" w:cs="Times New Roman" w:eastAsiaTheme="minorEastAsia"/>
                      <w:i w:val="0"/>
                      <w:iCs w:val="0"/>
                      <w:color w:val="auto"/>
                      <w:kern w:val="0"/>
                      <w:sz w:val="21"/>
                      <w:szCs w:val="21"/>
                      <w:highlight w:val="none"/>
                      <w:u w:val="none"/>
                      <w:lang w:val="en-US" w:eastAsia="zh-CN" w:bidi="ar"/>
                    </w:rPr>
                  </w:pPr>
                  <w:r>
                    <w:rPr>
                      <w:rFonts w:hint="default" w:ascii="Times New Roman" w:hAnsi="Times New Roman" w:cs="Times New Roman" w:eastAsiaTheme="minorEastAsia"/>
                      <w:i w:val="0"/>
                      <w:iCs w:val="0"/>
                      <w:color w:val="auto"/>
                      <w:kern w:val="0"/>
                      <w:sz w:val="21"/>
                      <w:szCs w:val="21"/>
                      <w:highlight w:val="none"/>
                      <w:u w:val="none"/>
                      <w:lang w:val="en-US" w:eastAsia="zh-CN" w:bidi="ar"/>
                    </w:rPr>
                    <w:t>1035.9</w:t>
                  </w:r>
                </w:p>
              </w:tc>
              <w:tc>
                <w:tcPr>
                  <w:tcW w:w="832" w:type="pct"/>
                  <w:vAlign w:val="center"/>
                </w:tcPr>
                <w:p w14:paraId="7885AE55">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永久占地</w:t>
                  </w:r>
                </w:p>
              </w:tc>
              <w:tc>
                <w:tcPr>
                  <w:tcW w:w="1670" w:type="pct"/>
                  <w:vAlign w:val="center"/>
                </w:tcPr>
                <w:p w14:paraId="3C74592C">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为珍稀林木林下</w:t>
                  </w:r>
                </w:p>
              </w:tc>
            </w:tr>
            <w:tr w14:paraId="0743988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67" w:type="pct"/>
                  <w:gridSpan w:val="2"/>
                  <w:vAlign w:val="center"/>
                </w:tcPr>
                <w:p w14:paraId="317F1249">
                  <w:pPr>
                    <w:keepNext w:val="0"/>
                    <w:keepLines w:val="0"/>
                    <w:widowControl/>
                    <w:suppressLineNumbers w:val="0"/>
                    <w:spacing w:line="240" w:lineRule="auto"/>
                    <w:jc w:val="center"/>
                    <w:textAlignment w:val="center"/>
                    <w:rPr>
                      <w:rFonts w:hint="default" w:ascii="Times New Roman" w:hAnsi="Times New Roman" w:cs="Times New Roman" w:eastAsiaTheme="minorEastAsia"/>
                      <w:i w:val="0"/>
                      <w:iCs w:val="0"/>
                      <w:color w:val="auto"/>
                      <w:kern w:val="0"/>
                      <w:sz w:val="21"/>
                      <w:szCs w:val="21"/>
                      <w:highlight w:val="none"/>
                      <w:u w:val="none"/>
                      <w:lang w:val="en-US" w:eastAsia="zh-CN" w:bidi="ar"/>
                    </w:rPr>
                  </w:pPr>
                  <w:r>
                    <w:rPr>
                      <w:rFonts w:hint="default" w:ascii="Times New Roman" w:hAnsi="Times New Roman" w:eastAsia="宋体" w:cs="Times New Roman"/>
                      <w:color w:val="auto"/>
                    </w:rPr>
                    <w:t>临时堆土场</w:t>
                  </w:r>
                </w:p>
              </w:tc>
              <w:tc>
                <w:tcPr>
                  <w:tcW w:w="829" w:type="pct"/>
                  <w:vAlign w:val="center"/>
                </w:tcPr>
                <w:p w14:paraId="6EEEBEF7">
                  <w:pPr>
                    <w:jc w:val="center"/>
                    <w:rPr>
                      <w:rFonts w:hint="default" w:ascii="Times New Roman" w:hAnsi="Times New Roman" w:cs="Times New Roman" w:eastAsiaTheme="minorEastAsia"/>
                      <w:i w:val="0"/>
                      <w:iCs w:val="0"/>
                      <w:color w:val="auto"/>
                      <w:kern w:val="0"/>
                      <w:sz w:val="21"/>
                      <w:szCs w:val="21"/>
                      <w:highlight w:val="none"/>
                      <w:u w:val="none"/>
                      <w:lang w:val="en-US" w:eastAsia="zh-CN" w:bidi="ar"/>
                    </w:rPr>
                  </w:pPr>
                  <w:r>
                    <w:rPr>
                      <w:rFonts w:hint="default" w:ascii="Times New Roman" w:hAnsi="Times New Roman" w:eastAsia="宋体" w:cs="Times New Roman"/>
                      <w:color w:val="auto"/>
                      <w:lang w:val="en-US" w:eastAsia="zh-CN"/>
                    </w:rPr>
                    <w:t>4.5</w:t>
                  </w:r>
                </w:p>
              </w:tc>
              <w:tc>
                <w:tcPr>
                  <w:tcW w:w="832" w:type="pct"/>
                  <w:vAlign w:val="center"/>
                </w:tcPr>
                <w:p w14:paraId="6D3B2FE6">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临时占地</w:t>
                  </w:r>
                </w:p>
              </w:tc>
              <w:tc>
                <w:tcPr>
                  <w:tcW w:w="1670" w:type="pct"/>
                  <w:vAlign w:val="center"/>
                </w:tcPr>
                <w:p w14:paraId="160E4423">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r>
            <w:tr w14:paraId="386F94B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67" w:type="pct"/>
                  <w:gridSpan w:val="2"/>
                  <w:vAlign w:val="center"/>
                </w:tcPr>
                <w:p w14:paraId="49EE5BF7">
                  <w:pPr>
                    <w:keepNext w:val="0"/>
                    <w:keepLines w:val="0"/>
                    <w:widowControl/>
                    <w:suppressLineNumbers w:val="0"/>
                    <w:spacing w:line="240" w:lineRule="auto"/>
                    <w:jc w:val="center"/>
                    <w:textAlignment w:val="center"/>
                    <w:rPr>
                      <w:rFonts w:hint="default" w:ascii="Times New Roman" w:hAnsi="Times New Roman" w:cs="Times New Roman" w:eastAsiaTheme="minorEastAsia"/>
                      <w:i w:val="0"/>
                      <w:iCs w:val="0"/>
                      <w:color w:val="auto"/>
                      <w:kern w:val="0"/>
                      <w:sz w:val="21"/>
                      <w:szCs w:val="21"/>
                      <w:highlight w:val="none"/>
                      <w:u w:val="none"/>
                      <w:lang w:val="en-US" w:eastAsia="zh-CN" w:bidi="ar"/>
                    </w:rPr>
                  </w:pPr>
                  <w:r>
                    <w:rPr>
                      <w:rFonts w:hint="default" w:ascii="Times New Roman" w:hAnsi="Times New Roman" w:eastAsia="宋体" w:cs="Times New Roman"/>
                      <w:color w:val="auto"/>
                    </w:rPr>
                    <w:t>弃土场</w:t>
                  </w:r>
                </w:p>
              </w:tc>
              <w:tc>
                <w:tcPr>
                  <w:tcW w:w="829" w:type="pct"/>
                  <w:vAlign w:val="center"/>
                </w:tcPr>
                <w:p w14:paraId="62074B13">
                  <w:pPr>
                    <w:jc w:val="center"/>
                    <w:rPr>
                      <w:rFonts w:hint="default" w:ascii="Times New Roman" w:hAnsi="Times New Roman" w:cs="Times New Roman" w:eastAsiaTheme="minorEastAsia"/>
                      <w:i w:val="0"/>
                      <w:iCs w:val="0"/>
                      <w:color w:val="auto"/>
                      <w:kern w:val="0"/>
                      <w:sz w:val="21"/>
                      <w:szCs w:val="21"/>
                      <w:highlight w:val="none"/>
                      <w:u w:val="none"/>
                      <w:lang w:val="en-US" w:eastAsia="zh-CN" w:bidi="ar"/>
                    </w:rPr>
                  </w:pPr>
                  <w:r>
                    <w:rPr>
                      <w:rFonts w:hint="default" w:ascii="Times New Roman" w:hAnsi="Times New Roman" w:eastAsia="宋体" w:cs="Times New Roman"/>
                      <w:color w:val="auto"/>
                      <w:lang w:val="en-US" w:eastAsia="zh-CN"/>
                    </w:rPr>
                    <w:t>2.25</w:t>
                  </w:r>
                </w:p>
              </w:tc>
              <w:tc>
                <w:tcPr>
                  <w:tcW w:w="832" w:type="pct"/>
                  <w:vAlign w:val="center"/>
                </w:tcPr>
                <w:p w14:paraId="5B591490">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t>临时占地</w:t>
                  </w:r>
                </w:p>
              </w:tc>
              <w:tc>
                <w:tcPr>
                  <w:tcW w:w="1670" w:type="pct"/>
                  <w:vAlign w:val="center"/>
                </w:tcPr>
                <w:p w14:paraId="0686A716">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r>
            <w:tr w14:paraId="561F536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67" w:type="pct"/>
                  <w:gridSpan w:val="2"/>
                  <w:vAlign w:val="center"/>
                </w:tcPr>
                <w:p w14:paraId="5C7A9619">
                  <w:pPr>
                    <w:keepNext w:val="0"/>
                    <w:keepLines w:val="0"/>
                    <w:widowControl/>
                    <w:suppressLineNumbers w:val="0"/>
                    <w:spacing w:line="240" w:lineRule="auto"/>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合计</w:t>
                  </w:r>
                </w:p>
              </w:tc>
              <w:tc>
                <w:tcPr>
                  <w:tcW w:w="829" w:type="pct"/>
                  <w:vAlign w:val="center"/>
                </w:tcPr>
                <w:p w14:paraId="562B0A2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58082.2</w:t>
                  </w:r>
                </w:p>
              </w:tc>
              <w:tc>
                <w:tcPr>
                  <w:tcW w:w="832" w:type="pct"/>
                  <w:vAlign w:val="center"/>
                </w:tcPr>
                <w:p w14:paraId="27226A34">
                  <w:pPr>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w:t>
                  </w:r>
                </w:p>
              </w:tc>
              <w:tc>
                <w:tcPr>
                  <w:tcW w:w="1670" w:type="pct"/>
                  <w:vAlign w:val="center"/>
                </w:tcPr>
                <w:p w14:paraId="0F565C06">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r>
            <w:bookmarkEnd w:id="11"/>
          </w:tbl>
          <w:p w14:paraId="7D1FF3CB">
            <w:pPr>
              <w:pStyle w:val="11"/>
              <w:widowControl w:val="0"/>
              <w:kinsoku/>
              <w:autoSpaceDE/>
              <w:autoSpaceDN/>
              <w:adjustRightInd/>
              <w:snapToGrid/>
              <w:spacing w:before="0" w:line="360" w:lineRule="auto"/>
              <w:ind w:firstLine="452" w:firstLineChars="200"/>
              <w:jc w:val="both"/>
              <w:textAlignment w:val="auto"/>
              <w:rPr>
                <w:rFonts w:hint="default" w:ascii="Times New Roman" w:hAnsi="Times New Roman" w:eastAsia="宋体" w:cs="Times New Roman"/>
                <w:color w:val="auto"/>
                <w:spacing w:val="-7"/>
              </w:rPr>
            </w:pPr>
            <w:r>
              <w:rPr>
                <w:rFonts w:hint="default" w:ascii="Times New Roman" w:hAnsi="Times New Roman" w:eastAsia="宋体" w:cs="Times New Roman"/>
                <w:color w:val="auto"/>
                <w:spacing w:val="-7"/>
              </w:rPr>
              <w:t>注：临时堆土场、弃土场占地位于项目永久占地范围内。</w:t>
            </w:r>
          </w:p>
          <w:p w14:paraId="230FA16C">
            <w:pPr>
              <w:pStyle w:val="11"/>
              <w:widowControl w:val="0"/>
              <w:kinsoku/>
              <w:autoSpaceDE/>
              <w:autoSpaceDN/>
              <w:adjustRightInd/>
              <w:snapToGrid/>
              <w:spacing w:before="0" w:line="360" w:lineRule="auto"/>
              <w:ind w:firstLine="480" w:firstLineChars="200"/>
              <w:jc w:val="both"/>
              <w:textAlignment w:val="auto"/>
              <w:rPr>
                <w:rFonts w:hint="default" w:ascii="Times New Roman" w:hAnsi="Times New Roman" w:eastAsia="宋体" w:cs="Times New Roman"/>
                <w:color w:val="auto"/>
              </w:rPr>
            </w:pPr>
          </w:p>
        </w:tc>
      </w:tr>
    </w:tbl>
    <w:p w14:paraId="7369F734">
      <w:pPr>
        <w:spacing w:line="91" w:lineRule="auto"/>
        <w:rPr>
          <w:rFonts w:hint="default" w:ascii="Times New Roman" w:hAnsi="Times New Roman" w:eastAsia="宋体" w:cs="Times New Roman"/>
          <w:color w:val="auto"/>
          <w:sz w:val="2"/>
        </w:rPr>
      </w:pPr>
    </w:p>
    <w:tbl>
      <w:tblPr>
        <w:tblStyle w:val="43"/>
        <w:tblW w:w="8861"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473"/>
        <w:gridCol w:w="8388"/>
      </w:tblGrid>
      <w:tr w14:paraId="31F994A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473" w:type="dxa"/>
            <w:vAlign w:val="center"/>
          </w:tcPr>
          <w:p w14:paraId="2C0243B3">
            <w:pPr>
              <w:jc w:val="center"/>
              <w:rPr>
                <w:rFonts w:hint="default" w:ascii="Times New Roman" w:hAnsi="Times New Roman" w:eastAsia="宋体" w:cs="Times New Roman"/>
                <w:color w:val="auto"/>
              </w:rPr>
            </w:pPr>
            <w:r>
              <w:rPr>
                <w:rFonts w:hint="default" w:ascii="Times New Roman" w:hAnsi="Times New Roman" w:eastAsia="宋体" w:cs="Times New Roman"/>
                <w:color w:val="auto"/>
                <w:sz w:val="24"/>
                <w:szCs w:val="24"/>
              </w:rPr>
              <w:t>施工方案</w:t>
            </w:r>
          </w:p>
        </w:tc>
        <w:tc>
          <w:tcPr>
            <w:tcW w:w="8388" w:type="dxa"/>
            <w:vAlign w:val="center"/>
          </w:tcPr>
          <w:p w14:paraId="780F8BB0">
            <w:pPr>
              <w:spacing w:before="51" w:line="360" w:lineRule="auto"/>
              <w:ind w:firstLine="611"/>
              <w:outlineLvl w:val="1"/>
              <w:rPr>
                <w:rFonts w:hint="default" w:ascii="Times New Roman" w:hAnsi="Times New Roman" w:eastAsia="宋体" w:cs="Times New Roman"/>
                <w:b/>
                <w:bCs/>
                <w:color w:val="auto"/>
                <w:spacing w:val="-10"/>
                <w:sz w:val="28"/>
                <w:szCs w:val="28"/>
              </w:rPr>
            </w:pPr>
            <w:bookmarkStart w:id="12" w:name="_Toc25729"/>
            <w:r>
              <w:rPr>
                <w:rFonts w:hint="default" w:ascii="Times New Roman" w:hAnsi="Times New Roman" w:eastAsia="宋体" w:cs="Times New Roman"/>
                <w:b/>
                <w:bCs/>
                <w:color w:val="auto"/>
                <w:spacing w:val="-10"/>
                <w:sz w:val="28"/>
                <w:szCs w:val="28"/>
              </w:rPr>
              <w:t>三、施工方案</w:t>
            </w:r>
            <w:bookmarkEnd w:id="12"/>
          </w:p>
          <w:p w14:paraId="0427C5A6">
            <w:pPr>
              <w:spacing w:before="51" w:line="360" w:lineRule="auto"/>
              <w:ind w:firstLine="611"/>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pacing w:val="-10"/>
                <w:sz w:val="24"/>
                <w:szCs w:val="24"/>
              </w:rPr>
              <w:t>1、施工工艺</w:t>
            </w:r>
          </w:p>
          <w:p w14:paraId="4887977E">
            <w:pPr>
              <w:spacing w:before="51" w:line="360" w:lineRule="auto"/>
              <w:ind w:firstLine="611"/>
              <w:rPr>
                <w:rFonts w:hint="default" w:ascii="Times New Roman" w:hAnsi="Times New Roman" w:eastAsia="宋体" w:cs="Times New Roman"/>
                <w:color w:val="auto"/>
                <w:spacing w:val="-10"/>
                <w:sz w:val="24"/>
                <w:szCs w:val="24"/>
              </w:rPr>
            </w:pPr>
            <w:r>
              <w:rPr>
                <w:rFonts w:hint="default" w:ascii="Times New Roman" w:hAnsi="Times New Roman" w:eastAsia="宋体" w:cs="Times New Roman"/>
                <w:color w:val="auto"/>
                <w:spacing w:val="-10"/>
                <w:sz w:val="24"/>
                <w:szCs w:val="24"/>
              </w:rPr>
              <w:t>本项目施工期主要为树种配置、林地清理、整地、抚育、施肥等，施工期工艺流程及产排污环节见下图。</w:t>
            </w:r>
          </w:p>
          <w:p w14:paraId="7288FA17">
            <w:pPr>
              <w:pStyle w:val="11"/>
              <w:widowControl w:val="0"/>
              <w:kinsoku/>
              <w:autoSpaceDE/>
              <w:autoSpaceDN/>
              <w:adjustRightInd/>
              <w:snapToGrid/>
              <w:spacing w:before="0" w:line="360" w:lineRule="auto"/>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drawing>
                <wp:inline distT="0" distB="0" distL="114300" distR="114300">
                  <wp:extent cx="4997450" cy="1025525"/>
                  <wp:effectExtent l="0" t="0" r="12700" b="317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39"/>
                          <a:srcRect l="2146" t="14522" r="2966" b="4607"/>
                          <a:stretch>
                            <a:fillRect/>
                          </a:stretch>
                        </pic:blipFill>
                        <pic:spPr>
                          <a:xfrm>
                            <a:off x="0" y="0"/>
                            <a:ext cx="4997450" cy="1025525"/>
                          </a:xfrm>
                          <a:prstGeom prst="rect">
                            <a:avLst/>
                          </a:prstGeom>
                          <a:noFill/>
                          <a:ln>
                            <a:noFill/>
                          </a:ln>
                        </pic:spPr>
                      </pic:pic>
                    </a:graphicData>
                  </a:graphic>
                </wp:inline>
              </w:drawing>
            </w:r>
          </w:p>
          <w:p w14:paraId="3B3C8B44">
            <w:pPr>
              <w:spacing w:before="51" w:line="480" w:lineRule="auto"/>
              <w:jc w:val="center"/>
              <w:rPr>
                <w:rFonts w:hint="default" w:ascii="Times New Roman" w:hAnsi="Times New Roman" w:eastAsia="宋体" w:cs="Times New Roman"/>
                <w:b/>
                <w:bCs/>
                <w:color w:val="auto"/>
                <w:spacing w:val="-10"/>
                <w:sz w:val="24"/>
                <w:szCs w:val="24"/>
              </w:rPr>
            </w:pPr>
            <w:r>
              <w:rPr>
                <w:rFonts w:hint="default" w:ascii="Times New Roman" w:hAnsi="Times New Roman" w:eastAsia="宋体" w:cs="Times New Roman"/>
                <w:b/>
                <w:bCs/>
                <w:color w:val="auto"/>
                <w:spacing w:val="-10"/>
                <w:sz w:val="24"/>
                <w:szCs w:val="24"/>
              </w:rPr>
              <w:t>图 2-1   施工期工艺流程及产污环节示意图</w:t>
            </w:r>
          </w:p>
          <w:p w14:paraId="072845DE">
            <w:pPr>
              <w:spacing w:before="51" w:line="360" w:lineRule="auto"/>
              <w:ind w:firstLine="611"/>
              <w:rPr>
                <w:rFonts w:hint="default" w:ascii="Times New Roman" w:hAnsi="Times New Roman" w:eastAsia="宋体" w:cs="Times New Roman"/>
                <w:color w:val="auto"/>
                <w:spacing w:val="-10"/>
                <w:sz w:val="24"/>
                <w:szCs w:val="24"/>
              </w:rPr>
            </w:pPr>
            <w:r>
              <w:rPr>
                <w:rFonts w:hint="default" w:ascii="Times New Roman" w:hAnsi="Times New Roman" w:eastAsia="宋体" w:cs="Times New Roman"/>
                <w:color w:val="auto"/>
                <w:sz w:val="24"/>
                <w:szCs w:val="24"/>
                <w:lang w:bidi="ar"/>
              </w:rPr>
              <w:t>施</w:t>
            </w:r>
            <w:r>
              <w:rPr>
                <w:rFonts w:hint="default" w:ascii="Times New Roman" w:hAnsi="Times New Roman" w:eastAsia="宋体" w:cs="Times New Roman"/>
                <w:color w:val="auto"/>
                <w:spacing w:val="-10"/>
                <w:sz w:val="24"/>
                <w:szCs w:val="24"/>
              </w:rPr>
              <w:t>工期工艺流程简介：</w:t>
            </w:r>
          </w:p>
          <w:p w14:paraId="3F2D3699">
            <w:pPr>
              <w:spacing w:before="51" w:line="360" w:lineRule="auto"/>
              <w:ind w:firstLine="611"/>
              <w:rPr>
                <w:rFonts w:hint="default" w:ascii="Times New Roman" w:hAnsi="Times New Roman" w:eastAsia="宋体" w:cs="Times New Roman"/>
                <w:b/>
                <w:bCs/>
                <w:color w:val="auto"/>
                <w:spacing w:val="-10"/>
                <w:sz w:val="24"/>
                <w:szCs w:val="24"/>
              </w:rPr>
            </w:pPr>
            <w:r>
              <w:rPr>
                <w:rFonts w:hint="default" w:ascii="Times New Roman" w:hAnsi="Times New Roman" w:eastAsia="宋体" w:cs="Times New Roman"/>
                <w:b/>
                <w:bCs/>
                <w:color w:val="auto"/>
                <w:spacing w:val="-10"/>
                <w:sz w:val="24"/>
                <w:szCs w:val="24"/>
              </w:rPr>
              <w:t>1）树种配置</w:t>
            </w:r>
          </w:p>
          <w:p w14:paraId="28165F60">
            <w:pPr>
              <w:spacing w:before="51" w:line="360" w:lineRule="auto"/>
              <w:ind w:firstLine="611"/>
              <w:jc w:val="both"/>
              <w:rPr>
                <w:rFonts w:hint="default" w:ascii="Times New Roman" w:hAnsi="Times New Roman" w:eastAsia="宋体" w:cs="Times New Roman"/>
                <w:color w:val="auto"/>
                <w:spacing w:val="-10"/>
                <w:sz w:val="24"/>
                <w:szCs w:val="24"/>
              </w:rPr>
            </w:pPr>
            <w:r>
              <w:rPr>
                <w:rFonts w:hint="default" w:ascii="Times New Roman" w:hAnsi="Times New Roman" w:eastAsia="宋体" w:cs="Times New Roman"/>
                <w:color w:val="auto"/>
                <w:spacing w:val="-10"/>
                <w:sz w:val="24"/>
                <w:szCs w:val="24"/>
              </w:rPr>
              <w:t>树种执行种苗生产经营许可证和种苗调运中的“两证一签”制度（注“两证一签”指的是种苗检验合格证、产地检疫证和种苗标签），造林区域有可推广审（认）定良种的树种，要优先选择使用良种。同时，按照《育苗技术规程》（GB/T6001-1985）培育壮苗，选用储备林树种的《主要造林树种苗木质量分级》（GB6000）中规定的Ⅱ级及以上的良种壮苗。根据树种或品种特性及地方栽培标准选择苗木，种苗以胸径5cm左右的规格为主，生态涵养林及生态廊道建设区域为保证建设效果，局部采用胸径8-10cm的乔木。采用优良无性系苗或优良种源苗，对于裸根苗造林成活率低的树种采用容器苗种植。大苗造林，需用土球苗，要求土球直径50厘米以上。</w:t>
            </w:r>
          </w:p>
          <w:p w14:paraId="0285AB08">
            <w:pPr>
              <w:spacing w:before="51" w:line="360" w:lineRule="auto"/>
              <w:ind w:firstLine="611"/>
              <w:jc w:val="both"/>
              <w:rPr>
                <w:rFonts w:hint="default" w:ascii="Times New Roman" w:hAnsi="Times New Roman" w:eastAsia="宋体" w:cs="Times New Roman"/>
                <w:color w:val="auto"/>
                <w:spacing w:val="-10"/>
                <w:sz w:val="24"/>
                <w:szCs w:val="24"/>
              </w:rPr>
            </w:pPr>
            <w:r>
              <w:rPr>
                <w:rFonts w:hint="default" w:ascii="Times New Roman" w:hAnsi="Times New Roman" w:eastAsia="宋体" w:cs="Times New Roman"/>
                <w:color w:val="auto"/>
                <w:spacing w:val="-10"/>
                <w:sz w:val="24"/>
                <w:szCs w:val="24"/>
              </w:rPr>
              <w:t>依据《国家储备林树种名录》，以乐至县原生植被建群种或优势种为参照，地带性植被为亚热带常绿阔叶林带，选择树种主要为黄檗、桢楠、香樟、黄连木、香椿、枫香、银杏、乌桕、大花紫薇、杜英、桂花、水杉、垂柳、枫杨、山杨、三角槭、元宝槭、大叶女贞、天竺桂、栾树、鹅掌楸、秋枫、雪松、连香树、乐昌含笑、深山含笑、油桐、油桐等。</w:t>
            </w:r>
          </w:p>
          <w:p w14:paraId="35A222FA">
            <w:pPr>
              <w:spacing w:before="51" w:line="360" w:lineRule="auto"/>
              <w:ind w:firstLine="611"/>
              <w:rPr>
                <w:rFonts w:hint="default" w:ascii="Times New Roman" w:hAnsi="Times New Roman" w:eastAsia="宋体" w:cs="Times New Roman"/>
                <w:b/>
                <w:bCs/>
                <w:color w:val="auto"/>
                <w:spacing w:val="-10"/>
                <w:sz w:val="24"/>
                <w:szCs w:val="24"/>
              </w:rPr>
            </w:pPr>
            <w:r>
              <w:rPr>
                <w:rFonts w:hint="default" w:ascii="Times New Roman" w:hAnsi="Times New Roman" w:eastAsia="宋体" w:cs="Times New Roman"/>
                <w:b/>
                <w:bCs/>
                <w:color w:val="auto"/>
                <w:spacing w:val="-10"/>
                <w:sz w:val="24"/>
                <w:szCs w:val="24"/>
              </w:rPr>
              <w:t>2）林地清理</w:t>
            </w:r>
          </w:p>
          <w:p w14:paraId="66C3F876">
            <w:pPr>
              <w:spacing w:before="51" w:line="360" w:lineRule="auto"/>
              <w:ind w:firstLine="611"/>
              <w:rPr>
                <w:rFonts w:hint="default" w:ascii="Times New Roman" w:hAnsi="Times New Roman" w:eastAsia="宋体" w:cs="Times New Roman"/>
                <w:color w:val="auto"/>
                <w:spacing w:val="-10"/>
                <w:sz w:val="24"/>
                <w:szCs w:val="24"/>
              </w:rPr>
            </w:pPr>
            <w:r>
              <w:rPr>
                <w:rFonts w:hint="default" w:ascii="Times New Roman" w:hAnsi="Times New Roman" w:eastAsia="宋体" w:cs="Times New Roman"/>
                <w:color w:val="auto"/>
                <w:spacing w:val="-10"/>
                <w:sz w:val="24"/>
                <w:szCs w:val="24"/>
              </w:rPr>
              <w:t>清除林内陆表杂草及小灌木，剔除树木多余的丛生萌条及过低的侧枝，拓展黄精种植空间；平地需要挖好边沟，利于雨水排放，使林地不积水；再将林地粗放整理成隆起的带状即可。</w:t>
            </w:r>
          </w:p>
          <w:p w14:paraId="0B3067EB">
            <w:pPr>
              <w:spacing w:before="51" w:line="360" w:lineRule="auto"/>
              <w:ind w:firstLine="611"/>
              <w:rPr>
                <w:rFonts w:hint="default" w:ascii="Times New Roman" w:hAnsi="Times New Roman" w:eastAsia="宋体" w:cs="Times New Roman"/>
                <w:b/>
                <w:bCs/>
                <w:color w:val="auto"/>
                <w:spacing w:val="-10"/>
                <w:sz w:val="24"/>
                <w:szCs w:val="24"/>
              </w:rPr>
            </w:pPr>
            <w:r>
              <w:rPr>
                <w:rFonts w:hint="default" w:ascii="Times New Roman" w:hAnsi="Times New Roman" w:eastAsia="宋体" w:cs="Times New Roman"/>
                <w:b/>
                <w:bCs/>
                <w:color w:val="auto"/>
                <w:spacing w:val="-10"/>
                <w:sz w:val="24"/>
                <w:szCs w:val="24"/>
              </w:rPr>
              <w:t>3）整地、抚育</w:t>
            </w:r>
          </w:p>
          <w:p w14:paraId="4BBC174A">
            <w:pPr>
              <w:spacing w:before="51" w:line="360" w:lineRule="auto"/>
              <w:ind w:firstLine="611"/>
              <w:rPr>
                <w:rFonts w:hint="default" w:ascii="Times New Roman" w:hAnsi="Times New Roman" w:eastAsia="宋体" w:cs="Times New Roman"/>
                <w:color w:val="auto"/>
                <w:spacing w:val="-10"/>
                <w:sz w:val="24"/>
                <w:szCs w:val="24"/>
              </w:rPr>
            </w:pPr>
            <w:r>
              <w:rPr>
                <w:rFonts w:hint="default" w:ascii="Times New Roman" w:hAnsi="Times New Roman" w:eastAsia="宋体" w:cs="Times New Roman"/>
                <w:color w:val="auto"/>
                <w:spacing w:val="-10"/>
                <w:sz w:val="24"/>
                <w:szCs w:val="24"/>
              </w:rPr>
              <w:t>整地方式为穴状整地，整地规格以80cm×80cm×60cm为主，景观林带（节点）建设区域及种植材料培育区域有特殊要求的按苗木胸径或地径的5-8倍确定种植穴大小。整地时，将表土与底土分开堆放；回填时，先回表土，再回底（心）土。整地在种植前的1个月进行。整地过程中，应注意保护好地块中保留的原有植被，以防止水土流失。</w:t>
            </w:r>
          </w:p>
          <w:p w14:paraId="25EC445F">
            <w:pPr>
              <w:spacing w:before="51" w:line="360" w:lineRule="auto"/>
              <w:ind w:firstLine="611"/>
              <w:rPr>
                <w:rFonts w:hint="default" w:ascii="Times New Roman" w:hAnsi="Times New Roman" w:eastAsia="宋体" w:cs="Times New Roman"/>
                <w:color w:val="auto"/>
                <w:spacing w:val="-10"/>
                <w:sz w:val="24"/>
                <w:szCs w:val="24"/>
              </w:rPr>
            </w:pPr>
            <w:r>
              <w:rPr>
                <w:rFonts w:hint="default" w:ascii="Times New Roman" w:hAnsi="Times New Roman" w:eastAsia="宋体" w:cs="Times New Roman"/>
                <w:color w:val="auto"/>
                <w:spacing w:val="-10"/>
                <w:sz w:val="24"/>
                <w:szCs w:val="24"/>
              </w:rPr>
              <w:t>对新造林应进行抚育，包括除草、松土、培土、正苗、培篼、摘萌除蘖或修枝、补植、灌水、清除病株等多项措施，造林当年开始抚育，连续抚育3年，每年抚育两次，直至郁闭成林。</w:t>
            </w:r>
          </w:p>
          <w:p w14:paraId="58E17396">
            <w:pPr>
              <w:spacing w:before="51" w:line="360" w:lineRule="auto"/>
              <w:ind w:firstLine="611"/>
              <w:rPr>
                <w:rFonts w:hint="default" w:ascii="Times New Roman" w:hAnsi="Times New Roman" w:eastAsia="宋体" w:cs="Times New Roman"/>
                <w:b/>
                <w:bCs/>
                <w:color w:val="auto"/>
                <w:spacing w:val="-10"/>
                <w:sz w:val="24"/>
                <w:szCs w:val="24"/>
              </w:rPr>
            </w:pPr>
            <w:r>
              <w:rPr>
                <w:rFonts w:hint="default" w:ascii="Times New Roman" w:hAnsi="Times New Roman" w:eastAsia="宋体" w:cs="Times New Roman"/>
                <w:b/>
                <w:bCs/>
                <w:color w:val="auto"/>
                <w:spacing w:val="-10"/>
                <w:sz w:val="24"/>
                <w:szCs w:val="24"/>
              </w:rPr>
              <w:t>4）施肥</w:t>
            </w:r>
          </w:p>
          <w:p w14:paraId="54498CB0">
            <w:pPr>
              <w:spacing w:before="51" w:line="360" w:lineRule="auto"/>
              <w:ind w:firstLine="611"/>
              <w:rPr>
                <w:rFonts w:hint="default" w:ascii="Times New Roman" w:hAnsi="Times New Roman" w:eastAsia="宋体" w:cs="Times New Roman"/>
                <w:color w:val="auto"/>
                <w:spacing w:val="-10"/>
                <w:sz w:val="24"/>
                <w:szCs w:val="24"/>
              </w:rPr>
            </w:pPr>
            <w:r>
              <w:rPr>
                <w:rFonts w:hint="default" w:ascii="Times New Roman" w:hAnsi="Times New Roman" w:eastAsia="宋体" w:cs="Times New Roman"/>
                <w:color w:val="auto"/>
                <w:spacing w:val="-10"/>
                <w:sz w:val="24"/>
                <w:szCs w:val="24"/>
              </w:rPr>
              <w:t>根据造林地或林分土壤肥力状况、林木年龄及其营养诊断以及已有的施肥试验结果等，制定施肥方案，确定肥料配方、施肥年龄、施肥时间与单位面积施肥量，达到维护林地长久生产力的目的。一般除施足基肥外；还应追肥2-3次。每次间苗或中耕除草后，亩追施磷酸二铵20kg。播后应经常浇水，使土壤保持湿润状态，以利发芽。出苗后，若遇干旱，应及时浇水，勤松土。</w:t>
            </w:r>
          </w:p>
          <w:p w14:paraId="02C21E92">
            <w:pPr>
              <w:spacing w:before="51" w:line="360" w:lineRule="auto"/>
              <w:ind w:firstLine="611"/>
              <w:rPr>
                <w:rFonts w:hint="default" w:ascii="Times New Roman" w:hAnsi="Times New Roman" w:eastAsia="宋体" w:cs="Times New Roman"/>
                <w:b/>
                <w:bCs/>
                <w:color w:val="auto"/>
                <w:spacing w:val="-10"/>
                <w:sz w:val="24"/>
                <w:szCs w:val="24"/>
              </w:rPr>
            </w:pPr>
            <w:r>
              <w:rPr>
                <w:rFonts w:hint="default" w:ascii="Times New Roman" w:hAnsi="Times New Roman" w:eastAsia="宋体" w:cs="Times New Roman"/>
                <w:b/>
                <w:bCs/>
                <w:color w:val="auto"/>
                <w:spacing w:val="-10"/>
                <w:sz w:val="24"/>
                <w:szCs w:val="24"/>
                <w:lang w:val="en-US" w:eastAsia="zh-CN"/>
              </w:rPr>
              <w:t>5）</w:t>
            </w:r>
            <w:r>
              <w:rPr>
                <w:rFonts w:hint="default" w:ascii="Times New Roman" w:hAnsi="Times New Roman" w:eastAsia="宋体" w:cs="Times New Roman"/>
                <w:b/>
                <w:bCs/>
                <w:color w:val="auto"/>
                <w:spacing w:val="-10"/>
                <w:sz w:val="24"/>
                <w:szCs w:val="24"/>
              </w:rPr>
              <w:t>采伐作业设计</w:t>
            </w:r>
          </w:p>
          <w:p w14:paraId="27A1B57A">
            <w:pPr>
              <w:spacing w:before="51" w:line="360" w:lineRule="auto"/>
              <w:ind w:firstLine="611"/>
              <w:rPr>
                <w:rFonts w:hint="default" w:ascii="Times New Roman" w:hAnsi="Times New Roman" w:eastAsia="宋体" w:cs="Times New Roman"/>
                <w:color w:val="auto"/>
                <w:spacing w:val="-10"/>
                <w:sz w:val="24"/>
                <w:szCs w:val="24"/>
              </w:rPr>
            </w:pPr>
            <w:r>
              <w:rPr>
                <w:rFonts w:hint="default" w:ascii="Times New Roman" w:hAnsi="Times New Roman" w:eastAsia="宋体" w:cs="Times New Roman"/>
                <w:color w:val="auto"/>
                <w:spacing w:val="-10"/>
                <w:sz w:val="24"/>
                <w:szCs w:val="24"/>
                <w:lang w:val="en-US" w:eastAsia="zh-CN"/>
              </w:rPr>
              <w:t>（1）</w:t>
            </w:r>
            <w:r>
              <w:rPr>
                <w:rFonts w:hint="default" w:ascii="Times New Roman" w:hAnsi="Times New Roman" w:eastAsia="宋体" w:cs="Times New Roman"/>
                <w:color w:val="auto"/>
                <w:spacing w:val="-10"/>
                <w:sz w:val="24"/>
                <w:szCs w:val="24"/>
              </w:rPr>
              <w:t>采伐类型和采伐方式</w:t>
            </w:r>
          </w:p>
          <w:p w14:paraId="61475335">
            <w:pPr>
              <w:spacing w:before="51" w:line="360" w:lineRule="auto"/>
              <w:ind w:firstLine="611"/>
              <w:rPr>
                <w:rFonts w:hint="default" w:ascii="Times New Roman" w:hAnsi="Times New Roman" w:eastAsia="宋体" w:cs="Times New Roman"/>
                <w:color w:val="auto"/>
                <w:spacing w:val="-10"/>
                <w:sz w:val="24"/>
                <w:szCs w:val="24"/>
              </w:rPr>
            </w:pPr>
            <w:r>
              <w:rPr>
                <w:rFonts w:hint="default" w:ascii="Times New Roman" w:hAnsi="Times New Roman" w:eastAsia="宋体" w:cs="Times New Roman"/>
                <w:color w:val="auto"/>
                <w:spacing w:val="-10"/>
                <w:sz w:val="24"/>
                <w:szCs w:val="24"/>
              </w:rPr>
              <w:t>采伐类型为抚育采伐、低产林改培采伐，采伐方式为透光伐、生长伐。</w:t>
            </w:r>
          </w:p>
          <w:p w14:paraId="2D334913">
            <w:pPr>
              <w:spacing w:before="51" w:line="360" w:lineRule="auto"/>
              <w:ind w:firstLine="611"/>
              <w:rPr>
                <w:rFonts w:hint="default" w:ascii="Times New Roman" w:hAnsi="Times New Roman" w:eastAsia="宋体" w:cs="Times New Roman"/>
                <w:color w:val="auto"/>
                <w:spacing w:val="-10"/>
                <w:sz w:val="24"/>
                <w:szCs w:val="24"/>
              </w:rPr>
            </w:pPr>
            <w:r>
              <w:rPr>
                <w:rFonts w:hint="default" w:ascii="Times New Roman" w:hAnsi="Times New Roman" w:eastAsia="宋体" w:cs="Times New Roman"/>
                <w:color w:val="auto"/>
                <w:spacing w:val="-10"/>
                <w:sz w:val="24"/>
                <w:szCs w:val="24"/>
                <w:lang w:eastAsia="zh-CN"/>
              </w:rPr>
              <w:t>（</w:t>
            </w:r>
            <w:r>
              <w:rPr>
                <w:rFonts w:hint="default" w:ascii="Times New Roman" w:hAnsi="Times New Roman" w:eastAsia="宋体" w:cs="Times New Roman"/>
                <w:color w:val="auto"/>
                <w:spacing w:val="-10"/>
                <w:sz w:val="24"/>
                <w:szCs w:val="24"/>
                <w:lang w:val="en-US" w:eastAsia="zh-CN"/>
              </w:rPr>
              <w:t>2</w:t>
            </w:r>
            <w:r>
              <w:rPr>
                <w:rFonts w:hint="default" w:ascii="Times New Roman" w:hAnsi="Times New Roman" w:eastAsia="宋体" w:cs="Times New Roman"/>
                <w:color w:val="auto"/>
                <w:spacing w:val="-10"/>
                <w:sz w:val="24"/>
                <w:szCs w:val="24"/>
                <w:lang w:eastAsia="zh-CN"/>
              </w:rPr>
              <w:t>）</w:t>
            </w:r>
            <w:r>
              <w:rPr>
                <w:rFonts w:hint="default" w:ascii="Times New Roman" w:hAnsi="Times New Roman" w:eastAsia="宋体" w:cs="Times New Roman"/>
                <w:color w:val="auto"/>
                <w:spacing w:val="-10"/>
                <w:sz w:val="24"/>
                <w:szCs w:val="24"/>
              </w:rPr>
              <w:t>采伐原则</w:t>
            </w:r>
          </w:p>
          <w:p w14:paraId="1ECBE366">
            <w:pPr>
              <w:spacing w:before="51" w:line="360" w:lineRule="auto"/>
              <w:ind w:firstLine="611"/>
              <w:rPr>
                <w:rFonts w:hint="default" w:ascii="Times New Roman" w:hAnsi="Times New Roman" w:eastAsia="宋体" w:cs="Times New Roman"/>
                <w:color w:val="auto"/>
                <w:spacing w:val="-10"/>
                <w:sz w:val="24"/>
                <w:szCs w:val="24"/>
              </w:rPr>
            </w:pPr>
            <w:r>
              <w:rPr>
                <w:rFonts w:hint="default" w:ascii="Times New Roman" w:hAnsi="Times New Roman" w:eastAsia="宋体" w:cs="Times New Roman"/>
                <w:color w:val="auto"/>
                <w:spacing w:val="-10"/>
                <w:sz w:val="24"/>
                <w:szCs w:val="24"/>
              </w:rPr>
              <w:t>采劣留优、采弱留壮、采密留稀、强度合理、保护幼苗幼树及原生乡土阔叶树种、兼顾林木分布均匀。</w:t>
            </w:r>
          </w:p>
          <w:p w14:paraId="726798A6">
            <w:pPr>
              <w:spacing w:before="51" w:line="360" w:lineRule="auto"/>
              <w:ind w:firstLine="611"/>
              <w:rPr>
                <w:rFonts w:hint="default" w:ascii="Times New Roman" w:hAnsi="Times New Roman" w:eastAsia="宋体" w:cs="Times New Roman"/>
                <w:color w:val="auto"/>
                <w:spacing w:val="-10"/>
                <w:sz w:val="24"/>
                <w:szCs w:val="24"/>
              </w:rPr>
            </w:pPr>
            <w:r>
              <w:rPr>
                <w:rFonts w:hint="default" w:ascii="Times New Roman" w:hAnsi="Times New Roman" w:eastAsia="宋体" w:cs="Times New Roman"/>
                <w:color w:val="auto"/>
                <w:spacing w:val="-10"/>
                <w:sz w:val="24"/>
                <w:szCs w:val="24"/>
                <w:lang w:eastAsia="zh-CN"/>
              </w:rPr>
              <w:t>（</w:t>
            </w:r>
            <w:r>
              <w:rPr>
                <w:rFonts w:hint="default" w:ascii="Times New Roman" w:hAnsi="Times New Roman" w:eastAsia="宋体" w:cs="Times New Roman"/>
                <w:color w:val="auto"/>
                <w:spacing w:val="-10"/>
                <w:sz w:val="24"/>
                <w:szCs w:val="24"/>
                <w:lang w:val="en-US" w:eastAsia="zh-CN"/>
              </w:rPr>
              <w:t>3</w:t>
            </w:r>
            <w:r>
              <w:rPr>
                <w:rFonts w:hint="default" w:ascii="Times New Roman" w:hAnsi="Times New Roman" w:eastAsia="宋体" w:cs="Times New Roman"/>
                <w:color w:val="auto"/>
                <w:spacing w:val="-10"/>
                <w:sz w:val="24"/>
                <w:szCs w:val="24"/>
                <w:lang w:eastAsia="zh-CN"/>
              </w:rPr>
              <w:t>）</w:t>
            </w:r>
            <w:r>
              <w:rPr>
                <w:rFonts w:hint="default" w:ascii="Times New Roman" w:hAnsi="Times New Roman" w:eastAsia="宋体" w:cs="Times New Roman"/>
                <w:color w:val="auto"/>
                <w:spacing w:val="-10"/>
                <w:sz w:val="24"/>
                <w:szCs w:val="24"/>
              </w:rPr>
              <w:t>采伐强度</w:t>
            </w:r>
          </w:p>
          <w:p w14:paraId="362425D0">
            <w:pPr>
              <w:spacing w:before="51" w:line="360" w:lineRule="auto"/>
              <w:ind w:firstLine="611"/>
              <w:rPr>
                <w:rFonts w:hint="default" w:ascii="Times New Roman" w:hAnsi="Times New Roman" w:eastAsia="宋体" w:cs="Times New Roman"/>
                <w:color w:val="auto"/>
                <w:spacing w:val="-10"/>
                <w:sz w:val="24"/>
                <w:szCs w:val="24"/>
              </w:rPr>
            </w:pPr>
            <w:r>
              <w:rPr>
                <w:rFonts w:hint="default" w:ascii="Times New Roman" w:hAnsi="Times New Roman" w:eastAsia="宋体" w:cs="Times New Roman"/>
                <w:color w:val="auto"/>
                <w:spacing w:val="-10"/>
                <w:sz w:val="24"/>
                <w:szCs w:val="24"/>
              </w:rPr>
              <w:t>根据《四川省林木采伐技术规程》（DB51/T 2918-2022），不同小班，根据标准地调查结果设计不同的采伐强度，株数采伐强度范围7.7%~50.5%，蓄积采伐强度范围0.6%~24.2%。</w:t>
            </w:r>
          </w:p>
          <w:p w14:paraId="5F000096">
            <w:pPr>
              <w:spacing w:before="51" w:line="360" w:lineRule="auto"/>
              <w:ind w:firstLine="611"/>
              <w:rPr>
                <w:rFonts w:hint="default" w:ascii="Times New Roman" w:hAnsi="Times New Roman" w:eastAsia="宋体" w:cs="Times New Roman"/>
                <w:color w:val="auto"/>
                <w:spacing w:val="-10"/>
                <w:sz w:val="24"/>
                <w:szCs w:val="24"/>
              </w:rPr>
            </w:pPr>
            <w:r>
              <w:rPr>
                <w:rFonts w:hint="default" w:ascii="Times New Roman" w:hAnsi="Times New Roman" w:eastAsia="宋体" w:cs="Times New Roman"/>
                <w:color w:val="auto"/>
                <w:spacing w:val="-10"/>
                <w:sz w:val="24"/>
                <w:szCs w:val="24"/>
                <w:lang w:eastAsia="zh-CN"/>
              </w:rPr>
              <w:t>（</w:t>
            </w:r>
            <w:r>
              <w:rPr>
                <w:rFonts w:hint="default" w:ascii="Times New Roman" w:hAnsi="Times New Roman" w:eastAsia="宋体" w:cs="Times New Roman"/>
                <w:color w:val="auto"/>
                <w:spacing w:val="-10"/>
                <w:sz w:val="24"/>
                <w:szCs w:val="24"/>
                <w:lang w:val="en-US" w:eastAsia="zh-CN"/>
              </w:rPr>
              <w:t>4</w:t>
            </w:r>
            <w:r>
              <w:rPr>
                <w:rFonts w:hint="default" w:ascii="Times New Roman" w:hAnsi="Times New Roman" w:eastAsia="宋体" w:cs="Times New Roman"/>
                <w:color w:val="auto"/>
                <w:spacing w:val="-10"/>
                <w:sz w:val="24"/>
                <w:szCs w:val="24"/>
                <w:lang w:eastAsia="zh-CN"/>
              </w:rPr>
              <w:t>）</w:t>
            </w:r>
            <w:r>
              <w:rPr>
                <w:rFonts w:hint="default" w:ascii="Times New Roman" w:hAnsi="Times New Roman" w:eastAsia="宋体" w:cs="Times New Roman"/>
                <w:color w:val="auto"/>
                <w:spacing w:val="-10"/>
                <w:sz w:val="24"/>
                <w:szCs w:val="24"/>
              </w:rPr>
              <w:t>采伐规模</w:t>
            </w:r>
          </w:p>
          <w:p w14:paraId="3B7CEAA5">
            <w:pPr>
              <w:spacing w:before="51" w:line="360" w:lineRule="auto"/>
              <w:ind w:firstLine="611"/>
              <w:rPr>
                <w:rFonts w:hint="default" w:ascii="Times New Roman" w:hAnsi="Times New Roman" w:eastAsia="宋体" w:cs="Times New Roman"/>
                <w:color w:val="auto"/>
                <w:spacing w:val="-10"/>
                <w:sz w:val="24"/>
                <w:szCs w:val="24"/>
              </w:rPr>
            </w:pPr>
            <w:r>
              <w:rPr>
                <w:rFonts w:hint="default" w:ascii="Times New Roman" w:hAnsi="Times New Roman" w:eastAsia="宋体" w:cs="Times New Roman"/>
                <w:color w:val="auto"/>
                <w:spacing w:val="-10"/>
                <w:sz w:val="24"/>
                <w:szCs w:val="24"/>
              </w:rPr>
              <w:t>2023年-2024年作业设计涉及采伐面积44872.8亩，采伐林木995180株，蓄积量25040.2 m</w:t>
            </w:r>
            <w:r>
              <w:rPr>
                <w:rFonts w:hint="default" w:ascii="Times New Roman" w:hAnsi="Times New Roman" w:eastAsia="宋体" w:cs="Times New Roman"/>
                <w:color w:val="auto"/>
                <w:spacing w:val="-10"/>
                <w:sz w:val="24"/>
                <w:szCs w:val="24"/>
                <w:vertAlign w:val="superscript"/>
              </w:rPr>
              <w:t>3</w:t>
            </w:r>
            <w:r>
              <w:rPr>
                <w:rFonts w:hint="default" w:ascii="Times New Roman" w:hAnsi="Times New Roman" w:eastAsia="宋体" w:cs="Times New Roman"/>
                <w:color w:val="auto"/>
                <w:spacing w:val="-10"/>
                <w:sz w:val="24"/>
                <w:szCs w:val="24"/>
              </w:rPr>
              <w:t>。</w:t>
            </w:r>
          </w:p>
          <w:p w14:paraId="0E3D75C6">
            <w:pPr>
              <w:spacing w:before="51" w:line="360" w:lineRule="auto"/>
              <w:ind w:firstLine="611"/>
              <w:rPr>
                <w:rFonts w:hint="default" w:ascii="Times New Roman" w:hAnsi="Times New Roman" w:eastAsia="宋体" w:cs="Times New Roman"/>
                <w:color w:val="auto"/>
                <w:spacing w:val="-10"/>
                <w:sz w:val="24"/>
                <w:szCs w:val="24"/>
              </w:rPr>
            </w:pPr>
            <w:r>
              <w:rPr>
                <w:rFonts w:hint="default" w:ascii="Times New Roman" w:hAnsi="Times New Roman" w:eastAsia="宋体" w:cs="Times New Roman"/>
                <w:color w:val="auto"/>
                <w:spacing w:val="-10"/>
                <w:sz w:val="24"/>
                <w:szCs w:val="24"/>
                <w:lang w:eastAsia="zh-CN"/>
              </w:rPr>
              <w:t>（</w:t>
            </w:r>
            <w:r>
              <w:rPr>
                <w:rFonts w:hint="default" w:ascii="Times New Roman" w:hAnsi="Times New Roman" w:eastAsia="宋体" w:cs="Times New Roman"/>
                <w:color w:val="auto"/>
                <w:spacing w:val="-10"/>
                <w:sz w:val="24"/>
                <w:szCs w:val="24"/>
                <w:lang w:val="en-US" w:eastAsia="zh-CN"/>
              </w:rPr>
              <w:t>5</w:t>
            </w:r>
            <w:r>
              <w:rPr>
                <w:rFonts w:hint="default" w:ascii="Times New Roman" w:hAnsi="Times New Roman" w:eastAsia="宋体" w:cs="Times New Roman"/>
                <w:color w:val="auto"/>
                <w:spacing w:val="-10"/>
                <w:sz w:val="24"/>
                <w:szCs w:val="24"/>
                <w:lang w:eastAsia="zh-CN"/>
              </w:rPr>
              <w:t>）</w:t>
            </w:r>
            <w:r>
              <w:rPr>
                <w:rFonts w:hint="default" w:ascii="Times New Roman" w:hAnsi="Times New Roman" w:eastAsia="宋体" w:cs="Times New Roman"/>
                <w:color w:val="auto"/>
                <w:spacing w:val="-10"/>
                <w:sz w:val="24"/>
                <w:szCs w:val="24"/>
              </w:rPr>
              <w:t>采伐要求</w:t>
            </w:r>
          </w:p>
          <w:p w14:paraId="1D95CACB">
            <w:pPr>
              <w:spacing w:before="51" w:line="360" w:lineRule="auto"/>
              <w:ind w:firstLine="611"/>
              <w:rPr>
                <w:rFonts w:hint="default" w:ascii="Times New Roman" w:hAnsi="Times New Roman" w:eastAsia="宋体" w:cs="Times New Roman"/>
                <w:color w:val="auto"/>
                <w:spacing w:val="-10"/>
                <w:sz w:val="24"/>
                <w:szCs w:val="24"/>
              </w:rPr>
            </w:pPr>
            <w:r>
              <w:rPr>
                <w:rFonts w:hint="default" w:ascii="Times New Roman" w:hAnsi="Times New Roman" w:eastAsia="宋体" w:cs="Times New Roman"/>
                <w:color w:val="auto"/>
                <w:spacing w:val="-10"/>
                <w:sz w:val="24"/>
                <w:szCs w:val="24"/>
                <w:lang w:val="en-US" w:eastAsia="zh-CN"/>
              </w:rPr>
              <w:t>①</w:t>
            </w:r>
            <w:r>
              <w:rPr>
                <w:rFonts w:hint="default" w:ascii="Times New Roman" w:hAnsi="Times New Roman" w:eastAsia="宋体" w:cs="Times New Roman"/>
                <w:color w:val="auto"/>
                <w:spacing w:val="-10"/>
                <w:sz w:val="24"/>
                <w:szCs w:val="24"/>
              </w:rPr>
              <w:t>采伐前后的目标树种平均胸径不降低。</w:t>
            </w:r>
          </w:p>
          <w:p w14:paraId="47CCB08F">
            <w:pPr>
              <w:spacing w:before="51" w:line="360" w:lineRule="auto"/>
              <w:ind w:firstLine="611"/>
              <w:rPr>
                <w:rFonts w:hint="default" w:ascii="Times New Roman" w:hAnsi="Times New Roman" w:eastAsia="宋体" w:cs="Times New Roman"/>
                <w:color w:val="auto"/>
                <w:spacing w:val="-10"/>
                <w:sz w:val="24"/>
                <w:szCs w:val="24"/>
              </w:rPr>
            </w:pPr>
            <w:r>
              <w:rPr>
                <w:rFonts w:hint="default" w:ascii="Times New Roman" w:hAnsi="Times New Roman" w:eastAsia="宋体" w:cs="Times New Roman"/>
                <w:color w:val="auto"/>
                <w:spacing w:val="-10"/>
                <w:sz w:val="24"/>
                <w:szCs w:val="24"/>
                <w:lang w:val="en-US" w:eastAsia="zh-CN"/>
              </w:rPr>
              <w:t>②</w:t>
            </w:r>
            <w:r>
              <w:rPr>
                <w:rFonts w:hint="default" w:ascii="Times New Roman" w:hAnsi="Times New Roman" w:eastAsia="宋体" w:cs="Times New Roman"/>
                <w:color w:val="auto"/>
                <w:spacing w:val="-10"/>
                <w:sz w:val="24"/>
                <w:szCs w:val="24"/>
              </w:rPr>
              <w:t>采伐补植后的林木分布均匀，不造成林窗、林中空地等。</w:t>
            </w:r>
          </w:p>
          <w:p w14:paraId="23D95135">
            <w:pPr>
              <w:spacing w:before="51" w:line="360" w:lineRule="auto"/>
              <w:ind w:firstLine="611"/>
              <w:rPr>
                <w:rFonts w:hint="default" w:ascii="Times New Roman" w:hAnsi="Times New Roman" w:eastAsia="宋体" w:cs="Times New Roman"/>
                <w:color w:val="auto"/>
                <w:spacing w:val="-10"/>
                <w:sz w:val="24"/>
                <w:szCs w:val="24"/>
              </w:rPr>
            </w:pPr>
            <w:r>
              <w:rPr>
                <w:rFonts w:hint="default" w:ascii="Times New Roman" w:hAnsi="Times New Roman" w:eastAsia="宋体" w:cs="Times New Roman"/>
                <w:color w:val="auto"/>
                <w:spacing w:val="-10"/>
                <w:sz w:val="24"/>
                <w:szCs w:val="24"/>
                <w:lang w:val="en-US" w:eastAsia="zh-CN"/>
              </w:rPr>
              <w:t>③</w:t>
            </w:r>
            <w:r>
              <w:rPr>
                <w:rFonts w:hint="default" w:ascii="Times New Roman" w:hAnsi="Times New Roman" w:eastAsia="宋体" w:cs="Times New Roman"/>
                <w:color w:val="auto"/>
                <w:spacing w:val="-10"/>
                <w:sz w:val="24"/>
                <w:szCs w:val="24"/>
              </w:rPr>
              <w:t>伐除时尽量降低伐根高度，使立木伐口距地面≤10cm。</w:t>
            </w:r>
          </w:p>
          <w:p w14:paraId="3244B3DD">
            <w:pPr>
              <w:spacing w:before="51" w:line="360" w:lineRule="auto"/>
              <w:ind w:firstLine="611"/>
              <w:rPr>
                <w:rFonts w:hint="default" w:ascii="Times New Roman" w:hAnsi="Times New Roman" w:eastAsia="宋体" w:cs="Times New Roman"/>
                <w:color w:val="auto"/>
                <w:spacing w:val="-10"/>
                <w:sz w:val="24"/>
                <w:szCs w:val="24"/>
              </w:rPr>
            </w:pPr>
            <w:r>
              <w:rPr>
                <w:rFonts w:hint="default" w:ascii="Times New Roman" w:hAnsi="Times New Roman" w:eastAsia="宋体" w:cs="Times New Roman"/>
                <w:color w:val="auto"/>
                <w:spacing w:val="-10"/>
                <w:sz w:val="24"/>
                <w:szCs w:val="24"/>
                <w:lang w:val="en-US" w:eastAsia="zh-CN"/>
              </w:rPr>
              <w:t>④</w:t>
            </w:r>
            <w:r>
              <w:rPr>
                <w:rFonts w:hint="default" w:ascii="Times New Roman" w:hAnsi="Times New Roman" w:eastAsia="宋体" w:cs="Times New Roman"/>
                <w:color w:val="auto"/>
                <w:spacing w:val="-10"/>
                <w:sz w:val="24"/>
                <w:szCs w:val="24"/>
              </w:rPr>
              <w:t>杜绝出现采优留劣、以伐代抚等破坏森林资源的行为出现。</w:t>
            </w:r>
          </w:p>
          <w:p w14:paraId="2544C092">
            <w:pPr>
              <w:spacing w:before="51" w:line="360" w:lineRule="auto"/>
              <w:ind w:firstLine="611"/>
              <w:rPr>
                <w:rFonts w:hint="default" w:ascii="Times New Roman" w:hAnsi="Times New Roman" w:eastAsia="宋体" w:cs="Times New Roman"/>
                <w:color w:val="auto"/>
                <w:spacing w:val="-10"/>
                <w:sz w:val="24"/>
                <w:szCs w:val="24"/>
              </w:rPr>
            </w:pPr>
            <w:r>
              <w:rPr>
                <w:rFonts w:hint="default" w:ascii="Times New Roman" w:hAnsi="Times New Roman" w:eastAsia="宋体" w:cs="Times New Roman"/>
                <w:color w:val="auto"/>
                <w:spacing w:val="-10"/>
                <w:sz w:val="24"/>
                <w:szCs w:val="24"/>
                <w:lang w:val="en-US" w:eastAsia="zh-CN"/>
              </w:rPr>
              <w:t>⑤</w:t>
            </w:r>
            <w:r>
              <w:rPr>
                <w:rFonts w:hint="default" w:ascii="Times New Roman" w:hAnsi="Times New Roman" w:eastAsia="宋体" w:cs="Times New Roman"/>
                <w:color w:val="auto"/>
                <w:spacing w:val="-10"/>
                <w:sz w:val="24"/>
                <w:szCs w:val="24"/>
              </w:rPr>
              <w:t>注意保留和窝抚天然更新的幼树幼苗，尤其要保留更新起来的珍稀、珍贵和乡土阔叶树的幼树幼苗。</w:t>
            </w:r>
          </w:p>
          <w:p w14:paraId="37E83CF6">
            <w:pPr>
              <w:spacing w:before="51" w:line="360" w:lineRule="auto"/>
              <w:ind w:firstLine="611"/>
              <w:rPr>
                <w:rFonts w:hint="default" w:ascii="Times New Roman" w:hAnsi="Times New Roman" w:eastAsia="宋体" w:cs="Times New Roman"/>
                <w:color w:val="auto"/>
                <w:spacing w:val="-10"/>
                <w:sz w:val="24"/>
                <w:szCs w:val="24"/>
              </w:rPr>
            </w:pPr>
            <w:r>
              <w:rPr>
                <w:rFonts w:hint="default" w:ascii="Times New Roman" w:hAnsi="Times New Roman" w:eastAsia="宋体" w:cs="Times New Roman"/>
                <w:color w:val="auto"/>
                <w:spacing w:val="-10"/>
                <w:sz w:val="24"/>
                <w:szCs w:val="24"/>
                <w:lang w:eastAsia="zh-CN"/>
              </w:rPr>
              <w:t>（</w:t>
            </w:r>
            <w:r>
              <w:rPr>
                <w:rFonts w:hint="default" w:ascii="Times New Roman" w:hAnsi="Times New Roman" w:eastAsia="宋体" w:cs="Times New Roman"/>
                <w:color w:val="auto"/>
                <w:spacing w:val="-10"/>
                <w:sz w:val="24"/>
                <w:szCs w:val="24"/>
                <w:lang w:val="en-US" w:eastAsia="zh-CN"/>
              </w:rPr>
              <w:t>6</w:t>
            </w:r>
            <w:r>
              <w:rPr>
                <w:rFonts w:hint="default" w:ascii="Times New Roman" w:hAnsi="Times New Roman" w:eastAsia="宋体" w:cs="Times New Roman"/>
                <w:color w:val="auto"/>
                <w:spacing w:val="-10"/>
                <w:sz w:val="24"/>
                <w:szCs w:val="24"/>
                <w:lang w:eastAsia="zh-CN"/>
              </w:rPr>
              <w:t>）</w:t>
            </w:r>
            <w:r>
              <w:rPr>
                <w:rFonts w:hint="default" w:ascii="Times New Roman" w:hAnsi="Times New Roman" w:eastAsia="宋体" w:cs="Times New Roman"/>
                <w:color w:val="auto"/>
                <w:spacing w:val="-10"/>
                <w:sz w:val="24"/>
                <w:szCs w:val="24"/>
              </w:rPr>
              <w:t>采伐限额</w:t>
            </w:r>
          </w:p>
          <w:p w14:paraId="50F55771">
            <w:pPr>
              <w:spacing w:before="51" w:line="360" w:lineRule="auto"/>
              <w:ind w:firstLine="611"/>
              <w:rPr>
                <w:rFonts w:hint="default" w:ascii="Times New Roman" w:hAnsi="Times New Roman" w:eastAsia="宋体" w:cs="Times New Roman"/>
                <w:color w:val="auto"/>
                <w:spacing w:val="-10"/>
                <w:sz w:val="24"/>
                <w:szCs w:val="24"/>
              </w:rPr>
            </w:pPr>
            <w:r>
              <w:rPr>
                <w:rFonts w:hint="default" w:ascii="Times New Roman" w:hAnsi="Times New Roman" w:eastAsia="宋体" w:cs="Times New Roman"/>
                <w:color w:val="auto"/>
                <w:spacing w:val="-10"/>
                <w:sz w:val="24"/>
                <w:szCs w:val="24"/>
              </w:rPr>
              <w:t>根据《四川省林业和草原局关于加强“十四五”期间林木采伐管理的通知》（川林规〔2022〕1号）“根据森林资源保护和科学经营需要，抚育采伐、低产低效林改造分项限额不足的，可调整使用主伐采伐限额和更新采伐限额”、“省级不可预见性采伐限额由省林草局统筹管理，专项用于重大自然灾害、公共安全和自然保护区等特殊情况的采伐所需”，本年度作业涉及采伐属于“以提高森林质量为目的，经省级以上批准实施的森林经营保护项目范围内的林木采伐”。</w:t>
            </w:r>
          </w:p>
          <w:p w14:paraId="2405A785">
            <w:pPr>
              <w:spacing w:before="51" w:line="360" w:lineRule="auto"/>
              <w:ind w:firstLine="611"/>
              <w:rPr>
                <w:rFonts w:hint="default" w:ascii="Times New Roman" w:hAnsi="Times New Roman" w:eastAsia="宋体" w:cs="Times New Roman"/>
                <w:color w:val="auto"/>
                <w:spacing w:val="-10"/>
                <w:sz w:val="24"/>
                <w:szCs w:val="24"/>
              </w:rPr>
            </w:pPr>
            <w:r>
              <w:rPr>
                <w:rFonts w:hint="default" w:ascii="Times New Roman" w:hAnsi="Times New Roman" w:eastAsia="宋体" w:cs="Times New Roman"/>
                <w:color w:val="auto"/>
                <w:spacing w:val="-10"/>
                <w:sz w:val="24"/>
                <w:szCs w:val="24"/>
              </w:rPr>
              <w:t>“十四五”期间乐至县年森林采伐限额共计31164立方米。其中商品林主伐年限额指标326立方米，抚育采伐年限额指标为8018立方米，低产林改造年限额指标为2099立方米，其他采伐年限额指标为1358立方米；公益林更新采伐年限额指标245立方米，抚育采伐年限额指标为19055立方米，低效林改造年限额指标为61立方米，其他采伐年限额指标为2立方米。</w:t>
            </w:r>
          </w:p>
          <w:p w14:paraId="0F8F38F6">
            <w:pPr>
              <w:spacing w:before="51" w:line="360" w:lineRule="auto"/>
              <w:ind w:firstLine="611"/>
              <w:rPr>
                <w:rFonts w:hint="default" w:ascii="Times New Roman" w:hAnsi="Times New Roman" w:eastAsia="宋体" w:cs="Times New Roman"/>
                <w:color w:val="auto"/>
                <w:spacing w:val="-10"/>
                <w:sz w:val="24"/>
                <w:szCs w:val="24"/>
              </w:rPr>
            </w:pPr>
            <w:r>
              <w:rPr>
                <w:rFonts w:hint="default" w:ascii="Times New Roman" w:hAnsi="Times New Roman" w:eastAsia="宋体" w:cs="Times New Roman"/>
                <w:color w:val="auto"/>
                <w:spacing w:val="-10"/>
                <w:sz w:val="24"/>
                <w:szCs w:val="24"/>
              </w:rPr>
              <w:t>本年度作业采伐为抚育采伐、低产林改培采伐，乐至县年抚育采伐、低产林改培采伐分项采伐限额不足时，调整使用主伐采伐限额和其他采伐限额，剩余不足部分申请使用省级不可预见性采伐限额，由项目实施单位先向乐至县林草主管部门提出书面申请，经逐级核实确认后，再由资阳市林草主管部门向省林草局提交书面申请，省林草局审核批复同意后，由乐至县林草主管部门核发林木采伐许可证。</w:t>
            </w:r>
          </w:p>
          <w:p w14:paraId="0A93053D">
            <w:pPr>
              <w:spacing w:before="51" w:line="360" w:lineRule="auto"/>
              <w:ind w:firstLine="611"/>
              <w:rPr>
                <w:rFonts w:hint="default" w:ascii="Times New Roman" w:hAnsi="Times New Roman" w:eastAsia="宋体" w:cs="Times New Roman"/>
                <w:color w:val="auto"/>
                <w:spacing w:val="-10"/>
                <w:sz w:val="24"/>
                <w:szCs w:val="24"/>
              </w:rPr>
            </w:pPr>
            <w:r>
              <w:rPr>
                <w:rFonts w:hint="default" w:ascii="Times New Roman" w:hAnsi="Times New Roman" w:eastAsia="宋体" w:cs="Times New Roman"/>
                <w:color w:val="auto"/>
                <w:spacing w:val="-10"/>
                <w:sz w:val="24"/>
                <w:szCs w:val="24"/>
                <w:lang w:eastAsia="zh-CN"/>
              </w:rPr>
              <w:t>（</w:t>
            </w:r>
            <w:r>
              <w:rPr>
                <w:rFonts w:hint="default" w:ascii="Times New Roman" w:hAnsi="Times New Roman" w:eastAsia="宋体" w:cs="Times New Roman"/>
                <w:color w:val="auto"/>
                <w:spacing w:val="-10"/>
                <w:sz w:val="24"/>
                <w:szCs w:val="24"/>
                <w:lang w:val="en-US" w:eastAsia="zh-CN"/>
              </w:rPr>
              <w:t>7</w:t>
            </w:r>
            <w:r>
              <w:rPr>
                <w:rFonts w:hint="default" w:ascii="Times New Roman" w:hAnsi="Times New Roman" w:eastAsia="宋体" w:cs="Times New Roman"/>
                <w:color w:val="auto"/>
                <w:spacing w:val="-10"/>
                <w:sz w:val="24"/>
                <w:szCs w:val="24"/>
                <w:lang w:eastAsia="zh-CN"/>
              </w:rPr>
              <w:t>）</w:t>
            </w:r>
            <w:r>
              <w:rPr>
                <w:rFonts w:hint="default" w:ascii="Times New Roman" w:hAnsi="Times New Roman" w:eastAsia="宋体" w:cs="Times New Roman"/>
                <w:color w:val="auto"/>
                <w:spacing w:val="-10"/>
                <w:sz w:val="24"/>
                <w:szCs w:val="24"/>
              </w:rPr>
              <w:t>伐前公示</w:t>
            </w:r>
          </w:p>
          <w:p w14:paraId="74BD78B2">
            <w:pPr>
              <w:spacing w:before="51" w:line="360" w:lineRule="auto"/>
              <w:ind w:firstLine="611"/>
              <w:rPr>
                <w:rFonts w:hint="default" w:ascii="Times New Roman" w:hAnsi="Times New Roman" w:eastAsia="宋体" w:cs="Times New Roman"/>
                <w:color w:val="auto"/>
                <w:spacing w:val="-10"/>
                <w:sz w:val="24"/>
                <w:szCs w:val="24"/>
              </w:rPr>
            </w:pPr>
            <w:r>
              <w:rPr>
                <w:rFonts w:hint="default" w:ascii="Times New Roman" w:hAnsi="Times New Roman" w:eastAsia="宋体" w:cs="Times New Roman"/>
                <w:color w:val="auto"/>
                <w:spacing w:val="-10"/>
                <w:sz w:val="24"/>
                <w:szCs w:val="24"/>
              </w:rPr>
              <w:t>在获得林木采伐许可证之后、正式采伐之前，应在伐区及附近的交通要道设立公示牌，对采伐作业进行公示。公示的内容应包括采伐地点、四至界线、面积、采伐类型及方法、采伐林木蓄积量、出材量，林木采伐许可证号、负责人、举报电话等。公示时间不应少于7天。</w:t>
            </w:r>
          </w:p>
          <w:p w14:paraId="64FDDE54">
            <w:pPr>
              <w:spacing w:before="51" w:line="360" w:lineRule="auto"/>
              <w:ind w:firstLine="611"/>
              <w:rPr>
                <w:rFonts w:hint="default" w:ascii="Times New Roman" w:hAnsi="Times New Roman" w:eastAsia="宋体" w:cs="Times New Roman"/>
                <w:color w:val="auto"/>
                <w:spacing w:val="-10"/>
                <w:sz w:val="24"/>
                <w:szCs w:val="24"/>
              </w:rPr>
            </w:pPr>
            <w:r>
              <w:rPr>
                <w:rFonts w:hint="default" w:ascii="Times New Roman" w:hAnsi="Times New Roman" w:eastAsia="宋体" w:cs="Times New Roman"/>
                <w:color w:val="auto"/>
                <w:spacing w:val="-10"/>
                <w:sz w:val="24"/>
                <w:szCs w:val="24"/>
                <w:lang w:eastAsia="zh-CN"/>
              </w:rPr>
              <w:t>（</w:t>
            </w:r>
            <w:r>
              <w:rPr>
                <w:rFonts w:hint="default" w:ascii="Times New Roman" w:hAnsi="Times New Roman" w:eastAsia="宋体" w:cs="Times New Roman"/>
                <w:color w:val="auto"/>
                <w:spacing w:val="-10"/>
                <w:sz w:val="24"/>
                <w:szCs w:val="24"/>
                <w:lang w:val="en-US" w:eastAsia="zh-CN"/>
              </w:rPr>
              <w:t>8</w:t>
            </w:r>
            <w:r>
              <w:rPr>
                <w:rFonts w:hint="default" w:ascii="Times New Roman" w:hAnsi="Times New Roman" w:eastAsia="宋体" w:cs="Times New Roman"/>
                <w:color w:val="auto"/>
                <w:spacing w:val="-10"/>
                <w:sz w:val="24"/>
                <w:szCs w:val="24"/>
                <w:lang w:eastAsia="zh-CN"/>
              </w:rPr>
              <w:t>）</w:t>
            </w:r>
            <w:r>
              <w:rPr>
                <w:rFonts w:hint="default" w:ascii="Times New Roman" w:hAnsi="Times New Roman" w:eastAsia="宋体" w:cs="Times New Roman"/>
                <w:color w:val="auto"/>
                <w:spacing w:val="-10"/>
                <w:sz w:val="24"/>
                <w:szCs w:val="24"/>
              </w:rPr>
              <w:t>采伐边界标记</w:t>
            </w:r>
          </w:p>
          <w:p w14:paraId="235216DB">
            <w:pPr>
              <w:spacing w:before="51" w:line="360" w:lineRule="auto"/>
              <w:ind w:firstLine="611"/>
              <w:rPr>
                <w:rFonts w:hint="default" w:ascii="Times New Roman" w:hAnsi="Times New Roman" w:eastAsia="宋体" w:cs="Times New Roman"/>
                <w:color w:val="auto"/>
                <w:spacing w:val="-10"/>
                <w:sz w:val="24"/>
                <w:szCs w:val="24"/>
              </w:rPr>
            </w:pPr>
            <w:r>
              <w:rPr>
                <w:rFonts w:hint="default" w:ascii="Times New Roman" w:hAnsi="Times New Roman" w:eastAsia="宋体" w:cs="Times New Roman"/>
                <w:color w:val="auto"/>
                <w:spacing w:val="-10"/>
                <w:sz w:val="24"/>
                <w:szCs w:val="24"/>
              </w:rPr>
              <w:t>按照作业设计图和小班位置，实地标明各个小班采伐范围，在现地用油漆标记出伐区范围。</w:t>
            </w:r>
          </w:p>
          <w:p w14:paraId="449CAAEB">
            <w:pPr>
              <w:spacing w:before="51" w:line="360" w:lineRule="auto"/>
              <w:ind w:firstLine="611"/>
              <w:rPr>
                <w:rFonts w:hint="default" w:ascii="Times New Roman" w:hAnsi="Times New Roman" w:eastAsia="宋体" w:cs="Times New Roman"/>
                <w:color w:val="auto"/>
                <w:spacing w:val="-10"/>
                <w:sz w:val="24"/>
                <w:szCs w:val="24"/>
              </w:rPr>
            </w:pPr>
            <w:r>
              <w:rPr>
                <w:rFonts w:hint="default" w:ascii="Times New Roman" w:hAnsi="Times New Roman" w:eastAsia="宋体" w:cs="Times New Roman"/>
                <w:color w:val="auto"/>
                <w:spacing w:val="-10"/>
                <w:sz w:val="24"/>
                <w:szCs w:val="24"/>
                <w:lang w:eastAsia="zh-CN"/>
              </w:rPr>
              <w:t>（</w:t>
            </w:r>
            <w:r>
              <w:rPr>
                <w:rFonts w:hint="default" w:ascii="Times New Roman" w:hAnsi="Times New Roman" w:eastAsia="宋体" w:cs="Times New Roman"/>
                <w:color w:val="auto"/>
                <w:spacing w:val="-10"/>
                <w:sz w:val="24"/>
                <w:szCs w:val="24"/>
                <w:lang w:val="en-US" w:eastAsia="zh-CN"/>
              </w:rPr>
              <w:t>9</w:t>
            </w:r>
            <w:r>
              <w:rPr>
                <w:rFonts w:hint="default" w:ascii="Times New Roman" w:hAnsi="Times New Roman" w:eastAsia="宋体" w:cs="Times New Roman"/>
                <w:color w:val="auto"/>
                <w:spacing w:val="-10"/>
                <w:sz w:val="24"/>
                <w:szCs w:val="24"/>
                <w:lang w:eastAsia="zh-CN"/>
              </w:rPr>
              <w:t>）</w:t>
            </w:r>
            <w:r>
              <w:rPr>
                <w:rFonts w:hint="default" w:ascii="Times New Roman" w:hAnsi="Times New Roman" w:eastAsia="宋体" w:cs="Times New Roman"/>
                <w:color w:val="auto"/>
                <w:spacing w:val="-10"/>
                <w:sz w:val="24"/>
                <w:szCs w:val="24"/>
              </w:rPr>
              <w:t>现场培训及技术交底</w:t>
            </w:r>
          </w:p>
          <w:p w14:paraId="1ED390A2">
            <w:pPr>
              <w:spacing w:before="51" w:line="360" w:lineRule="auto"/>
              <w:ind w:firstLine="611"/>
              <w:rPr>
                <w:rFonts w:hint="default" w:ascii="Times New Roman" w:hAnsi="Times New Roman" w:eastAsia="宋体" w:cs="Times New Roman"/>
                <w:color w:val="auto"/>
                <w:spacing w:val="-10"/>
                <w:sz w:val="24"/>
                <w:szCs w:val="24"/>
              </w:rPr>
            </w:pPr>
            <w:r>
              <w:rPr>
                <w:rFonts w:hint="default" w:ascii="Times New Roman" w:hAnsi="Times New Roman" w:eastAsia="宋体" w:cs="Times New Roman"/>
                <w:color w:val="auto"/>
                <w:spacing w:val="-10"/>
                <w:sz w:val="24"/>
                <w:szCs w:val="24"/>
              </w:rPr>
              <w:t>采伐作业前，设计单位应前往现场与施工单位进行采伐定界、选树标记等技术交底，施工单位应聘请专业人员对采伐作业人员进行伐木操作培训、安全培训等。</w:t>
            </w:r>
          </w:p>
          <w:p w14:paraId="5BB4BC8B">
            <w:pPr>
              <w:spacing w:before="51" w:line="360" w:lineRule="auto"/>
              <w:ind w:firstLine="611"/>
              <w:rPr>
                <w:rFonts w:hint="default" w:ascii="Times New Roman" w:hAnsi="Times New Roman" w:eastAsia="宋体" w:cs="Times New Roman"/>
                <w:color w:val="auto"/>
                <w:spacing w:val="-10"/>
                <w:sz w:val="24"/>
                <w:szCs w:val="24"/>
              </w:rPr>
            </w:pPr>
            <w:r>
              <w:rPr>
                <w:rFonts w:hint="default" w:ascii="Times New Roman" w:hAnsi="Times New Roman" w:eastAsia="宋体" w:cs="Times New Roman"/>
                <w:color w:val="auto"/>
                <w:spacing w:val="-10"/>
                <w:sz w:val="24"/>
                <w:szCs w:val="24"/>
                <w:lang w:eastAsia="zh-CN"/>
              </w:rPr>
              <w:t>（</w:t>
            </w:r>
            <w:r>
              <w:rPr>
                <w:rFonts w:hint="default" w:ascii="Times New Roman" w:hAnsi="Times New Roman" w:eastAsia="宋体" w:cs="Times New Roman"/>
                <w:color w:val="auto"/>
                <w:spacing w:val="-10"/>
                <w:sz w:val="24"/>
                <w:szCs w:val="24"/>
                <w:lang w:val="en-US" w:eastAsia="zh-CN"/>
              </w:rPr>
              <w:t>10</w:t>
            </w:r>
            <w:r>
              <w:rPr>
                <w:rFonts w:hint="default" w:ascii="Times New Roman" w:hAnsi="Times New Roman" w:eastAsia="宋体" w:cs="Times New Roman"/>
                <w:color w:val="auto"/>
                <w:spacing w:val="-10"/>
                <w:sz w:val="24"/>
                <w:szCs w:val="24"/>
                <w:lang w:eastAsia="zh-CN"/>
              </w:rPr>
              <w:t>）</w:t>
            </w:r>
            <w:r>
              <w:rPr>
                <w:rFonts w:hint="default" w:ascii="Times New Roman" w:hAnsi="Times New Roman" w:eastAsia="宋体" w:cs="Times New Roman"/>
                <w:color w:val="auto"/>
                <w:spacing w:val="-10"/>
                <w:sz w:val="24"/>
                <w:szCs w:val="24"/>
              </w:rPr>
              <w:t>剩余物清理</w:t>
            </w:r>
          </w:p>
          <w:p w14:paraId="59F44F44">
            <w:pPr>
              <w:spacing w:before="51" w:line="360" w:lineRule="auto"/>
              <w:ind w:firstLine="611"/>
              <w:rPr>
                <w:rFonts w:hint="default" w:ascii="Times New Roman" w:hAnsi="Times New Roman" w:eastAsia="宋体" w:cs="Times New Roman"/>
                <w:b/>
                <w:bCs/>
                <w:color w:val="auto"/>
                <w:spacing w:val="-10"/>
                <w:sz w:val="24"/>
                <w:szCs w:val="24"/>
              </w:rPr>
            </w:pPr>
            <w:r>
              <w:rPr>
                <w:rFonts w:hint="default" w:ascii="Times New Roman" w:hAnsi="Times New Roman" w:eastAsia="宋体" w:cs="Times New Roman"/>
                <w:color w:val="auto"/>
                <w:spacing w:val="-10"/>
                <w:sz w:val="24"/>
                <w:szCs w:val="24"/>
              </w:rPr>
              <w:t>及时将可利用木材运走，同时清理采伐剩余物。伐区剩余物清理是对木材生产以外的各类梢、枝、灌木、杂草进行清运，本次设计涉及现有林改培和林下经济的伐区剩余物全部清理出林分，以利于林窗补植和林下种植的实施，其余伐区顺山沿等高线采用归堆法、归带法、散铺法处理采伐剩余物。清理时采用人力清理，清理的剩余物可用于居民的烧材或运到伐区外适当位置切片粉碎后深埋处理，以免污染环境，杜绝森林火灾隐患。</w:t>
            </w:r>
          </w:p>
          <w:p w14:paraId="3B7F6ADC">
            <w:pPr>
              <w:spacing w:before="37" w:line="360" w:lineRule="auto"/>
              <w:ind w:firstLine="533"/>
              <w:rPr>
                <w:rFonts w:hint="default" w:ascii="Times New Roman" w:hAnsi="Times New Roman" w:eastAsia="宋体" w:cs="Times New Roman"/>
                <w:b/>
                <w:bCs/>
                <w:color w:val="auto"/>
                <w:sz w:val="28"/>
                <w:szCs w:val="28"/>
              </w:rPr>
            </w:pPr>
            <w:r>
              <w:rPr>
                <w:rFonts w:hint="default" w:ascii="Times New Roman" w:hAnsi="Times New Roman" w:eastAsia="宋体" w:cs="Times New Roman"/>
                <w:b/>
                <w:bCs/>
                <w:color w:val="auto"/>
                <w:spacing w:val="-4"/>
                <w:sz w:val="28"/>
                <w:szCs w:val="28"/>
              </w:rPr>
              <w:t>2、施工进度及工期</w:t>
            </w:r>
          </w:p>
          <w:p w14:paraId="64D56B71">
            <w:pPr>
              <w:spacing w:before="51" w:line="360" w:lineRule="auto"/>
              <w:ind w:firstLine="611"/>
              <w:rPr>
                <w:rFonts w:hint="default" w:ascii="Times New Roman" w:hAnsi="Times New Roman" w:eastAsia="宋体" w:cs="Times New Roman"/>
                <w:color w:val="auto"/>
                <w:spacing w:val="-10"/>
                <w:sz w:val="24"/>
                <w:szCs w:val="24"/>
              </w:rPr>
            </w:pPr>
            <w:r>
              <w:rPr>
                <w:rFonts w:hint="default" w:ascii="Times New Roman" w:hAnsi="Times New Roman" w:eastAsia="宋体" w:cs="Times New Roman"/>
                <w:color w:val="auto"/>
                <w:spacing w:val="-10"/>
                <w:sz w:val="24"/>
                <w:szCs w:val="24"/>
              </w:rPr>
              <w:t>项目建设期为建设期限4年，2023-2024年为建设期，2025-2026为管护期。</w:t>
            </w:r>
          </w:p>
          <w:p w14:paraId="3DE44C89">
            <w:pPr>
              <w:spacing w:before="51" w:line="360" w:lineRule="auto"/>
              <w:ind w:firstLine="611"/>
              <w:rPr>
                <w:rFonts w:hint="default" w:ascii="Times New Roman" w:hAnsi="Times New Roman" w:eastAsia="宋体" w:cs="Times New Roman"/>
                <w:color w:val="auto"/>
                <w:spacing w:val="-10"/>
                <w:sz w:val="24"/>
                <w:szCs w:val="24"/>
              </w:rPr>
            </w:pPr>
            <w:r>
              <w:rPr>
                <w:rFonts w:hint="default" w:ascii="Times New Roman" w:hAnsi="Times New Roman" w:eastAsia="宋体" w:cs="Times New Roman"/>
                <w:color w:val="auto"/>
                <w:spacing w:val="-10"/>
                <w:sz w:val="24"/>
                <w:szCs w:val="24"/>
              </w:rPr>
              <w:t>项目建设进度计划见下表：</w:t>
            </w:r>
          </w:p>
          <w:p w14:paraId="195E7EF7">
            <w:pPr>
              <w:ind w:firstLine="482" w:firstLineChars="200"/>
              <w:jc w:val="center"/>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表2-</w:t>
            </w:r>
            <w:r>
              <w:rPr>
                <w:rFonts w:hint="default" w:ascii="Times New Roman" w:hAnsi="Times New Roman" w:eastAsia="宋体" w:cs="Times New Roman"/>
                <w:b/>
                <w:bCs/>
                <w:color w:val="auto"/>
                <w:sz w:val="24"/>
                <w:lang w:val="en-US" w:eastAsia="zh-CN"/>
              </w:rPr>
              <w:t>10</w:t>
            </w:r>
            <w:r>
              <w:rPr>
                <w:rFonts w:hint="default" w:ascii="Times New Roman" w:hAnsi="Times New Roman" w:eastAsia="宋体" w:cs="Times New Roman"/>
                <w:b/>
                <w:bCs/>
                <w:color w:val="auto"/>
                <w:sz w:val="24"/>
              </w:rPr>
              <w:t xml:space="preserve">   项目施工进度表</w:t>
            </w:r>
          </w:p>
          <w:tbl>
            <w:tblPr>
              <w:tblStyle w:val="32"/>
              <w:tblW w:w="822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386"/>
              <w:gridCol w:w="426"/>
              <w:gridCol w:w="426"/>
              <w:gridCol w:w="426"/>
              <w:gridCol w:w="426"/>
              <w:gridCol w:w="426"/>
              <w:gridCol w:w="455"/>
              <w:gridCol w:w="471"/>
              <w:gridCol w:w="456"/>
              <w:gridCol w:w="559"/>
              <w:gridCol w:w="431"/>
              <w:gridCol w:w="426"/>
              <w:gridCol w:w="485"/>
              <w:gridCol w:w="490"/>
              <w:gridCol w:w="498"/>
              <w:gridCol w:w="433"/>
            </w:tblGrid>
            <w:tr w14:paraId="2BB8AF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4" w:hRule="atLeast"/>
                <w:jc w:val="center"/>
              </w:trPr>
              <w:tc>
                <w:tcPr>
                  <w:tcW w:w="851" w:type="pct"/>
                  <w:tcBorders>
                    <w:top w:val="single" w:color="auto" w:sz="4" w:space="0"/>
                  </w:tcBorders>
                  <w:shd w:val="clear" w:color="auto" w:fill="auto"/>
                  <w:vAlign w:val="center"/>
                </w:tcPr>
                <w:p w14:paraId="00FC244E">
                  <w:pPr>
                    <w:spacing w:line="240" w:lineRule="auto"/>
                    <w:jc w:val="center"/>
                    <w:rPr>
                      <w:rFonts w:hint="default" w:ascii="Times New Roman" w:hAnsi="Times New Roman" w:eastAsia="宋体" w:cs="Times New Roman"/>
                      <w:color w:val="auto"/>
                      <w:kern w:val="0"/>
                      <w:sz w:val="21"/>
                      <w:szCs w:val="21"/>
                      <w:highlight w:val="none"/>
                    </w:rPr>
                  </w:pPr>
                </w:p>
              </w:tc>
              <w:tc>
                <w:tcPr>
                  <w:tcW w:w="725" w:type="pct"/>
                  <w:gridSpan w:val="3"/>
                  <w:tcBorders>
                    <w:top w:val="single" w:color="auto" w:sz="4" w:space="0"/>
                    <w:right w:val="single" w:color="auto" w:sz="4" w:space="0"/>
                  </w:tcBorders>
                  <w:shd w:val="clear" w:color="auto" w:fill="auto"/>
                  <w:vAlign w:val="center"/>
                </w:tcPr>
                <w:p w14:paraId="2543CD54">
                  <w:pPr>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2023年</w:t>
                  </w:r>
                </w:p>
              </w:tc>
              <w:tc>
                <w:tcPr>
                  <w:tcW w:w="1708" w:type="pct"/>
                  <w:gridSpan w:val="6"/>
                  <w:tcBorders>
                    <w:top w:val="single" w:color="auto" w:sz="4" w:space="0"/>
                    <w:right w:val="single" w:color="auto" w:sz="4" w:space="0"/>
                  </w:tcBorders>
                  <w:shd w:val="clear" w:color="auto" w:fill="auto"/>
                  <w:vAlign w:val="center"/>
                </w:tcPr>
                <w:p w14:paraId="639BC40A">
                  <w:pPr>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2024年</w:t>
                  </w:r>
                </w:p>
              </w:tc>
              <w:tc>
                <w:tcPr>
                  <w:tcW w:w="826" w:type="pct"/>
                  <w:gridSpan w:val="3"/>
                  <w:tcBorders>
                    <w:top w:val="single" w:color="auto" w:sz="4" w:space="0"/>
                    <w:left w:val="single" w:color="auto" w:sz="4" w:space="0"/>
                    <w:right w:val="single" w:color="auto" w:sz="4" w:space="0"/>
                  </w:tcBorders>
                  <w:shd w:val="clear" w:color="auto" w:fill="auto"/>
                  <w:vAlign w:val="center"/>
                </w:tcPr>
                <w:p w14:paraId="7B27FAEB">
                  <w:pPr>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2025年</w:t>
                  </w:r>
                </w:p>
              </w:tc>
              <w:tc>
                <w:tcPr>
                  <w:tcW w:w="888" w:type="pct"/>
                  <w:gridSpan w:val="3"/>
                  <w:tcBorders>
                    <w:top w:val="single" w:color="auto" w:sz="4" w:space="0"/>
                    <w:left w:val="single" w:color="auto" w:sz="4" w:space="0"/>
                    <w:right w:val="single" w:color="auto" w:sz="4" w:space="0"/>
                  </w:tcBorders>
                  <w:shd w:val="clear" w:color="auto" w:fill="auto"/>
                  <w:vAlign w:val="center"/>
                </w:tcPr>
                <w:p w14:paraId="6B3D064D">
                  <w:pPr>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2026年</w:t>
                  </w:r>
                </w:p>
              </w:tc>
            </w:tr>
            <w:tr w14:paraId="29DBB6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4" w:hRule="atLeast"/>
                <w:jc w:val="center"/>
              </w:trPr>
              <w:tc>
                <w:tcPr>
                  <w:tcW w:w="851" w:type="pct"/>
                  <w:shd w:val="clear" w:color="auto" w:fill="auto"/>
                  <w:vAlign w:val="center"/>
                </w:tcPr>
                <w:p w14:paraId="50B1B145">
                  <w:pPr>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月 份</w:t>
                  </w:r>
                </w:p>
              </w:tc>
              <w:tc>
                <w:tcPr>
                  <w:tcW w:w="241" w:type="pct"/>
                  <w:shd w:val="clear" w:color="auto" w:fill="auto"/>
                  <w:vAlign w:val="center"/>
                </w:tcPr>
                <w:p w14:paraId="139F57CB">
                  <w:pPr>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rPr>
                    <w:t>10</w:t>
                  </w:r>
                  <w:r>
                    <w:rPr>
                      <w:rFonts w:hint="default" w:ascii="Times New Roman" w:hAnsi="Times New Roman" w:eastAsia="宋体" w:cs="Times New Roman"/>
                      <w:color w:val="auto"/>
                      <w:kern w:val="0"/>
                      <w:sz w:val="21"/>
                      <w:szCs w:val="21"/>
                      <w:highlight w:val="none"/>
                    </w:rPr>
                    <w:t xml:space="preserve">    月</w:t>
                  </w:r>
                </w:p>
              </w:tc>
              <w:tc>
                <w:tcPr>
                  <w:tcW w:w="241" w:type="pct"/>
                  <w:shd w:val="clear" w:color="auto" w:fill="auto"/>
                  <w:vAlign w:val="center"/>
                </w:tcPr>
                <w:p w14:paraId="18131F7D">
                  <w:pPr>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w:t>
                  </w:r>
                  <w:r>
                    <w:rPr>
                      <w:rFonts w:hint="default" w:ascii="Times New Roman" w:hAnsi="Times New Roman" w:eastAsia="宋体" w:cs="Times New Roman"/>
                      <w:color w:val="auto"/>
                      <w:kern w:val="0"/>
                      <w:sz w:val="21"/>
                      <w:szCs w:val="21"/>
                      <w:highlight w:val="none"/>
                      <w:lang w:val="en-US" w:eastAsia="zh-CN"/>
                    </w:rPr>
                    <w:t>1</w:t>
                  </w:r>
                  <w:r>
                    <w:rPr>
                      <w:rFonts w:hint="default" w:ascii="Times New Roman" w:hAnsi="Times New Roman" w:eastAsia="宋体" w:cs="Times New Roman"/>
                      <w:color w:val="auto"/>
                      <w:kern w:val="0"/>
                      <w:sz w:val="21"/>
                      <w:szCs w:val="21"/>
                      <w:highlight w:val="none"/>
                    </w:rPr>
                    <w:t>月</w:t>
                  </w:r>
                </w:p>
              </w:tc>
              <w:tc>
                <w:tcPr>
                  <w:tcW w:w="243" w:type="pct"/>
                  <w:tcBorders>
                    <w:right w:val="single" w:color="auto" w:sz="4" w:space="0"/>
                  </w:tcBorders>
                  <w:shd w:val="clear" w:color="auto" w:fill="auto"/>
                  <w:vAlign w:val="center"/>
                </w:tcPr>
                <w:p w14:paraId="1495A48B">
                  <w:pPr>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w:t>
                  </w:r>
                  <w:r>
                    <w:rPr>
                      <w:rFonts w:hint="default" w:ascii="Times New Roman" w:hAnsi="Times New Roman" w:eastAsia="宋体" w:cs="Times New Roman"/>
                      <w:color w:val="auto"/>
                      <w:kern w:val="0"/>
                      <w:sz w:val="21"/>
                      <w:szCs w:val="21"/>
                      <w:highlight w:val="none"/>
                      <w:lang w:val="en-US" w:eastAsia="zh-CN"/>
                    </w:rPr>
                    <w:t>2</w:t>
                  </w:r>
                  <w:r>
                    <w:rPr>
                      <w:rFonts w:hint="default" w:ascii="Times New Roman" w:hAnsi="Times New Roman" w:eastAsia="宋体" w:cs="Times New Roman"/>
                      <w:color w:val="auto"/>
                      <w:kern w:val="0"/>
                      <w:sz w:val="21"/>
                      <w:szCs w:val="21"/>
                      <w:highlight w:val="none"/>
                    </w:rPr>
                    <w:t>月</w:t>
                  </w:r>
                </w:p>
              </w:tc>
              <w:tc>
                <w:tcPr>
                  <w:tcW w:w="254" w:type="pct"/>
                  <w:shd w:val="clear" w:color="auto" w:fill="auto"/>
                  <w:vAlign w:val="center"/>
                </w:tcPr>
                <w:p w14:paraId="65DD3081">
                  <w:pPr>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1月</w:t>
                  </w:r>
                </w:p>
              </w:tc>
              <w:tc>
                <w:tcPr>
                  <w:tcW w:w="241" w:type="pct"/>
                  <w:shd w:val="clear" w:color="auto" w:fill="auto"/>
                  <w:vAlign w:val="center"/>
                </w:tcPr>
                <w:p w14:paraId="3EEFD501">
                  <w:pPr>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2月</w:t>
                  </w:r>
                </w:p>
              </w:tc>
              <w:tc>
                <w:tcPr>
                  <w:tcW w:w="285" w:type="pct"/>
                  <w:shd w:val="clear" w:color="auto" w:fill="auto"/>
                  <w:vAlign w:val="center"/>
                </w:tcPr>
                <w:p w14:paraId="1758107C">
                  <w:pPr>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w:t>
                  </w:r>
                </w:p>
              </w:tc>
              <w:tc>
                <w:tcPr>
                  <w:tcW w:w="295" w:type="pct"/>
                  <w:shd w:val="clear" w:color="auto" w:fill="auto"/>
                  <w:vAlign w:val="center"/>
                </w:tcPr>
                <w:p w14:paraId="377E3C95">
                  <w:pPr>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6月</w:t>
                  </w:r>
                </w:p>
              </w:tc>
              <w:tc>
                <w:tcPr>
                  <w:tcW w:w="285" w:type="pct"/>
                  <w:shd w:val="clear" w:color="auto" w:fill="auto"/>
                  <w:vAlign w:val="center"/>
                </w:tcPr>
                <w:p w14:paraId="06876242">
                  <w:pPr>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w:t>
                  </w:r>
                </w:p>
              </w:tc>
              <w:tc>
                <w:tcPr>
                  <w:tcW w:w="345" w:type="pct"/>
                  <w:tcBorders>
                    <w:right w:val="single" w:color="auto" w:sz="4" w:space="0"/>
                  </w:tcBorders>
                  <w:shd w:val="clear" w:color="auto" w:fill="auto"/>
                  <w:vAlign w:val="center"/>
                </w:tcPr>
                <w:p w14:paraId="03EAC3C8">
                  <w:pPr>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12月</w:t>
                  </w:r>
                </w:p>
              </w:tc>
              <w:tc>
                <w:tcPr>
                  <w:tcW w:w="270" w:type="pct"/>
                  <w:tcBorders>
                    <w:left w:val="single" w:color="auto" w:sz="4" w:space="0"/>
                  </w:tcBorders>
                  <w:shd w:val="clear" w:color="auto" w:fill="auto"/>
                  <w:vAlign w:val="center"/>
                </w:tcPr>
                <w:p w14:paraId="0E5BA896">
                  <w:pPr>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1月</w:t>
                  </w:r>
                </w:p>
              </w:tc>
              <w:tc>
                <w:tcPr>
                  <w:tcW w:w="253" w:type="pct"/>
                  <w:shd w:val="clear" w:color="auto" w:fill="auto"/>
                  <w:vAlign w:val="center"/>
                </w:tcPr>
                <w:p w14:paraId="79FA39C7">
                  <w:pPr>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w:t>
                  </w:r>
                </w:p>
              </w:tc>
              <w:tc>
                <w:tcPr>
                  <w:tcW w:w="301" w:type="pct"/>
                  <w:tcBorders>
                    <w:right w:val="single" w:color="auto" w:sz="4" w:space="0"/>
                  </w:tcBorders>
                  <w:shd w:val="clear" w:color="auto" w:fill="auto"/>
                  <w:vAlign w:val="center"/>
                </w:tcPr>
                <w:p w14:paraId="73AD972F">
                  <w:pPr>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12月</w:t>
                  </w:r>
                </w:p>
              </w:tc>
              <w:tc>
                <w:tcPr>
                  <w:tcW w:w="306" w:type="pct"/>
                  <w:tcBorders>
                    <w:right w:val="single" w:color="auto" w:sz="4" w:space="0"/>
                  </w:tcBorders>
                  <w:shd w:val="clear" w:color="auto" w:fill="auto"/>
                  <w:vAlign w:val="center"/>
                </w:tcPr>
                <w:p w14:paraId="71A5FC1E">
                  <w:pPr>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1月</w:t>
                  </w:r>
                </w:p>
              </w:tc>
              <w:tc>
                <w:tcPr>
                  <w:tcW w:w="311" w:type="pct"/>
                  <w:tcBorders>
                    <w:left w:val="single" w:color="auto" w:sz="4" w:space="0"/>
                  </w:tcBorders>
                  <w:shd w:val="clear" w:color="auto" w:fill="auto"/>
                  <w:vAlign w:val="center"/>
                </w:tcPr>
                <w:p w14:paraId="1A394938">
                  <w:pPr>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w:t>
                  </w:r>
                </w:p>
              </w:tc>
              <w:tc>
                <w:tcPr>
                  <w:tcW w:w="269" w:type="pct"/>
                  <w:tcBorders>
                    <w:right w:val="single" w:color="auto" w:sz="4" w:space="0"/>
                  </w:tcBorders>
                  <w:shd w:val="clear" w:color="auto" w:fill="auto"/>
                </w:tcPr>
                <w:p w14:paraId="6F565791">
                  <w:pPr>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9月</w:t>
                  </w:r>
                </w:p>
              </w:tc>
            </w:tr>
            <w:tr w14:paraId="0BE00D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jc w:val="center"/>
              </w:trPr>
              <w:tc>
                <w:tcPr>
                  <w:tcW w:w="851" w:type="pct"/>
                  <w:shd w:val="clear" w:color="auto" w:fill="auto"/>
                  <w:vAlign w:val="center"/>
                </w:tcPr>
                <w:p w14:paraId="405062A8">
                  <w:pPr>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项目设计申报</w:t>
                  </w:r>
                </w:p>
              </w:tc>
              <w:tc>
                <w:tcPr>
                  <w:tcW w:w="241" w:type="pct"/>
                  <w:shd w:val="clear" w:color="auto" w:fill="auto"/>
                  <w:vAlign w:val="center"/>
                </w:tcPr>
                <w:p w14:paraId="69BDA365">
                  <w:pPr>
                    <w:spacing w:line="240" w:lineRule="auto"/>
                    <w:jc w:val="center"/>
                    <w:rPr>
                      <w:rFonts w:hint="default" w:ascii="Times New Roman" w:hAnsi="Times New Roman" w:eastAsia="宋体" w:cs="Times New Roman"/>
                      <w:color w:val="auto"/>
                      <w:kern w:val="0"/>
                      <w:sz w:val="21"/>
                      <w:szCs w:val="21"/>
                      <w:highlight w:val="none"/>
                    </w:rPr>
                  </w:pPr>
                </w:p>
              </w:tc>
              <w:tc>
                <w:tcPr>
                  <w:tcW w:w="241" w:type="pct"/>
                  <w:shd w:val="clear" w:color="auto" w:fill="auto"/>
                  <w:vAlign w:val="center"/>
                </w:tcPr>
                <w:p w14:paraId="09576723">
                  <w:pPr>
                    <w:spacing w:line="240" w:lineRule="auto"/>
                    <w:jc w:val="center"/>
                    <w:rPr>
                      <w:rFonts w:hint="default" w:ascii="Times New Roman" w:hAnsi="Times New Roman" w:eastAsia="宋体" w:cs="Times New Roman"/>
                      <w:b/>
                      <w:color w:val="auto"/>
                      <w:kern w:val="0"/>
                      <w:sz w:val="21"/>
                      <w:szCs w:val="21"/>
                      <w:highlight w:val="none"/>
                    </w:rPr>
                  </w:pPr>
                </w:p>
              </w:tc>
              <w:tc>
                <w:tcPr>
                  <w:tcW w:w="243" w:type="pct"/>
                  <w:shd w:val="clear" w:color="auto" w:fill="auto"/>
                  <w:vAlign w:val="center"/>
                </w:tcPr>
                <w:p w14:paraId="236493D5">
                  <w:pPr>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color w:val="auto"/>
                      <w:kern w:val="0"/>
                      <w:sz w:val="21"/>
                      <w:szCs w:val="21"/>
                      <w:highlight w:val="none"/>
                    </w:rPr>
                    <w:t>✔</w:t>
                  </w:r>
                </w:p>
              </w:tc>
              <w:tc>
                <w:tcPr>
                  <w:tcW w:w="254" w:type="pct"/>
                  <w:shd w:val="clear" w:color="auto" w:fill="auto"/>
                  <w:vAlign w:val="center"/>
                </w:tcPr>
                <w:p w14:paraId="1CF0C5DB">
                  <w:pPr>
                    <w:spacing w:line="240" w:lineRule="auto"/>
                    <w:jc w:val="center"/>
                    <w:rPr>
                      <w:rFonts w:hint="default" w:ascii="Times New Roman" w:hAnsi="Times New Roman" w:eastAsia="宋体" w:cs="Times New Roman"/>
                      <w:b/>
                      <w:color w:val="auto"/>
                      <w:kern w:val="0"/>
                      <w:sz w:val="21"/>
                      <w:szCs w:val="21"/>
                      <w:highlight w:val="none"/>
                    </w:rPr>
                  </w:pPr>
                </w:p>
              </w:tc>
              <w:tc>
                <w:tcPr>
                  <w:tcW w:w="241" w:type="pct"/>
                  <w:shd w:val="clear" w:color="auto" w:fill="auto"/>
                  <w:vAlign w:val="center"/>
                </w:tcPr>
                <w:p w14:paraId="2BAC14F2">
                  <w:pPr>
                    <w:spacing w:line="240" w:lineRule="auto"/>
                    <w:jc w:val="center"/>
                    <w:rPr>
                      <w:rFonts w:hint="default" w:ascii="Times New Roman" w:hAnsi="Times New Roman" w:eastAsia="宋体" w:cs="Times New Roman"/>
                      <w:b/>
                      <w:color w:val="auto"/>
                      <w:kern w:val="0"/>
                      <w:sz w:val="21"/>
                      <w:szCs w:val="21"/>
                      <w:highlight w:val="none"/>
                    </w:rPr>
                  </w:pPr>
                </w:p>
              </w:tc>
              <w:tc>
                <w:tcPr>
                  <w:tcW w:w="285" w:type="pct"/>
                  <w:shd w:val="clear" w:color="auto" w:fill="auto"/>
                  <w:vAlign w:val="center"/>
                </w:tcPr>
                <w:p w14:paraId="2E071B50">
                  <w:pPr>
                    <w:spacing w:line="240" w:lineRule="auto"/>
                    <w:jc w:val="center"/>
                    <w:rPr>
                      <w:rFonts w:hint="default" w:ascii="Times New Roman" w:hAnsi="Times New Roman" w:eastAsia="宋体" w:cs="Times New Roman"/>
                      <w:b/>
                      <w:color w:val="auto"/>
                      <w:kern w:val="0"/>
                      <w:sz w:val="21"/>
                      <w:szCs w:val="21"/>
                      <w:highlight w:val="none"/>
                    </w:rPr>
                  </w:pPr>
                </w:p>
              </w:tc>
              <w:tc>
                <w:tcPr>
                  <w:tcW w:w="295" w:type="pct"/>
                  <w:shd w:val="clear" w:color="auto" w:fill="auto"/>
                  <w:vAlign w:val="center"/>
                </w:tcPr>
                <w:p w14:paraId="2F7E8FA4">
                  <w:pPr>
                    <w:spacing w:line="240" w:lineRule="auto"/>
                    <w:jc w:val="center"/>
                    <w:rPr>
                      <w:rFonts w:hint="default" w:ascii="Times New Roman" w:hAnsi="Times New Roman" w:eastAsia="宋体" w:cs="Times New Roman"/>
                      <w:b/>
                      <w:color w:val="auto"/>
                      <w:kern w:val="0"/>
                      <w:sz w:val="21"/>
                      <w:szCs w:val="21"/>
                      <w:highlight w:val="none"/>
                    </w:rPr>
                  </w:pPr>
                </w:p>
              </w:tc>
              <w:tc>
                <w:tcPr>
                  <w:tcW w:w="285" w:type="pct"/>
                  <w:shd w:val="clear" w:color="auto" w:fill="auto"/>
                  <w:vAlign w:val="center"/>
                </w:tcPr>
                <w:p w14:paraId="74689974">
                  <w:pPr>
                    <w:spacing w:line="240" w:lineRule="auto"/>
                    <w:jc w:val="center"/>
                    <w:rPr>
                      <w:rFonts w:hint="default" w:ascii="Times New Roman" w:hAnsi="Times New Roman" w:eastAsia="宋体" w:cs="Times New Roman"/>
                      <w:b/>
                      <w:color w:val="auto"/>
                      <w:kern w:val="0"/>
                      <w:sz w:val="21"/>
                      <w:szCs w:val="21"/>
                      <w:highlight w:val="none"/>
                    </w:rPr>
                  </w:pPr>
                </w:p>
              </w:tc>
              <w:tc>
                <w:tcPr>
                  <w:tcW w:w="345" w:type="pct"/>
                  <w:shd w:val="clear" w:color="auto" w:fill="auto"/>
                  <w:vAlign w:val="center"/>
                </w:tcPr>
                <w:p w14:paraId="66DFAD9A">
                  <w:pPr>
                    <w:spacing w:line="240" w:lineRule="auto"/>
                    <w:jc w:val="center"/>
                    <w:rPr>
                      <w:rFonts w:hint="default" w:ascii="Times New Roman" w:hAnsi="Times New Roman" w:eastAsia="宋体" w:cs="Times New Roman"/>
                      <w:b/>
                      <w:color w:val="auto"/>
                      <w:kern w:val="0"/>
                      <w:sz w:val="21"/>
                      <w:szCs w:val="21"/>
                      <w:highlight w:val="none"/>
                    </w:rPr>
                  </w:pPr>
                </w:p>
              </w:tc>
              <w:tc>
                <w:tcPr>
                  <w:tcW w:w="270" w:type="pct"/>
                  <w:shd w:val="clear" w:color="auto" w:fill="auto"/>
                  <w:vAlign w:val="center"/>
                </w:tcPr>
                <w:p w14:paraId="7B3C6DA2">
                  <w:pPr>
                    <w:spacing w:line="240" w:lineRule="auto"/>
                    <w:jc w:val="center"/>
                    <w:rPr>
                      <w:rFonts w:hint="default" w:ascii="Times New Roman" w:hAnsi="Times New Roman" w:eastAsia="宋体" w:cs="Times New Roman"/>
                      <w:b/>
                      <w:color w:val="auto"/>
                      <w:kern w:val="0"/>
                      <w:sz w:val="21"/>
                      <w:szCs w:val="21"/>
                      <w:highlight w:val="none"/>
                    </w:rPr>
                  </w:pPr>
                </w:p>
              </w:tc>
              <w:tc>
                <w:tcPr>
                  <w:tcW w:w="253" w:type="pct"/>
                  <w:shd w:val="clear" w:color="auto" w:fill="auto"/>
                  <w:vAlign w:val="center"/>
                </w:tcPr>
                <w:p w14:paraId="3D74FDD3">
                  <w:pPr>
                    <w:spacing w:line="240" w:lineRule="auto"/>
                    <w:jc w:val="center"/>
                    <w:rPr>
                      <w:rFonts w:hint="default" w:ascii="Times New Roman" w:hAnsi="Times New Roman" w:eastAsia="宋体" w:cs="Times New Roman"/>
                      <w:b/>
                      <w:color w:val="auto"/>
                      <w:kern w:val="0"/>
                      <w:sz w:val="21"/>
                      <w:szCs w:val="21"/>
                      <w:highlight w:val="none"/>
                    </w:rPr>
                  </w:pPr>
                </w:p>
              </w:tc>
              <w:tc>
                <w:tcPr>
                  <w:tcW w:w="301" w:type="pct"/>
                  <w:shd w:val="clear" w:color="auto" w:fill="auto"/>
                  <w:vAlign w:val="center"/>
                </w:tcPr>
                <w:p w14:paraId="4E77F3E2">
                  <w:pPr>
                    <w:spacing w:line="240" w:lineRule="auto"/>
                    <w:jc w:val="center"/>
                    <w:rPr>
                      <w:rFonts w:hint="default" w:ascii="Times New Roman" w:hAnsi="Times New Roman" w:eastAsia="宋体" w:cs="Times New Roman"/>
                      <w:b/>
                      <w:color w:val="auto"/>
                      <w:kern w:val="0"/>
                      <w:sz w:val="21"/>
                      <w:szCs w:val="21"/>
                      <w:highlight w:val="none"/>
                    </w:rPr>
                  </w:pPr>
                </w:p>
              </w:tc>
              <w:tc>
                <w:tcPr>
                  <w:tcW w:w="306" w:type="pct"/>
                  <w:shd w:val="clear" w:color="auto" w:fill="auto"/>
                  <w:vAlign w:val="center"/>
                </w:tcPr>
                <w:p w14:paraId="3FC2C244">
                  <w:pPr>
                    <w:spacing w:line="240" w:lineRule="auto"/>
                    <w:jc w:val="center"/>
                    <w:rPr>
                      <w:rFonts w:hint="default" w:ascii="Times New Roman" w:hAnsi="Times New Roman" w:eastAsia="宋体" w:cs="Times New Roman"/>
                      <w:b/>
                      <w:color w:val="auto"/>
                      <w:kern w:val="0"/>
                      <w:sz w:val="21"/>
                      <w:szCs w:val="21"/>
                      <w:highlight w:val="none"/>
                    </w:rPr>
                  </w:pPr>
                </w:p>
              </w:tc>
              <w:tc>
                <w:tcPr>
                  <w:tcW w:w="311" w:type="pct"/>
                  <w:shd w:val="clear" w:color="auto" w:fill="auto"/>
                  <w:vAlign w:val="center"/>
                </w:tcPr>
                <w:p w14:paraId="24C2B305">
                  <w:pPr>
                    <w:spacing w:line="240" w:lineRule="auto"/>
                    <w:jc w:val="center"/>
                    <w:rPr>
                      <w:rFonts w:hint="default" w:ascii="Times New Roman" w:hAnsi="Times New Roman" w:eastAsia="宋体" w:cs="Times New Roman"/>
                      <w:b/>
                      <w:color w:val="auto"/>
                      <w:kern w:val="0"/>
                      <w:sz w:val="21"/>
                      <w:szCs w:val="21"/>
                      <w:highlight w:val="none"/>
                    </w:rPr>
                  </w:pPr>
                </w:p>
              </w:tc>
              <w:tc>
                <w:tcPr>
                  <w:tcW w:w="269" w:type="pct"/>
                  <w:shd w:val="clear" w:color="auto" w:fill="auto"/>
                  <w:vAlign w:val="center"/>
                </w:tcPr>
                <w:p w14:paraId="08CC8F6A">
                  <w:pPr>
                    <w:spacing w:line="240" w:lineRule="auto"/>
                    <w:jc w:val="center"/>
                    <w:rPr>
                      <w:rFonts w:hint="default" w:ascii="Times New Roman" w:hAnsi="Times New Roman" w:eastAsia="宋体" w:cs="Times New Roman"/>
                      <w:b/>
                      <w:color w:val="auto"/>
                      <w:kern w:val="0"/>
                      <w:sz w:val="21"/>
                      <w:szCs w:val="21"/>
                      <w:highlight w:val="none"/>
                    </w:rPr>
                  </w:pPr>
                </w:p>
              </w:tc>
            </w:tr>
            <w:tr w14:paraId="5E4DB97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jc w:val="center"/>
              </w:trPr>
              <w:tc>
                <w:tcPr>
                  <w:tcW w:w="851" w:type="pct"/>
                  <w:shd w:val="clear" w:color="auto" w:fill="auto"/>
                  <w:vAlign w:val="center"/>
                </w:tcPr>
                <w:p w14:paraId="25995169">
                  <w:pPr>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林地流转</w:t>
                  </w:r>
                </w:p>
              </w:tc>
              <w:tc>
                <w:tcPr>
                  <w:tcW w:w="241" w:type="pct"/>
                  <w:shd w:val="clear" w:color="auto" w:fill="auto"/>
                  <w:vAlign w:val="center"/>
                </w:tcPr>
                <w:p w14:paraId="3D00059F">
                  <w:pPr>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w:t>
                  </w:r>
                </w:p>
              </w:tc>
              <w:tc>
                <w:tcPr>
                  <w:tcW w:w="241" w:type="pct"/>
                  <w:shd w:val="clear" w:color="auto" w:fill="auto"/>
                  <w:vAlign w:val="center"/>
                </w:tcPr>
                <w:p w14:paraId="50ED27FF">
                  <w:pPr>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w:t>
                  </w:r>
                </w:p>
              </w:tc>
              <w:tc>
                <w:tcPr>
                  <w:tcW w:w="243" w:type="pct"/>
                  <w:shd w:val="clear" w:color="auto" w:fill="auto"/>
                  <w:vAlign w:val="center"/>
                </w:tcPr>
                <w:p w14:paraId="063AEA50">
                  <w:pPr>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w:t>
                  </w:r>
                </w:p>
              </w:tc>
              <w:tc>
                <w:tcPr>
                  <w:tcW w:w="254" w:type="pct"/>
                  <w:shd w:val="clear" w:color="auto" w:fill="auto"/>
                  <w:vAlign w:val="center"/>
                </w:tcPr>
                <w:p w14:paraId="1E75C471">
                  <w:pPr>
                    <w:spacing w:line="240" w:lineRule="auto"/>
                    <w:jc w:val="center"/>
                    <w:rPr>
                      <w:rFonts w:hint="default" w:ascii="Times New Roman" w:hAnsi="Times New Roman" w:eastAsia="宋体" w:cs="Times New Roman"/>
                      <w:b/>
                      <w:color w:val="auto"/>
                      <w:kern w:val="0"/>
                      <w:sz w:val="21"/>
                      <w:szCs w:val="21"/>
                      <w:highlight w:val="none"/>
                    </w:rPr>
                  </w:pPr>
                </w:p>
              </w:tc>
              <w:tc>
                <w:tcPr>
                  <w:tcW w:w="241" w:type="pct"/>
                  <w:shd w:val="clear" w:color="auto" w:fill="auto"/>
                  <w:vAlign w:val="center"/>
                </w:tcPr>
                <w:p w14:paraId="03F6EB24">
                  <w:pPr>
                    <w:spacing w:line="240" w:lineRule="auto"/>
                    <w:jc w:val="center"/>
                    <w:rPr>
                      <w:rFonts w:hint="default" w:ascii="Times New Roman" w:hAnsi="Times New Roman" w:eastAsia="宋体" w:cs="Times New Roman"/>
                      <w:b/>
                      <w:color w:val="auto"/>
                      <w:kern w:val="0"/>
                      <w:sz w:val="21"/>
                      <w:szCs w:val="21"/>
                      <w:highlight w:val="none"/>
                    </w:rPr>
                  </w:pPr>
                </w:p>
              </w:tc>
              <w:tc>
                <w:tcPr>
                  <w:tcW w:w="285" w:type="pct"/>
                  <w:shd w:val="clear" w:color="auto" w:fill="auto"/>
                  <w:vAlign w:val="center"/>
                </w:tcPr>
                <w:p w14:paraId="3CEB36F8">
                  <w:pPr>
                    <w:spacing w:line="240" w:lineRule="auto"/>
                    <w:jc w:val="center"/>
                    <w:rPr>
                      <w:rFonts w:hint="default" w:ascii="Times New Roman" w:hAnsi="Times New Roman" w:eastAsia="宋体" w:cs="Times New Roman"/>
                      <w:b/>
                      <w:color w:val="auto"/>
                      <w:kern w:val="0"/>
                      <w:sz w:val="21"/>
                      <w:szCs w:val="21"/>
                      <w:highlight w:val="none"/>
                    </w:rPr>
                  </w:pPr>
                </w:p>
              </w:tc>
              <w:tc>
                <w:tcPr>
                  <w:tcW w:w="295" w:type="pct"/>
                  <w:shd w:val="clear" w:color="auto" w:fill="auto"/>
                  <w:vAlign w:val="center"/>
                </w:tcPr>
                <w:p w14:paraId="1C28CA24">
                  <w:pPr>
                    <w:spacing w:line="240" w:lineRule="auto"/>
                    <w:jc w:val="center"/>
                    <w:rPr>
                      <w:rFonts w:hint="default" w:ascii="Times New Roman" w:hAnsi="Times New Roman" w:eastAsia="宋体" w:cs="Times New Roman"/>
                      <w:b/>
                      <w:color w:val="auto"/>
                      <w:kern w:val="0"/>
                      <w:sz w:val="21"/>
                      <w:szCs w:val="21"/>
                      <w:highlight w:val="none"/>
                    </w:rPr>
                  </w:pPr>
                </w:p>
              </w:tc>
              <w:tc>
                <w:tcPr>
                  <w:tcW w:w="285" w:type="pct"/>
                  <w:shd w:val="clear" w:color="auto" w:fill="auto"/>
                  <w:vAlign w:val="center"/>
                </w:tcPr>
                <w:p w14:paraId="1B5B363E">
                  <w:pPr>
                    <w:spacing w:line="240" w:lineRule="auto"/>
                    <w:jc w:val="center"/>
                    <w:rPr>
                      <w:rFonts w:hint="default" w:ascii="Times New Roman" w:hAnsi="Times New Roman" w:eastAsia="宋体" w:cs="Times New Roman"/>
                      <w:b/>
                      <w:color w:val="auto"/>
                      <w:kern w:val="0"/>
                      <w:sz w:val="21"/>
                      <w:szCs w:val="21"/>
                      <w:highlight w:val="none"/>
                    </w:rPr>
                  </w:pPr>
                </w:p>
              </w:tc>
              <w:tc>
                <w:tcPr>
                  <w:tcW w:w="345" w:type="pct"/>
                  <w:shd w:val="clear" w:color="auto" w:fill="auto"/>
                  <w:vAlign w:val="center"/>
                </w:tcPr>
                <w:p w14:paraId="7107B140">
                  <w:pPr>
                    <w:spacing w:line="240" w:lineRule="auto"/>
                    <w:jc w:val="center"/>
                    <w:rPr>
                      <w:rFonts w:hint="default" w:ascii="Times New Roman" w:hAnsi="Times New Roman" w:eastAsia="宋体" w:cs="Times New Roman"/>
                      <w:b/>
                      <w:color w:val="auto"/>
                      <w:kern w:val="0"/>
                      <w:sz w:val="21"/>
                      <w:szCs w:val="21"/>
                      <w:highlight w:val="none"/>
                    </w:rPr>
                  </w:pPr>
                </w:p>
              </w:tc>
              <w:tc>
                <w:tcPr>
                  <w:tcW w:w="270" w:type="pct"/>
                  <w:shd w:val="clear" w:color="auto" w:fill="auto"/>
                  <w:vAlign w:val="center"/>
                </w:tcPr>
                <w:p w14:paraId="5A73A819">
                  <w:pPr>
                    <w:spacing w:line="240" w:lineRule="auto"/>
                    <w:jc w:val="center"/>
                    <w:rPr>
                      <w:rFonts w:hint="default" w:ascii="Times New Roman" w:hAnsi="Times New Roman" w:eastAsia="宋体" w:cs="Times New Roman"/>
                      <w:b/>
                      <w:color w:val="auto"/>
                      <w:kern w:val="0"/>
                      <w:sz w:val="21"/>
                      <w:szCs w:val="21"/>
                      <w:highlight w:val="none"/>
                    </w:rPr>
                  </w:pPr>
                </w:p>
              </w:tc>
              <w:tc>
                <w:tcPr>
                  <w:tcW w:w="253" w:type="pct"/>
                  <w:shd w:val="clear" w:color="auto" w:fill="auto"/>
                  <w:vAlign w:val="center"/>
                </w:tcPr>
                <w:p w14:paraId="58EB1D70">
                  <w:pPr>
                    <w:spacing w:line="240" w:lineRule="auto"/>
                    <w:jc w:val="center"/>
                    <w:rPr>
                      <w:rFonts w:hint="default" w:ascii="Times New Roman" w:hAnsi="Times New Roman" w:eastAsia="宋体" w:cs="Times New Roman"/>
                      <w:b/>
                      <w:color w:val="auto"/>
                      <w:kern w:val="0"/>
                      <w:sz w:val="21"/>
                      <w:szCs w:val="21"/>
                      <w:highlight w:val="none"/>
                    </w:rPr>
                  </w:pPr>
                </w:p>
              </w:tc>
              <w:tc>
                <w:tcPr>
                  <w:tcW w:w="301" w:type="pct"/>
                  <w:shd w:val="clear" w:color="auto" w:fill="auto"/>
                  <w:vAlign w:val="center"/>
                </w:tcPr>
                <w:p w14:paraId="02BF3C8E">
                  <w:pPr>
                    <w:spacing w:line="240" w:lineRule="auto"/>
                    <w:jc w:val="center"/>
                    <w:rPr>
                      <w:rFonts w:hint="default" w:ascii="Times New Roman" w:hAnsi="Times New Roman" w:eastAsia="宋体" w:cs="Times New Roman"/>
                      <w:b/>
                      <w:color w:val="auto"/>
                      <w:kern w:val="0"/>
                      <w:sz w:val="21"/>
                      <w:szCs w:val="21"/>
                      <w:highlight w:val="none"/>
                    </w:rPr>
                  </w:pPr>
                </w:p>
              </w:tc>
              <w:tc>
                <w:tcPr>
                  <w:tcW w:w="306" w:type="pct"/>
                  <w:shd w:val="clear" w:color="auto" w:fill="auto"/>
                  <w:vAlign w:val="center"/>
                </w:tcPr>
                <w:p w14:paraId="6C6ED1C3">
                  <w:pPr>
                    <w:spacing w:line="240" w:lineRule="auto"/>
                    <w:jc w:val="center"/>
                    <w:rPr>
                      <w:rFonts w:hint="default" w:ascii="Times New Roman" w:hAnsi="Times New Roman" w:eastAsia="宋体" w:cs="Times New Roman"/>
                      <w:b/>
                      <w:color w:val="auto"/>
                      <w:kern w:val="0"/>
                      <w:sz w:val="21"/>
                      <w:szCs w:val="21"/>
                      <w:highlight w:val="none"/>
                    </w:rPr>
                  </w:pPr>
                </w:p>
              </w:tc>
              <w:tc>
                <w:tcPr>
                  <w:tcW w:w="311" w:type="pct"/>
                  <w:shd w:val="clear" w:color="auto" w:fill="auto"/>
                  <w:vAlign w:val="center"/>
                </w:tcPr>
                <w:p w14:paraId="3313B9E0">
                  <w:pPr>
                    <w:spacing w:line="240" w:lineRule="auto"/>
                    <w:jc w:val="center"/>
                    <w:rPr>
                      <w:rFonts w:hint="default" w:ascii="Times New Roman" w:hAnsi="Times New Roman" w:eastAsia="宋体" w:cs="Times New Roman"/>
                      <w:b/>
                      <w:color w:val="auto"/>
                      <w:kern w:val="0"/>
                      <w:sz w:val="21"/>
                      <w:szCs w:val="21"/>
                      <w:highlight w:val="none"/>
                    </w:rPr>
                  </w:pPr>
                </w:p>
              </w:tc>
              <w:tc>
                <w:tcPr>
                  <w:tcW w:w="269" w:type="pct"/>
                  <w:shd w:val="clear" w:color="auto" w:fill="auto"/>
                  <w:vAlign w:val="center"/>
                </w:tcPr>
                <w:p w14:paraId="7D274603">
                  <w:pPr>
                    <w:spacing w:line="240" w:lineRule="auto"/>
                    <w:jc w:val="center"/>
                    <w:rPr>
                      <w:rFonts w:hint="default" w:ascii="Times New Roman" w:hAnsi="Times New Roman" w:eastAsia="宋体" w:cs="Times New Roman"/>
                      <w:b/>
                      <w:color w:val="auto"/>
                      <w:kern w:val="0"/>
                      <w:sz w:val="21"/>
                      <w:szCs w:val="21"/>
                      <w:highlight w:val="none"/>
                    </w:rPr>
                  </w:pPr>
                </w:p>
              </w:tc>
            </w:tr>
            <w:tr w14:paraId="57D4E8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jc w:val="center"/>
              </w:trPr>
              <w:tc>
                <w:tcPr>
                  <w:tcW w:w="851" w:type="pct"/>
                  <w:shd w:val="clear" w:color="auto" w:fill="auto"/>
                  <w:vAlign w:val="center"/>
                </w:tcPr>
                <w:p w14:paraId="0B0D3BDA">
                  <w:pPr>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施工单位、监理单位招标及进场准备</w:t>
                  </w:r>
                </w:p>
              </w:tc>
              <w:tc>
                <w:tcPr>
                  <w:tcW w:w="241" w:type="pct"/>
                  <w:shd w:val="clear" w:color="auto" w:fill="auto"/>
                  <w:vAlign w:val="center"/>
                </w:tcPr>
                <w:p w14:paraId="33EF10FC">
                  <w:pPr>
                    <w:spacing w:line="240" w:lineRule="auto"/>
                    <w:jc w:val="center"/>
                    <w:rPr>
                      <w:rFonts w:hint="default" w:ascii="Times New Roman" w:hAnsi="Times New Roman" w:eastAsia="宋体" w:cs="Times New Roman"/>
                      <w:b/>
                      <w:color w:val="auto"/>
                      <w:kern w:val="0"/>
                      <w:sz w:val="21"/>
                      <w:szCs w:val="21"/>
                      <w:highlight w:val="none"/>
                    </w:rPr>
                  </w:pPr>
                </w:p>
              </w:tc>
              <w:tc>
                <w:tcPr>
                  <w:tcW w:w="241" w:type="pct"/>
                  <w:shd w:val="clear" w:color="auto" w:fill="auto"/>
                  <w:vAlign w:val="center"/>
                </w:tcPr>
                <w:p w14:paraId="61E6C20D">
                  <w:pPr>
                    <w:spacing w:line="240" w:lineRule="auto"/>
                    <w:jc w:val="center"/>
                    <w:rPr>
                      <w:rFonts w:hint="default" w:ascii="Times New Roman" w:hAnsi="Times New Roman" w:eastAsia="宋体" w:cs="Times New Roman"/>
                      <w:b/>
                      <w:color w:val="auto"/>
                      <w:kern w:val="0"/>
                      <w:sz w:val="21"/>
                      <w:szCs w:val="21"/>
                      <w:highlight w:val="none"/>
                    </w:rPr>
                  </w:pPr>
                </w:p>
              </w:tc>
              <w:tc>
                <w:tcPr>
                  <w:tcW w:w="243" w:type="pct"/>
                  <w:shd w:val="clear" w:color="auto" w:fill="auto"/>
                  <w:vAlign w:val="center"/>
                </w:tcPr>
                <w:p w14:paraId="31EEEE1A">
                  <w:pPr>
                    <w:spacing w:line="240" w:lineRule="auto"/>
                    <w:jc w:val="center"/>
                    <w:rPr>
                      <w:rFonts w:hint="default" w:ascii="Times New Roman" w:hAnsi="Times New Roman" w:eastAsia="宋体" w:cs="Times New Roman"/>
                      <w:b/>
                      <w:color w:val="auto"/>
                      <w:kern w:val="0"/>
                      <w:sz w:val="21"/>
                      <w:szCs w:val="21"/>
                      <w:highlight w:val="none"/>
                      <w:lang w:val="en-US" w:eastAsia="zh-CN" w:bidi="ar-SA"/>
                    </w:rPr>
                  </w:pPr>
                  <w:r>
                    <w:rPr>
                      <w:rFonts w:hint="default" w:ascii="Times New Roman" w:hAnsi="Times New Roman" w:eastAsia="宋体" w:cs="Times New Roman"/>
                      <w:b/>
                      <w:color w:val="auto"/>
                      <w:kern w:val="0"/>
                      <w:sz w:val="21"/>
                      <w:szCs w:val="21"/>
                      <w:highlight w:val="none"/>
                    </w:rPr>
                    <w:t>✔</w:t>
                  </w:r>
                </w:p>
              </w:tc>
              <w:tc>
                <w:tcPr>
                  <w:tcW w:w="254" w:type="pct"/>
                  <w:shd w:val="clear" w:color="auto" w:fill="auto"/>
                  <w:vAlign w:val="center"/>
                </w:tcPr>
                <w:p w14:paraId="7D13209D">
                  <w:pPr>
                    <w:spacing w:line="240" w:lineRule="auto"/>
                    <w:jc w:val="center"/>
                    <w:rPr>
                      <w:rFonts w:hint="default" w:ascii="Times New Roman" w:hAnsi="Times New Roman" w:eastAsia="宋体" w:cs="Times New Roman"/>
                      <w:b/>
                      <w:color w:val="auto"/>
                      <w:kern w:val="0"/>
                      <w:sz w:val="21"/>
                      <w:szCs w:val="21"/>
                      <w:highlight w:val="none"/>
                    </w:rPr>
                  </w:pPr>
                </w:p>
              </w:tc>
              <w:tc>
                <w:tcPr>
                  <w:tcW w:w="241" w:type="pct"/>
                  <w:shd w:val="clear" w:color="auto" w:fill="auto"/>
                  <w:vAlign w:val="center"/>
                </w:tcPr>
                <w:p w14:paraId="44B51A1C">
                  <w:pPr>
                    <w:spacing w:line="240" w:lineRule="auto"/>
                    <w:jc w:val="center"/>
                    <w:rPr>
                      <w:rFonts w:hint="default" w:ascii="Times New Roman" w:hAnsi="Times New Roman" w:eastAsia="宋体" w:cs="Times New Roman"/>
                      <w:b/>
                      <w:color w:val="auto"/>
                      <w:kern w:val="0"/>
                      <w:sz w:val="21"/>
                      <w:szCs w:val="21"/>
                      <w:highlight w:val="none"/>
                    </w:rPr>
                  </w:pPr>
                </w:p>
              </w:tc>
              <w:tc>
                <w:tcPr>
                  <w:tcW w:w="285" w:type="pct"/>
                  <w:shd w:val="clear" w:color="auto" w:fill="auto"/>
                  <w:vAlign w:val="center"/>
                </w:tcPr>
                <w:p w14:paraId="1F5A2EB9">
                  <w:pPr>
                    <w:spacing w:line="240" w:lineRule="auto"/>
                    <w:jc w:val="center"/>
                    <w:rPr>
                      <w:rFonts w:hint="default" w:ascii="Times New Roman" w:hAnsi="Times New Roman" w:eastAsia="宋体" w:cs="Times New Roman"/>
                      <w:b/>
                      <w:color w:val="auto"/>
                      <w:kern w:val="0"/>
                      <w:sz w:val="21"/>
                      <w:szCs w:val="21"/>
                      <w:highlight w:val="none"/>
                    </w:rPr>
                  </w:pPr>
                </w:p>
              </w:tc>
              <w:tc>
                <w:tcPr>
                  <w:tcW w:w="295" w:type="pct"/>
                  <w:shd w:val="clear" w:color="auto" w:fill="auto"/>
                  <w:vAlign w:val="center"/>
                </w:tcPr>
                <w:p w14:paraId="59CF5863">
                  <w:pPr>
                    <w:spacing w:line="240" w:lineRule="auto"/>
                    <w:jc w:val="center"/>
                    <w:rPr>
                      <w:rFonts w:hint="default" w:ascii="Times New Roman" w:hAnsi="Times New Roman" w:eastAsia="宋体" w:cs="Times New Roman"/>
                      <w:b/>
                      <w:color w:val="auto"/>
                      <w:kern w:val="0"/>
                      <w:sz w:val="21"/>
                      <w:szCs w:val="21"/>
                      <w:highlight w:val="none"/>
                    </w:rPr>
                  </w:pPr>
                </w:p>
              </w:tc>
              <w:tc>
                <w:tcPr>
                  <w:tcW w:w="285" w:type="pct"/>
                  <w:shd w:val="clear" w:color="auto" w:fill="auto"/>
                  <w:vAlign w:val="center"/>
                </w:tcPr>
                <w:p w14:paraId="09B0CA83">
                  <w:pPr>
                    <w:spacing w:line="240" w:lineRule="auto"/>
                    <w:jc w:val="center"/>
                    <w:rPr>
                      <w:rFonts w:hint="default" w:ascii="Times New Roman" w:hAnsi="Times New Roman" w:eastAsia="宋体" w:cs="Times New Roman"/>
                      <w:b/>
                      <w:color w:val="auto"/>
                      <w:kern w:val="0"/>
                      <w:sz w:val="21"/>
                      <w:szCs w:val="21"/>
                      <w:highlight w:val="none"/>
                    </w:rPr>
                  </w:pPr>
                </w:p>
              </w:tc>
              <w:tc>
                <w:tcPr>
                  <w:tcW w:w="345" w:type="pct"/>
                  <w:shd w:val="clear" w:color="auto" w:fill="auto"/>
                  <w:vAlign w:val="center"/>
                </w:tcPr>
                <w:p w14:paraId="50040792">
                  <w:pPr>
                    <w:spacing w:line="240" w:lineRule="auto"/>
                    <w:jc w:val="center"/>
                    <w:rPr>
                      <w:rFonts w:hint="default" w:ascii="Times New Roman" w:hAnsi="Times New Roman" w:eastAsia="宋体" w:cs="Times New Roman"/>
                      <w:b/>
                      <w:color w:val="auto"/>
                      <w:kern w:val="0"/>
                      <w:sz w:val="21"/>
                      <w:szCs w:val="21"/>
                      <w:highlight w:val="none"/>
                    </w:rPr>
                  </w:pPr>
                </w:p>
              </w:tc>
              <w:tc>
                <w:tcPr>
                  <w:tcW w:w="270" w:type="pct"/>
                  <w:shd w:val="clear" w:color="auto" w:fill="auto"/>
                  <w:vAlign w:val="center"/>
                </w:tcPr>
                <w:p w14:paraId="238BF062">
                  <w:pPr>
                    <w:spacing w:line="240" w:lineRule="auto"/>
                    <w:jc w:val="center"/>
                    <w:rPr>
                      <w:rFonts w:hint="default" w:ascii="Times New Roman" w:hAnsi="Times New Roman" w:eastAsia="宋体" w:cs="Times New Roman"/>
                      <w:b/>
                      <w:color w:val="auto"/>
                      <w:kern w:val="0"/>
                      <w:sz w:val="21"/>
                      <w:szCs w:val="21"/>
                      <w:highlight w:val="none"/>
                    </w:rPr>
                  </w:pPr>
                </w:p>
              </w:tc>
              <w:tc>
                <w:tcPr>
                  <w:tcW w:w="253" w:type="pct"/>
                  <w:shd w:val="clear" w:color="auto" w:fill="auto"/>
                  <w:vAlign w:val="center"/>
                </w:tcPr>
                <w:p w14:paraId="0DAD551E">
                  <w:pPr>
                    <w:spacing w:line="240" w:lineRule="auto"/>
                    <w:jc w:val="center"/>
                    <w:rPr>
                      <w:rFonts w:hint="default" w:ascii="Times New Roman" w:hAnsi="Times New Roman" w:eastAsia="宋体" w:cs="Times New Roman"/>
                      <w:b/>
                      <w:color w:val="auto"/>
                      <w:kern w:val="0"/>
                      <w:sz w:val="21"/>
                      <w:szCs w:val="21"/>
                      <w:highlight w:val="none"/>
                    </w:rPr>
                  </w:pPr>
                </w:p>
              </w:tc>
              <w:tc>
                <w:tcPr>
                  <w:tcW w:w="301" w:type="pct"/>
                  <w:shd w:val="clear" w:color="auto" w:fill="auto"/>
                  <w:vAlign w:val="center"/>
                </w:tcPr>
                <w:p w14:paraId="2745842A">
                  <w:pPr>
                    <w:spacing w:line="240" w:lineRule="auto"/>
                    <w:jc w:val="center"/>
                    <w:rPr>
                      <w:rFonts w:hint="default" w:ascii="Times New Roman" w:hAnsi="Times New Roman" w:eastAsia="宋体" w:cs="Times New Roman"/>
                      <w:b/>
                      <w:color w:val="auto"/>
                      <w:kern w:val="0"/>
                      <w:sz w:val="21"/>
                      <w:szCs w:val="21"/>
                      <w:highlight w:val="none"/>
                    </w:rPr>
                  </w:pPr>
                </w:p>
              </w:tc>
              <w:tc>
                <w:tcPr>
                  <w:tcW w:w="306" w:type="pct"/>
                  <w:shd w:val="clear" w:color="auto" w:fill="auto"/>
                  <w:vAlign w:val="center"/>
                </w:tcPr>
                <w:p w14:paraId="1148DDA3">
                  <w:pPr>
                    <w:spacing w:line="240" w:lineRule="auto"/>
                    <w:jc w:val="center"/>
                    <w:rPr>
                      <w:rFonts w:hint="default" w:ascii="Times New Roman" w:hAnsi="Times New Roman" w:eastAsia="宋体" w:cs="Times New Roman"/>
                      <w:b/>
                      <w:color w:val="auto"/>
                      <w:kern w:val="0"/>
                      <w:sz w:val="21"/>
                      <w:szCs w:val="21"/>
                      <w:highlight w:val="none"/>
                    </w:rPr>
                  </w:pPr>
                </w:p>
              </w:tc>
              <w:tc>
                <w:tcPr>
                  <w:tcW w:w="311" w:type="pct"/>
                  <w:shd w:val="clear" w:color="auto" w:fill="auto"/>
                  <w:vAlign w:val="center"/>
                </w:tcPr>
                <w:p w14:paraId="6A10872C">
                  <w:pPr>
                    <w:spacing w:line="240" w:lineRule="auto"/>
                    <w:jc w:val="center"/>
                    <w:rPr>
                      <w:rFonts w:hint="default" w:ascii="Times New Roman" w:hAnsi="Times New Roman" w:eastAsia="宋体" w:cs="Times New Roman"/>
                      <w:b/>
                      <w:color w:val="auto"/>
                      <w:kern w:val="0"/>
                      <w:sz w:val="21"/>
                      <w:szCs w:val="21"/>
                      <w:highlight w:val="none"/>
                    </w:rPr>
                  </w:pPr>
                </w:p>
              </w:tc>
              <w:tc>
                <w:tcPr>
                  <w:tcW w:w="269" w:type="pct"/>
                  <w:shd w:val="clear" w:color="auto" w:fill="auto"/>
                  <w:vAlign w:val="center"/>
                </w:tcPr>
                <w:p w14:paraId="47A23534">
                  <w:pPr>
                    <w:spacing w:line="240" w:lineRule="auto"/>
                    <w:jc w:val="center"/>
                    <w:rPr>
                      <w:rFonts w:hint="default" w:ascii="Times New Roman" w:hAnsi="Times New Roman" w:eastAsia="宋体" w:cs="Times New Roman"/>
                      <w:b/>
                      <w:color w:val="auto"/>
                      <w:kern w:val="0"/>
                      <w:sz w:val="21"/>
                      <w:szCs w:val="21"/>
                      <w:highlight w:val="none"/>
                    </w:rPr>
                  </w:pPr>
                </w:p>
              </w:tc>
            </w:tr>
            <w:tr w14:paraId="14F5C6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jc w:val="center"/>
              </w:trPr>
              <w:tc>
                <w:tcPr>
                  <w:tcW w:w="851" w:type="pct"/>
                  <w:shd w:val="clear" w:color="auto" w:fill="auto"/>
                  <w:vAlign w:val="center"/>
                </w:tcPr>
                <w:p w14:paraId="08F4B6AD">
                  <w:pPr>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集约人工林栽培</w:t>
                  </w:r>
                </w:p>
              </w:tc>
              <w:tc>
                <w:tcPr>
                  <w:tcW w:w="241" w:type="pct"/>
                  <w:tcBorders>
                    <w:right w:val="single" w:color="auto" w:sz="4" w:space="0"/>
                  </w:tcBorders>
                  <w:shd w:val="clear" w:color="auto" w:fill="auto"/>
                  <w:vAlign w:val="center"/>
                </w:tcPr>
                <w:p w14:paraId="74E6250D">
                  <w:pPr>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w:t>
                  </w:r>
                </w:p>
              </w:tc>
              <w:tc>
                <w:tcPr>
                  <w:tcW w:w="241" w:type="pct"/>
                  <w:tcBorders>
                    <w:left w:val="single" w:color="auto" w:sz="4" w:space="0"/>
                    <w:right w:val="single" w:color="auto" w:sz="4" w:space="0"/>
                  </w:tcBorders>
                  <w:shd w:val="clear" w:color="auto" w:fill="auto"/>
                  <w:vAlign w:val="center"/>
                </w:tcPr>
                <w:p w14:paraId="6DC1EB11">
                  <w:pPr>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w:t>
                  </w:r>
                </w:p>
              </w:tc>
              <w:tc>
                <w:tcPr>
                  <w:tcW w:w="243" w:type="pct"/>
                  <w:tcBorders>
                    <w:left w:val="single" w:color="auto" w:sz="4" w:space="0"/>
                  </w:tcBorders>
                  <w:shd w:val="clear" w:color="auto" w:fill="auto"/>
                  <w:vAlign w:val="center"/>
                </w:tcPr>
                <w:p w14:paraId="6024367C">
                  <w:pPr>
                    <w:spacing w:line="240" w:lineRule="auto"/>
                    <w:jc w:val="center"/>
                    <w:rPr>
                      <w:rFonts w:hint="default" w:ascii="Times New Roman" w:hAnsi="Times New Roman" w:eastAsia="宋体" w:cs="Times New Roman"/>
                      <w:b/>
                      <w:color w:val="auto"/>
                      <w:kern w:val="0"/>
                      <w:sz w:val="21"/>
                      <w:szCs w:val="21"/>
                      <w:highlight w:val="none"/>
                      <w:lang w:val="en-US" w:eastAsia="zh-CN" w:bidi="ar-SA"/>
                    </w:rPr>
                  </w:pPr>
                  <w:r>
                    <w:rPr>
                      <w:rFonts w:hint="default" w:ascii="Times New Roman" w:hAnsi="Times New Roman" w:eastAsia="宋体" w:cs="Times New Roman"/>
                      <w:b/>
                      <w:color w:val="auto"/>
                      <w:kern w:val="0"/>
                      <w:sz w:val="21"/>
                      <w:szCs w:val="21"/>
                      <w:highlight w:val="none"/>
                    </w:rPr>
                    <w:t>✔</w:t>
                  </w:r>
                </w:p>
              </w:tc>
              <w:tc>
                <w:tcPr>
                  <w:tcW w:w="254" w:type="pct"/>
                  <w:tcBorders>
                    <w:left w:val="single" w:color="auto" w:sz="4" w:space="0"/>
                    <w:right w:val="single" w:color="auto" w:sz="4" w:space="0"/>
                  </w:tcBorders>
                  <w:shd w:val="clear" w:color="auto" w:fill="auto"/>
                  <w:vAlign w:val="center"/>
                </w:tcPr>
                <w:p w14:paraId="6F3216ED">
                  <w:pPr>
                    <w:spacing w:line="240" w:lineRule="auto"/>
                    <w:jc w:val="center"/>
                    <w:rPr>
                      <w:rFonts w:hint="default" w:ascii="Times New Roman" w:hAnsi="Times New Roman" w:eastAsia="宋体" w:cs="Times New Roman"/>
                      <w:b/>
                      <w:color w:val="auto"/>
                      <w:kern w:val="0"/>
                      <w:sz w:val="21"/>
                      <w:szCs w:val="21"/>
                      <w:highlight w:val="none"/>
                      <w:lang w:val="en-US" w:eastAsia="zh-CN" w:bidi="ar-SA"/>
                    </w:rPr>
                  </w:pPr>
                  <w:r>
                    <w:rPr>
                      <w:rFonts w:hint="default" w:ascii="Times New Roman" w:hAnsi="Times New Roman" w:eastAsia="宋体" w:cs="Times New Roman"/>
                      <w:b/>
                      <w:color w:val="auto"/>
                      <w:kern w:val="0"/>
                      <w:sz w:val="21"/>
                      <w:szCs w:val="21"/>
                      <w:highlight w:val="none"/>
                    </w:rPr>
                    <w:t>✔</w:t>
                  </w:r>
                </w:p>
              </w:tc>
              <w:tc>
                <w:tcPr>
                  <w:tcW w:w="241" w:type="pct"/>
                  <w:tcBorders>
                    <w:left w:val="single" w:color="auto" w:sz="4" w:space="0"/>
                    <w:right w:val="single" w:color="auto" w:sz="4" w:space="0"/>
                  </w:tcBorders>
                  <w:shd w:val="clear" w:color="auto" w:fill="auto"/>
                  <w:vAlign w:val="center"/>
                </w:tcPr>
                <w:p w14:paraId="030D1A8D">
                  <w:pPr>
                    <w:spacing w:line="240" w:lineRule="auto"/>
                    <w:jc w:val="center"/>
                    <w:rPr>
                      <w:rFonts w:hint="default" w:ascii="Times New Roman" w:hAnsi="Times New Roman" w:eastAsia="宋体" w:cs="Times New Roman"/>
                      <w:b/>
                      <w:color w:val="auto"/>
                      <w:kern w:val="0"/>
                      <w:sz w:val="21"/>
                      <w:szCs w:val="21"/>
                      <w:highlight w:val="none"/>
                      <w:lang w:val="en-US" w:eastAsia="zh-CN" w:bidi="ar-SA"/>
                    </w:rPr>
                  </w:pPr>
                  <w:r>
                    <w:rPr>
                      <w:rFonts w:hint="default" w:ascii="Times New Roman" w:hAnsi="Times New Roman" w:eastAsia="宋体" w:cs="Times New Roman"/>
                      <w:b/>
                      <w:color w:val="auto"/>
                      <w:kern w:val="0"/>
                      <w:sz w:val="21"/>
                      <w:szCs w:val="21"/>
                      <w:highlight w:val="none"/>
                    </w:rPr>
                    <w:t>✔</w:t>
                  </w:r>
                </w:p>
              </w:tc>
              <w:tc>
                <w:tcPr>
                  <w:tcW w:w="285" w:type="pct"/>
                  <w:tcBorders>
                    <w:left w:val="single" w:color="auto" w:sz="4" w:space="0"/>
                    <w:right w:val="single" w:color="auto" w:sz="4" w:space="0"/>
                  </w:tcBorders>
                  <w:shd w:val="clear" w:color="auto" w:fill="auto"/>
                  <w:vAlign w:val="center"/>
                </w:tcPr>
                <w:p w14:paraId="1C94AF57">
                  <w:pPr>
                    <w:spacing w:line="240" w:lineRule="auto"/>
                    <w:jc w:val="center"/>
                    <w:rPr>
                      <w:rFonts w:hint="default" w:ascii="Times New Roman" w:hAnsi="Times New Roman" w:eastAsia="宋体" w:cs="Times New Roman"/>
                      <w:b/>
                      <w:color w:val="auto"/>
                      <w:kern w:val="0"/>
                      <w:sz w:val="21"/>
                      <w:szCs w:val="21"/>
                      <w:highlight w:val="none"/>
                    </w:rPr>
                  </w:pPr>
                </w:p>
              </w:tc>
              <w:tc>
                <w:tcPr>
                  <w:tcW w:w="295" w:type="pct"/>
                  <w:tcBorders>
                    <w:left w:val="single" w:color="auto" w:sz="4" w:space="0"/>
                  </w:tcBorders>
                  <w:shd w:val="clear" w:color="auto" w:fill="auto"/>
                  <w:vAlign w:val="center"/>
                </w:tcPr>
                <w:p w14:paraId="72BA5541">
                  <w:pPr>
                    <w:spacing w:line="240" w:lineRule="auto"/>
                    <w:jc w:val="center"/>
                    <w:rPr>
                      <w:rFonts w:hint="default" w:ascii="Times New Roman" w:hAnsi="Times New Roman" w:eastAsia="宋体" w:cs="Times New Roman"/>
                      <w:b/>
                      <w:color w:val="auto"/>
                      <w:kern w:val="0"/>
                      <w:sz w:val="21"/>
                      <w:szCs w:val="21"/>
                      <w:highlight w:val="none"/>
                    </w:rPr>
                  </w:pPr>
                </w:p>
              </w:tc>
              <w:tc>
                <w:tcPr>
                  <w:tcW w:w="285" w:type="pct"/>
                  <w:tcBorders>
                    <w:left w:val="single" w:color="auto" w:sz="4" w:space="0"/>
                  </w:tcBorders>
                  <w:shd w:val="clear" w:color="auto" w:fill="auto"/>
                  <w:vAlign w:val="center"/>
                </w:tcPr>
                <w:p w14:paraId="37AE0863">
                  <w:pPr>
                    <w:spacing w:line="240" w:lineRule="auto"/>
                    <w:jc w:val="center"/>
                    <w:rPr>
                      <w:rFonts w:hint="default" w:ascii="Times New Roman" w:hAnsi="Times New Roman" w:eastAsia="宋体" w:cs="Times New Roman"/>
                      <w:b/>
                      <w:color w:val="auto"/>
                      <w:kern w:val="0"/>
                      <w:sz w:val="21"/>
                      <w:szCs w:val="21"/>
                      <w:highlight w:val="none"/>
                    </w:rPr>
                  </w:pPr>
                </w:p>
              </w:tc>
              <w:tc>
                <w:tcPr>
                  <w:tcW w:w="345" w:type="pct"/>
                  <w:tcBorders>
                    <w:left w:val="single" w:color="auto" w:sz="4" w:space="0"/>
                  </w:tcBorders>
                  <w:shd w:val="clear" w:color="auto" w:fill="auto"/>
                  <w:vAlign w:val="center"/>
                </w:tcPr>
                <w:p w14:paraId="31C424ED">
                  <w:pPr>
                    <w:spacing w:line="240" w:lineRule="auto"/>
                    <w:jc w:val="center"/>
                    <w:rPr>
                      <w:rFonts w:hint="default" w:ascii="Times New Roman" w:hAnsi="Times New Roman" w:eastAsia="宋体" w:cs="Times New Roman"/>
                      <w:b/>
                      <w:color w:val="auto"/>
                      <w:kern w:val="0"/>
                      <w:sz w:val="21"/>
                      <w:szCs w:val="21"/>
                      <w:highlight w:val="none"/>
                    </w:rPr>
                  </w:pPr>
                </w:p>
              </w:tc>
              <w:tc>
                <w:tcPr>
                  <w:tcW w:w="270" w:type="pct"/>
                  <w:tcBorders>
                    <w:left w:val="single" w:color="auto" w:sz="4" w:space="0"/>
                  </w:tcBorders>
                  <w:shd w:val="clear" w:color="auto" w:fill="auto"/>
                  <w:vAlign w:val="center"/>
                </w:tcPr>
                <w:p w14:paraId="5DC8C539">
                  <w:pPr>
                    <w:spacing w:line="240" w:lineRule="auto"/>
                    <w:jc w:val="center"/>
                    <w:rPr>
                      <w:rFonts w:hint="default" w:ascii="Times New Roman" w:hAnsi="Times New Roman" w:eastAsia="宋体" w:cs="Times New Roman"/>
                      <w:b/>
                      <w:color w:val="auto"/>
                      <w:kern w:val="0"/>
                      <w:sz w:val="21"/>
                      <w:szCs w:val="21"/>
                      <w:highlight w:val="none"/>
                    </w:rPr>
                  </w:pPr>
                </w:p>
              </w:tc>
              <w:tc>
                <w:tcPr>
                  <w:tcW w:w="253" w:type="pct"/>
                  <w:tcBorders>
                    <w:left w:val="single" w:color="auto" w:sz="4" w:space="0"/>
                    <w:right w:val="single" w:color="auto" w:sz="4" w:space="0"/>
                  </w:tcBorders>
                  <w:shd w:val="clear" w:color="auto" w:fill="auto"/>
                  <w:vAlign w:val="center"/>
                </w:tcPr>
                <w:p w14:paraId="089E4C5E">
                  <w:pPr>
                    <w:spacing w:line="240" w:lineRule="auto"/>
                    <w:jc w:val="center"/>
                    <w:rPr>
                      <w:rFonts w:hint="default" w:ascii="Times New Roman" w:hAnsi="Times New Roman" w:eastAsia="宋体" w:cs="Times New Roman"/>
                      <w:b/>
                      <w:color w:val="auto"/>
                      <w:kern w:val="0"/>
                      <w:sz w:val="21"/>
                      <w:szCs w:val="21"/>
                      <w:highlight w:val="none"/>
                    </w:rPr>
                  </w:pPr>
                </w:p>
              </w:tc>
              <w:tc>
                <w:tcPr>
                  <w:tcW w:w="301" w:type="pct"/>
                  <w:tcBorders>
                    <w:left w:val="single" w:color="auto" w:sz="4" w:space="0"/>
                  </w:tcBorders>
                  <w:shd w:val="clear" w:color="auto" w:fill="auto"/>
                  <w:vAlign w:val="center"/>
                </w:tcPr>
                <w:p w14:paraId="6F2DCD29">
                  <w:pPr>
                    <w:spacing w:line="240" w:lineRule="auto"/>
                    <w:jc w:val="center"/>
                    <w:rPr>
                      <w:rFonts w:hint="default" w:ascii="Times New Roman" w:hAnsi="Times New Roman" w:eastAsia="宋体" w:cs="Times New Roman"/>
                      <w:b/>
                      <w:color w:val="auto"/>
                      <w:kern w:val="0"/>
                      <w:sz w:val="21"/>
                      <w:szCs w:val="21"/>
                      <w:highlight w:val="none"/>
                    </w:rPr>
                  </w:pPr>
                </w:p>
              </w:tc>
              <w:tc>
                <w:tcPr>
                  <w:tcW w:w="306" w:type="pct"/>
                  <w:tcBorders>
                    <w:left w:val="single" w:color="auto" w:sz="4" w:space="0"/>
                    <w:right w:val="single" w:color="auto" w:sz="4" w:space="0"/>
                  </w:tcBorders>
                  <w:shd w:val="clear" w:color="auto" w:fill="auto"/>
                  <w:vAlign w:val="center"/>
                </w:tcPr>
                <w:p w14:paraId="0FA2D439">
                  <w:pPr>
                    <w:spacing w:line="240" w:lineRule="auto"/>
                    <w:jc w:val="center"/>
                    <w:rPr>
                      <w:rFonts w:hint="default" w:ascii="Times New Roman" w:hAnsi="Times New Roman" w:eastAsia="宋体" w:cs="Times New Roman"/>
                      <w:b/>
                      <w:color w:val="auto"/>
                      <w:kern w:val="0"/>
                      <w:sz w:val="21"/>
                      <w:szCs w:val="21"/>
                      <w:highlight w:val="none"/>
                    </w:rPr>
                  </w:pPr>
                </w:p>
              </w:tc>
              <w:tc>
                <w:tcPr>
                  <w:tcW w:w="311" w:type="pct"/>
                  <w:tcBorders>
                    <w:left w:val="single" w:color="auto" w:sz="4" w:space="0"/>
                  </w:tcBorders>
                  <w:shd w:val="clear" w:color="auto" w:fill="auto"/>
                  <w:vAlign w:val="center"/>
                </w:tcPr>
                <w:p w14:paraId="03C0875D">
                  <w:pPr>
                    <w:spacing w:line="240" w:lineRule="auto"/>
                    <w:jc w:val="center"/>
                    <w:rPr>
                      <w:rFonts w:hint="default" w:ascii="Times New Roman" w:hAnsi="Times New Roman" w:eastAsia="宋体" w:cs="Times New Roman"/>
                      <w:b/>
                      <w:color w:val="auto"/>
                      <w:kern w:val="0"/>
                      <w:sz w:val="21"/>
                      <w:szCs w:val="21"/>
                      <w:highlight w:val="none"/>
                    </w:rPr>
                  </w:pPr>
                </w:p>
              </w:tc>
              <w:tc>
                <w:tcPr>
                  <w:tcW w:w="269" w:type="pct"/>
                  <w:tcBorders>
                    <w:left w:val="single" w:color="auto" w:sz="4" w:space="0"/>
                  </w:tcBorders>
                  <w:shd w:val="clear" w:color="auto" w:fill="auto"/>
                  <w:vAlign w:val="center"/>
                </w:tcPr>
                <w:p w14:paraId="7338AA2C">
                  <w:pPr>
                    <w:spacing w:line="240" w:lineRule="auto"/>
                    <w:jc w:val="center"/>
                    <w:rPr>
                      <w:rFonts w:hint="default" w:ascii="Times New Roman" w:hAnsi="Times New Roman" w:eastAsia="宋体" w:cs="Times New Roman"/>
                      <w:b/>
                      <w:color w:val="auto"/>
                      <w:kern w:val="0"/>
                      <w:sz w:val="21"/>
                      <w:szCs w:val="21"/>
                      <w:highlight w:val="none"/>
                    </w:rPr>
                  </w:pPr>
                </w:p>
              </w:tc>
            </w:tr>
            <w:tr w14:paraId="19C0592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jc w:val="center"/>
              </w:trPr>
              <w:tc>
                <w:tcPr>
                  <w:tcW w:w="851" w:type="pct"/>
                  <w:shd w:val="clear" w:color="auto" w:fill="auto"/>
                  <w:vAlign w:val="center"/>
                </w:tcPr>
                <w:p w14:paraId="32665A5E">
                  <w:pPr>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现有林</w:t>
                  </w:r>
                </w:p>
                <w:p w14:paraId="39651CD8">
                  <w:pPr>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改培</w:t>
                  </w:r>
                </w:p>
              </w:tc>
              <w:tc>
                <w:tcPr>
                  <w:tcW w:w="241" w:type="pct"/>
                  <w:tcBorders>
                    <w:right w:val="single" w:color="auto" w:sz="4" w:space="0"/>
                  </w:tcBorders>
                  <w:shd w:val="clear" w:color="auto" w:fill="auto"/>
                  <w:vAlign w:val="center"/>
                </w:tcPr>
                <w:p w14:paraId="0F710881">
                  <w:pPr>
                    <w:tabs>
                      <w:tab w:val="left" w:pos="585"/>
                    </w:tabs>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w:t>
                  </w:r>
                </w:p>
              </w:tc>
              <w:tc>
                <w:tcPr>
                  <w:tcW w:w="241" w:type="pct"/>
                  <w:tcBorders>
                    <w:left w:val="single" w:color="auto" w:sz="4" w:space="0"/>
                    <w:right w:val="single" w:color="auto" w:sz="4" w:space="0"/>
                  </w:tcBorders>
                  <w:shd w:val="clear" w:color="auto" w:fill="auto"/>
                  <w:vAlign w:val="center"/>
                </w:tcPr>
                <w:p w14:paraId="2EFD55DF">
                  <w:pPr>
                    <w:tabs>
                      <w:tab w:val="left" w:pos="585"/>
                    </w:tabs>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w:t>
                  </w:r>
                </w:p>
              </w:tc>
              <w:tc>
                <w:tcPr>
                  <w:tcW w:w="243" w:type="pct"/>
                  <w:tcBorders>
                    <w:left w:val="single" w:color="auto" w:sz="4" w:space="0"/>
                  </w:tcBorders>
                  <w:shd w:val="clear" w:color="auto" w:fill="auto"/>
                  <w:vAlign w:val="center"/>
                </w:tcPr>
                <w:p w14:paraId="5B44C0F1">
                  <w:pPr>
                    <w:tabs>
                      <w:tab w:val="left" w:pos="585"/>
                    </w:tabs>
                    <w:spacing w:line="240" w:lineRule="auto"/>
                    <w:jc w:val="center"/>
                    <w:rPr>
                      <w:rFonts w:hint="default" w:ascii="Times New Roman" w:hAnsi="Times New Roman" w:eastAsia="宋体" w:cs="Times New Roman"/>
                      <w:b/>
                      <w:color w:val="auto"/>
                      <w:kern w:val="0"/>
                      <w:sz w:val="21"/>
                      <w:szCs w:val="21"/>
                      <w:highlight w:val="none"/>
                      <w:lang w:val="en-US" w:eastAsia="zh-CN" w:bidi="ar-SA"/>
                    </w:rPr>
                  </w:pPr>
                  <w:r>
                    <w:rPr>
                      <w:rFonts w:hint="default" w:ascii="Times New Roman" w:hAnsi="Times New Roman" w:eastAsia="宋体" w:cs="Times New Roman"/>
                      <w:b/>
                      <w:color w:val="auto"/>
                      <w:kern w:val="0"/>
                      <w:sz w:val="21"/>
                      <w:szCs w:val="21"/>
                      <w:highlight w:val="none"/>
                    </w:rPr>
                    <w:t>✔</w:t>
                  </w:r>
                </w:p>
              </w:tc>
              <w:tc>
                <w:tcPr>
                  <w:tcW w:w="254" w:type="pct"/>
                  <w:tcBorders>
                    <w:left w:val="single" w:color="auto" w:sz="4" w:space="0"/>
                    <w:right w:val="single" w:color="auto" w:sz="4" w:space="0"/>
                  </w:tcBorders>
                  <w:shd w:val="clear" w:color="auto" w:fill="auto"/>
                  <w:vAlign w:val="center"/>
                </w:tcPr>
                <w:p w14:paraId="57977E45">
                  <w:pPr>
                    <w:tabs>
                      <w:tab w:val="left" w:pos="585"/>
                    </w:tabs>
                    <w:spacing w:line="240" w:lineRule="auto"/>
                    <w:jc w:val="center"/>
                    <w:rPr>
                      <w:rFonts w:hint="default" w:ascii="Times New Roman" w:hAnsi="Times New Roman" w:eastAsia="宋体" w:cs="Times New Roman"/>
                      <w:b/>
                      <w:color w:val="auto"/>
                      <w:kern w:val="0"/>
                      <w:sz w:val="21"/>
                      <w:szCs w:val="21"/>
                      <w:highlight w:val="none"/>
                      <w:lang w:val="en-US" w:eastAsia="zh-CN" w:bidi="ar-SA"/>
                    </w:rPr>
                  </w:pPr>
                  <w:r>
                    <w:rPr>
                      <w:rFonts w:hint="default" w:ascii="Times New Roman" w:hAnsi="Times New Roman" w:eastAsia="宋体" w:cs="Times New Roman"/>
                      <w:b/>
                      <w:color w:val="auto"/>
                      <w:kern w:val="0"/>
                      <w:sz w:val="21"/>
                      <w:szCs w:val="21"/>
                      <w:highlight w:val="none"/>
                    </w:rPr>
                    <w:t>✔</w:t>
                  </w:r>
                </w:p>
              </w:tc>
              <w:tc>
                <w:tcPr>
                  <w:tcW w:w="241" w:type="pct"/>
                  <w:tcBorders>
                    <w:left w:val="single" w:color="auto" w:sz="4" w:space="0"/>
                    <w:right w:val="single" w:color="auto" w:sz="4" w:space="0"/>
                  </w:tcBorders>
                  <w:shd w:val="clear" w:color="auto" w:fill="auto"/>
                  <w:vAlign w:val="center"/>
                </w:tcPr>
                <w:p w14:paraId="04E5473E">
                  <w:pPr>
                    <w:tabs>
                      <w:tab w:val="left" w:pos="585"/>
                    </w:tabs>
                    <w:spacing w:line="240" w:lineRule="auto"/>
                    <w:jc w:val="center"/>
                    <w:rPr>
                      <w:rFonts w:hint="default" w:ascii="Times New Roman" w:hAnsi="Times New Roman" w:eastAsia="宋体" w:cs="Times New Roman"/>
                      <w:b/>
                      <w:color w:val="auto"/>
                      <w:kern w:val="0"/>
                      <w:sz w:val="21"/>
                      <w:szCs w:val="21"/>
                      <w:highlight w:val="none"/>
                      <w:lang w:val="en-US" w:eastAsia="zh-CN" w:bidi="ar-SA"/>
                    </w:rPr>
                  </w:pPr>
                  <w:r>
                    <w:rPr>
                      <w:rFonts w:hint="default" w:ascii="Times New Roman" w:hAnsi="Times New Roman" w:eastAsia="宋体" w:cs="Times New Roman"/>
                      <w:b/>
                      <w:color w:val="auto"/>
                      <w:kern w:val="0"/>
                      <w:sz w:val="21"/>
                      <w:szCs w:val="21"/>
                      <w:highlight w:val="none"/>
                    </w:rPr>
                    <w:t>✔</w:t>
                  </w:r>
                </w:p>
              </w:tc>
              <w:tc>
                <w:tcPr>
                  <w:tcW w:w="285" w:type="pct"/>
                  <w:tcBorders>
                    <w:left w:val="single" w:color="auto" w:sz="4" w:space="0"/>
                    <w:right w:val="single" w:color="auto" w:sz="4" w:space="0"/>
                  </w:tcBorders>
                  <w:shd w:val="clear" w:color="auto" w:fill="auto"/>
                  <w:vAlign w:val="center"/>
                </w:tcPr>
                <w:p w14:paraId="417FFF12">
                  <w:pPr>
                    <w:spacing w:line="240" w:lineRule="auto"/>
                    <w:jc w:val="center"/>
                    <w:rPr>
                      <w:rFonts w:hint="default" w:ascii="Times New Roman" w:hAnsi="Times New Roman" w:eastAsia="宋体" w:cs="Times New Roman"/>
                      <w:b/>
                      <w:color w:val="auto"/>
                      <w:kern w:val="0"/>
                      <w:sz w:val="21"/>
                      <w:szCs w:val="21"/>
                      <w:highlight w:val="none"/>
                    </w:rPr>
                  </w:pPr>
                </w:p>
              </w:tc>
              <w:tc>
                <w:tcPr>
                  <w:tcW w:w="295" w:type="pct"/>
                  <w:tcBorders>
                    <w:left w:val="single" w:color="auto" w:sz="4" w:space="0"/>
                  </w:tcBorders>
                  <w:shd w:val="clear" w:color="auto" w:fill="auto"/>
                  <w:vAlign w:val="center"/>
                </w:tcPr>
                <w:p w14:paraId="6213488C">
                  <w:pPr>
                    <w:spacing w:line="240" w:lineRule="auto"/>
                    <w:jc w:val="center"/>
                    <w:rPr>
                      <w:rFonts w:hint="default" w:ascii="Times New Roman" w:hAnsi="Times New Roman" w:eastAsia="宋体" w:cs="Times New Roman"/>
                      <w:b/>
                      <w:color w:val="auto"/>
                      <w:kern w:val="0"/>
                      <w:sz w:val="21"/>
                      <w:szCs w:val="21"/>
                      <w:highlight w:val="none"/>
                    </w:rPr>
                  </w:pPr>
                </w:p>
              </w:tc>
              <w:tc>
                <w:tcPr>
                  <w:tcW w:w="285" w:type="pct"/>
                  <w:tcBorders>
                    <w:left w:val="single" w:color="auto" w:sz="4" w:space="0"/>
                  </w:tcBorders>
                  <w:shd w:val="clear" w:color="auto" w:fill="auto"/>
                  <w:vAlign w:val="center"/>
                </w:tcPr>
                <w:p w14:paraId="7853F3FE">
                  <w:pPr>
                    <w:spacing w:line="240" w:lineRule="auto"/>
                    <w:jc w:val="center"/>
                    <w:rPr>
                      <w:rFonts w:hint="default" w:ascii="Times New Roman" w:hAnsi="Times New Roman" w:eastAsia="宋体" w:cs="Times New Roman"/>
                      <w:b/>
                      <w:color w:val="auto"/>
                      <w:kern w:val="0"/>
                      <w:sz w:val="21"/>
                      <w:szCs w:val="21"/>
                      <w:highlight w:val="none"/>
                    </w:rPr>
                  </w:pPr>
                </w:p>
              </w:tc>
              <w:tc>
                <w:tcPr>
                  <w:tcW w:w="345" w:type="pct"/>
                  <w:tcBorders>
                    <w:left w:val="single" w:color="auto" w:sz="4" w:space="0"/>
                  </w:tcBorders>
                  <w:shd w:val="clear" w:color="auto" w:fill="auto"/>
                  <w:vAlign w:val="center"/>
                </w:tcPr>
                <w:p w14:paraId="7119F26C">
                  <w:pPr>
                    <w:spacing w:line="240" w:lineRule="auto"/>
                    <w:jc w:val="center"/>
                    <w:rPr>
                      <w:rFonts w:hint="default" w:ascii="Times New Roman" w:hAnsi="Times New Roman" w:eastAsia="宋体" w:cs="Times New Roman"/>
                      <w:b/>
                      <w:color w:val="auto"/>
                      <w:kern w:val="0"/>
                      <w:sz w:val="21"/>
                      <w:szCs w:val="21"/>
                      <w:highlight w:val="none"/>
                    </w:rPr>
                  </w:pPr>
                </w:p>
              </w:tc>
              <w:tc>
                <w:tcPr>
                  <w:tcW w:w="270" w:type="pct"/>
                  <w:tcBorders>
                    <w:left w:val="single" w:color="auto" w:sz="4" w:space="0"/>
                  </w:tcBorders>
                  <w:shd w:val="clear" w:color="auto" w:fill="auto"/>
                  <w:vAlign w:val="center"/>
                </w:tcPr>
                <w:p w14:paraId="158F88F2">
                  <w:pPr>
                    <w:spacing w:line="240" w:lineRule="auto"/>
                    <w:jc w:val="center"/>
                    <w:rPr>
                      <w:rFonts w:hint="default" w:ascii="Times New Roman" w:hAnsi="Times New Roman" w:eastAsia="宋体" w:cs="Times New Roman"/>
                      <w:b/>
                      <w:color w:val="auto"/>
                      <w:kern w:val="0"/>
                      <w:sz w:val="21"/>
                      <w:szCs w:val="21"/>
                      <w:highlight w:val="none"/>
                    </w:rPr>
                  </w:pPr>
                </w:p>
              </w:tc>
              <w:tc>
                <w:tcPr>
                  <w:tcW w:w="253" w:type="pct"/>
                  <w:tcBorders>
                    <w:left w:val="single" w:color="auto" w:sz="4" w:space="0"/>
                    <w:right w:val="single" w:color="auto" w:sz="4" w:space="0"/>
                  </w:tcBorders>
                  <w:shd w:val="clear" w:color="auto" w:fill="auto"/>
                  <w:vAlign w:val="center"/>
                </w:tcPr>
                <w:p w14:paraId="264AC62C">
                  <w:pPr>
                    <w:spacing w:line="240" w:lineRule="auto"/>
                    <w:jc w:val="center"/>
                    <w:rPr>
                      <w:rFonts w:hint="default" w:ascii="Times New Roman" w:hAnsi="Times New Roman" w:eastAsia="宋体" w:cs="Times New Roman"/>
                      <w:b/>
                      <w:color w:val="auto"/>
                      <w:kern w:val="0"/>
                      <w:sz w:val="21"/>
                      <w:szCs w:val="21"/>
                      <w:highlight w:val="none"/>
                    </w:rPr>
                  </w:pPr>
                </w:p>
              </w:tc>
              <w:tc>
                <w:tcPr>
                  <w:tcW w:w="301" w:type="pct"/>
                  <w:tcBorders>
                    <w:left w:val="single" w:color="auto" w:sz="4" w:space="0"/>
                  </w:tcBorders>
                  <w:shd w:val="clear" w:color="auto" w:fill="auto"/>
                  <w:vAlign w:val="center"/>
                </w:tcPr>
                <w:p w14:paraId="53AA22AC">
                  <w:pPr>
                    <w:spacing w:line="240" w:lineRule="auto"/>
                    <w:jc w:val="center"/>
                    <w:rPr>
                      <w:rFonts w:hint="default" w:ascii="Times New Roman" w:hAnsi="Times New Roman" w:eastAsia="宋体" w:cs="Times New Roman"/>
                      <w:b/>
                      <w:color w:val="auto"/>
                      <w:kern w:val="0"/>
                      <w:sz w:val="21"/>
                      <w:szCs w:val="21"/>
                      <w:highlight w:val="none"/>
                    </w:rPr>
                  </w:pPr>
                </w:p>
              </w:tc>
              <w:tc>
                <w:tcPr>
                  <w:tcW w:w="306" w:type="pct"/>
                  <w:tcBorders>
                    <w:left w:val="single" w:color="auto" w:sz="4" w:space="0"/>
                    <w:right w:val="single" w:color="auto" w:sz="4" w:space="0"/>
                  </w:tcBorders>
                  <w:shd w:val="clear" w:color="auto" w:fill="auto"/>
                  <w:vAlign w:val="center"/>
                </w:tcPr>
                <w:p w14:paraId="3D5E65AF">
                  <w:pPr>
                    <w:spacing w:line="240" w:lineRule="auto"/>
                    <w:jc w:val="center"/>
                    <w:rPr>
                      <w:rFonts w:hint="default" w:ascii="Times New Roman" w:hAnsi="Times New Roman" w:eastAsia="宋体" w:cs="Times New Roman"/>
                      <w:b/>
                      <w:color w:val="auto"/>
                      <w:kern w:val="0"/>
                      <w:sz w:val="21"/>
                      <w:szCs w:val="21"/>
                      <w:highlight w:val="none"/>
                    </w:rPr>
                  </w:pPr>
                </w:p>
              </w:tc>
              <w:tc>
                <w:tcPr>
                  <w:tcW w:w="311" w:type="pct"/>
                  <w:tcBorders>
                    <w:left w:val="single" w:color="auto" w:sz="4" w:space="0"/>
                  </w:tcBorders>
                  <w:shd w:val="clear" w:color="auto" w:fill="auto"/>
                  <w:vAlign w:val="center"/>
                </w:tcPr>
                <w:p w14:paraId="5D762ED1">
                  <w:pPr>
                    <w:spacing w:line="240" w:lineRule="auto"/>
                    <w:jc w:val="center"/>
                    <w:rPr>
                      <w:rFonts w:hint="default" w:ascii="Times New Roman" w:hAnsi="Times New Roman" w:eastAsia="宋体" w:cs="Times New Roman"/>
                      <w:b/>
                      <w:color w:val="auto"/>
                      <w:kern w:val="0"/>
                      <w:sz w:val="21"/>
                      <w:szCs w:val="21"/>
                      <w:highlight w:val="none"/>
                    </w:rPr>
                  </w:pPr>
                </w:p>
              </w:tc>
              <w:tc>
                <w:tcPr>
                  <w:tcW w:w="269" w:type="pct"/>
                  <w:tcBorders>
                    <w:left w:val="single" w:color="auto" w:sz="4" w:space="0"/>
                  </w:tcBorders>
                  <w:shd w:val="clear" w:color="auto" w:fill="auto"/>
                  <w:vAlign w:val="center"/>
                </w:tcPr>
                <w:p w14:paraId="26301188">
                  <w:pPr>
                    <w:spacing w:line="240" w:lineRule="auto"/>
                    <w:jc w:val="center"/>
                    <w:rPr>
                      <w:rFonts w:hint="default" w:ascii="Times New Roman" w:hAnsi="Times New Roman" w:eastAsia="宋体" w:cs="Times New Roman"/>
                      <w:b/>
                      <w:color w:val="auto"/>
                      <w:kern w:val="0"/>
                      <w:sz w:val="21"/>
                      <w:szCs w:val="21"/>
                      <w:highlight w:val="none"/>
                    </w:rPr>
                  </w:pPr>
                </w:p>
              </w:tc>
            </w:tr>
            <w:tr w14:paraId="2693F3F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jc w:val="center"/>
              </w:trPr>
              <w:tc>
                <w:tcPr>
                  <w:tcW w:w="851" w:type="pct"/>
                  <w:shd w:val="clear" w:color="auto" w:fill="auto"/>
                  <w:vAlign w:val="center"/>
                </w:tcPr>
                <w:p w14:paraId="380D5B02">
                  <w:pPr>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中幼林</w:t>
                  </w:r>
                </w:p>
                <w:p w14:paraId="739FE052">
                  <w:pPr>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抚育</w:t>
                  </w:r>
                </w:p>
              </w:tc>
              <w:tc>
                <w:tcPr>
                  <w:tcW w:w="241" w:type="pct"/>
                  <w:tcBorders>
                    <w:right w:val="single" w:color="auto" w:sz="4" w:space="0"/>
                  </w:tcBorders>
                  <w:shd w:val="clear" w:color="auto" w:fill="auto"/>
                  <w:vAlign w:val="center"/>
                </w:tcPr>
                <w:p w14:paraId="4751E6AA">
                  <w:pPr>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w:t>
                  </w:r>
                </w:p>
              </w:tc>
              <w:tc>
                <w:tcPr>
                  <w:tcW w:w="241" w:type="pct"/>
                  <w:tcBorders>
                    <w:left w:val="single" w:color="auto" w:sz="4" w:space="0"/>
                    <w:right w:val="single" w:color="auto" w:sz="4" w:space="0"/>
                  </w:tcBorders>
                  <w:shd w:val="clear" w:color="auto" w:fill="auto"/>
                  <w:vAlign w:val="center"/>
                </w:tcPr>
                <w:p w14:paraId="515A67D4">
                  <w:pPr>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w:t>
                  </w:r>
                </w:p>
              </w:tc>
              <w:tc>
                <w:tcPr>
                  <w:tcW w:w="243" w:type="pct"/>
                  <w:tcBorders>
                    <w:left w:val="single" w:color="auto" w:sz="4" w:space="0"/>
                  </w:tcBorders>
                  <w:shd w:val="clear" w:color="auto" w:fill="auto"/>
                  <w:vAlign w:val="center"/>
                </w:tcPr>
                <w:p w14:paraId="38212BD8">
                  <w:pPr>
                    <w:spacing w:line="240" w:lineRule="auto"/>
                    <w:jc w:val="center"/>
                    <w:rPr>
                      <w:rFonts w:hint="default" w:ascii="Times New Roman" w:hAnsi="Times New Roman" w:eastAsia="宋体" w:cs="Times New Roman"/>
                      <w:b/>
                      <w:color w:val="auto"/>
                      <w:kern w:val="0"/>
                      <w:sz w:val="21"/>
                      <w:szCs w:val="21"/>
                      <w:highlight w:val="none"/>
                      <w:lang w:val="en-US" w:eastAsia="zh-CN" w:bidi="ar-SA"/>
                    </w:rPr>
                  </w:pPr>
                  <w:r>
                    <w:rPr>
                      <w:rFonts w:hint="default" w:ascii="Times New Roman" w:hAnsi="Times New Roman" w:eastAsia="宋体" w:cs="Times New Roman"/>
                      <w:b/>
                      <w:color w:val="auto"/>
                      <w:kern w:val="0"/>
                      <w:sz w:val="21"/>
                      <w:szCs w:val="21"/>
                      <w:highlight w:val="none"/>
                    </w:rPr>
                    <w:t>✔</w:t>
                  </w:r>
                </w:p>
              </w:tc>
              <w:tc>
                <w:tcPr>
                  <w:tcW w:w="254" w:type="pct"/>
                  <w:tcBorders>
                    <w:left w:val="single" w:color="auto" w:sz="4" w:space="0"/>
                    <w:right w:val="single" w:color="auto" w:sz="4" w:space="0"/>
                  </w:tcBorders>
                  <w:shd w:val="clear" w:color="auto" w:fill="auto"/>
                  <w:vAlign w:val="center"/>
                </w:tcPr>
                <w:p w14:paraId="22C6DBA2">
                  <w:pPr>
                    <w:spacing w:line="240" w:lineRule="auto"/>
                    <w:jc w:val="center"/>
                    <w:rPr>
                      <w:rFonts w:hint="default" w:ascii="Times New Roman" w:hAnsi="Times New Roman" w:eastAsia="宋体" w:cs="Times New Roman"/>
                      <w:b/>
                      <w:color w:val="auto"/>
                      <w:kern w:val="0"/>
                      <w:sz w:val="21"/>
                      <w:szCs w:val="21"/>
                      <w:highlight w:val="none"/>
                      <w:lang w:val="en-US" w:eastAsia="zh-CN" w:bidi="ar-SA"/>
                    </w:rPr>
                  </w:pPr>
                  <w:r>
                    <w:rPr>
                      <w:rFonts w:hint="default" w:ascii="Times New Roman" w:hAnsi="Times New Roman" w:eastAsia="宋体" w:cs="Times New Roman"/>
                      <w:b/>
                      <w:color w:val="auto"/>
                      <w:kern w:val="0"/>
                      <w:sz w:val="21"/>
                      <w:szCs w:val="21"/>
                      <w:highlight w:val="none"/>
                    </w:rPr>
                    <w:t>✔</w:t>
                  </w:r>
                </w:p>
              </w:tc>
              <w:tc>
                <w:tcPr>
                  <w:tcW w:w="241" w:type="pct"/>
                  <w:tcBorders>
                    <w:left w:val="single" w:color="auto" w:sz="4" w:space="0"/>
                    <w:right w:val="single" w:color="auto" w:sz="4" w:space="0"/>
                  </w:tcBorders>
                  <w:shd w:val="clear" w:color="auto" w:fill="auto"/>
                  <w:vAlign w:val="center"/>
                </w:tcPr>
                <w:p w14:paraId="73A96C1E">
                  <w:pPr>
                    <w:spacing w:line="240" w:lineRule="auto"/>
                    <w:jc w:val="center"/>
                    <w:rPr>
                      <w:rFonts w:hint="default" w:ascii="Times New Roman" w:hAnsi="Times New Roman" w:eastAsia="宋体" w:cs="Times New Roman"/>
                      <w:b/>
                      <w:color w:val="auto"/>
                      <w:kern w:val="0"/>
                      <w:sz w:val="21"/>
                      <w:szCs w:val="21"/>
                      <w:highlight w:val="none"/>
                      <w:lang w:val="en-US" w:eastAsia="zh-CN" w:bidi="ar-SA"/>
                    </w:rPr>
                  </w:pPr>
                  <w:r>
                    <w:rPr>
                      <w:rFonts w:hint="default" w:ascii="Times New Roman" w:hAnsi="Times New Roman" w:eastAsia="宋体" w:cs="Times New Roman"/>
                      <w:b/>
                      <w:color w:val="auto"/>
                      <w:kern w:val="0"/>
                      <w:sz w:val="21"/>
                      <w:szCs w:val="21"/>
                      <w:highlight w:val="none"/>
                    </w:rPr>
                    <w:t>✔</w:t>
                  </w:r>
                </w:p>
              </w:tc>
              <w:tc>
                <w:tcPr>
                  <w:tcW w:w="285" w:type="pct"/>
                  <w:tcBorders>
                    <w:left w:val="single" w:color="auto" w:sz="4" w:space="0"/>
                    <w:right w:val="single" w:color="auto" w:sz="4" w:space="0"/>
                  </w:tcBorders>
                  <w:shd w:val="clear" w:color="auto" w:fill="auto"/>
                  <w:vAlign w:val="center"/>
                </w:tcPr>
                <w:p w14:paraId="7B450D00">
                  <w:pPr>
                    <w:spacing w:line="240" w:lineRule="auto"/>
                    <w:jc w:val="center"/>
                    <w:rPr>
                      <w:rFonts w:hint="default" w:ascii="Times New Roman" w:hAnsi="Times New Roman" w:eastAsia="宋体" w:cs="Times New Roman"/>
                      <w:b/>
                      <w:color w:val="auto"/>
                      <w:kern w:val="0"/>
                      <w:sz w:val="21"/>
                      <w:szCs w:val="21"/>
                      <w:highlight w:val="none"/>
                    </w:rPr>
                  </w:pPr>
                </w:p>
              </w:tc>
              <w:tc>
                <w:tcPr>
                  <w:tcW w:w="295" w:type="pct"/>
                  <w:tcBorders>
                    <w:left w:val="single" w:color="auto" w:sz="4" w:space="0"/>
                  </w:tcBorders>
                  <w:shd w:val="clear" w:color="auto" w:fill="auto"/>
                  <w:vAlign w:val="center"/>
                </w:tcPr>
                <w:p w14:paraId="36F5FDAE">
                  <w:pPr>
                    <w:spacing w:line="240" w:lineRule="auto"/>
                    <w:jc w:val="center"/>
                    <w:rPr>
                      <w:rFonts w:hint="default" w:ascii="Times New Roman" w:hAnsi="Times New Roman" w:eastAsia="宋体" w:cs="Times New Roman"/>
                      <w:b/>
                      <w:color w:val="auto"/>
                      <w:kern w:val="0"/>
                      <w:sz w:val="21"/>
                      <w:szCs w:val="21"/>
                      <w:highlight w:val="none"/>
                    </w:rPr>
                  </w:pPr>
                </w:p>
              </w:tc>
              <w:tc>
                <w:tcPr>
                  <w:tcW w:w="285" w:type="pct"/>
                  <w:tcBorders>
                    <w:left w:val="single" w:color="auto" w:sz="4" w:space="0"/>
                  </w:tcBorders>
                  <w:shd w:val="clear" w:color="auto" w:fill="auto"/>
                  <w:vAlign w:val="center"/>
                </w:tcPr>
                <w:p w14:paraId="3029669B">
                  <w:pPr>
                    <w:spacing w:line="240" w:lineRule="auto"/>
                    <w:jc w:val="center"/>
                    <w:rPr>
                      <w:rFonts w:hint="default" w:ascii="Times New Roman" w:hAnsi="Times New Roman" w:eastAsia="宋体" w:cs="Times New Roman"/>
                      <w:b/>
                      <w:color w:val="auto"/>
                      <w:kern w:val="0"/>
                      <w:sz w:val="21"/>
                      <w:szCs w:val="21"/>
                      <w:highlight w:val="none"/>
                    </w:rPr>
                  </w:pPr>
                </w:p>
              </w:tc>
              <w:tc>
                <w:tcPr>
                  <w:tcW w:w="345" w:type="pct"/>
                  <w:tcBorders>
                    <w:left w:val="single" w:color="auto" w:sz="4" w:space="0"/>
                  </w:tcBorders>
                  <w:shd w:val="clear" w:color="auto" w:fill="auto"/>
                  <w:vAlign w:val="center"/>
                </w:tcPr>
                <w:p w14:paraId="4F216CF1">
                  <w:pPr>
                    <w:spacing w:line="240" w:lineRule="auto"/>
                    <w:jc w:val="center"/>
                    <w:rPr>
                      <w:rFonts w:hint="default" w:ascii="Times New Roman" w:hAnsi="Times New Roman" w:eastAsia="宋体" w:cs="Times New Roman"/>
                      <w:b/>
                      <w:color w:val="auto"/>
                      <w:kern w:val="0"/>
                      <w:sz w:val="21"/>
                      <w:szCs w:val="21"/>
                      <w:highlight w:val="none"/>
                    </w:rPr>
                  </w:pPr>
                </w:p>
              </w:tc>
              <w:tc>
                <w:tcPr>
                  <w:tcW w:w="270" w:type="pct"/>
                  <w:tcBorders>
                    <w:left w:val="single" w:color="auto" w:sz="4" w:space="0"/>
                  </w:tcBorders>
                  <w:shd w:val="clear" w:color="auto" w:fill="auto"/>
                  <w:vAlign w:val="center"/>
                </w:tcPr>
                <w:p w14:paraId="6750F01B">
                  <w:pPr>
                    <w:spacing w:line="240" w:lineRule="auto"/>
                    <w:jc w:val="center"/>
                    <w:rPr>
                      <w:rFonts w:hint="default" w:ascii="Times New Roman" w:hAnsi="Times New Roman" w:eastAsia="宋体" w:cs="Times New Roman"/>
                      <w:b/>
                      <w:color w:val="auto"/>
                      <w:kern w:val="0"/>
                      <w:sz w:val="21"/>
                      <w:szCs w:val="21"/>
                      <w:highlight w:val="none"/>
                    </w:rPr>
                  </w:pPr>
                </w:p>
              </w:tc>
              <w:tc>
                <w:tcPr>
                  <w:tcW w:w="253" w:type="pct"/>
                  <w:tcBorders>
                    <w:left w:val="single" w:color="auto" w:sz="4" w:space="0"/>
                    <w:right w:val="single" w:color="auto" w:sz="4" w:space="0"/>
                  </w:tcBorders>
                  <w:shd w:val="clear" w:color="auto" w:fill="auto"/>
                  <w:vAlign w:val="center"/>
                </w:tcPr>
                <w:p w14:paraId="43177EEE">
                  <w:pPr>
                    <w:spacing w:line="240" w:lineRule="auto"/>
                    <w:jc w:val="center"/>
                    <w:rPr>
                      <w:rFonts w:hint="default" w:ascii="Times New Roman" w:hAnsi="Times New Roman" w:eastAsia="宋体" w:cs="Times New Roman"/>
                      <w:b/>
                      <w:color w:val="auto"/>
                      <w:kern w:val="0"/>
                      <w:sz w:val="21"/>
                      <w:szCs w:val="21"/>
                      <w:highlight w:val="none"/>
                    </w:rPr>
                  </w:pPr>
                </w:p>
              </w:tc>
              <w:tc>
                <w:tcPr>
                  <w:tcW w:w="301" w:type="pct"/>
                  <w:tcBorders>
                    <w:left w:val="single" w:color="auto" w:sz="4" w:space="0"/>
                  </w:tcBorders>
                  <w:shd w:val="clear" w:color="auto" w:fill="auto"/>
                  <w:vAlign w:val="center"/>
                </w:tcPr>
                <w:p w14:paraId="01CBAF37">
                  <w:pPr>
                    <w:spacing w:line="240" w:lineRule="auto"/>
                    <w:jc w:val="center"/>
                    <w:rPr>
                      <w:rFonts w:hint="default" w:ascii="Times New Roman" w:hAnsi="Times New Roman" w:eastAsia="宋体" w:cs="Times New Roman"/>
                      <w:b/>
                      <w:color w:val="auto"/>
                      <w:kern w:val="0"/>
                      <w:sz w:val="21"/>
                      <w:szCs w:val="21"/>
                      <w:highlight w:val="none"/>
                    </w:rPr>
                  </w:pPr>
                </w:p>
              </w:tc>
              <w:tc>
                <w:tcPr>
                  <w:tcW w:w="306" w:type="pct"/>
                  <w:tcBorders>
                    <w:left w:val="single" w:color="auto" w:sz="4" w:space="0"/>
                    <w:right w:val="single" w:color="auto" w:sz="4" w:space="0"/>
                  </w:tcBorders>
                  <w:shd w:val="clear" w:color="auto" w:fill="auto"/>
                  <w:vAlign w:val="center"/>
                </w:tcPr>
                <w:p w14:paraId="6D6D2F0C">
                  <w:pPr>
                    <w:spacing w:line="240" w:lineRule="auto"/>
                    <w:jc w:val="center"/>
                    <w:rPr>
                      <w:rFonts w:hint="default" w:ascii="Times New Roman" w:hAnsi="Times New Roman" w:eastAsia="宋体" w:cs="Times New Roman"/>
                      <w:b/>
                      <w:color w:val="auto"/>
                      <w:kern w:val="0"/>
                      <w:sz w:val="21"/>
                      <w:szCs w:val="21"/>
                      <w:highlight w:val="none"/>
                    </w:rPr>
                  </w:pPr>
                </w:p>
              </w:tc>
              <w:tc>
                <w:tcPr>
                  <w:tcW w:w="311" w:type="pct"/>
                  <w:tcBorders>
                    <w:left w:val="single" w:color="auto" w:sz="4" w:space="0"/>
                  </w:tcBorders>
                  <w:shd w:val="clear" w:color="auto" w:fill="auto"/>
                  <w:vAlign w:val="center"/>
                </w:tcPr>
                <w:p w14:paraId="532B7A40">
                  <w:pPr>
                    <w:spacing w:line="240" w:lineRule="auto"/>
                    <w:jc w:val="center"/>
                    <w:rPr>
                      <w:rFonts w:hint="default" w:ascii="Times New Roman" w:hAnsi="Times New Roman" w:eastAsia="宋体" w:cs="Times New Roman"/>
                      <w:b/>
                      <w:color w:val="auto"/>
                      <w:kern w:val="0"/>
                      <w:sz w:val="21"/>
                      <w:szCs w:val="21"/>
                      <w:highlight w:val="none"/>
                    </w:rPr>
                  </w:pPr>
                </w:p>
              </w:tc>
              <w:tc>
                <w:tcPr>
                  <w:tcW w:w="269" w:type="pct"/>
                  <w:tcBorders>
                    <w:left w:val="single" w:color="auto" w:sz="4" w:space="0"/>
                  </w:tcBorders>
                  <w:shd w:val="clear" w:color="auto" w:fill="auto"/>
                  <w:vAlign w:val="center"/>
                </w:tcPr>
                <w:p w14:paraId="44E02FB6">
                  <w:pPr>
                    <w:spacing w:line="240" w:lineRule="auto"/>
                    <w:jc w:val="center"/>
                    <w:rPr>
                      <w:rFonts w:hint="default" w:ascii="Times New Roman" w:hAnsi="Times New Roman" w:eastAsia="宋体" w:cs="Times New Roman"/>
                      <w:b/>
                      <w:color w:val="auto"/>
                      <w:kern w:val="0"/>
                      <w:sz w:val="21"/>
                      <w:szCs w:val="21"/>
                      <w:highlight w:val="none"/>
                    </w:rPr>
                  </w:pPr>
                </w:p>
              </w:tc>
            </w:tr>
            <w:tr w14:paraId="30CAD9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jc w:val="center"/>
              </w:trPr>
              <w:tc>
                <w:tcPr>
                  <w:tcW w:w="851" w:type="pct"/>
                  <w:shd w:val="clear" w:color="auto" w:fill="auto"/>
                  <w:vAlign w:val="center"/>
                </w:tcPr>
                <w:p w14:paraId="005660E6">
                  <w:pPr>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林下种植</w:t>
                  </w:r>
                </w:p>
              </w:tc>
              <w:tc>
                <w:tcPr>
                  <w:tcW w:w="241" w:type="pct"/>
                  <w:tcBorders>
                    <w:right w:val="single" w:color="auto" w:sz="4" w:space="0"/>
                  </w:tcBorders>
                  <w:shd w:val="clear" w:color="auto" w:fill="auto"/>
                  <w:vAlign w:val="center"/>
                </w:tcPr>
                <w:p w14:paraId="735BABE3">
                  <w:pPr>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w:t>
                  </w:r>
                </w:p>
              </w:tc>
              <w:tc>
                <w:tcPr>
                  <w:tcW w:w="241" w:type="pct"/>
                  <w:tcBorders>
                    <w:left w:val="single" w:color="auto" w:sz="4" w:space="0"/>
                    <w:right w:val="single" w:color="auto" w:sz="4" w:space="0"/>
                  </w:tcBorders>
                  <w:shd w:val="clear" w:color="auto" w:fill="auto"/>
                  <w:vAlign w:val="center"/>
                </w:tcPr>
                <w:p w14:paraId="30B01CD2">
                  <w:pPr>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w:t>
                  </w:r>
                </w:p>
              </w:tc>
              <w:tc>
                <w:tcPr>
                  <w:tcW w:w="243" w:type="pct"/>
                  <w:tcBorders>
                    <w:left w:val="single" w:color="auto" w:sz="4" w:space="0"/>
                  </w:tcBorders>
                  <w:shd w:val="clear" w:color="auto" w:fill="auto"/>
                  <w:vAlign w:val="center"/>
                </w:tcPr>
                <w:p w14:paraId="1D9B0EBE">
                  <w:pPr>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w:t>
                  </w:r>
                </w:p>
              </w:tc>
              <w:tc>
                <w:tcPr>
                  <w:tcW w:w="254" w:type="pct"/>
                  <w:tcBorders>
                    <w:left w:val="single" w:color="auto" w:sz="4" w:space="0"/>
                    <w:right w:val="single" w:color="auto" w:sz="4" w:space="0"/>
                  </w:tcBorders>
                  <w:shd w:val="clear" w:color="auto" w:fill="auto"/>
                  <w:vAlign w:val="center"/>
                </w:tcPr>
                <w:p w14:paraId="3160C759">
                  <w:pPr>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w:t>
                  </w:r>
                </w:p>
              </w:tc>
              <w:tc>
                <w:tcPr>
                  <w:tcW w:w="241" w:type="pct"/>
                  <w:tcBorders>
                    <w:left w:val="single" w:color="auto" w:sz="4" w:space="0"/>
                    <w:right w:val="single" w:color="auto" w:sz="4" w:space="0"/>
                  </w:tcBorders>
                  <w:shd w:val="clear" w:color="auto" w:fill="auto"/>
                  <w:vAlign w:val="center"/>
                </w:tcPr>
                <w:p w14:paraId="45F8E0BF">
                  <w:pPr>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w:t>
                  </w:r>
                </w:p>
              </w:tc>
              <w:tc>
                <w:tcPr>
                  <w:tcW w:w="285" w:type="pct"/>
                  <w:tcBorders>
                    <w:left w:val="single" w:color="auto" w:sz="4" w:space="0"/>
                    <w:right w:val="single" w:color="auto" w:sz="4" w:space="0"/>
                  </w:tcBorders>
                  <w:shd w:val="clear" w:color="auto" w:fill="auto"/>
                  <w:vAlign w:val="center"/>
                </w:tcPr>
                <w:p w14:paraId="4EA77EA6">
                  <w:pPr>
                    <w:spacing w:line="240" w:lineRule="auto"/>
                    <w:jc w:val="center"/>
                    <w:rPr>
                      <w:rFonts w:hint="default" w:ascii="Times New Roman" w:hAnsi="Times New Roman" w:eastAsia="宋体" w:cs="Times New Roman"/>
                      <w:b/>
                      <w:color w:val="auto"/>
                      <w:kern w:val="0"/>
                      <w:sz w:val="21"/>
                      <w:szCs w:val="21"/>
                      <w:highlight w:val="none"/>
                    </w:rPr>
                  </w:pPr>
                </w:p>
              </w:tc>
              <w:tc>
                <w:tcPr>
                  <w:tcW w:w="295" w:type="pct"/>
                  <w:tcBorders>
                    <w:left w:val="single" w:color="auto" w:sz="4" w:space="0"/>
                  </w:tcBorders>
                  <w:shd w:val="clear" w:color="auto" w:fill="auto"/>
                  <w:vAlign w:val="center"/>
                </w:tcPr>
                <w:p w14:paraId="4A4FD8CF">
                  <w:pPr>
                    <w:spacing w:line="240" w:lineRule="auto"/>
                    <w:jc w:val="center"/>
                    <w:rPr>
                      <w:rFonts w:hint="default" w:ascii="Times New Roman" w:hAnsi="Times New Roman" w:eastAsia="宋体" w:cs="Times New Roman"/>
                      <w:b/>
                      <w:color w:val="auto"/>
                      <w:kern w:val="0"/>
                      <w:sz w:val="21"/>
                      <w:szCs w:val="21"/>
                      <w:highlight w:val="none"/>
                    </w:rPr>
                  </w:pPr>
                </w:p>
              </w:tc>
              <w:tc>
                <w:tcPr>
                  <w:tcW w:w="285" w:type="pct"/>
                  <w:tcBorders>
                    <w:left w:val="single" w:color="auto" w:sz="4" w:space="0"/>
                  </w:tcBorders>
                  <w:shd w:val="clear" w:color="auto" w:fill="auto"/>
                  <w:vAlign w:val="center"/>
                </w:tcPr>
                <w:p w14:paraId="084F7493">
                  <w:pPr>
                    <w:spacing w:line="240" w:lineRule="auto"/>
                    <w:jc w:val="center"/>
                    <w:rPr>
                      <w:rFonts w:hint="default" w:ascii="Times New Roman" w:hAnsi="Times New Roman" w:eastAsia="宋体" w:cs="Times New Roman"/>
                      <w:b/>
                      <w:color w:val="auto"/>
                      <w:kern w:val="0"/>
                      <w:sz w:val="21"/>
                      <w:szCs w:val="21"/>
                      <w:highlight w:val="none"/>
                    </w:rPr>
                  </w:pPr>
                </w:p>
              </w:tc>
              <w:tc>
                <w:tcPr>
                  <w:tcW w:w="345" w:type="pct"/>
                  <w:tcBorders>
                    <w:left w:val="single" w:color="auto" w:sz="4" w:space="0"/>
                  </w:tcBorders>
                  <w:shd w:val="clear" w:color="auto" w:fill="auto"/>
                  <w:vAlign w:val="center"/>
                </w:tcPr>
                <w:p w14:paraId="166DA95F">
                  <w:pPr>
                    <w:spacing w:line="240" w:lineRule="auto"/>
                    <w:jc w:val="center"/>
                    <w:rPr>
                      <w:rFonts w:hint="default" w:ascii="Times New Roman" w:hAnsi="Times New Roman" w:eastAsia="宋体" w:cs="Times New Roman"/>
                      <w:b/>
                      <w:color w:val="auto"/>
                      <w:kern w:val="0"/>
                      <w:sz w:val="21"/>
                      <w:szCs w:val="21"/>
                      <w:highlight w:val="none"/>
                    </w:rPr>
                  </w:pPr>
                </w:p>
              </w:tc>
              <w:tc>
                <w:tcPr>
                  <w:tcW w:w="270" w:type="pct"/>
                  <w:tcBorders>
                    <w:left w:val="single" w:color="auto" w:sz="4" w:space="0"/>
                  </w:tcBorders>
                  <w:shd w:val="clear" w:color="auto" w:fill="auto"/>
                  <w:vAlign w:val="center"/>
                </w:tcPr>
                <w:p w14:paraId="6348E96B">
                  <w:pPr>
                    <w:spacing w:line="240" w:lineRule="auto"/>
                    <w:jc w:val="center"/>
                    <w:rPr>
                      <w:rFonts w:hint="default" w:ascii="Times New Roman" w:hAnsi="Times New Roman" w:eastAsia="宋体" w:cs="Times New Roman"/>
                      <w:b/>
                      <w:color w:val="auto"/>
                      <w:kern w:val="0"/>
                      <w:sz w:val="21"/>
                      <w:szCs w:val="21"/>
                      <w:highlight w:val="none"/>
                    </w:rPr>
                  </w:pPr>
                </w:p>
              </w:tc>
              <w:tc>
                <w:tcPr>
                  <w:tcW w:w="253" w:type="pct"/>
                  <w:tcBorders>
                    <w:left w:val="single" w:color="auto" w:sz="4" w:space="0"/>
                    <w:right w:val="single" w:color="auto" w:sz="4" w:space="0"/>
                  </w:tcBorders>
                  <w:shd w:val="clear" w:color="auto" w:fill="auto"/>
                  <w:vAlign w:val="center"/>
                </w:tcPr>
                <w:p w14:paraId="1E01B291">
                  <w:pPr>
                    <w:spacing w:line="240" w:lineRule="auto"/>
                    <w:jc w:val="center"/>
                    <w:rPr>
                      <w:rFonts w:hint="default" w:ascii="Times New Roman" w:hAnsi="Times New Roman" w:eastAsia="宋体" w:cs="Times New Roman"/>
                      <w:b/>
                      <w:color w:val="auto"/>
                      <w:kern w:val="0"/>
                      <w:sz w:val="21"/>
                      <w:szCs w:val="21"/>
                      <w:highlight w:val="none"/>
                    </w:rPr>
                  </w:pPr>
                </w:p>
              </w:tc>
              <w:tc>
                <w:tcPr>
                  <w:tcW w:w="301" w:type="pct"/>
                  <w:tcBorders>
                    <w:left w:val="single" w:color="auto" w:sz="4" w:space="0"/>
                  </w:tcBorders>
                  <w:shd w:val="clear" w:color="auto" w:fill="auto"/>
                  <w:vAlign w:val="center"/>
                </w:tcPr>
                <w:p w14:paraId="1B46A580">
                  <w:pPr>
                    <w:spacing w:line="240" w:lineRule="auto"/>
                    <w:jc w:val="center"/>
                    <w:rPr>
                      <w:rFonts w:hint="default" w:ascii="Times New Roman" w:hAnsi="Times New Roman" w:eastAsia="宋体" w:cs="Times New Roman"/>
                      <w:b/>
                      <w:color w:val="auto"/>
                      <w:kern w:val="0"/>
                      <w:sz w:val="21"/>
                      <w:szCs w:val="21"/>
                      <w:highlight w:val="none"/>
                    </w:rPr>
                  </w:pPr>
                </w:p>
              </w:tc>
              <w:tc>
                <w:tcPr>
                  <w:tcW w:w="306" w:type="pct"/>
                  <w:tcBorders>
                    <w:left w:val="single" w:color="auto" w:sz="4" w:space="0"/>
                    <w:right w:val="single" w:color="auto" w:sz="4" w:space="0"/>
                  </w:tcBorders>
                  <w:shd w:val="clear" w:color="auto" w:fill="auto"/>
                  <w:vAlign w:val="center"/>
                </w:tcPr>
                <w:p w14:paraId="4F12B062">
                  <w:pPr>
                    <w:spacing w:line="240" w:lineRule="auto"/>
                    <w:jc w:val="center"/>
                    <w:rPr>
                      <w:rFonts w:hint="default" w:ascii="Times New Roman" w:hAnsi="Times New Roman" w:eastAsia="宋体" w:cs="Times New Roman"/>
                      <w:b/>
                      <w:color w:val="auto"/>
                      <w:kern w:val="0"/>
                      <w:sz w:val="21"/>
                      <w:szCs w:val="21"/>
                      <w:highlight w:val="none"/>
                    </w:rPr>
                  </w:pPr>
                </w:p>
              </w:tc>
              <w:tc>
                <w:tcPr>
                  <w:tcW w:w="311" w:type="pct"/>
                  <w:tcBorders>
                    <w:left w:val="single" w:color="auto" w:sz="4" w:space="0"/>
                  </w:tcBorders>
                  <w:shd w:val="clear" w:color="auto" w:fill="auto"/>
                  <w:vAlign w:val="center"/>
                </w:tcPr>
                <w:p w14:paraId="7BD20D8F">
                  <w:pPr>
                    <w:spacing w:line="240" w:lineRule="auto"/>
                    <w:jc w:val="center"/>
                    <w:rPr>
                      <w:rFonts w:hint="default" w:ascii="Times New Roman" w:hAnsi="Times New Roman" w:eastAsia="宋体" w:cs="Times New Roman"/>
                      <w:b/>
                      <w:color w:val="auto"/>
                      <w:kern w:val="0"/>
                      <w:sz w:val="21"/>
                      <w:szCs w:val="21"/>
                      <w:highlight w:val="none"/>
                    </w:rPr>
                  </w:pPr>
                </w:p>
              </w:tc>
              <w:tc>
                <w:tcPr>
                  <w:tcW w:w="269" w:type="pct"/>
                  <w:tcBorders>
                    <w:left w:val="single" w:color="auto" w:sz="4" w:space="0"/>
                  </w:tcBorders>
                  <w:shd w:val="clear" w:color="auto" w:fill="auto"/>
                  <w:vAlign w:val="center"/>
                </w:tcPr>
                <w:p w14:paraId="1BE9D3E5">
                  <w:pPr>
                    <w:spacing w:line="240" w:lineRule="auto"/>
                    <w:jc w:val="center"/>
                    <w:rPr>
                      <w:rFonts w:hint="default" w:ascii="Times New Roman" w:hAnsi="Times New Roman" w:eastAsia="宋体" w:cs="Times New Roman"/>
                      <w:b/>
                      <w:color w:val="auto"/>
                      <w:kern w:val="0"/>
                      <w:sz w:val="21"/>
                      <w:szCs w:val="21"/>
                      <w:highlight w:val="none"/>
                    </w:rPr>
                  </w:pPr>
                </w:p>
              </w:tc>
            </w:tr>
            <w:tr w14:paraId="34499F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jc w:val="center"/>
              </w:trPr>
              <w:tc>
                <w:tcPr>
                  <w:tcW w:w="851" w:type="pct"/>
                  <w:shd w:val="clear" w:color="auto" w:fill="auto"/>
                  <w:vAlign w:val="center"/>
                </w:tcPr>
                <w:p w14:paraId="2F643D60">
                  <w:pPr>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幼林抚育</w:t>
                  </w:r>
                </w:p>
              </w:tc>
              <w:tc>
                <w:tcPr>
                  <w:tcW w:w="241" w:type="pct"/>
                  <w:tcBorders>
                    <w:right w:val="single" w:color="auto" w:sz="4" w:space="0"/>
                  </w:tcBorders>
                  <w:shd w:val="clear" w:color="auto" w:fill="auto"/>
                  <w:vAlign w:val="center"/>
                </w:tcPr>
                <w:p w14:paraId="238C4076">
                  <w:pPr>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w:t>
                  </w:r>
                </w:p>
              </w:tc>
              <w:tc>
                <w:tcPr>
                  <w:tcW w:w="241" w:type="pct"/>
                  <w:tcBorders>
                    <w:left w:val="single" w:color="auto" w:sz="4" w:space="0"/>
                    <w:right w:val="single" w:color="auto" w:sz="4" w:space="0"/>
                  </w:tcBorders>
                  <w:shd w:val="clear" w:color="auto" w:fill="auto"/>
                  <w:vAlign w:val="center"/>
                </w:tcPr>
                <w:p w14:paraId="1875A446">
                  <w:pPr>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color w:val="auto"/>
                      <w:kern w:val="0"/>
                      <w:sz w:val="21"/>
                      <w:szCs w:val="21"/>
                      <w:highlight w:val="none"/>
                    </w:rPr>
                    <w:t>✔</w:t>
                  </w:r>
                </w:p>
              </w:tc>
              <w:tc>
                <w:tcPr>
                  <w:tcW w:w="243" w:type="pct"/>
                  <w:tcBorders>
                    <w:left w:val="single" w:color="auto" w:sz="4" w:space="0"/>
                  </w:tcBorders>
                  <w:shd w:val="clear" w:color="auto" w:fill="auto"/>
                  <w:vAlign w:val="center"/>
                </w:tcPr>
                <w:p w14:paraId="14B43F65">
                  <w:pPr>
                    <w:spacing w:line="240" w:lineRule="auto"/>
                    <w:jc w:val="center"/>
                    <w:rPr>
                      <w:rFonts w:hint="default" w:ascii="Times New Roman" w:hAnsi="Times New Roman" w:eastAsia="宋体" w:cs="Times New Roman"/>
                      <w:b/>
                      <w:color w:val="auto"/>
                      <w:kern w:val="0"/>
                      <w:sz w:val="21"/>
                      <w:szCs w:val="21"/>
                      <w:highlight w:val="none"/>
                      <w:lang w:val="en-US" w:eastAsia="zh-CN" w:bidi="ar-SA"/>
                    </w:rPr>
                  </w:pPr>
                  <w:r>
                    <w:rPr>
                      <w:rFonts w:hint="default" w:ascii="Times New Roman" w:hAnsi="Times New Roman" w:eastAsia="宋体" w:cs="Times New Roman"/>
                      <w:b/>
                      <w:color w:val="auto"/>
                      <w:kern w:val="0"/>
                      <w:sz w:val="21"/>
                      <w:szCs w:val="21"/>
                      <w:highlight w:val="none"/>
                    </w:rPr>
                    <w:t>✔</w:t>
                  </w:r>
                </w:p>
              </w:tc>
              <w:tc>
                <w:tcPr>
                  <w:tcW w:w="254" w:type="pct"/>
                  <w:tcBorders>
                    <w:left w:val="single" w:color="auto" w:sz="4" w:space="0"/>
                    <w:right w:val="single" w:color="auto" w:sz="4" w:space="0"/>
                  </w:tcBorders>
                  <w:shd w:val="clear" w:color="auto" w:fill="auto"/>
                  <w:vAlign w:val="center"/>
                </w:tcPr>
                <w:p w14:paraId="1E6B4520">
                  <w:pPr>
                    <w:spacing w:line="240" w:lineRule="auto"/>
                    <w:jc w:val="center"/>
                    <w:rPr>
                      <w:rFonts w:hint="default" w:ascii="Times New Roman" w:hAnsi="Times New Roman" w:eastAsia="宋体" w:cs="Times New Roman"/>
                      <w:b/>
                      <w:color w:val="auto"/>
                      <w:kern w:val="0"/>
                      <w:sz w:val="21"/>
                      <w:szCs w:val="21"/>
                      <w:highlight w:val="none"/>
                      <w:lang w:val="en-US" w:eastAsia="zh-CN" w:bidi="ar-SA"/>
                    </w:rPr>
                  </w:pPr>
                  <w:r>
                    <w:rPr>
                      <w:rFonts w:hint="default" w:ascii="Times New Roman" w:hAnsi="Times New Roman" w:eastAsia="宋体" w:cs="Times New Roman"/>
                      <w:b/>
                      <w:color w:val="auto"/>
                      <w:kern w:val="0"/>
                      <w:sz w:val="21"/>
                      <w:szCs w:val="21"/>
                      <w:highlight w:val="none"/>
                    </w:rPr>
                    <w:t>✔</w:t>
                  </w:r>
                </w:p>
              </w:tc>
              <w:tc>
                <w:tcPr>
                  <w:tcW w:w="241" w:type="pct"/>
                  <w:tcBorders>
                    <w:left w:val="single" w:color="auto" w:sz="4" w:space="0"/>
                    <w:right w:val="single" w:color="auto" w:sz="4" w:space="0"/>
                  </w:tcBorders>
                  <w:shd w:val="clear" w:color="auto" w:fill="auto"/>
                  <w:vAlign w:val="center"/>
                </w:tcPr>
                <w:p w14:paraId="43546E38">
                  <w:pPr>
                    <w:spacing w:line="240" w:lineRule="auto"/>
                    <w:jc w:val="center"/>
                    <w:rPr>
                      <w:rFonts w:hint="default" w:ascii="Times New Roman" w:hAnsi="Times New Roman" w:eastAsia="宋体" w:cs="Times New Roman"/>
                      <w:b/>
                      <w:color w:val="auto"/>
                      <w:kern w:val="0"/>
                      <w:sz w:val="21"/>
                      <w:szCs w:val="21"/>
                      <w:highlight w:val="none"/>
                      <w:lang w:val="en-US" w:eastAsia="zh-CN" w:bidi="ar-SA"/>
                    </w:rPr>
                  </w:pPr>
                  <w:r>
                    <w:rPr>
                      <w:rFonts w:hint="default" w:ascii="Times New Roman" w:hAnsi="Times New Roman" w:eastAsia="宋体" w:cs="Times New Roman"/>
                      <w:b/>
                      <w:color w:val="auto"/>
                      <w:kern w:val="0"/>
                      <w:sz w:val="21"/>
                      <w:szCs w:val="21"/>
                      <w:highlight w:val="none"/>
                    </w:rPr>
                    <w:t>✔</w:t>
                  </w:r>
                </w:p>
              </w:tc>
              <w:tc>
                <w:tcPr>
                  <w:tcW w:w="285" w:type="pct"/>
                  <w:tcBorders>
                    <w:left w:val="single" w:color="auto" w:sz="4" w:space="0"/>
                    <w:right w:val="single" w:color="auto" w:sz="4" w:space="0"/>
                  </w:tcBorders>
                  <w:shd w:val="clear" w:color="auto" w:fill="auto"/>
                  <w:vAlign w:val="center"/>
                </w:tcPr>
                <w:p w14:paraId="5CC7D091">
                  <w:pPr>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w:t>
                  </w:r>
                </w:p>
              </w:tc>
              <w:tc>
                <w:tcPr>
                  <w:tcW w:w="295" w:type="pct"/>
                  <w:tcBorders>
                    <w:left w:val="single" w:color="auto" w:sz="4" w:space="0"/>
                  </w:tcBorders>
                  <w:shd w:val="clear" w:color="auto" w:fill="auto"/>
                  <w:vAlign w:val="center"/>
                </w:tcPr>
                <w:p w14:paraId="02B88861">
                  <w:pPr>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w:t>
                  </w:r>
                </w:p>
              </w:tc>
              <w:tc>
                <w:tcPr>
                  <w:tcW w:w="285" w:type="pct"/>
                  <w:tcBorders>
                    <w:left w:val="single" w:color="auto" w:sz="4" w:space="0"/>
                  </w:tcBorders>
                  <w:shd w:val="clear" w:color="auto" w:fill="auto"/>
                  <w:vAlign w:val="center"/>
                </w:tcPr>
                <w:p w14:paraId="3EC4E94F">
                  <w:pPr>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w:t>
                  </w:r>
                </w:p>
              </w:tc>
              <w:tc>
                <w:tcPr>
                  <w:tcW w:w="345" w:type="pct"/>
                  <w:tcBorders>
                    <w:left w:val="single" w:color="auto" w:sz="4" w:space="0"/>
                  </w:tcBorders>
                  <w:shd w:val="clear" w:color="auto" w:fill="auto"/>
                  <w:vAlign w:val="center"/>
                </w:tcPr>
                <w:p w14:paraId="7ED129EE">
                  <w:pPr>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w:t>
                  </w:r>
                </w:p>
              </w:tc>
              <w:tc>
                <w:tcPr>
                  <w:tcW w:w="270" w:type="pct"/>
                  <w:tcBorders>
                    <w:left w:val="single" w:color="auto" w:sz="4" w:space="0"/>
                  </w:tcBorders>
                  <w:shd w:val="clear" w:color="auto" w:fill="auto"/>
                  <w:vAlign w:val="center"/>
                </w:tcPr>
                <w:p w14:paraId="138959D2">
                  <w:pPr>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w:t>
                  </w:r>
                </w:p>
              </w:tc>
              <w:tc>
                <w:tcPr>
                  <w:tcW w:w="253" w:type="pct"/>
                  <w:tcBorders>
                    <w:left w:val="single" w:color="auto" w:sz="4" w:space="0"/>
                    <w:right w:val="single" w:color="auto" w:sz="4" w:space="0"/>
                  </w:tcBorders>
                  <w:shd w:val="clear" w:color="auto" w:fill="auto"/>
                  <w:vAlign w:val="center"/>
                </w:tcPr>
                <w:p w14:paraId="2321143D">
                  <w:pPr>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w:t>
                  </w:r>
                </w:p>
              </w:tc>
              <w:tc>
                <w:tcPr>
                  <w:tcW w:w="301" w:type="pct"/>
                  <w:tcBorders>
                    <w:left w:val="single" w:color="auto" w:sz="4" w:space="0"/>
                  </w:tcBorders>
                  <w:shd w:val="clear" w:color="auto" w:fill="auto"/>
                  <w:vAlign w:val="center"/>
                </w:tcPr>
                <w:p w14:paraId="3504F12F">
                  <w:pPr>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w:t>
                  </w:r>
                </w:p>
              </w:tc>
              <w:tc>
                <w:tcPr>
                  <w:tcW w:w="306" w:type="pct"/>
                  <w:tcBorders>
                    <w:left w:val="single" w:color="auto" w:sz="4" w:space="0"/>
                    <w:right w:val="single" w:color="auto" w:sz="4" w:space="0"/>
                  </w:tcBorders>
                  <w:shd w:val="clear" w:color="auto" w:fill="auto"/>
                  <w:vAlign w:val="center"/>
                </w:tcPr>
                <w:p w14:paraId="1A53EC3D">
                  <w:pPr>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w:t>
                  </w:r>
                </w:p>
              </w:tc>
              <w:tc>
                <w:tcPr>
                  <w:tcW w:w="311" w:type="pct"/>
                  <w:tcBorders>
                    <w:left w:val="single" w:color="auto" w:sz="4" w:space="0"/>
                  </w:tcBorders>
                  <w:shd w:val="clear" w:color="auto" w:fill="auto"/>
                  <w:vAlign w:val="center"/>
                </w:tcPr>
                <w:p w14:paraId="083506C7">
                  <w:pPr>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w:t>
                  </w:r>
                </w:p>
              </w:tc>
              <w:tc>
                <w:tcPr>
                  <w:tcW w:w="269" w:type="pct"/>
                  <w:tcBorders>
                    <w:left w:val="single" w:color="auto" w:sz="4" w:space="0"/>
                  </w:tcBorders>
                  <w:shd w:val="clear" w:color="auto" w:fill="auto"/>
                  <w:vAlign w:val="center"/>
                </w:tcPr>
                <w:p w14:paraId="1AE8FAFA">
                  <w:pPr>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w:t>
                  </w:r>
                </w:p>
              </w:tc>
            </w:tr>
            <w:tr w14:paraId="2385B6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jc w:val="center"/>
              </w:trPr>
              <w:tc>
                <w:tcPr>
                  <w:tcW w:w="851" w:type="pct"/>
                  <w:shd w:val="clear" w:color="auto" w:fill="auto"/>
                  <w:vAlign w:val="center"/>
                </w:tcPr>
                <w:p w14:paraId="02186CA0">
                  <w:pPr>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管护</w:t>
                  </w:r>
                </w:p>
              </w:tc>
              <w:tc>
                <w:tcPr>
                  <w:tcW w:w="241" w:type="pct"/>
                  <w:tcBorders>
                    <w:right w:val="single" w:color="auto" w:sz="4" w:space="0"/>
                  </w:tcBorders>
                  <w:shd w:val="clear" w:color="auto" w:fill="auto"/>
                  <w:vAlign w:val="center"/>
                </w:tcPr>
                <w:p w14:paraId="3BB979D0">
                  <w:pPr>
                    <w:spacing w:line="240" w:lineRule="auto"/>
                    <w:jc w:val="center"/>
                    <w:rPr>
                      <w:rFonts w:hint="default" w:ascii="Times New Roman" w:hAnsi="Times New Roman" w:eastAsia="宋体" w:cs="Times New Roman"/>
                      <w:b/>
                      <w:color w:val="auto"/>
                      <w:kern w:val="0"/>
                      <w:sz w:val="21"/>
                      <w:szCs w:val="21"/>
                      <w:highlight w:val="none"/>
                    </w:rPr>
                  </w:pPr>
                </w:p>
              </w:tc>
              <w:tc>
                <w:tcPr>
                  <w:tcW w:w="241" w:type="pct"/>
                  <w:tcBorders>
                    <w:left w:val="single" w:color="auto" w:sz="4" w:space="0"/>
                    <w:right w:val="single" w:color="auto" w:sz="4" w:space="0"/>
                  </w:tcBorders>
                  <w:shd w:val="clear" w:color="auto" w:fill="auto"/>
                  <w:vAlign w:val="center"/>
                </w:tcPr>
                <w:p w14:paraId="4A43B042">
                  <w:pPr>
                    <w:spacing w:line="240" w:lineRule="auto"/>
                    <w:rPr>
                      <w:rFonts w:hint="default" w:ascii="Times New Roman" w:hAnsi="Times New Roman" w:eastAsia="宋体" w:cs="Times New Roman"/>
                      <w:color w:val="auto"/>
                      <w:sz w:val="21"/>
                      <w:szCs w:val="21"/>
                      <w:highlight w:val="none"/>
                    </w:rPr>
                  </w:pPr>
                </w:p>
              </w:tc>
              <w:tc>
                <w:tcPr>
                  <w:tcW w:w="243" w:type="pct"/>
                  <w:tcBorders>
                    <w:left w:val="single" w:color="auto" w:sz="4" w:space="0"/>
                  </w:tcBorders>
                  <w:shd w:val="clear" w:color="auto" w:fill="auto"/>
                  <w:vAlign w:val="center"/>
                </w:tcPr>
                <w:p w14:paraId="03634D1B">
                  <w:pPr>
                    <w:spacing w:line="240" w:lineRule="auto"/>
                    <w:jc w:val="center"/>
                    <w:rPr>
                      <w:rFonts w:hint="default" w:ascii="Times New Roman" w:hAnsi="Times New Roman" w:eastAsia="宋体" w:cs="Times New Roman"/>
                      <w:b/>
                      <w:color w:val="auto"/>
                      <w:kern w:val="0"/>
                      <w:sz w:val="21"/>
                      <w:szCs w:val="21"/>
                      <w:highlight w:val="none"/>
                      <w:lang w:val="en-US" w:eastAsia="zh-CN" w:bidi="ar-SA"/>
                    </w:rPr>
                  </w:pPr>
                  <w:r>
                    <w:rPr>
                      <w:rFonts w:hint="default" w:ascii="Times New Roman" w:hAnsi="Times New Roman" w:eastAsia="宋体" w:cs="Times New Roman"/>
                      <w:b/>
                      <w:color w:val="auto"/>
                      <w:kern w:val="0"/>
                      <w:sz w:val="21"/>
                      <w:szCs w:val="21"/>
                      <w:highlight w:val="none"/>
                    </w:rPr>
                    <w:t>✔</w:t>
                  </w:r>
                </w:p>
              </w:tc>
              <w:tc>
                <w:tcPr>
                  <w:tcW w:w="254" w:type="pct"/>
                  <w:tcBorders>
                    <w:left w:val="single" w:color="auto" w:sz="4" w:space="0"/>
                    <w:right w:val="single" w:color="auto" w:sz="4" w:space="0"/>
                  </w:tcBorders>
                  <w:shd w:val="clear" w:color="auto" w:fill="auto"/>
                  <w:vAlign w:val="center"/>
                </w:tcPr>
                <w:p w14:paraId="63934FD5">
                  <w:pPr>
                    <w:spacing w:line="240" w:lineRule="auto"/>
                    <w:jc w:val="center"/>
                    <w:rPr>
                      <w:rFonts w:hint="default" w:ascii="Times New Roman" w:hAnsi="Times New Roman" w:eastAsia="宋体" w:cs="Times New Roman"/>
                      <w:b/>
                      <w:color w:val="auto"/>
                      <w:kern w:val="0"/>
                      <w:sz w:val="21"/>
                      <w:szCs w:val="21"/>
                      <w:highlight w:val="none"/>
                      <w:lang w:val="en-US" w:eastAsia="zh-CN" w:bidi="ar-SA"/>
                    </w:rPr>
                  </w:pPr>
                  <w:r>
                    <w:rPr>
                      <w:rFonts w:hint="default" w:ascii="Times New Roman" w:hAnsi="Times New Roman" w:eastAsia="宋体" w:cs="Times New Roman"/>
                      <w:b/>
                      <w:color w:val="auto"/>
                      <w:kern w:val="0"/>
                      <w:sz w:val="21"/>
                      <w:szCs w:val="21"/>
                      <w:highlight w:val="none"/>
                    </w:rPr>
                    <w:t>✔</w:t>
                  </w:r>
                </w:p>
              </w:tc>
              <w:tc>
                <w:tcPr>
                  <w:tcW w:w="241" w:type="pct"/>
                  <w:tcBorders>
                    <w:left w:val="single" w:color="auto" w:sz="4" w:space="0"/>
                    <w:right w:val="single" w:color="auto" w:sz="4" w:space="0"/>
                  </w:tcBorders>
                  <w:shd w:val="clear" w:color="auto" w:fill="auto"/>
                  <w:vAlign w:val="center"/>
                </w:tcPr>
                <w:p w14:paraId="0F260F7B">
                  <w:pPr>
                    <w:spacing w:line="240" w:lineRule="auto"/>
                    <w:jc w:val="center"/>
                    <w:rPr>
                      <w:rFonts w:hint="default" w:ascii="Times New Roman" w:hAnsi="Times New Roman" w:eastAsia="宋体" w:cs="Times New Roman"/>
                      <w:b/>
                      <w:color w:val="auto"/>
                      <w:kern w:val="0"/>
                      <w:sz w:val="21"/>
                      <w:szCs w:val="21"/>
                      <w:highlight w:val="none"/>
                      <w:lang w:val="en-US" w:eastAsia="zh-CN" w:bidi="ar-SA"/>
                    </w:rPr>
                  </w:pPr>
                  <w:r>
                    <w:rPr>
                      <w:rFonts w:hint="default" w:ascii="Times New Roman" w:hAnsi="Times New Roman" w:eastAsia="宋体" w:cs="Times New Roman"/>
                      <w:b/>
                      <w:color w:val="auto"/>
                      <w:kern w:val="0"/>
                      <w:sz w:val="21"/>
                      <w:szCs w:val="21"/>
                      <w:highlight w:val="none"/>
                    </w:rPr>
                    <w:t>✔</w:t>
                  </w:r>
                </w:p>
              </w:tc>
              <w:tc>
                <w:tcPr>
                  <w:tcW w:w="285" w:type="pct"/>
                  <w:tcBorders>
                    <w:left w:val="single" w:color="auto" w:sz="4" w:space="0"/>
                    <w:right w:val="single" w:color="auto" w:sz="4" w:space="0"/>
                  </w:tcBorders>
                  <w:shd w:val="clear" w:color="auto" w:fill="auto"/>
                  <w:vAlign w:val="center"/>
                </w:tcPr>
                <w:p w14:paraId="519131EB">
                  <w:pPr>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w:t>
                  </w:r>
                </w:p>
              </w:tc>
              <w:tc>
                <w:tcPr>
                  <w:tcW w:w="295" w:type="pct"/>
                  <w:tcBorders>
                    <w:left w:val="single" w:color="auto" w:sz="4" w:space="0"/>
                  </w:tcBorders>
                  <w:shd w:val="clear" w:color="auto" w:fill="auto"/>
                  <w:vAlign w:val="center"/>
                </w:tcPr>
                <w:p w14:paraId="2024C164">
                  <w:pPr>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w:t>
                  </w:r>
                </w:p>
              </w:tc>
              <w:tc>
                <w:tcPr>
                  <w:tcW w:w="285" w:type="pct"/>
                  <w:tcBorders>
                    <w:left w:val="single" w:color="auto" w:sz="4" w:space="0"/>
                  </w:tcBorders>
                  <w:shd w:val="clear" w:color="auto" w:fill="auto"/>
                  <w:vAlign w:val="center"/>
                </w:tcPr>
                <w:p w14:paraId="47840141">
                  <w:pPr>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w:t>
                  </w:r>
                </w:p>
              </w:tc>
              <w:tc>
                <w:tcPr>
                  <w:tcW w:w="345" w:type="pct"/>
                  <w:tcBorders>
                    <w:left w:val="single" w:color="auto" w:sz="4" w:space="0"/>
                  </w:tcBorders>
                  <w:shd w:val="clear" w:color="auto" w:fill="auto"/>
                  <w:vAlign w:val="center"/>
                </w:tcPr>
                <w:p w14:paraId="720BB625">
                  <w:pPr>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w:t>
                  </w:r>
                </w:p>
              </w:tc>
              <w:tc>
                <w:tcPr>
                  <w:tcW w:w="270" w:type="pct"/>
                  <w:tcBorders>
                    <w:left w:val="single" w:color="auto" w:sz="4" w:space="0"/>
                  </w:tcBorders>
                  <w:shd w:val="clear" w:color="auto" w:fill="auto"/>
                  <w:vAlign w:val="center"/>
                </w:tcPr>
                <w:p w14:paraId="67952E0A">
                  <w:pPr>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w:t>
                  </w:r>
                </w:p>
              </w:tc>
              <w:tc>
                <w:tcPr>
                  <w:tcW w:w="253" w:type="pct"/>
                  <w:tcBorders>
                    <w:left w:val="single" w:color="auto" w:sz="4" w:space="0"/>
                    <w:right w:val="single" w:color="auto" w:sz="4" w:space="0"/>
                  </w:tcBorders>
                  <w:shd w:val="clear" w:color="auto" w:fill="auto"/>
                  <w:vAlign w:val="center"/>
                </w:tcPr>
                <w:p w14:paraId="5802B5AE">
                  <w:pPr>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w:t>
                  </w:r>
                </w:p>
              </w:tc>
              <w:tc>
                <w:tcPr>
                  <w:tcW w:w="301" w:type="pct"/>
                  <w:tcBorders>
                    <w:left w:val="single" w:color="auto" w:sz="4" w:space="0"/>
                  </w:tcBorders>
                  <w:shd w:val="clear" w:color="auto" w:fill="auto"/>
                  <w:vAlign w:val="center"/>
                </w:tcPr>
                <w:p w14:paraId="4A792E53">
                  <w:pPr>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w:t>
                  </w:r>
                </w:p>
              </w:tc>
              <w:tc>
                <w:tcPr>
                  <w:tcW w:w="306" w:type="pct"/>
                  <w:tcBorders>
                    <w:left w:val="single" w:color="auto" w:sz="4" w:space="0"/>
                    <w:right w:val="single" w:color="auto" w:sz="4" w:space="0"/>
                  </w:tcBorders>
                  <w:shd w:val="clear" w:color="auto" w:fill="auto"/>
                  <w:vAlign w:val="center"/>
                </w:tcPr>
                <w:p w14:paraId="1CDB6C7C">
                  <w:pPr>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w:t>
                  </w:r>
                </w:p>
              </w:tc>
              <w:tc>
                <w:tcPr>
                  <w:tcW w:w="311" w:type="pct"/>
                  <w:tcBorders>
                    <w:left w:val="single" w:color="auto" w:sz="4" w:space="0"/>
                  </w:tcBorders>
                  <w:shd w:val="clear" w:color="auto" w:fill="auto"/>
                  <w:vAlign w:val="center"/>
                </w:tcPr>
                <w:p w14:paraId="00890925">
                  <w:pPr>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w:t>
                  </w:r>
                </w:p>
              </w:tc>
              <w:tc>
                <w:tcPr>
                  <w:tcW w:w="269" w:type="pct"/>
                  <w:tcBorders>
                    <w:left w:val="single" w:color="auto" w:sz="4" w:space="0"/>
                  </w:tcBorders>
                  <w:shd w:val="clear" w:color="auto" w:fill="auto"/>
                  <w:vAlign w:val="center"/>
                </w:tcPr>
                <w:p w14:paraId="377B18D4">
                  <w:pPr>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w:t>
                  </w:r>
                </w:p>
              </w:tc>
            </w:tr>
            <w:tr w14:paraId="26D35EE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jc w:val="center"/>
              </w:trPr>
              <w:tc>
                <w:tcPr>
                  <w:tcW w:w="851" w:type="pct"/>
                  <w:shd w:val="clear" w:color="auto" w:fill="auto"/>
                  <w:vAlign w:val="center"/>
                </w:tcPr>
                <w:p w14:paraId="7E4A55A5">
                  <w:pPr>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竣工验收</w:t>
                  </w:r>
                </w:p>
              </w:tc>
              <w:tc>
                <w:tcPr>
                  <w:tcW w:w="241" w:type="pct"/>
                  <w:shd w:val="clear" w:color="auto" w:fill="auto"/>
                  <w:vAlign w:val="center"/>
                </w:tcPr>
                <w:p w14:paraId="4CF43FAE">
                  <w:pPr>
                    <w:spacing w:line="240" w:lineRule="auto"/>
                    <w:jc w:val="center"/>
                    <w:rPr>
                      <w:rFonts w:hint="default" w:ascii="Times New Roman" w:hAnsi="Times New Roman" w:eastAsia="宋体" w:cs="Times New Roman"/>
                      <w:b/>
                      <w:color w:val="auto"/>
                      <w:kern w:val="0"/>
                      <w:sz w:val="21"/>
                      <w:szCs w:val="21"/>
                      <w:highlight w:val="none"/>
                    </w:rPr>
                  </w:pPr>
                </w:p>
              </w:tc>
              <w:tc>
                <w:tcPr>
                  <w:tcW w:w="241" w:type="pct"/>
                  <w:shd w:val="clear" w:color="auto" w:fill="auto"/>
                  <w:vAlign w:val="center"/>
                </w:tcPr>
                <w:p w14:paraId="7DA13837">
                  <w:pPr>
                    <w:spacing w:line="240" w:lineRule="auto"/>
                    <w:jc w:val="center"/>
                    <w:rPr>
                      <w:rFonts w:hint="default" w:ascii="Times New Roman" w:hAnsi="Times New Roman" w:eastAsia="宋体" w:cs="Times New Roman"/>
                      <w:b/>
                      <w:color w:val="auto"/>
                      <w:kern w:val="0"/>
                      <w:sz w:val="21"/>
                      <w:szCs w:val="21"/>
                      <w:highlight w:val="none"/>
                    </w:rPr>
                  </w:pPr>
                </w:p>
              </w:tc>
              <w:tc>
                <w:tcPr>
                  <w:tcW w:w="243" w:type="pct"/>
                  <w:shd w:val="clear" w:color="auto" w:fill="auto"/>
                  <w:vAlign w:val="center"/>
                </w:tcPr>
                <w:p w14:paraId="279D978B">
                  <w:pPr>
                    <w:spacing w:line="240" w:lineRule="auto"/>
                    <w:jc w:val="center"/>
                    <w:rPr>
                      <w:rFonts w:hint="default" w:ascii="Times New Roman" w:hAnsi="Times New Roman" w:eastAsia="宋体" w:cs="Times New Roman"/>
                      <w:b/>
                      <w:color w:val="auto"/>
                      <w:kern w:val="0"/>
                      <w:sz w:val="21"/>
                      <w:szCs w:val="21"/>
                      <w:highlight w:val="none"/>
                    </w:rPr>
                  </w:pPr>
                </w:p>
              </w:tc>
              <w:tc>
                <w:tcPr>
                  <w:tcW w:w="254" w:type="pct"/>
                  <w:tcBorders>
                    <w:left w:val="single" w:color="auto" w:sz="4" w:space="0"/>
                    <w:right w:val="single" w:color="auto" w:sz="4" w:space="0"/>
                  </w:tcBorders>
                  <w:shd w:val="clear" w:color="auto" w:fill="auto"/>
                  <w:vAlign w:val="center"/>
                </w:tcPr>
                <w:p w14:paraId="6B81E362">
                  <w:pPr>
                    <w:spacing w:line="240" w:lineRule="auto"/>
                    <w:jc w:val="center"/>
                    <w:rPr>
                      <w:rFonts w:hint="default" w:ascii="Times New Roman" w:hAnsi="Times New Roman" w:eastAsia="宋体" w:cs="Times New Roman"/>
                      <w:b/>
                      <w:color w:val="auto"/>
                      <w:kern w:val="0"/>
                      <w:sz w:val="21"/>
                      <w:szCs w:val="21"/>
                      <w:highlight w:val="none"/>
                    </w:rPr>
                  </w:pPr>
                </w:p>
              </w:tc>
              <w:tc>
                <w:tcPr>
                  <w:tcW w:w="241" w:type="pct"/>
                  <w:tcBorders>
                    <w:left w:val="single" w:color="auto" w:sz="4" w:space="0"/>
                    <w:right w:val="single" w:color="auto" w:sz="4" w:space="0"/>
                  </w:tcBorders>
                  <w:shd w:val="clear" w:color="auto" w:fill="auto"/>
                  <w:vAlign w:val="center"/>
                </w:tcPr>
                <w:p w14:paraId="1C48620B">
                  <w:pPr>
                    <w:spacing w:line="240" w:lineRule="auto"/>
                    <w:jc w:val="center"/>
                    <w:rPr>
                      <w:rFonts w:hint="default" w:ascii="Times New Roman" w:hAnsi="Times New Roman" w:eastAsia="宋体" w:cs="Times New Roman"/>
                      <w:b/>
                      <w:color w:val="auto"/>
                      <w:kern w:val="0"/>
                      <w:sz w:val="21"/>
                      <w:szCs w:val="21"/>
                      <w:highlight w:val="none"/>
                    </w:rPr>
                  </w:pPr>
                </w:p>
              </w:tc>
              <w:tc>
                <w:tcPr>
                  <w:tcW w:w="285" w:type="pct"/>
                  <w:tcBorders>
                    <w:left w:val="single" w:color="auto" w:sz="4" w:space="0"/>
                    <w:right w:val="single" w:color="auto" w:sz="4" w:space="0"/>
                  </w:tcBorders>
                  <w:shd w:val="clear" w:color="auto" w:fill="auto"/>
                  <w:vAlign w:val="center"/>
                </w:tcPr>
                <w:p w14:paraId="41C1A2C3">
                  <w:pPr>
                    <w:spacing w:line="240" w:lineRule="auto"/>
                    <w:jc w:val="center"/>
                    <w:rPr>
                      <w:rFonts w:hint="default" w:ascii="Times New Roman" w:hAnsi="Times New Roman" w:eastAsia="宋体" w:cs="Times New Roman"/>
                      <w:b/>
                      <w:color w:val="auto"/>
                      <w:kern w:val="0"/>
                      <w:sz w:val="21"/>
                      <w:szCs w:val="21"/>
                      <w:highlight w:val="none"/>
                    </w:rPr>
                  </w:pPr>
                </w:p>
              </w:tc>
              <w:tc>
                <w:tcPr>
                  <w:tcW w:w="295" w:type="pct"/>
                  <w:tcBorders>
                    <w:left w:val="single" w:color="auto" w:sz="4" w:space="0"/>
                  </w:tcBorders>
                  <w:shd w:val="clear" w:color="auto" w:fill="auto"/>
                  <w:vAlign w:val="center"/>
                </w:tcPr>
                <w:p w14:paraId="48195BD2">
                  <w:pPr>
                    <w:spacing w:line="240" w:lineRule="auto"/>
                    <w:jc w:val="center"/>
                    <w:rPr>
                      <w:rFonts w:hint="default" w:ascii="Times New Roman" w:hAnsi="Times New Roman" w:eastAsia="宋体" w:cs="Times New Roman"/>
                      <w:b/>
                      <w:color w:val="auto"/>
                      <w:kern w:val="0"/>
                      <w:sz w:val="21"/>
                      <w:szCs w:val="21"/>
                      <w:highlight w:val="none"/>
                    </w:rPr>
                  </w:pPr>
                </w:p>
              </w:tc>
              <w:tc>
                <w:tcPr>
                  <w:tcW w:w="285" w:type="pct"/>
                  <w:tcBorders>
                    <w:left w:val="single" w:color="auto" w:sz="4" w:space="0"/>
                  </w:tcBorders>
                  <w:shd w:val="clear" w:color="auto" w:fill="auto"/>
                  <w:vAlign w:val="center"/>
                </w:tcPr>
                <w:p w14:paraId="559B61DD">
                  <w:pPr>
                    <w:spacing w:line="240" w:lineRule="auto"/>
                    <w:jc w:val="center"/>
                    <w:rPr>
                      <w:rFonts w:hint="default" w:ascii="Times New Roman" w:hAnsi="Times New Roman" w:eastAsia="宋体" w:cs="Times New Roman"/>
                      <w:b/>
                      <w:color w:val="auto"/>
                      <w:kern w:val="0"/>
                      <w:sz w:val="21"/>
                      <w:szCs w:val="21"/>
                      <w:highlight w:val="none"/>
                    </w:rPr>
                  </w:pPr>
                </w:p>
              </w:tc>
              <w:tc>
                <w:tcPr>
                  <w:tcW w:w="345" w:type="pct"/>
                  <w:tcBorders>
                    <w:left w:val="single" w:color="auto" w:sz="4" w:space="0"/>
                  </w:tcBorders>
                  <w:shd w:val="clear" w:color="auto" w:fill="auto"/>
                  <w:vAlign w:val="center"/>
                </w:tcPr>
                <w:p w14:paraId="5C61269D">
                  <w:pPr>
                    <w:spacing w:line="240" w:lineRule="auto"/>
                    <w:jc w:val="center"/>
                    <w:rPr>
                      <w:rFonts w:hint="default" w:ascii="Times New Roman" w:hAnsi="Times New Roman" w:eastAsia="宋体" w:cs="Times New Roman"/>
                      <w:b/>
                      <w:color w:val="auto"/>
                      <w:kern w:val="0"/>
                      <w:sz w:val="21"/>
                      <w:szCs w:val="21"/>
                      <w:highlight w:val="none"/>
                    </w:rPr>
                  </w:pPr>
                </w:p>
              </w:tc>
              <w:tc>
                <w:tcPr>
                  <w:tcW w:w="270" w:type="pct"/>
                  <w:tcBorders>
                    <w:left w:val="single" w:color="auto" w:sz="4" w:space="0"/>
                  </w:tcBorders>
                  <w:shd w:val="clear" w:color="auto" w:fill="auto"/>
                  <w:vAlign w:val="center"/>
                </w:tcPr>
                <w:p w14:paraId="11D16F10">
                  <w:pPr>
                    <w:spacing w:line="240" w:lineRule="auto"/>
                    <w:jc w:val="center"/>
                    <w:rPr>
                      <w:rFonts w:hint="default" w:ascii="Times New Roman" w:hAnsi="Times New Roman" w:eastAsia="宋体" w:cs="Times New Roman"/>
                      <w:b/>
                      <w:color w:val="auto"/>
                      <w:kern w:val="0"/>
                      <w:sz w:val="21"/>
                      <w:szCs w:val="21"/>
                      <w:highlight w:val="none"/>
                    </w:rPr>
                  </w:pPr>
                </w:p>
              </w:tc>
              <w:tc>
                <w:tcPr>
                  <w:tcW w:w="253" w:type="pct"/>
                  <w:tcBorders>
                    <w:left w:val="single" w:color="auto" w:sz="4" w:space="0"/>
                    <w:right w:val="single" w:color="auto" w:sz="4" w:space="0"/>
                  </w:tcBorders>
                  <w:shd w:val="clear" w:color="auto" w:fill="auto"/>
                  <w:vAlign w:val="center"/>
                </w:tcPr>
                <w:p w14:paraId="69D810F3">
                  <w:pPr>
                    <w:spacing w:line="240" w:lineRule="auto"/>
                    <w:jc w:val="center"/>
                    <w:rPr>
                      <w:rFonts w:hint="default" w:ascii="Times New Roman" w:hAnsi="Times New Roman" w:eastAsia="宋体" w:cs="Times New Roman"/>
                      <w:b/>
                      <w:color w:val="auto"/>
                      <w:kern w:val="0"/>
                      <w:sz w:val="21"/>
                      <w:szCs w:val="21"/>
                      <w:highlight w:val="none"/>
                    </w:rPr>
                  </w:pPr>
                </w:p>
              </w:tc>
              <w:tc>
                <w:tcPr>
                  <w:tcW w:w="301" w:type="pct"/>
                  <w:tcBorders>
                    <w:left w:val="single" w:color="auto" w:sz="4" w:space="0"/>
                  </w:tcBorders>
                  <w:shd w:val="clear" w:color="auto" w:fill="auto"/>
                  <w:vAlign w:val="center"/>
                </w:tcPr>
                <w:p w14:paraId="576C327C">
                  <w:pPr>
                    <w:spacing w:line="240" w:lineRule="auto"/>
                    <w:jc w:val="center"/>
                    <w:rPr>
                      <w:rFonts w:hint="default" w:ascii="Times New Roman" w:hAnsi="Times New Roman" w:eastAsia="宋体" w:cs="Times New Roman"/>
                      <w:b/>
                      <w:color w:val="auto"/>
                      <w:kern w:val="0"/>
                      <w:sz w:val="21"/>
                      <w:szCs w:val="21"/>
                      <w:highlight w:val="none"/>
                    </w:rPr>
                  </w:pPr>
                </w:p>
              </w:tc>
              <w:tc>
                <w:tcPr>
                  <w:tcW w:w="306" w:type="pct"/>
                  <w:tcBorders>
                    <w:left w:val="single" w:color="auto" w:sz="4" w:space="0"/>
                    <w:right w:val="single" w:color="auto" w:sz="4" w:space="0"/>
                  </w:tcBorders>
                  <w:shd w:val="clear" w:color="auto" w:fill="auto"/>
                  <w:vAlign w:val="center"/>
                </w:tcPr>
                <w:p w14:paraId="23BB4462">
                  <w:pPr>
                    <w:spacing w:line="240" w:lineRule="auto"/>
                    <w:jc w:val="center"/>
                    <w:rPr>
                      <w:rFonts w:hint="default" w:ascii="Times New Roman" w:hAnsi="Times New Roman" w:eastAsia="宋体" w:cs="Times New Roman"/>
                      <w:b/>
                      <w:color w:val="auto"/>
                      <w:kern w:val="0"/>
                      <w:sz w:val="21"/>
                      <w:szCs w:val="21"/>
                      <w:highlight w:val="none"/>
                    </w:rPr>
                  </w:pPr>
                </w:p>
              </w:tc>
              <w:tc>
                <w:tcPr>
                  <w:tcW w:w="311" w:type="pct"/>
                  <w:tcBorders>
                    <w:left w:val="single" w:color="auto" w:sz="4" w:space="0"/>
                  </w:tcBorders>
                  <w:shd w:val="clear" w:color="auto" w:fill="auto"/>
                  <w:vAlign w:val="center"/>
                </w:tcPr>
                <w:p w14:paraId="4680C501">
                  <w:pPr>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w:t>
                  </w:r>
                </w:p>
              </w:tc>
              <w:tc>
                <w:tcPr>
                  <w:tcW w:w="269" w:type="pct"/>
                  <w:tcBorders>
                    <w:left w:val="single" w:color="auto" w:sz="4" w:space="0"/>
                  </w:tcBorders>
                  <w:shd w:val="clear" w:color="auto" w:fill="auto"/>
                  <w:vAlign w:val="center"/>
                </w:tcPr>
                <w:p w14:paraId="74A37A50">
                  <w:pPr>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w:t>
                  </w:r>
                </w:p>
              </w:tc>
            </w:tr>
          </w:tbl>
          <w:p w14:paraId="6D5F8242">
            <w:pPr>
              <w:spacing w:before="37" w:line="360" w:lineRule="auto"/>
              <w:ind w:firstLine="533"/>
              <w:rPr>
                <w:rFonts w:hint="default" w:ascii="Times New Roman" w:hAnsi="Times New Roman" w:eastAsia="宋体" w:cs="Times New Roman"/>
                <w:b/>
                <w:bCs/>
                <w:color w:val="auto"/>
                <w:spacing w:val="-4"/>
                <w:sz w:val="28"/>
                <w:szCs w:val="28"/>
              </w:rPr>
            </w:pPr>
            <w:r>
              <w:rPr>
                <w:rFonts w:hint="default" w:ascii="Times New Roman" w:hAnsi="Times New Roman" w:eastAsia="宋体" w:cs="Times New Roman"/>
                <w:b/>
                <w:bCs/>
                <w:color w:val="auto"/>
                <w:spacing w:val="-4"/>
                <w:sz w:val="28"/>
                <w:szCs w:val="28"/>
              </w:rPr>
              <w:t>3、土石方平衡</w:t>
            </w:r>
          </w:p>
          <w:p w14:paraId="33914A80">
            <w:pPr>
              <w:spacing w:before="51" w:line="360" w:lineRule="auto"/>
              <w:ind w:firstLine="611"/>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本工程挖填总量</w:t>
            </w:r>
            <w:r>
              <w:rPr>
                <w:rFonts w:hint="default" w:ascii="Times New Roman" w:hAnsi="Times New Roman" w:eastAsia="宋体" w:cs="Times New Roman"/>
                <w:color w:val="auto"/>
                <w:sz w:val="24"/>
                <w:szCs w:val="24"/>
                <w:lang w:val="en-US" w:eastAsia="zh-CN"/>
              </w:rPr>
              <w:t>54</w:t>
            </w:r>
            <w:r>
              <w:rPr>
                <w:rFonts w:hint="default" w:ascii="Times New Roman" w:hAnsi="Times New Roman" w:eastAsia="宋体" w:cs="Times New Roman"/>
                <w:color w:val="auto"/>
                <w:sz w:val="24"/>
                <w:szCs w:val="24"/>
              </w:rPr>
              <w:t>万m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，挖方总量</w:t>
            </w:r>
            <w:r>
              <w:rPr>
                <w:rFonts w:hint="default" w:ascii="Times New Roman" w:hAnsi="Times New Roman" w:eastAsia="宋体" w:cs="Times New Roman"/>
                <w:color w:val="auto"/>
                <w:sz w:val="24"/>
                <w:szCs w:val="24"/>
                <w:lang w:val="en-US" w:eastAsia="zh-CN"/>
              </w:rPr>
              <w:t>27</w:t>
            </w:r>
            <w:r>
              <w:rPr>
                <w:rFonts w:hint="default" w:ascii="Times New Roman" w:hAnsi="Times New Roman" w:eastAsia="宋体" w:cs="Times New Roman"/>
                <w:color w:val="auto"/>
                <w:sz w:val="24"/>
                <w:szCs w:val="24"/>
              </w:rPr>
              <w:t>万m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（含剥离表土</w:t>
            </w:r>
            <w:r>
              <w:rPr>
                <w:rFonts w:hint="default" w:ascii="Times New Roman" w:hAnsi="Times New Roman" w:eastAsia="宋体" w:cs="Times New Roman"/>
                <w:color w:val="auto"/>
                <w:sz w:val="24"/>
                <w:szCs w:val="24"/>
                <w:lang w:val="en-US" w:eastAsia="zh-CN"/>
              </w:rPr>
              <w:t>9.22</w:t>
            </w:r>
            <w:r>
              <w:rPr>
                <w:rFonts w:hint="default" w:ascii="Times New Roman" w:hAnsi="Times New Roman" w:eastAsia="宋体" w:cs="Times New Roman"/>
                <w:color w:val="auto"/>
                <w:sz w:val="24"/>
                <w:szCs w:val="24"/>
              </w:rPr>
              <w:t>万m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）；填方总量</w:t>
            </w:r>
            <w:r>
              <w:rPr>
                <w:rFonts w:hint="default" w:ascii="Times New Roman" w:hAnsi="Times New Roman" w:eastAsia="宋体" w:cs="Times New Roman"/>
                <w:color w:val="auto"/>
                <w:sz w:val="24"/>
                <w:szCs w:val="24"/>
                <w:lang w:val="en-US" w:eastAsia="zh-CN"/>
              </w:rPr>
              <w:t>27</w:t>
            </w:r>
            <w:r>
              <w:rPr>
                <w:rFonts w:hint="default" w:ascii="Times New Roman" w:hAnsi="Times New Roman" w:eastAsia="宋体" w:cs="Times New Roman"/>
                <w:color w:val="auto"/>
                <w:sz w:val="24"/>
                <w:szCs w:val="24"/>
              </w:rPr>
              <w:t>万m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（含剥离表土</w:t>
            </w:r>
            <w:r>
              <w:rPr>
                <w:rFonts w:hint="default" w:ascii="Times New Roman" w:hAnsi="Times New Roman" w:eastAsia="宋体" w:cs="Times New Roman"/>
                <w:color w:val="auto"/>
                <w:sz w:val="24"/>
                <w:szCs w:val="24"/>
                <w:lang w:val="en-US" w:eastAsia="zh-CN"/>
              </w:rPr>
              <w:t>9.22</w:t>
            </w:r>
            <w:r>
              <w:rPr>
                <w:rFonts w:hint="default" w:ascii="Times New Roman" w:hAnsi="Times New Roman" w:eastAsia="宋体" w:cs="Times New Roman"/>
                <w:color w:val="auto"/>
                <w:sz w:val="24"/>
                <w:szCs w:val="24"/>
              </w:rPr>
              <w:t>万m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），无永久弃方，土石方可做到挖填平衡，项目土石方平衡表见下表：</w:t>
            </w:r>
          </w:p>
          <w:p w14:paraId="225D6651">
            <w:pPr>
              <w:ind w:firstLine="482" w:firstLineChars="200"/>
              <w:jc w:val="center"/>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表2-</w:t>
            </w:r>
            <w:r>
              <w:rPr>
                <w:rFonts w:hint="default" w:ascii="Times New Roman" w:hAnsi="Times New Roman" w:eastAsia="宋体" w:cs="Times New Roman"/>
                <w:b/>
                <w:bCs/>
                <w:color w:val="auto"/>
                <w:sz w:val="24"/>
                <w:lang w:val="en-US" w:eastAsia="zh-CN"/>
              </w:rPr>
              <w:t>11</w:t>
            </w:r>
            <w:r>
              <w:rPr>
                <w:rFonts w:hint="default" w:ascii="Times New Roman" w:hAnsi="Times New Roman" w:eastAsia="宋体" w:cs="Times New Roman"/>
                <w:b/>
                <w:bCs/>
                <w:color w:val="auto"/>
                <w:sz w:val="24"/>
              </w:rPr>
              <w:t xml:space="preserve">  土石方平衡表（单位：万m</w:t>
            </w:r>
            <w:r>
              <w:rPr>
                <w:rFonts w:hint="default" w:ascii="Times New Roman" w:hAnsi="Times New Roman" w:eastAsia="宋体" w:cs="Times New Roman"/>
                <w:b/>
                <w:bCs/>
                <w:color w:val="auto"/>
                <w:sz w:val="24"/>
                <w:vertAlign w:val="superscript"/>
              </w:rPr>
              <w:t>3</w:t>
            </w:r>
            <w:r>
              <w:rPr>
                <w:rFonts w:hint="default" w:ascii="Times New Roman" w:hAnsi="Times New Roman" w:eastAsia="宋体" w:cs="Times New Roman"/>
                <w:b/>
                <w:bCs/>
                <w:color w:val="auto"/>
                <w:sz w:val="24"/>
              </w:rPr>
              <w:t>）</w:t>
            </w:r>
          </w:p>
          <w:tbl>
            <w:tblPr>
              <w:tblStyle w:val="43"/>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137"/>
              <w:gridCol w:w="1227"/>
              <w:gridCol w:w="1095"/>
              <w:gridCol w:w="1075"/>
              <w:gridCol w:w="2836"/>
            </w:tblGrid>
            <w:tr w14:paraId="4223BE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1" w:hRule="atLeast"/>
              </w:trPr>
              <w:tc>
                <w:tcPr>
                  <w:tcW w:w="2009" w:type="pct"/>
                  <w:gridSpan w:val="2"/>
                  <w:vAlign w:val="center"/>
                </w:tcPr>
                <w:p w14:paraId="646D3BB2">
                  <w:pPr>
                    <w:pStyle w:val="62"/>
                    <w:spacing w:before="34"/>
                    <w:ind w:left="1425"/>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3"/>
                      <w:sz w:val="21"/>
                      <w:szCs w:val="21"/>
                    </w:rPr>
                    <w:t>分区</w:t>
                  </w:r>
                </w:p>
              </w:tc>
              <w:tc>
                <w:tcPr>
                  <w:tcW w:w="654" w:type="pct"/>
                  <w:vAlign w:val="center"/>
                </w:tcPr>
                <w:p w14:paraId="6C260C35">
                  <w:pPr>
                    <w:pStyle w:val="62"/>
                    <w:spacing w:before="34"/>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4"/>
                      <w:sz w:val="21"/>
                      <w:szCs w:val="21"/>
                    </w:rPr>
                    <w:t>开挖</w:t>
                  </w:r>
                </w:p>
              </w:tc>
              <w:tc>
                <w:tcPr>
                  <w:tcW w:w="642" w:type="pct"/>
                  <w:vAlign w:val="center"/>
                </w:tcPr>
                <w:p w14:paraId="4332C11F">
                  <w:pPr>
                    <w:pStyle w:val="62"/>
                    <w:spacing w:before="34"/>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6"/>
                      <w:sz w:val="21"/>
                      <w:szCs w:val="21"/>
                    </w:rPr>
                    <w:t>回填</w:t>
                  </w:r>
                </w:p>
              </w:tc>
              <w:tc>
                <w:tcPr>
                  <w:tcW w:w="1694" w:type="pct"/>
                  <w:vAlign w:val="center"/>
                </w:tcPr>
                <w:p w14:paraId="5375544A">
                  <w:pPr>
                    <w:pStyle w:val="62"/>
                    <w:spacing w:before="34"/>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3"/>
                      <w:sz w:val="21"/>
                      <w:szCs w:val="21"/>
                    </w:rPr>
                    <w:t>备注</w:t>
                  </w:r>
                </w:p>
              </w:tc>
            </w:tr>
            <w:tr w14:paraId="3C31B7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6" w:hRule="atLeast"/>
              </w:trPr>
              <w:tc>
                <w:tcPr>
                  <w:tcW w:w="1276" w:type="pct"/>
                  <w:vMerge w:val="restart"/>
                  <w:vAlign w:val="center"/>
                </w:tcPr>
                <w:p w14:paraId="69161C15">
                  <w:pPr>
                    <w:pStyle w:val="62"/>
                    <w:spacing w:before="65"/>
                    <w:ind w:left="295"/>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7"/>
                      <w:sz w:val="21"/>
                      <w:szCs w:val="21"/>
                    </w:rPr>
                    <w:t>林地工程区</w:t>
                  </w:r>
                </w:p>
              </w:tc>
              <w:tc>
                <w:tcPr>
                  <w:tcW w:w="732" w:type="pct"/>
                  <w:vAlign w:val="center"/>
                </w:tcPr>
                <w:p w14:paraId="555DBA4B">
                  <w:pPr>
                    <w:pStyle w:val="62"/>
                    <w:spacing w:before="32"/>
                    <w:ind w:left="502"/>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6"/>
                      <w:sz w:val="21"/>
                      <w:szCs w:val="21"/>
                    </w:rPr>
                    <w:t>土石方</w:t>
                  </w:r>
                </w:p>
              </w:tc>
              <w:tc>
                <w:tcPr>
                  <w:tcW w:w="1095" w:type="dxa"/>
                  <w:vAlign w:val="center"/>
                </w:tcPr>
                <w:p w14:paraId="68662316">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snapToGrid w:val="0"/>
                      <w:color w:val="auto"/>
                      <w:kern w:val="0"/>
                      <w:sz w:val="21"/>
                      <w:szCs w:val="21"/>
                      <w:u w:val="none"/>
                      <w:lang w:val="en-US" w:eastAsia="zh-CN" w:bidi="ar"/>
                    </w:rPr>
                    <w:t>7.53</w:t>
                  </w:r>
                </w:p>
              </w:tc>
              <w:tc>
                <w:tcPr>
                  <w:tcW w:w="1075" w:type="dxa"/>
                  <w:vAlign w:val="center"/>
                </w:tcPr>
                <w:p w14:paraId="55ED12BB">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snapToGrid w:val="0"/>
                      <w:color w:val="auto"/>
                      <w:kern w:val="0"/>
                      <w:sz w:val="21"/>
                      <w:szCs w:val="21"/>
                      <w:u w:val="none"/>
                      <w:lang w:val="en-US" w:eastAsia="zh-CN" w:bidi="ar"/>
                    </w:rPr>
                    <w:t>7.53</w:t>
                  </w:r>
                </w:p>
              </w:tc>
              <w:tc>
                <w:tcPr>
                  <w:tcW w:w="1694" w:type="pct"/>
                  <w:vMerge w:val="restart"/>
                  <w:vAlign w:val="center"/>
                </w:tcPr>
                <w:p w14:paraId="12ECA9AD">
                  <w:pPr>
                    <w:spacing w:before="58"/>
                    <w:ind w:left="783"/>
                    <w:rPr>
                      <w:rFonts w:hint="default" w:ascii="Times New Roman" w:hAnsi="Times New Roman" w:eastAsia="宋体" w:cs="Times New Roman"/>
                      <w:color w:val="auto"/>
                    </w:rPr>
                  </w:pPr>
                  <w:r>
                    <w:rPr>
                      <w:rFonts w:hint="default" w:ascii="Times New Roman" w:hAnsi="Times New Roman" w:eastAsia="宋体" w:cs="Times New Roman"/>
                      <w:color w:val="auto"/>
                      <w:spacing w:val="2"/>
                    </w:rPr>
                    <w:t>/</w:t>
                  </w:r>
                </w:p>
              </w:tc>
            </w:tr>
            <w:tr w14:paraId="47C83E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7" w:hRule="atLeast"/>
              </w:trPr>
              <w:tc>
                <w:tcPr>
                  <w:tcW w:w="1276" w:type="pct"/>
                  <w:vMerge w:val="continue"/>
                  <w:vAlign w:val="center"/>
                </w:tcPr>
                <w:p w14:paraId="3ED14E22">
                  <w:pPr>
                    <w:rPr>
                      <w:rFonts w:hint="default" w:ascii="Times New Roman" w:hAnsi="Times New Roman" w:eastAsia="宋体" w:cs="Times New Roman"/>
                      <w:color w:val="auto"/>
                    </w:rPr>
                  </w:pPr>
                </w:p>
              </w:tc>
              <w:tc>
                <w:tcPr>
                  <w:tcW w:w="732" w:type="pct"/>
                  <w:vAlign w:val="center"/>
                </w:tcPr>
                <w:p w14:paraId="0A69F42D">
                  <w:pPr>
                    <w:pStyle w:val="62"/>
                    <w:spacing w:before="34"/>
                    <w:ind w:left="606"/>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5"/>
                      <w:sz w:val="21"/>
                      <w:szCs w:val="21"/>
                    </w:rPr>
                    <w:t>表土</w:t>
                  </w:r>
                </w:p>
              </w:tc>
              <w:tc>
                <w:tcPr>
                  <w:tcW w:w="1095" w:type="dxa"/>
                  <w:vAlign w:val="center"/>
                </w:tcPr>
                <w:p w14:paraId="688320C6">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snapToGrid w:val="0"/>
                      <w:color w:val="auto"/>
                      <w:kern w:val="0"/>
                      <w:sz w:val="21"/>
                      <w:szCs w:val="21"/>
                      <w:u w:val="none"/>
                      <w:lang w:val="en-US" w:eastAsia="zh-CN" w:bidi="ar"/>
                    </w:rPr>
                    <w:t>5.22</w:t>
                  </w:r>
                </w:p>
              </w:tc>
              <w:tc>
                <w:tcPr>
                  <w:tcW w:w="1075" w:type="dxa"/>
                  <w:vAlign w:val="center"/>
                </w:tcPr>
                <w:p w14:paraId="1037720D">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snapToGrid w:val="0"/>
                      <w:color w:val="auto"/>
                      <w:kern w:val="0"/>
                      <w:sz w:val="21"/>
                      <w:szCs w:val="21"/>
                      <w:u w:val="none"/>
                      <w:lang w:val="en-US" w:eastAsia="zh-CN" w:bidi="ar"/>
                    </w:rPr>
                    <w:t>5.22</w:t>
                  </w:r>
                </w:p>
              </w:tc>
              <w:tc>
                <w:tcPr>
                  <w:tcW w:w="1694" w:type="pct"/>
                  <w:vMerge w:val="continue"/>
                  <w:vAlign w:val="center"/>
                </w:tcPr>
                <w:p w14:paraId="1DA22FF0">
                  <w:pPr>
                    <w:rPr>
                      <w:rFonts w:hint="default" w:ascii="Times New Roman" w:hAnsi="Times New Roman" w:eastAsia="宋体" w:cs="Times New Roman"/>
                      <w:color w:val="auto"/>
                    </w:rPr>
                  </w:pPr>
                </w:p>
              </w:tc>
            </w:tr>
            <w:tr w14:paraId="383DF3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6" w:hRule="atLeast"/>
              </w:trPr>
              <w:tc>
                <w:tcPr>
                  <w:tcW w:w="1276" w:type="pct"/>
                  <w:vMerge w:val="continue"/>
                  <w:vAlign w:val="center"/>
                </w:tcPr>
                <w:p w14:paraId="737B5C86">
                  <w:pPr>
                    <w:rPr>
                      <w:rFonts w:hint="default" w:ascii="Times New Roman" w:hAnsi="Times New Roman" w:eastAsia="宋体" w:cs="Times New Roman"/>
                      <w:color w:val="auto"/>
                    </w:rPr>
                  </w:pPr>
                </w:p>
              </w:tc>
              <w:tc>
                <w:tcPr>
                  <w:tcW w:w="732" w:type="pct"/>
                  <w:vAlign w:val="center"/>
                </w:tcPr>
                <w:p w14:paraId="51122306">
                  <w:pPr>
                    <w:pStyle w:val="62"/>
                    <w:spacing w:before="33"/>
                    <w:ind w:left="613"/>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小计</w:t>
                  </w:r>
                </w:p>
              </w:tc>
              <w:tc>
                <w:tcPr>
                  <w:tcW w:w="1095" w:type="dxa"/>
                  <w:vAlign w:val="center"/>
                </w:tcPr>
                <w:p w14:paraId="01C85062">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snapToGrid w:val="0"/>
                      <w:color w:val="auto"/>
                      <w:kern w:val="0"/>
                      <w:sz w:val="21"/>
                      <w:szCs w:val="21"/>
                      <w:u w:val="none"/>
                      <w:lang w:val="en-US" w:eastAsia="zh-CN" w:bidi="ar"/>
                    </w:rPr>
                    <w:t>12.75</w:t>
                  </w:r>
                </w:p>
              </w:tc>
              <w:tc>
                <w:tcPr>
                  <w:tcW w:w="1075" w:type="dxa"/>
                  <w:vAlign w:val="center"/>
                </w:tcPr>
                <w:p w14:paraId="2639AD22">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snapToGrid w:val="0"/>
                      <w:color w:val="auto"/>
                      <w:kern w:val="0"/>
                      <w:sz w:val="21"/>
                      <w:szCs w:val="21"/>
                      <w:u w:val="none"/>
                      <w:lang w:val="en-US" w:eastAsia="zh-CN" w:bidi="ar"/>
                    </w:rPr>
                    <w:t>12.75</w:t>
                  </w:r>
                </w:p>
              </w:tc>
              <w:tc>
                <w:tcPr>
                  <w:tcW w:w="1694" w:type="pct"/>
                  <w:vMerge w:val="continue"/>
                  <w:vAlign w:val="center"/>
                </w:tcPr>
                <w:p w14:paraId="766F06E8">
                  <w:pPr>
                    <w:rPr>
                      <w:rFonts w:hint="default" w:ascii="Times New Roman" w:hAnsi="Times New Roman" w:eastAsia="宋体" w:cs="Times New Roman"/>
                      <w:color w:val="auto"/>
                    </w:rPr>
                  </w:pPr>
                </w:p>
              </w:tc>
            </w:tr>
            <w:tr w14:paraId="04AA09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7" w:hRule="atLeast"/>
              </w:trPr>
              <w:tc>
                <w:tcPr>
                  <w:tcW w:w="1276" w:type="pct"/>
                  <w:vMerge w:val="restart"/>
                  <w:vAlign w:val="center"/>
                </w:tcPr>
                <w:p w14:paraId="6CBEFFEA">
                  <w:pPr>
                    <w:pStyle w:val="62"/>
                    <w:spacing w:before="65"/>
                    <w:ind w:left="294"/>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8"/>
                      <w:sz w:val="21"/>
                      <w:szCs w:val="21"/>
                    </w:rPr>
                    <w:t>道路工程区</w:t>
                  </w:r>
                </w:p>
              </w:tc>
              <w:tc>
                <w:tcPr>
                  <w:tcW w:w="732" w:type="pct"/>
                  <w:vAlign w:val="center"/>
                </w:tcPr>
                <w:p w14:paraId="19634EFC">
                  <w:pPr>
                    <w:pStyle w:val="62"/>
                    <w:spacing w:before="35"/>
                    <w:ind w:left="502"/>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6"/>
                      <w:sz w:val="21"/>
                      <w:szCs w:val="21"/>
                    </w:rPr>
                    <w:t>土石方</w:t>
                  </w:r>
                </w:p>
              </w:tc>
              <w:tc>
                <w:tcPr>
                  <w:tcW w:w="1095" w:type="dxa"/>
                  <w:vAlign w:val="center"/>
                </w:tcPr>
                <w:p w14:paraId="694F5808">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snapToGrid w:val="0"/>
                      <w:color w:val="auto"/>
                      <w:kern w:val="0"/>
                      <w:sz w:val="21"/>
                      <w:szCs w:val="21"/>
                      <w:u w:val="none"/>
                      <w:lang w:val="en-US" w:eastAsia="zh-CN" w:bidi="ar"/>
                    </w:rPr>
                    <w:t>3</w:t>
                  </w:r>
                </w:p>
              </w:tc>
              <w:tc>
                <w:tcPr>
                  <w:tcW w:w="1075" w:type="dxa"/>
                  <w:vAlign w:val="center"/>
                </w:tcPr>
                <w:p w14:paraId="10FD58CE">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snapToGrid w:val="0"/>
                      <w:color w:val="auto"/>
                      <w:kern w:val="0"/>
                      <w:sz w:val="21"/>
                      <w:szCs w:val="21"/>
                      <w:u w:val="none"/>
                      <w:lang w:val="en-US" w:eastAsia="zh-CN" w:bidi="ar"/>
                    </w:rPr>
                    <w:t>4.75</w:t>
                  </w:r>
                </w:p>
              </w:tc>
              <w:tc>
                <w:tcPr>
                  <w:tcW w:w="1694" w:type="pct"/>
                  <w:vMerge w:val="restart"/>
                  <w:vAlign w:val="center"/>
                </w:tcPr>
                <w:p w14:paraId="3DB0255A">
                  <w:pPr>
                    <w:pStyle w:val="62"/>
                    <w:spacing w:before="59"/>
                    <w:ind w:left="138"/>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pacing w:val="8"/>
                      <w:sz w:val="21"/>
                      <w:szCs w:val="21"/>
                      <w:lang w:eastAsia="zh-CN"/>
                    </w:rPr>
                    <w:t>配套工程弃方1.75</w:t>
                  </w:r>
                  <w:r>
                    <w:rPr>
                      <w:rFonts w:hint="default" w:ascii="Times New Roman" w:hAnsi="Times New Roman" w:eastAsia="宋体" w:cs="Times New Roman"/>
                      <w:color w:val="auto"/>
                      <w:spacing w:val="6"/>
                      <w:sz w:val="21"/>
                      <w:szCs w:val="21"/>
                      <w:lang w:eastAsia="zh-CN"/>
                    </w:rPr>
                    <w:t>万m</w:t>
                  </w:r>
                  <w:r>
                    <w:rPr>
                      <w:rFonts w:hint="default" w:ascii="Times New Roman" w:hAnsi="Times New Roman" w:eastAsia="宋体" w:cs="Times New Roman"/>
                      <w:color w:val="auto"/>
                      <w:spacing w:val="6"/>
                      <w:position w:val="6"/>
                      <w:sz w:val="21"/>
                      <w:szCs w:val="21"/>
                      <w:lang w:eastAsia="zh-CN"/>
                    </w:rPr>
                    <w:t>3</w:t>
                  </w:r>
                  <w:r>
                    <w:rPr>
                      <w:rFonts w:hint="default" w:ascii="Times New Roman" w:hAnsi="Times New Roman" w:eastAsia="宋体" w:cs="Times New Roman"/>
                      <w:color w:val="auto"/>
                      <w:spacing w:val="6"/>
                      <w:sz w:val="21"/>
                      <w:szCs w:val="21"/>
                      <w:lang w:eastAsia="zh-CN"/>
                    </w:rPr>
                    <w:t>作为道路</w:t>
                  </w:r>
                  <w:r>
                    <w:rPr>
                      <w:rFonts w:hint="default" w:ascii="Times New Roman" w:hAnsi="Times New Roman" w:eastAsia="宋体" w:cs="Times New Roman"/>
                      <w:color w:val="auto"/>
                      <w:spacing w:val="-1"/>
                      <w:sz w:val="21"/>
                      <w:szCs w:val="21"/>
                      <w:lang w:eastAsia="zh-CN"/>
                    </w:rPr>
                    <w:t>工程填方，本项</w:t>
                  </w:r>
                  <w:r>
                    <w:rPr>
                      <w:rFonts w:hint="default" w:ascii="Times New Roman" w:hAnsi="Times New Roman" w:eastAsia="宋体" w:cs="Times New Roman"/>
                      <w:color w:val="auto"/>
                      <w:spacing w:val="1"/>
                      <w:sz w:val="21"/>
                      <w:szCs w:val="21"/>
                      <w:lang w:eastAsia="zh-CN"/>
                    </w:rPr>
                    <w:t>目林间道路施</w:t>
                  </w:r>
                  <w:r>
                    <w:rPr>
                      <w:rFonts w:hint="default" w:ascii="Times New Roman" w:hAnsi="Times New Roman" w:eastAsia="宋体" w:cs="Times New Roman"/>
                      <w:color w:val="auto"/>
                      <w:spacing w:val="7"/>
                      <w:sz w:val="21"/>
                      <w:szCs w:val="21"/>
                      <w:lang w:eastAsia="zh-CN"/>
                    </w:rPr>
                    <w:t>工过程中无弃</w:t>
                  </w:r>
                  <w:r>
                    <w:rPr>
                      <w:rFonts w:hint="default" w:ascii="Times New Roman" w:hAnsi="Times New Roman" w:eastAsia="宋体" w:cs="Times New Roman"/>
                      <w:color w:val="auto"/>
                      <w:spacing w:val="5"/>
                      <w:sz w:val="21"/>
                      <w:szCs w:val="21"/>
                      <w:lang w:eastAsia="zh-CN"/>
                    </w:rPr>
                    <w:t>渣产生。</w:t>
                  </w:r>
                </w:p>
              </w:tc>
            </w:tr>
            <w:tr w14:paraId="413113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7" w:hRule="atLeast"/>
              </w:trPr>
              <w:tc>
                <w:tcPr>
                  <w:tcW w:w="1276" w:type="pct"/>
                  <w:vMerge w:val="continue"/>
                  <w:vAlign w:val="center"/>
                </w:tcPr>
                <w:p w14:paraId="36D8E375">
                  <w:pPr>
                    <w:rPr>
                      <w:rFonts w:hint="default" w:ascii="Times New Roman" w:hAnsi="Times New Roman" w:eastAsia="宋体" w:cs="Times New Roman"/>
                      <w:color w:val="auto"/>
                    </w:rPr>
                  </w:pPr>
                </w:p>
              </w:tc>
              <w:tc>
                <w:tcPr>
                  <w:tcW w:w="732" w:type="pct"/>
                  <w:vAlign w:val="center"/>
                </w:tcPr>
                <w:p w14:paraId="42B4F693">
                  <w:pPr>
                    <w:pStyle w:val="62"/>
                    <w:spacing w:before="34"/>
                    <w:ind w:left="606"/>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5"/>
                      <w:sz w:val="21"/>
                      <w:szCs w:val="21"/>
                    </w:rPr>
                    <w:t>表土</w:t>
                  </w:r>
                </w:p>
              </w:tc>
              <w:tc>
                <w:tcPr>
                  <w:tcW w:w="1095" w:type="dxa"/>
                  <w:vAlign w:val="center"/>
                </w:tcPr>
                <w:p w14:paraId="20FE23AE">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snapToGrid w:val="0"/>
                      <w:color w:val="auto"/>
                      <w:kern w:val="0"/>
                      <w:sz w:val="21"/>
                      <w:szCs w:val="21"/>
                      <w:u w:val="none"/>
                      <w:lang w:val="en-US" w:eastAsia="zh-CN" w:bidi="ar"/>
                    </w:rPr>
                    <w:t>1.75</w:t>
                  </w:r>
                </w:p>
              </w:tc>
              <w:tc>
                <w:tcPr>
                  <w:tcW w:w="1075" w:type="dxa"/>
                  <w:vAlign w:val="center"/>
                </w:tcPr>
                <w:p w14:paraId="30748A7B">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snapToGrid w:val="0"/>
                      <w:color w:val="auto"/>
                      <w:kern w:val="0"/>
                      <w:sz w:val="21"/>
                      <w:szCs w:val="21"/>
                      <w:u w:val="none"/>
                      <w:lang w:val="en-US" w:eastAsia="zh-CN" w:bidi="ar"/>
                    </w:rPr>
                    <w:t>1.75</w:t>
                  </w:r>
                </w:p>
              </w:tc>
              <w:tc>
                <w:tcPr>
                  <w:tcW w:w="1694" w:type="pct"/>
                  <w:vMerge w:val="continue"/>
                  <w:vAlign w:val="center"/>
                </w:tcPr>
                <w:p w14:paraId="181D45E2">
                  <w:pPr>
                    <w:rPr>
                      <w:rFonts w:hint="default" w:ascii="Times New Roman" w:hAnsi="Times New Roman" w:eastAsia="宋体" w:cs="Times New Roman"/>
                      <w:color w:val="auto"/>
                    </w:rPr>
                  </w:pPr>
                </w:p>
              </w:tc>
            </w:tr>
            <w:tr w14:paraId="279600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7" w:hRule="atLeast"/>
              </w:trPr>
              <w:tc>
                <w:tcPr>
                  <w:tcW w:w="1276" w:type="pct"/>
                  <w:vMerge w:val="continue"/>
                  <w:vAlign w:val="center"/>
                </w:tcPr>
                <w:p w14:paraId="5D7C05AE">
                  <w:pPr>
                    <w:rPr>
                      <w:rFonts w:hint="default" w:ascii="Times New Roman" w:hAnsi="Times New Roman" w:eastAsia="宋体" w:cs="Times New Roman"/>
                      <w:color w:val="auto"/>
                    </w:rPr>
                  </w:pPr>
                </w:p>
              </w:tc>
              <w:tc>
                <w:tcPr>
                  <w:tcW w:w="732" w:type="pct"/>
                  <w:vAlign w:val="center"/>
                </w:tcPr>
                <w:p w14:paraId="0AED79FD">
                  <w:pPr>
                    <w:pStyle w:val="62"/>
                    <w:spacing w:before="35"/>
                    <w:ind w:left="613"/>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小计</w:t>
                  </w:r>
                </w:p>
              </w:tc>
              <w:tc>
                <w:tcPr>
                  <w:tcW w:w="1095" w:type="dxa"/>
                  <w:vAlign w:val="center"/>
                </w:tcPr>
                <w:p w14:paraId="01BD52B9">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snapToGrid w:val="0"/>
                      <w:color w:val="auto"/>
                      <w:kern w:val="0"/>
                      <w:sz w:val="21"/>
                      <w:szCs w:val="21"/>
                      <w:u w:val="none"/>
                      <w:lang w:val="en-US" w:eastAsia="zh-CN" w:bidi="ar"/>
                    </w:rPr>
                    <w:t>4.75</w:t>
                  </w:r>
                </w:p>
              </w:tc>
              <w:tc>
                <w:tcPr>
                  <w:tcW w:w="1075" w:type="dxa"/>
                  <w:vAlign w:val="center"/>
                </w:tcPr>
                <w:p w14:paraId="5B39705B">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snapToGrid w:val="0"/>
                      <w:color w:val="auto"/>
                      <w:kern w:val="0"/>
                      <w:sz w:val="21"/>
                      <w:szCs w:val="21"/>
                      <w:u w:val="none"/>
                      <w:lang w:val="en-US" w:eastAsia="zh-CN" w:bidi="ar"/>
                    </w:rPr>
                    <w:t>6.5</w:t>
                  </w:r>
                </w:p>
              </w:tc>
              <w:tc>
                <w:tcPr>
                  <w:tcW w:w="1694" w:type="pct"/>
                  <w:vMerge w:val="continue"/>
                  <w:vAlign w:val="center"/>
                </w:tcPr>
                <w:p w14:paraId="7501C27B">
                  <w:pPr>
                    <w:rPr>
                      <w:rFonts w:hint="default" w:ascii="Times New Roman" w:hAnsi="Times New Roman" w:eastAsia="宋体" w:cs="Times New Roman"/>
                      <w:color w:val="auto"/>
                    </w:rPr>
                  </w:pPr>
                </w:p>
              </w:tc>
            </w:tr>
            <w:tr w14:paraId="1F0828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7" w:hRule="atLeast"/>
              </w:trPr>
              <w:tc>
                <w:tcPr>
                  <w:tcW w:w="1276" w:type="pct"/>
                  <w:vMerge w:val="restart"/>
                  <w:vAlign w:val="center"/>
                </w:tcPr>
                <w:p w14:paraId="320D29D1">
                  <w:pPr>
                    <w:pStyle w:val="62"/>
                    <w:spacing w:before="179"/>
                    <w:ind w:left="729" w:right="182" w:hanging="538"/>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8"/>
                      <w:sz w:val="21"/>
                      <w:szCs w:val="21"/>
                    </w:rPr>
                    <w:t>配套设施工程</w:t>
                  </w:r>
                  <w:r>
                    <w:rPr>
                      <w:rFonts w:hint="default" w:ascii="Times New Roman" w:hAnsi="Times New Roman" w:eastAsia="宋体" w:cs="Times New Roman"/>
                      <w:color w:val="auto"/>
                      <w:sz w:val="21"/>
                      <w:szCs w:val="21"/>
                    </w:rPr>
                    <w:t>区</w:t>
                  </w:r>
                </w:p>
              </w:tc>
              <w:tc>
                <w:tcPr>
                  <w:tcW w:w="732" w:type="pct"/>
                  <w:vAlign w:val="center"/>
                </w:tcPr>
                <w:p w14:paraId="0871D2F7">
                  <w:pPr>
                    <w:pStyle w:val="62"/>
                    <w:spacing w:before="34"/>
                    <w:ind w:left="502"/>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6"/>
                      <w:sz w:val="21"/>
                      <w:szCs w:val="21"/>
                    </w:rPr>
                    <w:t>土石方</w:t>
                  </w:r>
                </w:p>
              </w:tc>
              <w:tc>
                <w:tcPr>
                  <w:tcW w:w="1095" w:type="dxa"/>
                  <w:vAlign w:val="center"/>
                </w:tcPr>
                <w:p w14:paraId="63A66F51">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snapToGrid w:val="0"/>
                      <w:color w:val="auto"/>
                      <w:kern w:val="0"/>
                      <w:sz w:val="21"/>
                      <w:szCs w:val="21"/>
                      <w:u w:val="none"/>
                      <w:lang w:val="en-US" w:eastAsia="zh-CN" w:bidi="ar"/>
                    </w:rPr>
                    <w:t>7.25</w:t>
                  </w:r>
                </w:p>
              </w:tc>
              <w:tc>
                <w:tcPr>
                  <w:tcW w:w="1075" w:type="dxa"/>
                  <w:vAlign w:val="center"/>
                </w:tcPr>
                <w:p w14:paraId="3F9FB8EB">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snapToGrid w:val="0"/>
                      <w:color w:val="auto"/>
                      <w:kern w:val="0"/>
                      <w:sz w:val="21"/>
                      <w:szCs w:val="21"/>
                      <w:u w:val="none"/>
                      <w:lang w:val="en-US" w:eastAsia="zh-CN" w:bidi="ar"/>
                    </w:rPr>
                    <w:t>5.5</w:t>
                  </w:r>
                </w:p>
              </w:tc>
              <w:tc>
                <w:tcPr>
                  <w:tcW w:w="1694" w:type="pct"/>
                  <w:vMerge w:val="continue"/>
                  <w:vAlign w:val="center"/>
                </w:tcPr>
                <w:p w14:paraId="007608DE">
                  <w:pPr>
                    <w:rPr>
                      <w:rFonts w:hint="default" w:ascii="Times New Roman" w:hAnsi="Times New Roman" w:eastAsia="宋体" w:cs="Times New Roman"/>
                      <w:color w:val="auto"/>
                    </w:rPr>
                  </w:pPr>
                </w:p>
              </w:tc>
            </w:tr>
            <w:tr w14:paraId="0F831C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7" w:hRule="atLeast"/>
              </w:trPr>
              <w:tc>
                <w:tcPr>
                  <w:tcW w:w="1276" w:type="pct"/>
                  <w:vMerge w:val="continue"/>
                  <w:vAlign w:val="center"/>
                </w:tcPr>
                <w:p w14:paraId="13519CF0">
                  <w:pPr>
                    <w:rPr>
                      <w:rFonts w:hint="default" w:ascii="Times New Roman" w:hAnsi="Times New Roman" w:eastAsia="宋体" w:cs="Times New Roman"/>
                      <w:color w:val="auto"/>
                    </w:rPr>
                  </w:pPr>
                </w:p>
              </w:tc>
              <w:tc>
                <w:tcPr>
                  <w:tcW w:w="732" w:type="pct"/>
                  <w:vAlign w:val="center"/>
                </w:tcPr>
                <w:p w14:paraId="45406054">
                  <w:pPr>
                    <w:pStyle w:val="62"/>
                    <w:spacing w:before="35"/>
                    <w:ind w:left="606"/>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5"/>
                      <w:sz w:val="21"/>
                      <w:szCs w:val="21"/>
                    </w:rPr>
                    <w:t>表土</w:t>
                  </w:r>
                </w:p>
              </w:tc>
              <w:tc>
                <w:tcPr>
                  <w:tcW w:w="1095" w:type="dxa"/>
                  <w:vAlign w:val="center"/>
                </w:tcPr>
                <w:p w14:paraId="17F6D246">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snapToGrid w:val="0"/>
                      <w:color w:val="auto"/>
                      <w:kern w:val="0"/>
                      <w:sz w:val="21"/>
                      <w:szCs w:val="21"/>
                      <w:u w:val="none"/>
                      <w:lang w:val="en-US" w:eastAsia="zh-CN" w:bidi="ar"/>
                    </w:rPr>
                    <w:t>2.25</w:t>
                  </w:r>
                </w:p>
              </w:tc>
              <w:tc>
                <w:tcPr>
                  <w:tcW w:w="1075" w:type="dxa"/>
                  <w:vAlign w:val="center"/>
                </w:tcPr>
                <w:p w14:paraId="6D3ED029">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snapToGrid w:val="0"/>
                      <w:color w:val="auto"/>
                      <w:kern w:val="0"/>
                      <w:sz w:val="21"/>
                      <w:szCs w:val="21"/>
                      <w:u w:val="none"/>
                      <w:lang w:val="en-US" w:eastAsia="zh-CN" w:bidi="ar"/>
                    </w:rPr>
                    <w:t>2.25</w:t>
                  </w:r>
                </w:p>
              </w:tc>
              <w:tc>
                <w:tcPr>
                  <w:tcW w:w="1694" w:type="pct"/>
                  <w:vMerge w:val="continue"/>
                  <w:vAlign w:val="center"/>
                </w:tcPr>
                <w:p w14:paraId="5151FFE0">
                  <w:pPr>
                    <w:rPr>
                      <w:rFonts w:hint="default" w:ascii="Times New Roman" w:hAnsi="Times New Roman" w:eastAsia="宋体" w:cs="Times New Roman"/>
                      <w:color w:val="auto"/>
                    </w:rPr>
                  </w:pPr>
                </w:p>
              </w:tc>
            </w:tr>
            <w:tr w14:paraId="59E77D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7" w:hRule="atLeast"/>
              </w:trPr>
              <w:tc>
                <w:tcPr>
                  <w:tcW w:w="1276" w:type="pct"/>
                  <w:vMerge w:val="continue"/>
                  <w:vAlign w:val="center"/>
                </w:tcPr>
                <w:p w14:paraId="126A2F41">
                  <w:pPr>
                    <w:rPr>
                      <w:rFonts w:hint="default" w:ascii="Times New Roman" w:hAnsi="Times New Roman" w:eastAsia="宋体" w:cs="Times New Roman"/>
                      <w:color w:val="auto"/>
                    </w:rPr>
                  </w:pPr>
                </w:p>
              </w:tc>
              <w:tc>
                <w:tcPr>
                  <w:tcW w:w="732" w:type="pct"/>
                  <w:vAlign w:val="center"/>
                </w:tcPr>
                <w:p w14:paraId="2A0B6121">
                  <w:pPr>
                    <w:pStyle w:val="62"/>
                    <w:spacing w:before="36"/>
                    <w:ind w:left="613"/>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小计</w:t>
                  </w:r>
                </w:p>
              </w:tc>
              <w:tc>
                <w:tcPr>
                  <w:tcW w:w="1095" w:type="dxa"/>
                  <w:vAlign w:val="center"/>
                </w:tcPr>
                <w:p w14:paraId="08DEAE71">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snapToGrid w:val="0"/>
                      <w:color w:val="auto"/>
                      <w:kern w:val="0"/>
                      <w:sz w:val="21"/>
                      <w:szCs w:val="21"/>
                      <w:u w:val="none"/>
                      <w:lang w:val="en-US" w:eastAsia="zh-CN" w:bidi="ar"/>
                    </w:rPr>
                    <w:t>9.5</w:t>
                  </w:r>
                </w:p>
              </w:tc>
              <w:tc>
                <w:tcPr>
                  <w:tcW w:w="1075" w:type="dxa"/>
                  <w:vAlign w:val="center"/>
                </w:tcPr>
                <w:p w14:paraId="40A4570A">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snapToGrid w:val="0"/>
                      <w:color w:val="auto"/>
                      <w:kern w:val="0"/>
                      <w:sz w:val="21"/>
                      <w:szCs w:val="21"/>
                      <w:u w:val="none"/>
                      <w:lang w:val="en-US" w:eastAsia="zh-CN" w:bidi="ar"/>
                    </w:rPr>
                    <w:t>7.75</w:t>
                  </w:r>
                </w:p>
              </w:tc>
              <w:tc>
                <w:tcPr>
                  <w:tcW w:w="1694" w:type="pct"/>
                  <w:vMerge w:val="continue"/>
                  <w:vAlign w:val="center"/>
                </w:tcPr>
                <w:p w14:paraId="050FA898">
                  <w:pPr>
                    <w:rPr>
                      <w:rFonts w:hint="default" w:ascii="Times New Roman" w:hAnsi="Times New Roman" w:eastAsia="宋体" w:cs="Times New Roman"/>
                      <w:color w:val="auto"/>
                    </w:rPr>
                  </w:pPr>
                </w:p>
              </w:tc>
            </w:tr>
            <w:tr w14:paraId="7664C8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3" w:hRule="atLeast"/>
              </w:trPr>
              <w:tc>
                <w:tcPr>
                  <w:tcW w:w="1276" w:type="pct"/>
                  <w:vMerge w:val="restart"/>
                  <w:vAlign w:val="center"/>
                </w:tcPr>
                <w:p w14:paraId="7C1637A6">
                  <w:pPr>
                    <w:pStyle w:val="62"/>
                    <w:spacing w:before="35"/>
                    <w:ind w:left="612"/>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sz w:val="21"/>
                      <w:szCs w:val="21"/>
                    </w:rPr>
                    <w:t>合计</w:t>
                  </w:r>
                </w:p>
              </w:tc>
              <w:tc>
                <w:tcPr>
                  <w:tcW w:w="732" w:type="pct"/>
                  <w:vAlign w:val="center"/>
                </w:tcPr>
                <w:p w14:paraId="2835AE09">
                  <w:pPr>
                    <w:pStyle w:val="62"/>
                    <w:spacing w:before="35"/>
                    <w:ind w:left="502"/>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6"/>
                      <w:sz w:val="21"/>
                      <w:szCs w:val="21"/>
                    </w:rPr>
                    <w:t>土石方</w:t>
                  </w:r>
                </w:p>
              </w:tc>
              <w:tc>
                <w:tcPr>
                  <w:tcW w:w="1095" w:type="dxa"/>
                  <w:vAlign w:val="center"/>
                </w:tcPr>
                <w:p w14:paraId="47346902">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snapToGrid w:val="0"/>
                      <w:color w:val="auto"/>
                      <w:kern w:val="0"/>
                      <w:sz w:val="21"/>
                      <w:szCs w:val="21"/>
                      <w:u w:val="none"/>
                      <w:lang w:val="en-US" w:eastAsia="zh-CN" w:bidi="ar"/>
                    </w:rPr>
                    <w:t>17.78</w:t>
                  </w:r>
                </w:p>
              </w:tc>
              <w:tc>
                <w:tcPr>
                  <w:tcW w:w="1075" w:type="dxa"/>
                  <w:vAlign w:val="center"/>
                </w:tcPr>
                <w:p w14:paraId="5B7FC6F1">
                  <w:pPr>
                    <w:keepNext w:val="0"/>
                    <w:keepLines w:val="0"/>
                    <w:widowControl/>
                    <w:suppressLineNumbers w:val="0"/>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snapToGrid w:val="0"/>
                      <w:color w:val="auto"/>
                      <w:kern w:val="0"/>
                      <w:sz w:val="21"/>
                      <w:szCs w:val="21"/>
                      <w:u w:val="none"/>
                      <w:lang w:val="en-US" w:eastAsia="zh-CN" w:bidi="ar"/>
                    </w:rPr>
                    <w:t>17.78</w:t>
                  </w:r>
                </w:p>
              </w:tc>
              <w:tc>
                <w:tcPr>
                  <w:tcW w:w="1694" w:type="pct"/>
                  <w:vMerge w:val="restart"/>
                  <w:vAlign w:val="center"/>
                </w:tcPr>
                <w:p w14:paraId="0B50F930">
                  <w:pPr>
                    <w:spacing w:before="67"/>
                    <w:ind w:left="783"/>
                    <w:rPr>
                      <w:rFonts w:hint="default" w:ascii="Times New Roman" w:hAnsi="Times New Roman" w:eastAsia="宋体" w:cs="Times New Roman"/>
                      <w:color w:val="auto"/>
                    </w:rPr>
                  </w:pPr>
                  <w:r>
                    <w:rPr>
                      <w:rFonts w:hint="default" w:ascii="Times New Roman" w:hAnsi="Times New Roman" w:eastAsia="宋体" w:cs="Times New Roman"/>
                      <w:color w:val="auto"/>
                      <w:spacing w:val="2"/>
                    </w:rPr>
                    <w:t>/</w:t>
                  </w:r>
                </w:p>
              </w:tc>
            </w:tr>
            <w:tr w14:paraId="759B78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3" w:hRule="atLeast"/>
              </w:trPr>
              <w:tc>
                <w:tcPr>
                  <w:tcW w:w="1276" w:type="pct"/>
                  <w:vMerge w:val="continue"/>
                  <w:vAlign w:val="center"/>
                </w:tcPr>
                <w:p w14:paraId="17275E78">
                  <w:pPr>
                    <w:pStyle w:val="62"/>
                    <w:spacing w:before="35"/>
                    <w:ind w:left="612"/>
                    <w:rPr>
                      <w:rFonts w:hint="default" w:ascii="Times New Roman" w:hAnsi="Times New Roman" w:eastAsia="宋体" w:cs="Times New Roman"/>
                      <w:color w:val="auto"/>
                      <w:spacing w:val="4"/>
                      <w:sz w:val="21"/>
                      <w:szCs w:val="21"/>
                    </w:rPr>
                  </w:pPr>
                </w:p>
              </w:tc>
              <w:tc>
                <w:tcPr>
                  <w:tcW w:w="732" w:type="pct"/>
                  <w:vAlign w:val="center"/>
                </w:tcPr>
                <w:p w14:paraId="50800CEC">
                  <w:pPr>
                    <w:pStyle w:val="62"/>
                    <w:spacing w:before="46"/>
                    <w:ind w:left="604"/>
                    <w:rPr>
                      <w:rFonts w:hint="default" w:ascii="Times New Roman" w:hAnsi="Times New Roman" w:eastAsia="宋体" w:cs="Times New Roman"/>
                      <w:color w:val="auto"/>
                      <w:spacing w:val="6"/>
                      <w:sz w:val="21"/>
                      <w:szCs w:val="21"/>
                    </w:rPr>
                  </w:pPr>
                  <w:r>
                    <w:rPr>
                      <w:rFonts w:hint="default" w:ascii="Times New Roman" w:hAnsi="Times New Roman" w:eastAsia="宋体" w:cs="Times New Roman"/>
                      <w:color w:val="auto"/>
                      <w:spacing w:val="5"/>
                      <w:sz w:val="21"/>
                      <w:szCs w:val="21"/>
                    </w:rPr>
                    <w:t>表土</w:t>
                  </w:r>
                </w:p>
              </w:tc>
              <w:tc>
                <w:tcPr>
                  <w:tcW w:w="1095" w:type="dxa"/>
                  <w:vAlign w:val="center"/>
                </w:tcPr>
                <w:p w14:paraId="03D4F29D">
                  <w:pPr>
                    <w:keepNext w:val="0"/>
                    <w:keepLines w:val="0"/>
                    <w:widowControl/>
                    <w:suppressLineNumbers w:val="0"/>
                    <w:jc w:val="center"/>
                    <w:textAlignment w:val="center"/>
                    <w:rPr>
                      <w:rFonts w:hint="default" w:ascii="Times New Roman" w:hAnsi="Times New Roman" w:eastAsia="宋体" w:cs="Times New Roman"/>
                      <w:color w:val="auto"/>
                      <w:spacing w:val="-3"/>
                    </w:rPr>
                  </w:pPr>
                  <w:r>
                    <w:rPr>
                      <w:rFonts w:hint="default" w:ascii="Times New Roman" w:hAnsi="Times New Roman" w:eastAsia="宋体" w:cs="Times New Roman"/>
                      <w:i w:val="0"/>
                      <w:iCs w:val="0"/>
                      <w:snapToGrid w:val="0"/>
                      <w:color w:val="auto"/>
                      <w:kern w:val="0"/>
                      <w:sz w:val="21"/>
                      <w:szCs w:val="21"/>
                      <w:u w:val="none"/>
                      <w:lang w:val="en-US" w:eastAsia="zh-CN" w:bidi="ar"/>
                    </w:rPr>
                    <w:t>9.22</w:t>
                  </w:r>
                </w:p>
              </w:tc>
              <w:tc>
                <w:tcPr>
                  <w:tcW w:w="1075" w:type="dxa"/>
                  <w:vAlign w:val="center"/>
                </w:tcPr>
                <w:p w14:paraId="534A9BDB">
                  <w:pPr>
                    <w:keepNext w:val="0"/>
                    <w:keepLines w:val="0"/>
                    <w:widowControl/>
                    <w:suppressLineNumbers w:val="0"/>
                    <w:jc w:val="center"/>
                    <w:textAlignment w:val="center"/>
                    <w:rPr>
                      <w:rFonts w:hint="default" w:ascii="Times New Roman" w:hAnsi="Times New Roman" w:eastAsia="宋体" w:cs="Times New Roman"/>
                      <w:color w:val="auto"/>
                      <w:spacing w:val="-3"/>
                    </w:rPr>
                  </w:pPr>
                  <w:r>
                    <w:rPr>
                      <w:rFonts w:hint="default" w:ascii="Times New Roman" w:hAnsi="Times New Roman" w:eastAsia="宋体" w:cs="Times New Roman"/>
                      <w:i w:val="0"/>
                      <w:iCs w:val="0"/>
                      <w:snapToGrid w:val="0"/>
                      <w:color w:val="auto"/>
                      <w:kern w:val="0"/>
                      <w:sz w:val="21"/>
                      <w:szCs w:val="21"/>
                      <w:u w:val="none"/>
                      <w:lang w:val="en-US" w:eastAsia="zh-CN" w:bidi="ar"/>
                    </w:rPr>
                    <w:t>9.22</w:t>
                  </w:r>
                </w:p>
              </w:tc>
              <w:tc>
                <w:tcPr>
                  <w:tcW w:w="1694" w:type="pct"/>
                  <w:vMerge w:val="continue"/>
                  <w:vAlign w:val="center"/>
                </w:tcPr>
                <w:p w14:paraId="26CC3BEF">
                  <w:pPr>
                    <w:spacing w:before="67"/>
                    <w:ind w:left="783"/>
                    <w:rPr>
                      <w:rFonts w:hint="default" w:ascii="Times New Roman" w:hAnsi="Times New Roman" w:eastAsia="宋体" w:cs="Times New Roman"/>
                      <w:color w:val="auto"/>
                      <w:spacing w:val="2"/>
                    </w:rPr>
                  </w:pPr>
                </w:p>
              </w:tc>
            </w:tr>
            <w:tr w14:paraId="204B5B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3" w:hRule="atLeast"/>
              </w:trPr>
              <w:tc>
                <w:tcPr>
                  <w:tcW w:w="1276" w:type="pct"/>
                  <w:vMerge w:val="continue"/>
                  <w:vAlign w:val="center"/>
                </w:tcPr>
                <w:p w14:paraId="5414601B">
                  <w:pPr>
                    <w:pStyle w:val="62"/>
                    <w:spacing w:before="35"/>
                    <w:ind w:left="612"/>
                    <w:rPr>
                      <w:rFonts w:hint="default" w:ascii="Times New Roman" w:hAnsi="Times New Roman" w:eastAsia="宋体" w:cs="Times New Roman"/>
                      <w:color w:val="auto"/>
                      <w:spacing w:val="4"/>
                      <w:sz w:val="21"/>
                      <w:szCs w:val="21"/>
                    </w:rPr>
                  </w:pPr>
                </w:p>
              </w:tc>
              <w:tc>
                <w:tcPr>
                  <w:tcW w:w="732" w:type="pct"/>
                  <w:vAlign w:val="center"/>
                </w:tcPr>
                <w:p w14:paraId="6CF95054">
                  <w:pPr>
                    <w:pStyle w:val="62"/>
                    <w:spacing w:before="30"/>
                    <w:ind w:left="611"/>
                    <w:rPr>
                      <w:rFonts w:hint="default" w:ascii="Times New Roman" w:hAnsi="Times New Roman" w:eastAsia="宋体" w:cs="Times New Roman"/>
                      <w:color w:val="auto"/>
                      <w:spacing w:val="6"/>
                      <w:sz w:val="21"/>
                      <w:szCs w:val="21"/>
                    </w:rPr>
                  </w:pPr>
                  <w:r>
                    <w:rPr>
                      <w:rFonts w:hint="default" w:ascii="Times New Roman" w:hAnsi="Times New Roman" w:eastAsia="宋体" w:cs="Times New Roman"/>
                      <w:color w:val="auto"/>
                      <w:spacing w:val="2"/>
                      <w:sz w:val="21"/>
                      <w:szCs w:val="21"/>
                    </w:rPr>
                    <w:t>小计</w:t>
                  </w:r>
                </w:p>
              </w:tc>
              <w:tc>
                <w:tcPr>
                  <w:tcW w:w="1095" w:type="dxa"/>
                  <w:vAlign w:val="center"/>
                </w:tcPr>
                <w:p w14:paraId="3F325FC6">
                  <w:pPr>
                    <w:keepNext w:val="0"/>
                    <w:keepLines w:val="0"/>
                    <w:widowControl/>
                    <w:suppressLineNumbers w:val="0"/>
                    <w:jc w:val="center"/>
                    <w:textAlignment w:val="center"/>
                    <w:rPr>
                      <w:rFonts w:hint="default" w:ascii="Times New Roman" w:hAnsi="Times New Roman" w:eastAsia="宋体" w:cs="Times New Roman"/>
                      <w:color w:val="auto"/>
                      <w:spacing w:val="-3"/>
                    </w:rPr>
                  </w:pPr>
                  <w:r>
                    <w:rPr>
                      <w:rFonts w:hint="default" w:ascii="Times New Roman" w:hAnsi="Times New Roman" w:eastAsia="宋体" w:cs="Times New Roman"/>
                      <w:i w:val="0"/>
                      <w:iCs w:val="0"/>
                      <w:snapToGrid w:val="0"/>
                      <w:color w:val="auto"/>
                      <w:kern w:val="0"/>
                      <w:sz w:val="21"/>
                      <w:szCs w:val="21"/>
                      <w:u w:val="none"/>
                      <w:lang w:val="en-US" w:eastAsia="zh-CN" w:bidi="ar"/>
                    </w:rPr>
                    <w:t>27</w:t>
                  </w:r>
                </w:p>
              </w:tc>
              <w:tc>
                <w:tcPr>
                  <w:tcW w:w="1075" w:type="dxa"/>
                  <w:vAlign w:val="center"/>
                </w:tcPr>
                <w:p w14:paraId="20DA0CC2">
                  <w:pPr>
                    <w:keepNext w:val="0"/>
                    <w:keepLines w:val="0"/>
                    <w:widowControl/>
                    <w:suppressLineNumbers w:val="0"/>
                    <w:jc w:val="center"/>
                    <w:textAlignment w:val="center"/>
                    <w:rPr>
                      <w:rFonts w:hint="default" w:ascii="Times New Roman" w:hAnsi="Times New Roman" w:eastAsia="宋体" w:cs="Times New Roman"/>
                      <w:color w:val="auto"/>
                      <w:spacing w:val="-3"/>
                    </w:rPr>
                  </w:pPr>
                  <w:r>
                    <w:rPr>
                      <w:rFonts w:hint="default" w:ascii="Times New Roman" w:hAnsi="Times New Roman" w:eastAsia="宋体" w:cs="Times New Roman"/>
                      <w:i w:val="0"/>
                      <w:iCs w:val="0"/>
                      <w:snapToGrid w:val="0"/>
                      <w:color w:val="auto"/>
                      <w:kern w:val="0"/>
                      <w:sz w:val="21"/>
                      <w:szCs w:val="21"/>
                      <w:u w:val="none"/>
                      <w:lang w:val="en-US" w:eastAsia="zh-CN" w:bidi="ar"/>
                    </w:rPr>
                    <w:t>27</w:t>
                  </w:r>
                </w:p>
              </w:tc>
              <w:tc>
                <w:tcPr>
                  <w:tcW w:w="1694" w:type="pct"/>
                  <w:vMerge w:val="continue"/>
                  <w:vAlign w:val="center"/>
                </w:tcPr>
                <w:p w14:paraId="29D2F917">
                  <w:pPr>
                    <w:spacing w:before="67"/>
                    <w:ind w:left="783"/>
                    <w:rPr>
                      <w:rFonts w:hint="default" w:ascii="Times New Roman" w:hAnsi="Times New Roman" w:eastAsia="宋体" w:cs="Times New Roman"/>
                      <w:color w:val="auto"/>
                      <w:spacing w:val="2"/>
                    </w:rPr>
                  </w:pPr>
                </w:p>
              </w:tc>
            </w:tr>
          </w:tbl>
          <w:p w14:paraId="0CDBCD46">
            <w:pPr>
              <w:spacing w:before="51" w:line="360" w:lineRule="auto"/>
              <w:rPr>
                <w:rFonts w:hint="default" w:ascii="Times New Roman" w:hAnsi="Times New Roman" w:eastAsia="宋体" w:cs="Times New Roman"/>
                <w:color w:val="auto"/>
                <w:sz w:val="24"/>
                <w:szCs w:val="24"/>
              </w:rPr>
            </w:pPr>
            <w:r>
              <w:rPr>
                <w:rFonts w:hint="default" w:ascii="Times New Roman" w:hAnsi="Times New Roman" w:cs="Times New Roman"/>
                <w:color w:val="auto"/>
              </w:rPr>
              <w:drawing>
                <wp:inline distT="0" distB="0" distL="114300" distR="114300">
                  <wp:extent cx="5272405" cy="2493645"/>
                  <wp:effectExtent l="0" t="0" r="4445" b="190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40"/>
                          <a:stretch>
                            <a:fillRect/>
                          </a:stretch>
                        </pic:blipFill>
                        <pic:spPr>
                          <a:xfrm>
                            <a:off x="0" y="0"/>
                            <a:ext cx="5272405" cy="2493645"/>
                          </a:xfrm>
                          <a:prstGeom prst="rect">
                            <a:avLst/>
                          </a:prstGeom>
                          <a:noFill/>
                          <a:ln>
                            <a:noFill/>
                          </a:ln>
                        </pic:spPr>
                      </pic:pic>
                    </a:graphicData>
                  </a:graphic>
                </wp:inline>
              </w:drawing>
            </w:r>
          </w:p>
          <w:p w14:paraId="337D6324">
            <w:pPr>
              <w:spacing w:before="51" w:line="360" w:lineRule="auto"/>
              <w:jc w:val="center"/>
              <w:rPr>
                <w:rFonts w:hint="default" w:ascii="Times New Roman" w:hAnsi="Times New Roman" w:eastAsia="宋体" w:cs="Times New Roman"/>
                <w:b/>
                <w:bCs/>
                <w:color w:val="auto"/>
                <w:sz w:val="24"/>
                <w:szCs w:val="24"/>
                <w:vertAlign w:val="superscript"/>
              </w:rPr>
            </w:pPr>
            <w:r>
              <w:rPr>
                <w:rFonts w:hint="default" w:ascii="Times New Roman" w:hAnsi="Times New Roman" w:eastAsia="宋体" w:cs="Times New Roman"/>
                <w:b/>
                <w:bCs/>
                <w:color w:val="auto"/>
                <w:sz w:val="24"/>
                <w:szCs w:val="24"/>
              </w:rPr>
              <w:t xml:space="preserve">图 </w:t>
            </w:r>
            <w:r>
              <w:rPr>
                <w:rFonts w:hint="default" w:ascii="Times New Roman" w:hAnsi="Times New Roman" w:eastAsia="宋体" w:cs="Times New Roman"/>
                <w:b/>
                <w:bCs/>
                <w:color w:val="auto"/>
                <w:sz w:val="24"/>
                <w:szCs w:val="24"/>
                <w:lang w:val="en-US" w:eastAsia="zh-CN"/>
              </w:rPr>
              <w:t>2-2</w:t>
            </w:r>
            <w:r>
              <w:rPr>
                <w:rFonts w:hint="default" w:ascii="Times New Roman" w:hAnsi="Times New Roman" w:eastAsia="宋体" w:cs="Times New Roman"/>
                <w:b/>
                <w:bCs/>
                <w:color w:val="auto"/>
                <w:sz w:val="24"/>
                <w:szCs w:val="24"/>
              </w:rPr>
              <w:t xml:space="preserve"> 项目土石方平衡图 万 m</w:t>
            </w:r>
            <w:r>
              <w:rPr>
                <w:rFonts w:hint="default" w:ascii="Times New Roman" w:hAnsi="Times New Roman" w:eastAsia="宋体" w:cs="Times New Roman"/>
                <w:b/>
                <w:bCs/>
                <w:color w:val="auto"/>
                <w:sz w:val="24"/>
                <w:szCs w:val="24"/>
                <w:vertAlign w:val="superscript"/>
              </w:rPr>
              <w:t>3</w:t>
            </w:r>
          </w:p>
          <w:p w14:paraId="496A4CA6">
            <w:pPr>
              <w:spacing w:before="51" w:line="360" w:lineRule="auto"/>
              <w:jc w:val="center"/>
              <w:rPr>
                <w:rFonts w:hint="default" w:ascii="Times New Roman" w:hAnsi="Times New Roman" w:eastAsia="宋体" w:cs="Times New Roman"/>
                <w:b/>
                <w:bCs/>
                <w:color w:val="auto"/>
                <w:sz w:val="24"/>
                <w:szCs w:val="24"/>
                <w:vertAlign w:val="superscript"/>
              </w:rPr>
            </w:pPr>
          </w:p>
          <w:p w14:paraId="1D8C812F">
            <w:pPr>
              <w:spacing w:before="37" w:line="360" w:lineRule="auto"/>
              <w:ind w:firstLine="533"/>
              <w:rPr>
                <w:rFonts w:hint="default" w:ascii="Times New Roman" w:hAnsi="Times New Roman" w:eastAsia="宋体" w:cs="Times New Roman"/>
                <w:b/>
                <w:bCs/>
                <w:color w:val="auto"/>
                <w:spacing w:val="-4"/>
                <w:sz w:val="28"/>
                <w:szCs w:val="28"/>
              </w:rPr>
            </w:pPr>
            <w:r>
              <w:rPr>
                <w:rFonts w:hint="default" w:ascii="Times New Roman" w:hAnsi="Times New Roman" w:eastAsia="宋体" w:cs="Times New Roman"/>
                <w:b/>
                <w:bCs/>
                <w:color w:val="auto"/>
                <w:spacing w:val="-4"/>
                <w:sz w:val="28"/>
                <w:szCs w:val="28"/>
                <w:lang w:val="en-US" w:eastAsia="zh-CN"/>
              </w:rPr>
              <w:t xml:space="preserve">4、公用工程 </w:t>
            </w:r>
          </w:p>
          <w:p w14:paraId="40D63909">
            <w:pPr>
              <w:spacing w:before="51" w:line="360" w:lineRule="auto"/>
              <w:ind w:firstLine="611"/>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（1）供水为满足项目区灌溉用水需求，项目离居民较近的区域接就近灌渠取水，均采用喷灌方式，其余造林区域均采取水车拉运的方式浇灌。</w:t>
            </w:r>
          </w:p>
          <w:p w14:paraId="1E96D741">
            <w:pPr>
              <w:spacing w:before="51" w:line="360" w:lineRule="auto"/>
              <w:ind w:firstLine="611"/>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（2）项目水平衡</w:t>
            </w:r>
          </w:p>
          <w:p w14:paraId="6D086B24">
            <w:pPr>
              <w:spacing w:before="51" w:line="360" w:lineRule="auto"/>
              <w:ind w:firstLine="611"/>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2023年-2024年作业设计建设内容集约人工林栽培7628.4亩；现有林改培5081.6亩；中幼林抚育39791.2亩；特色经济林3000.0亩；珍稀林木2081.0亩；珍稀林地块中套种林下中药材1035.9亩；特色经济林地块中套种林下花卉205.0亩；林下种菌500.0亩。建设范围为宝林镇、大佛镇、高寺镇、劳动镇、良安镇、天池镇、中和场镇、中天镇。</w:t>
            </w:r>
          </w:p>
          <w:p w14:paraId="3BA992C7">
            <w:pPr>
              <w:spacing w:before="51" w:line="360" w:lineRule="auto"/>
              <w:ind w:firstLine="611"/>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根据《四川省用水定额》（2021 年版）及参考其他项目，人工林栽培7628.4亩；现有林改培5081.6亩；中幼林抚育39791.2亩；特色经济林3000.0亩；珍稀林木2081.0亩，用标准为70m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/亩每年，用水量为403.08万m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/a，林下中药材1035.9亩；林下花卉205.0亩；林下种菌500.0亩，用标准为110m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/亩每年，用水量为19.15万m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/a。灌溉用水被植物及土壤吸收少量蒸发损耗，不产生废水。</w:t>
            </w:r>
          </w:p>
          <w:p w14:paraId="7FD223B6">
            <w:pPr>
              <w:pStyle w:val="19"/>
              <w:ind w:left="0" w:leftChars="0" w:firstLine="0" w:firstLineChars="0"/>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5057775" cy="6800850"/>
                  <wp:effectExtent l="0" t="0" r="9525" b="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41"/>
                          <a:stretch>
                            <a:fillRect/>
                          </a:stretch>
                        </pic:blipFill>
                        <pic:spPr>
                          <a:xfrm>
                            <a:off x="0" y="0"/>
                            <a:ext cx="5057775" cy="6800850"/>
                          </a:xfrm>
                          <a:prstGeom prst="rect">
                            <a:avLst/>
                          </a:prstGeom>
                          <a:noFill/>
                          <a:ln>
                            <a:noFill/>
                          </a:ln>
                        </pic:spPr>
                      </pic:pic>
                    </a:graphicData>
                  </a:graphic>
                </wp:inline>
              </w:drawing>
            </w:r>
          </w:p>
          <w:p w14:paraId="309D5DFF">
            <w:pPr>
              <w:spacing w:before="51" w:line="360" w:lineRule="auto"/>
              <w:jc w:val="center"/>
              <w:rPr>
                <w:rFonts w:hint="default" w:ascii="Times New Roman" w:hAnsi="Times New Roman" w:eastAsia="宋体" w:cs="Times New Roman"/>
                <w:b/>
                <w:bCs/>
                <w:color w:val="auto"/>
                <w:sz w:val="24"/>
                <w:szCs w:val="24"/>
                <w:vertAlign w:val="superscript"/>
              </w:rPr>
            </w:pPr>
            <w:r>
              <w:rPr>
                <w:rFonts w:hint="default" w:ascii="Times New Roman" w:hAnsi="Times New Roman" w:eastAsia="宋体" w:cs="Times New Roman"/>
                <w:b/>
                <w:bCs/>
                <w:color w:val="auto"/>
                <w:sz w:val="24"/>
                <w:szCs w:val="24"/>
              </w:rPr>
              <w:t xml:space="preserve">图 </w:t>
            </w:r>
            <w:r>
              <w:rPr>
                <w:rFonts w:hint="default" w:ascii="Times New Roman" w:hAnsi="Times New Roman" w:eastAsia="宋体" w:cs="Times New Roman"/>
                <w:b/>
                <w:bCs/>
                <w:color w:val="auto"/>
                <w:sz w:val="24"/>
                <w:szCs w:val="24"/>
                <w:lang w:val="en-US" w:eastAsia="zh-CN"/>
              </w:rPr>
              <w:t>2-3</w:t>
            </w:r>
            <w:r>
              <w:rPr>
                <w:rFonts w:hint="default" w:ascii="Times New Roman" w:hAnsi="Times New Roman" w:eastAsia="宋体" w:cs="Times New Roman"/>
                <w:b/>
                <w:bCs/>
                <w:color w:val="auto"/>
                <w:sz w:val="24"/>
                <w:szCs w:val="24"/>
              </w:rPr>
              <w:t xml:space="preserve"> 项目</w:t>
            </w:r>
            <w:r>
              <w:rPr>
                <w:rFonts w:hint="default" w:ascii="Times New Roman" w:hAnsi="Times New Roman" w:eastAsia="宋体" w:cs="Times New Roman"/>
                <w:b/>
                <w:bCs/>
                <w:color w:val="auto"/>
                <w:sz w:val="24"/>
                <w:szCs w:val="24"/>
                <w:lang w:val="en-US" w:eastAsia="zh-CN"/>
              </w:rPr>
              <w:t>水</w:t>
            </w:r>
            <w:r>
              <w:rPr>
                <w:rFonts w:hint="default" w:ascii="Times New Roman" w:hAnsi="Times New Roman" w:eastAsia="宋体" w:cs="Times New Roman"/>
                <w:b/>
                <w:bCs/>
                <w:color w:val="auto"/>
                <w:sz w:val="24"/>
                <w:szCs w:val="24"/>
              </w:rPr>
              <w:t>平衡图</w:t>
            </w:r>
            <w:r>
              <w:rPr>
                <w:rFonts w:hint="default" w:ascii="Times New Roman" w:hAnsi="Times New Roman" w:eastAsia="宋体" w:cs="Times New Roman"/>
                <w:b/>
                <w:bCs/>
                <w:color w:val="auto"/>
                <w:sz w:val="24"/>
                <w:szCs w:val="24"/>
                <w:lang w:val="en-US" w:eastAsia="zh-CN"/>
              </w:rPr>
              <w:t xml:space="preserve">     </w:t>
            </w:r>
            <w:r>
              <w:rPr>
                <w:rFonts w:hint="default" w:ascii="Times New Roman" w:hAnsi="Times New Roman" w:eastAsia="宋体" w:cs="Times New Roman"/>
                <w:b/>
                <w:bCs/>
                <w:color w:val="auto"/>
                <w:sz w:val="24"/>
                <w:szCs w:val="24"/>
              </w:rPr>
              <w:t>万m</w:t>
            </w:r>
            <w:r>
              <w:rPr>
                <w:rFonts w:hint="default" w:ascii="Times New Roman" w:hAnsi="Times New Roman" w:eastAsia="宋体" w:cs="Times New Roman"/>
                <w:b/>
                <w:bCs/>
                <w:color w:val="auto"/>
                <w:sz w:val="24"/>
                <w:szCs w:val="24"/>
                <w:vertAlign w:val="superscript"/>
              </w:rPr>
              <w:t>3</w:t>
            </w:r>
          </w:p>
          <w:p w14:paraId="5A92A0A8">
            <w:pPr>
              <w:pStyle w:val="20"/>
              <w:rPr>
                <w:rFonts w:hint="default" w:ascii="Times New Roman" w:hAnsi="Times New Roman" w:cs="Times New Roman"/>
                <w:color w:val="auto"/>
                <w:lang w:val="en-US" w:eastAsia="zh-CN"/>
              </w:rPr>
            </w:pPr>
          </w:p>
          <w:p w14:paraId="69C8C52A">
            <w:pPr>
              <w:spacing w:before="51" w:line="360" w:lineRule="auto"/>
              <w:ind w:firstLine="611"/>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（3）排水</w:t>
            </w:r>
          </w:p>
          <w:p w14:paraId="0FAF7A45">
            <w:pPr>
              <w:spacing w:before="51" w:line="360" w:lineRule="auto"/>
              <w:ind w:firstLine="611"/>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项目运行阶段无废水产生，灌溉阶段管道内剩余水均可经泄水阀排放后直接用于周边山体地表浇洒。</w:t>
            </w:r>
          </w:p>
          <w:p w14:paraId="14D47E2F">
            <w:pPr>
              <w:spacing w:before="51" w:line="360" w:lineRule="auto"/>
              <w:ind w:firstLine="611"/>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 xml:space="preserve">（4）供电 </w:t>
            </w:r>
          </w:p>
          <w:p w14:paraId="64E06B2F">
            <w:pPr>
              <w:spacing w:before="51" w:line="360" w:lineRule="auto"/>
              <w:ind w:firstLine="611"/>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项目用电均由最近的10kV农电线路及市政电网接入供给接入。</w:t>
            </w:r>
          </w:p>
          <w:p w14:paraId="711BABCE">
            <w:pPr>
              <w:spacing w:before="37" w:line="360" w:lineRule="auto"/>
              <w:ind w:firstLine="533"/>
              <w:rPr>
                <w:rFonts w:hint="default" w:ascii="Times New Roman" w:hAnsi="Times New Roman" w:eastAsia="宋体" w:cs="Times New Roman"/>
                <w:b/>
                <w:bCs/>
                <w:color w:val="auto"/>
                <w:spacing w:val="-4"/>
                <w:sz w:val="28"/>
                <w:szCs w:val="28"/>
                <w:lang w:val="en-US" w:eastAsia="zh-CN"/>
              </w:rPr>
            </w:pPr>
            <w:r>
              <w:rPr>
                <w:rFonts w:hint="default" w:ascii="Times New Roman" w:hAnsi="Times New Roman" w:eastAsia="宋体" w:cs="Times New Roman"/>
                <w:b/>
                <w:bCs/>
                <w:color w:val="auto"/>
                <w:spacing w:val="-4"/>
                <w:sz w:val="28"/>
                <w:szCs w:val="28"/>
                <w:lang w:val="en-US" w:eastAsia="zh-CN"/>
              </w:rPr>
              <w:t>5、管理机构及人员配置</w:t>
            </w:r>
          </w:p>
          <w:p w14:paraId="32EE086B">
            <w:pPr>
              <w:spacing w:before="51" w:line="360" w:lineRule="auto"/>
              <w:ind w:firstLine="611"/>
              <w:rPr>
                <w:rFonts w:hint="default" w:ascii="Times New Roman" w:hAnsi="Times New Roman" w:eastAsia="宋体" w:cs="Times New Roman"/>
                <w:b/>
                <w:bCs/>
                <w:color w:val="auto"/>
                <w:sz w:val="24"/>
                <w:szCs w:val="24"/>
                <w:vertAlign w:val="superscript"/>
              </w:rPr>
            </w:pPr>
            <w:r>
              <w:rPr>
                <w:rFonts w:hint="default" w:ascii="Times New Roman" w:hAnsi="Times New Roman" w:eastAsia="宋体" w:cs="Times New Roman"/>
                <w:color w:val="auto"/>
                <w:sz w:val="24"/>
                <w:szCs w:val="24"/>
                <w:lang w:val="en-US" w:eastAsia="zh-CN"/>
              </w:rPr>
              <w:t>项目营运期主要管理任务集中体现为中幼龄林的抚育和管护、配套设施维护、林产品的收获和销售等方面。项目林木管护工作主要在专业技术人员的指导下定期组织当地村民开展，不固定配置管护人员。</w:t>
            </w:r>
          </w:p>
        </w:tc>
      </w:tr>
      <w:tr w14:paraId="767DFA9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15" w:hRule="atLeast"/>
          <w:jc w:val="center"/>
        </w:trPr>
        <w:tc>
          <w:tcPr>
            <w:tcW w:w="473" w:type="dxa"/>
            <w:tcBorders>
              <w:bottom w:val="single" w:color="auto" w:sz="4" w:space="0"/>
            </w:tcBorders>
            <w:vAlign w:val="center"/>
          </w:tcPr>
          <w:p w14:paraId="712E223B">
            <w:pPr>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1"/>
                <w:sz w:val="24"/>
                <w:szCs w:val="24"/>
              </w:rPr>
              <w:t>其他</w:t>
            </w:r>
          </w:p>
        </w:tc>
        <w:tc>
          <w:tcPr>
            <w:tcW w:w="8388" w:type="dxa"/>
            <w:tcBorders>
              <w:bottom w:val="single" w:color="auto" w:sz="4" w:space="0"/>
            </w:tcBorders>
          </w:tcPr>
          <w:p w14:paraId="30CE95A8">
            <w:pPr>
              <w:spacing w:before="3" w:line="360" w:lineRule="auto"/>
              <w:ind w:left="113" w:right="106" w:firstLine="486"/>
              <w:outlineLvl w:val="1"/>
              <w:rPr>
                <w:rFonts w:hint="default" w:ascii="Times New Roman" w:hAnsi="Times New Roman" w:eastAsia="宋体" w:cs="Times New Roman"/>
                <w:b/>
                <w:bCs/>
                <w:color w:val="auto"/>
                <w:sz w:val="28"/>
                <w:szCs w:val="28"/>
              </w:rPr>
            </w:pPr>
            <w:bookmarkStart w:id="13" w:name="_Toc7394"/>
            <w:r>
              <w:rPr>
                <w:rFonts w:hint="default" w:ascii="Times New Roman" w:hAnsi="Times New Roman" w:eastAsia="宋体" w:cs="Times New Roman"/>
                <w:b/>
                <w:bCs/>
                <w:color w:val="auto"/>
                <w:sz w:val="28"/>
                <w:szCs w:val="28"/>
              </w:rPr>
              <w:t>四、其他</w:t>
            </w:r>
            <w:bookmarkEnd w:id="13"/>
          </w:p>
          <w:p w14:paraId="4710DAB1">
            <w:pPr>
              <w:spacing w:before="51"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项目储备林选址范围均位于面山区域内建设，造林区域不涉及占用耕地，尤其是基本农田；</w:t>
            </w:r>
            <w:r>
              <w:rPr>
                <w:rFonts w:hint="default" w:ascii="Times New Roman" w:hAnsi="Times New Roman" w:eastAsia="宋体" w:cs="Times New Roman"/>
                <w:color w:val="auto"/>
                <w:sz w:val="24"/>
                <w:szCs w:val="24"/>
                <w:lang w:val="en-US" w:eastAsia="zh-CN"/>
              </w:rPr>
              <w:t>灌溉</w:t>
            </w:r>
            <w:r>
              <w:rPr>
                <w:rFonts w:hint="default" w:ascii="Times New Roman" w:hAnsi="Times New Roman" w:eastAsia="宋体" w:cs="Times New Roman"/>
                <w:color w:val="auto"/>
                <w:sz w:val="24"/>
                <w:szCs w:val="24"/>
              </w:rPr>
              <w:t>工程均位于造林区域内建设，不涉及新增占地；储备林建设范围内无自然保护区、饮用水源保护区和其他生态保护红线管控区分布；储备林施工区域内不涉及施工“三场”和临时施工营地的布置，因此储备林建设工程不考虑方案比选。</w:t>
            </w:r>
          </w:p>
          <w:p w14:paraId="4460F79D">
            <w:pPr>
              <w:spacing w:before="51" w:line="360" w:lineRule="auto"/>
              <w:ind w:firstLine="480" w:firstLineChars="200"/>
              <w:rPr>
                <w:rFonts w:hint="default" w:ascii="Times New Roman" w:hAnsi="Times New Roman" w:eastAsia="宋体" w:cs="Times New Roman"/>
                <w:color w:val="auto"/>
                <w:sz w:val="24"/>
                <w:szCs w:val="24"/>
              </w:rPr>
            </w:pPr>
          </w:p>
          <w:p w14:paraId="41D73EBE">
            <w:pPr>
              <w:spacing w:before="51" w:line="360" w:lineRule="auto"/>
              <w:ind w:firstLine="480" w:firstLineChars="200"/>
              <w:rPr>
                <w:rFonts w:hint="default" w:ascii="Times New Roman" w:hAnsi="Times New Roman" w:eastAsia="宋体" w:cs="Times New Roman"/>
                <w:color w:val="auto"/>
                <w:sz w:val="24"/>
                <w:szCs w:val="24"/>
              </w:rPr>
            </w:pPr>
          </w:p>
          <w:p w14:paraId="0C835E0B">
            <w:pPr>
              <w:spacing w:before="51" w:line="360" w:lineRule="auto"/>
              <w:ind w:firstLine="480" w:firstLineChars="200"/>
              <w:rPr>
                <w:rFonts w:hint="default" w:ascii="Times New Roman" w:hAnsi="Times New Roman" w:eastAsia="宋体" w:cs="Times New Roman"/>
                <w:color w:val="auto"/>
                <w:sz w:val="24"/>
                <w:szCs w:val="24"/>
              </w:rPr>
            </w:pPr>
          </w:p>
          <w:p w14:paraId="57ACA28B">
            <w:pPr>
              <w:pStyle w:val="19"/>
              <w:rPr>
                <w:rFonts w:hint="default" w:ascii="Times New Roman" w:hAnsi="Times New Roman" w:eastAsia="宋体" w:cs="Times New Roman"/>
                <w:color w:val="auto"/>
                <w:sz w:val="24"/>
                <w:szCs w:val="24"/>
              </w:rPr>
            </w:pPr>
          </w:p>
          <w:p w14:paraId="005E1579">
            <w:pPr>
              <w:pStyle w:val="20"/>
              <w:rPr>
                <w:rFonts w:hint="default" w:ascii="Times New Roman" w:hAnsi="Times New Roman" w:eastAsia="宋体" w:cs="Times New Roman"/>
                <w:color w:val="auto"/>
                <w:sz w:val="24"/>
                <w:szCs w:val="24"/>
              </w:rPr>
            </w:pPr>
          </w:p>
          <w:p w14:paraId="6DE55949">
            <w:pPr>
              <w:pStyle w:val="21"/>
              <w:rPr>
                <w:rFonts w:hint="default" w:ascii="Times New Roman" w:hAnsi="Times New Roman" w:eastAsia="宋体" w:cs="Times New Roman"/>
                <w:color w:val="auto"/>
                <w:sz w:val="24"/>
                <w:szCs w:val="24"/>
              </w:rPr>
            </w:pPr>
          </w:p>
          <w:p w14:paraId="2629B4E1">
            <w:pPr>
              <w:rPr>
                <w:rFonts w:hint="default" w:ascii="Times New Roman" w:hAnsi="Times New Roman" w:eastAsia="宋体" w:cs="Times New Roman"/>
                <w:color w:val="auto"/>
                <w:sz w:val="24"/>
                <w:szCs w:val="24"/>
              </w:rPr>
            </w:pPr>
          </w:p>
          <w:p w14:paraId="69042485">
            <w:pPr>
              <w:pStyle w:val="19"/>
              <w:rPr>
                <w:rFonts w:hint="default" w:ascii="Times New Roman" w:hAnsi="Times New Roman" w:eastAsia="宋体" w:cs="Times New Roman"/>
                <w:color w:val="auto"/>
                <w:sz w:val="24"/>
                <w:szCs w:val="24"/>
              </w:rPr>
            </w:pPr>
          </w:p>
          <w:p w14:paraId="788981E7">
            <w:pPr>
              <w:pStyle w:val="20"/>
              <w:rPr>
                <w:rFonts w:hint="default" w:ascii="Times New Roman" w:hAnsi="Times New Roman" w:eastAsia="宋体" w:cs="Times New Roman"/>
                <w:color w:val="auto"/>
                <w:sz w:val="24"/>
                <w:szCs w:val="24"/>
              </w:rPr>
            </w:pPr>
          </w:p>
          <w:p w14:paraId="6C032C9A">
            <w:pPr>
              <w:pStyle w:val="21"/>
              <w:rPr>
                <w:rFonts w:hint="default" w:ascii="Times New Roman" w:hAnsi="Times New Roman" w:eastAsia="宋体" w:cs="Times New Roman"/>
                <w:color w:val="auto"/>
                <w:sz w:val="24"/>
                <w:szCs w:val="24"/>
              </w:rPr>
            </w:pPr>
          </w:p>
          <w:p w14:paraId="7844BEF4">
            <w:pPr>
              <w:pStyle w:val="19"/>
              <w:ind w:left="0" w:leftChars="0" w:firstLine="0" w:firstLineChars="0"/>
              <w:rPr>
                <w:rFonts w:hint="default" w:ascii="Times New Roman" w:hAnsi="Times New Roman" w:cs="Times New Roman"/>
                <w:color w:val="auto"/>
              </w:rPr>
            </w:pPr>
          </w:p>
          <w:p w14:paraId="58886675">
            <w:pPr>
              <w:spacing w:before="51" w:line="360" w:lineRule="auto"/>
              <w:ind w:firstLine="480" w:firstLineChars="200"/>
              <w:rPr>
                <w:rFonts w:hint="default" w:ascii="Times New Roman" w:hAnsi="Times New Roman" w:eastAsia="宋体" w:cs="Times New Roman"/>
                <w:color w:val="auto"/>
                <w:sz w:val="24"/>
                <w:szCs w:val="24"/>
              </w:rPr>
            </w:pPr>
          </w:p>
          <w:p w14:paraId="352BF966">
            <w:pPr>
              <w:spacing w:before="51" w:line="360" w:lineRule="auto"/>
              <w:ind w:firstLine="480" w:firstLineChars="200"/>
              <w:rPr>
                <w:rFonts w:hint="default" w:ascii="Times New Roman" w:hAnsi="Times New Roman" w:eastAsia="宋体" w:cs="Times New Roman"/>
                <w:color w:val="auto"/>
                <w:sz w:val="24"/>
                <w:szCs w:val="24"/>
              </w:rPr>
            </w:pPr>
          </w:p>
          <w:p w14:paraId="4C70053C">
            <w:pPr>
              <w:spacing w:before="51" w:line="360" w:lineRule="auto"/>
              <w:ind w:firstLine="480" w:firstLineChars="200"/>
              <w:rPr>
                <w:rFonts w:hint="default" w:ascii="Times New Roman" w:hAnsi="Times New Roman" w:eastAsia="宋体" w:cs="Times New Roman"/>
                <w:color w:val="auto"/>
                <w:sz w:val="24"/>
                <w:szCs w:val="24"/>
              </w:rPr>
            </w:pPr>
          </w:p>
          <w:p w14:paraId="77DFC22A">
            <w:pPr>
              <w:spacing w:before="51" w:line="360" w:lineRule="auto"/>
              <w:rPr>
                <w:rFonts w:hint="default" w:ascii="Times New Roman" w:hAnsi="Times New Roman" w:eastAsia="宋体" w:cs="Times New Roman"/>
                <w:color w:val="auto"/>
                <w:sz w:val="24"/>
                <w:szCs w:val="24"/>
              </w:rPr>
            </w:pPr>
          </w:p>
          <w:p w14:paraId="42090A47">
            <w:pPr>
              <w:spacing w:before="51" w:line="360" w:lineRule="auto"/>
              <w:ind w:firstLine="480" w:firstLineChars="200"/>
              <w:rPr>
                <w:rFonts w:hint="default" w:ascii="Times New Roman" w:hAnsi="Times New Roman" w:eastAsia="宋体" w:cs="Times New Roman"/>
                <w:color w:val="auto"/>
                <w:sz w:val="24"/>
                <w:szCs w:val="24"/>
              </w:rPr>
            </w:pPr>
          </w:p>
          <w:p w14:paraId="6346292D">
            <w:pPr>
              <w:spacing w:before="51" w:line="360" w:lineRule="auto"/>
              <w:ind w:firstLine="480" w:firstLineChars="200"/>
              <w:rPr>
                <w:rFonts w:hint="default" w:ascii="Times New Roman" w:hAnsi="Times New Roman" w:eastAsia="宋体" w:cs="Times New Roman"/>
                <w:color w:val="auto"/>
                <w:sz w:val="24"/>
                <w:szCs w:val="24"/>
              </w:rPr>
            </w:pPr>
          </w:p>
          <w:p w14:paraId="4260E758">
            <w:pPr>
              <w:spacing w:before="51" w:line="360" w:lineRule="auto"/>
              <w:rPr>
                <w:rFonts w:hint="default" w:ascii="Times New Roman" w:hAnsi="Times New Roman" w:eastAsia="宋体" w:cs="Times New Roman"/>
                <w:color w:val="auto"/>
                <w:sz w:val="24"/>
                <w:szCs w:val="24"/>
              </w:rPr>
            </w:pPr>
          </w:p>
        </w:tc>
      </w:tr>
    </w:tbl>
    <w:p w14:paraId="1552BC0D">
      <w:pPr>
        <w:spacing w:line="91" w:lineRule="auto"/>
        <w:rPr>
          <w:rFonts w:hint="default" w:ascii="Times New Roman" w:hAnsi="Times New Roman" w:eastAsia="宋体" w:cs="Times New Roman"/>
          <w:color w:val="auto"/>
          <w:sz w:val="2"/>
        </w:rPr>
      </w:pPr>
    </w:p>
    <w:p w14:paraId="39D33FB2">
      <w:pPr>
        <w:spacing w:before="145" w:line="323" w:lineRule="exact"/>
        <w:ind w:firstLine="593"/>
        <w:jc w:val="center"/>
        <w:outlineLvl w:val="0"/>
        <w:rPr>
          <w:rFonts w:hint="default" w:ascii="Times New Roman" w:hAnsi="Times New Roman" w:eastAsia="宋体" w:cs="Times New Roman"/>
          <w:color w:val="auto"/>
          <w:sz w:val="30"/>
          <w:szCs w:val="30"/>
        </w:rPr>
      </w:pPr>
    </w:p>
    <w:p w14:paraId="3A793DED">
      <w:pPr>
        <w:spacing w:before="145" w:line="323" w:lineRule="exact"/>
        <w:ind w:firstLine="593"/>
        <w:jc w:val="center"/>
        <w:outlineLvl w:val="0"/>
        <w:rPr>
          <w:rFonts w:hint="default" w:ascii="Times New Roman" w:hAnsi="Times New Roman" w:eastAsia="宋体" w:cs="Times New Roman"/>
          <w:color w:val="auto"/>
          <w:sz w:val="30"/>
          <w:szCs w:val="30"/>
        </w:rPr>
        <w:sectPr>
          <w:footerReference r:id="rId10" w:type="default"/>
          <w:pgSz w:w="11906" w:h="16839"/>
          <w:pgMar w:top="1431" w:right="1687" w:bottom="1179" w:left="1687" w:header="0" w:footer="1001" w:gutter="0"/>
          <w:cols w:space="720" w:num="1"/>
        </w:sectPr>
      </w:pPr>
    </w:p>
    <w:p w14:paraId="5DBDB4DC">
      <w:pPr>
        <w:spacing w:before="145" w:line="323" w:lineRule="exact"/>
        <w:ind w:firstLine="593"/>
        <w:jc w:val="center"/>
        <w:outlineLvl w:val="0"/>
        <w:rPr>
          <w:rFonts w:hint="default" w:ascii="Times New Roman" w:hAnsi="Times New Roman" w:eastAsia="宋体" w:cs="Times New Roman"/>
          <w:color w:val="auto"/>
          <w:sz w:val="30"/>
          <w:szCs w:val="30"/>
        </w:rPr>
      </w:pPr>
      <w:bookmarkStart w:id="14" w:name="_Toc4853"/>
      <w:r>
        <w:rPr>
          <w:rFonts w:hint="default" w:ascii="Times New Roman" w:hAnsi="Times New Roman" w:eastAsia="宋体" w:cs="Times New Roman"/>
          <w:color w:val="auto"/>
          <w:sz w:val="30"/>
          <w:szCs w:val="30"/>
        </w:rPr>
        <w:t>三、生态环境现状、保护目标及评价标准</w:t>
      </w:r>
      <w:bookmarkEnd w:id="14"/>
    </w:p>
    <w:p w14:paraId="09E54959">
      <w:pPr>
        <w:spacing w:line="83" w:lineRule="exact"/>
        <w:rPr>
          <w:rFonts w:hint="default" w:ascii="Times New Roman" w:hAnsi="Times New Roman" w:eastAsia="宋体" w:cs="Times New Roman"/>
          <w:color w:val="auto"/>
        </w:rPr>
      </w:pPr>
    </w:p>
    <w:tbl>
      <w:tblPr>
        <w:tblStyle w:val="43"/>
        <w:tblW w:w="8787"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239"/>
        <w:gridCol w:w="9021"/>
      </w:tblGrid>
      <w:tr w14:paraId="11A21BB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jc w:val="center"/>
        </w:trPr>
        <w:tc>
          <w:tcPr>
            <w:tcW w:w="462" w:type="dxa"/>
            <w:textDirection w:val="tbRlV"/>
            <w:vAlign w:val="center"/>
          </w:tcPr>
          <w:p w14:paraId="653E9A77">
            <w:pPr>
              <w:spacing w:before="108" w:line="180" w:lineRule="auto"/>
              <w:ind w:firstLine="5409"/>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1"/>
                <w:sz w:val="24"/>
                <w:szCs w:val="24"/>
              </w:rPr>
              <w:t>生态环境现状</w:t>
            </w:r>
          </w:p>
        </w:tc>
        <w:tc>
          <w:tcPr>
            <w:tcW w:w="8064" w:type="dxa"/>
            <w:vAlign w:val="center"/>
          </w:tcPr>
          <w:p w14:paraId="37CCB205">
            <w:pPr>
              <w:spacing w:before="3" w:line="360" w:lineRule="auto"/>
              <w:ind w:left="113" w:right="106" w:firstLine="486"/>
              <w:outlineLvl w:val="1"/>
              <w:rPr>
                <w:rFonts w:hint="default" w:ascii="Times New Roman" w:hAnsi="Times New Roman" w:eastAsia="宋体" w:cs="Times New Roman"/>
                <w:b/>
                <w:bCs/>
                <w:color w:val="auto"/>
                <w:sz w:val="28"/>
                <w:szCs w:val="28"/>
              </w:rPr>
            </w:pPr>
            <w:bookmarkStart w:id="15" w:name="_Toc5703"/>
            <w:r>
              <w:rPr>
                <w:rFonts w:hint="default" w:ascii="Times New Roman" w:hAnsi="Times New Roman" w:eastAsia="宋体" w:cs="Times New Roman"/>
                <w:b/>
                <w:bCs/>
                <w:color w:val="auto"/>
                <w:sz w:val="28"/>
                <w:szCs w:val="28"/>
              </w:rPr>
              <w:t>一、生态环境现状</w:t>
            </w:r>
            <w:bookmarkEnd w:id="15"/>
          </w:p>
          <w:p w14:paraId="73BE6990">
            <w:pPr>
              <w:spacing w:before="3" w:line="360" w:lineRule="auto"/>
              <w:ind w:left="113" w:right="106" w:firstLine="486"/>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sz w:val="24"/>
                <w:szCs w:val="24"/>
              </w:rPr>
              <w:t>(1)全国及四川省主体功能区划情况</w:t>
            </w:r>
          </w:p>
          <w:p w14:paraId="5551E1F9">
            <w:pPr>
              <w:spacing w:before="3" w:line="360" w:lineRule="auto"/>
              <w:ind w:left="113" w:right="106" w:firstLine="486"/>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1、根据全国主体功能区规划情况</w:t>
            </w:r>
          </w:p>
          <w:p w14:paraId="55612ADE">
            <w:pPr>
              <w:spacing w:before="3" w:line="360" w:lineRule="auto"/>
              <w:ind w:left="113" w:right="106" w:firstLine="486"/>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根据《全国主体功能区规划情况》，项目位于成渝地区。该区域位于全国“两横三纵”城市化战略格局中沿长江通道横轴和包昆通道纵轴的交汇处，包括重庆经济区和成都经济区。</w:t>
            </w:r>
          </w:p>
          <w:p w14:paraId="25C8DC49">
            <w:pPr>
              <w:spacing w:before="3" w:line="360" w:lineRule="auto"/>
              <w:ind w:left="113" w:right="106" w:firstLine="486"/>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该区域的功能定位是：全国统筹城乡发展的示范区，全国重要的高新技术产业、先进制造业和现代服务业基地，科技教育、商贸物流、金融中心和综合交通枢纽，西南地区科技创新基地，西部地区重要的人口和经济密集区。</w:t>
            </w:r>
          </w:p>
          <w:p w14:paraId="3E0AFC20">
            <w:pPr>
              <w:spacing w:before="3" w:line="360" w:lineRule="auto"/>
              <w:ind w:left="113" w:right="106" w:firstLine="486"/>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本项目为国家储备林建设及森林质量项目，本项目与《全国主体功能区规划》是协调的。</w:t>
            </w:r>
          </w:p>
          <w:p w14:paraId="4FF1A63C">
            <w:pPr>
              <w:spacing w:before="3" w:line="360" w:lineRule="auto"/>
              <w:ind w:left="113" w:right="106" w:firstLine="486"/>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2、四川省主体功能区规划情况</w:t>
            </w:r>
          </w:p>
          <w:p w14:paraId="60BDA25D">
            <w:pPr>
              <w:spacing w:before="3" w:line="360" w:lineRule="auto"/>
              <w:ind w:left="113" w:right="106" w:firstLine="486"/>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根据《四川省主体功能区划》，项目位于点状开发城镇。</w:t>
            </w:r>
          </w:p>
          <w:p w14:paraId="775638C0">
            <w:pPr>
              <w:spacing w:before="3" w:line="360" w:lineRule="auto"/>
              <w:ind w:left="113" w:right="106" w:firstLine="486"/>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点状开发城镇依据《国家发展改革委办公厅关于省级主体功能区修改意见的通知》的相关要求，将农产品主产区和省级重点生态功能区的县城关镇和少数建制镇作为省级重点开发区域，与国家重点开发区域位置相连的，可作为国家层面的重点开发区域。</w:t>
            </w:r>
          </w:p>
          <w:p w14:paraId="2444E797">
            <w:pPr>
              <w:spacing w:before="3" w:line="360" w:lineRule="auto"/>
              <w:ind w:left="113" w:right="106" w:firstLine="486"/>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主要包括与成都平原地区相连的农产品主产区以及省级重点生态功能区的14个县的县城镇及重点镇，共0.06万平方公里，该区域为国家层面的重点开发区域；与川南、川东北、攀西地区相连的农产品主产区以及省级重点生态功能区的36个县的县城镇及重点镇，共0.16万平方公里，该区域为省级的重点开发区域。</w:t>
            </w:r>
          </w:p>
          <w:p w14:paraId="1D296648">
            <w:pPr>
              <w:spacing w:before="3" w:line="360" w:lineRule="auto"/>
              <w:ind w:left="113" w:right="106" w:firstLine="486"/>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功能定位：区域性中心城市产业辐射和转移的重要承接区，农产品、劳动力等生产要素的主要供给区，农产品深加工基地，周边农业和生态人口转移的集聚区，使其成为集聚、带动、辐射乡村腹地的经济社会发展中心。</w:t>
            </w:r>
          </w:p>
          <w:p w14:paraId="25B96957">
            <w:pPr>
              <w:spacing w:before="3" w:line="360" w:lineRule="auto"/>
              <w:ind w:left="113" w:right="106" w:firstLine="486"/>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发展方向：在保障农产品供给和保护生态环境的前提下，适度推进工业化城镇化开发，点状开发优势矿产、水能资源，促进资源加工转化，推进清洁能源、生态农业、生态旅游、优势矿产等优势特色产业发展，促进产业和人口适度集中集约布局，加强县城和重点镇公共服务设施建设，完善公共服务和居住功能。</w:t>
            </w:r>
          </w:p>
          <w:p w14:paraId="605F9EAC">
            <w:pPr>
              <w:spacing w:before="3" w:line="360" w:lineRule="auto"/>
              <w:ind w:left="113" w:right="106" w:firstLine="486"/>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国家层面的点状开发的城镇中江县、三台县、盐亭县、梓潼县、安岳县、乐至县、井研县、汉源县、芦山县、洪雅县、沐川县、石棉县、峨边县、马边县14个县的县城镇及重点镇620</w:t>
            </w:r>
          </w:p>
          <w:p w14:paraId="7B835E9C">
            <w:pPr>
              <w:spacing w:before="3" w:line="360" w:lineRule="auto"/>
              <w:ind w:left="113" w:right="106" w:firstLine="486"/>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省级层面的点状开发的城镇荣县、资中县、长宁县、高县、珙县、筠连县、兴文县、叙永县、古蔺县、屏山县、蓬溪县、西充县、营山县、蓬安县、仪陇县、岳池县、开江县、渠县、宣汉县、平昌县、剑阁县、苍溪县、邻水县、会东县、德昌县、米易县、宁南县、普格县、喜德县、越西县、甘洛县、雷波县、布拖县、金阳县、昭觉县、美姑县36个县的县城镇及重点镇1580。</w:t>
            </w:r>
          </w:p>
          <w:p w14:paraId="7AA165DF">
            <w:pPr>
              <w:spacing w:before="3" w:line="360" w:lineRule="auto"/>
              <w:ind w:left="113" w:right="106" w:firstLine="486"/>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本项目为</w:t>
            </w:r>
            <w:r>
              <w:rPr>
                <w:rFonts w:hint="default" w:ascii="Times New Roman" w:hAnsi="Times New Roman" w:eastAsia="宋体" w:cs="Times New Roman"/>
                <w:color w:val="auto"/>
                <w:sz w:val="24"/>
                <w:szCs w:val="24"/>
                <w:lang w:eastAsia="zh-CN"/>
              </w:rPr>
              <w:t>国家储备林建设及森林质量项目</w:t>
            </w:r>
            <w:r>
              <w:rPr>
                <w:rFonts w:hint="default" w:ascii="Times New Roman" w:hAnsi="Times New Roman" w:eastAsia="宋体" w:cs="Times New Roman"/>
                <w:color w:val="auto"/>
                <w:sz w:val="24"/>
                <w:szCs w:val="24"/>
              </w:rPr>
              <w:t>，为区域的其他产业带来极大的正效益，因此本项目与《四川省主体功能区规划》是协调的。</w:t>
            </w:r>
          </w:p>
          <w:p w14:paraId="7DE2584C">
            <w:pPr>
              <w:spacing w:before="3" w:line="360" w:lineRule="auto"/>
              <w:ind w:right="106"/>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rPr>
              <w:drawing>
                <wp:inline distT="0" distB="0" distL="114300" distR="114300">
                  <wp:extent cx="5268595" cy="4221480"/>
                  <wp:effectExtent l="0" t="0" r="8255" b="762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42"/>
                          <a:stretch>
                            <a:fillRect/>
                          </a:stretch>
                        </pic:blipFill>
                        <pic:spPr>
                          <a:xfrm>
                            <a:off x="0" y="0"/>
                            <a:ext cx="5268595" cy="4221480"/>
                          </a:xfrm>
                          <a:prstGeom prst="rect">
                            <a:avLst/>
                          </a:prstGeom>
                          <a:noFill/>
                          <a:ln>
                            <a:noFill/>
                          </a:ln>
                        </pic:spPr>
                      </pic:pic>
                    </a:graphicData>
                  </a:graphic>
                </wp:inline>
              </w:drawing>
            </w:r>
          </w:p>
          <w:p w14:paraId="7F5445F7">
            <w:pPr>
              <w:jc w:val="center"/>
              <w:rPr>
                <w:rFonts w:hint="default" w:ascii="Times New Roman" w:hAnsi="Times New Roman" w:eastAsia="宋体" w:cs="Times New Roman"/>
                <w:color w:val="auto"/>
              </w:rPr>
            </w:pPr>
            <w:r>
              <w:rPr>
                <w:rFonts w:hint="default" w:ascii="Times New Roman" w:hAnsi="Times New Roman" w:eastAsia="宋体" w:cs="Times New Roman"/>
                <w:b/>
                <w:bCs/>
                <w:color w:val="auto"/>
              </w:rPr>
              <w:t>图3-1  四川省主体功能区划分总图</w:t>
            </w:r>
          </w:p>
          <w:p w14:paraId="3A9F81C9">
            <w:pPr>
              <w:spacing w:before="3" w:line="360" w:lineRule="auto"/>
              <w:ind w:left="113" w:right="106" w:firstLine="486"/>
              <w:jc w:val="both"/>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(2)全国及四川省生态功能区划情况</w:t>
            </w:r>
          </w:p>
          <w:p w14:paraId="39AE9B70">
            <w:pPr>
              <w:kinsoku/>
              <w:autoSpaceDE/>
              <w:autoSpaceDN/>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1、全国生态功能区划情况</w:t>
            </w:r>
          </w:p>
          <w:p w14:paraId="39A668F5">
            <w:pPr>
              <w:kinsoku/>
              <w:autoSpaceDE/>
              <w:autoSpaceDN/>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根据《全国生态功能区划》，本项目位于农产品提供功能区。</w:t>
            </w:r>
          </w:p>
          <w:p w14:paraId="30419019">
            <w:pPr>
              <w:kinsoku/>
              <w:autoSpaceDE/>
              <w:autoSpaceDN/>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农产品提供功能区主要是指以提供粮食、肉类、蛋、奶、水产品和棉、油等农产品为主的长期从事农业生产的地区，包括全国商品粮基地和集中联片的农业用地，以及畜产品和水产品提供的区域。</w:t>
            </w:r>
          </w:p>
          <w:p w14:paraId="2CA1872B">
            <w:pPr>
              <w:kinsoku/>
              <w:autoSpaceDE/>
              <w:autoSpaceDN/>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全国共划分农产品提供功能区58个，面积共计180.6万平方公里，占全国国土面积的18.9%，集中分布在东北平原、华北平原、长江中下游平原、四川盆地、东南沿海平原地区、汾渭谷地、河套灌区、宁夏灌区、新疆绿洲等商品粮集中生产区，以及内蒙古东部草甸草原、青藏高原高寒草甸、新疆天山北部草原等重要畜牧业区。</w:t>
            </w:r>
          </w:p>
          <w:p w14:paraId="1826E2CC">
            <w:pPr>
              <w:kinsoku/>
              <w:autoSpaceDE/>
              <w:autoSpaceDN/>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该类型区的主要生态问题：农田侵占、土壤肥力下降、农业面源污染严重；在草地畜牧业区，过度放牧，草地退化沙化，抵御灾害能力低。该类型区生态保护的主要方向：</w:t>
            </w:r>
          </w:p>
          <w:p w14:paraId="2975A26D">
            <w:pPr>
              <w:kinsoku/>
              <w:autoSpaceDE/>
              <w:autoSpaceDN/>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1）严格保护基本农田，培养土壤肥力。</w:t>
            </w:r>
          </w:p>
          <w:p w14:paraId="66A1AE2A">
            <w:pPr>
              <w:kinsoku/>
              <w:autoSpaceDE/>
              <w:autoSpaceDN/>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2）加强农田基本建设，增强抗自然灾害的能力。</w:t>
            </w:r>
          </w:p>
          <w:p w14:paraId="61FB9189">
            <w:pPr>
              <w:kinsoku/>
              <w:autoSpaceDE/>
              <w:autoSpaceDN/>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3）加强水利建设，大力发展节水农业；种养结合，科学施肥。</w:t>
            </w:r>
          </w:p>
          <w:p w14:paraId="498E66D6">
            <w:pPr>
              <w:kinsoku/>
              <w:autoSpaceDE/>
              <w:autoSpaceDN/>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4）发展无公害农产品、绿色食品和有机食品；调整农业产业和农村经济结构，合理组织农业生产和农村经济活动。</w:t>
            </w:r>
          </w:p>
          <w:p w14:paraId="48DD8AD5">
            <w:pPr>
              <w:kinsoku/>
              <w:autoSpaceDE/>
              <w:autoSpaceDN/>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5）在草地畜牧业区，要科学确定草场载畜量，实行季节畜牧业，实现草畜平衡；草地封育改良相结合，实施大范围轮封轮牧制度。</w:t>
            </w:r>
          </w:p>
          <w:p w14:paraId="4B45E295">
            <w:pPr>
              <w:spacing w:before="3" w:line="360" w:lineRule="auto"/>
              <w:ind w:left="113" w:right="106" w:firstLine="486"/>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2、四川省生态功能区划情况</w:t>
            </w:r>
          </w:p>
          <w:p w14:paraId="4CD2620E">
            <w:pPr>
              <w:spacing w:before="3" w:line="360" w:lineRule="auto"/>
              <w:ind w:left="113" w:right="106" w:firstLine="486"/>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根据四川省生态功能区划，本项目所在的位置属于：Ⅰ四川盆地亚热带农林生态区→Ⅰ-2盆中丘陵农林复合生态亚区→I2-4 涪江中下游城镇农业生态功能区。</w:t>
            </w:r>
          </w:p>
          <w:p w14:paraId="6CDAEF10">
            <w:pPr>
              <w:spacing w:before="3" w:line="360" w:lineRule="auto"/>
              <w:ind w:left="113" w:right="106" w:firstLine="486"/>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典型生态系统：农田、城市和水生态系统</w:t>
            </w:r>
          </w:p>
          <w:p w14:paraId="461BF122">
            <w:pPr>
              <w:spacing w:before="3" w:line="360" w:lineRule="auto"/>
              <w:ind w:left="113" w:right="106" w:firstLine="486"/>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主要生态问题：森林覆盖率低，</w:t>
            </w:r>
            <w:r>
              <w:rPr>
                <w:rFonts w:hint="default" w:ascii="Times New Roman" w:hAnsi="Times New Roman" w:eastAsia="宋体" w:cs="Times New Roman"/>
                <w:color w:val="auto"/>
                <w:sz w:val="24"/>
                <w:szCs w:val="24"/>
                <w:lang w:val="en-US" w:eastAsia="zh-CN"/>
              </w:rPr>
              <w:t>水土流失</w:t>
            </w:r>
            <w:r>
              <w:rPr>
                <w:rFonts w:hint="default" w:ascii="Times New Roman" w:hAnsi="Times New Roman" w:eastAsia="宋体" w:cs="Times New Roman"/>
                <w:color w:val="auto"/>
                <w:sz w:val="24"/>
                <w:szCs w:val="24"/>
              </w:rPr>
              <w:t>，耕地垦殖过渡，农村面源污染，</w:t>
            </w:r>
            <w:r>
              <w:rPr>
                <w:rFonts w:hint="default" w:ascii="Times New Roman" w:hAnsi="Times New Roman" w:eastAsia="宋体" w:cs="Times New Roman"/>
                <w:color w:val="auto"/>
                <w:sz w:val="24"/>
                <w:szCs w:val="24"/>
                <w:lang w:val="en-US" w:eastAsia="zh-CN"/>
              </w:rPr>
              <w:t>旱灾频发</w:t>
            </w:r>
            <w:r>
              <w:rPr>
                <w:rFonts w:hint="default" w:ascii="Times New Roman" w:hAnsi="Times New Roman" w:eastAsia="宋体" w:cs="Times New Roman"/>
                <w:color w:val="auto"/>
                <w:sz w:val="24"/>
                <w:szCs w:val="24"/>
              </w:rPr>
              <w:t>。</w:t>
            </w:r>
          </w:p>
          <w:p w14:paraId="7976A86A">
            <w:pPr>
              <w:spacing w:before="3" w:line="360" w:lineRule="auto"/>
              <w:ind w:left="113" w:right="106" w:firstLine="486"/>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生态环境敏感性：土壤侵蚀中度敏感，水环境污染</w:t>
            </w:r>
            <w:r>
              <w:rPr>
                <w:rFonts w:hint="default" w:ascii="Times New Roman" w:hAnsi="Times New Roman" w:eastAsia="宋体" w:cs="Times New Roman"/>
                <w:color w:val="auto"/>
                <w:sz w:val="24"/>
                <w:szCs w:val="24"/>
                <w:lang w:val="en-US" w:eastAsia="zh-CN"/>
              </w:rPr>
              <w:t>高度</w:t>
            </w:r>
            <w:r>
              <w:rPr>
                <w:rFonts w:hint="default" w:ascii="Times New Roman" w:hAnsi="Times New Roman" w:eastAsia="宋体" w:cs="Times New Roman"/>
                <w:color w:val="auto"/>
                <w:sz w:val="24"/>
                <w:szCs w:val="24"/>
              </w:rPr>
              <w:t>敏感，酸雨轻度敏感。</w:t>
            </w:r>
          </w:p>
          <w:p w14:paraId="5B79354F">
            <w:pPr>
              <w:spacing w:before="3" w:line="360" w:lineRule="auto"/>
              <w:ind w:left="113" w:right="106" w:firstLine="486"/>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主要生态服务功能：城市与农业发展，水环境污染控制</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下洪水调蓄</w:t>
            </w:r>
            <w:r>
              <w:rPr>
                <w:rFonts w:hint="default" w:ascii="Times New Roman" w:hAnsi="Times New Roman" w:eastAsia="宋体" w:cs="Times New Roman"/>
                <w:color w:val="auto"/>
                <w:sz w:val="24"/>
                <w:szCs w:val="24"/>
              </w:rPr>
              <w:t>。</w:t>
            </w:r>
          </w:p>
          <w:p w14:paraId="48028CE2">
            <w:pPr>
              <w:spacing w:before="3" w:line="360" w:lineRule="auto"/>
              <w:ind w:left="113" w:right="106" w:firstLine="486"/>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生态建设发展方向：发挥中心城市辐射作用，发展生态农业经济；加强基本农田保护和建设，完善水利设施,实施科学耕作法，培育替代产业。发展农业、养殖业及以农副产品为主要原料的工业。防治农村面源污染和地表径流水质污染。</w:t>
            </w:r>
          </w:p>
          <w:p w14:paraId="307ADBAD">
            <w:pPr>
              <w:spacing w:before="3" w:line="360" w:lineRule="auto"/>
              <w:ind w:left="113" w:right="106" w:firstLine="486"/>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综上，本项目临时占地不涉及基本农田，本项目</w:t>
            </w:r>
            <w:r>
              <w:rPr>
                <w:rFonts w:hint="default" w:ascii="Times New Roman" w:hAnsi="Times New Roman" w:eastAsia="宋体" w:cs="Times New Roman"/>
                <w:color w:val="auto"/>
                <w:sz w:val="24"/>
                <w:szCs w:val="24"/>
                <w:lang w:eastAsia="zh-CN"/>
              </w:rPr>
              <w:t>国家储备林建设</w:t>
            </w:r>
            <w:r>
              <w:rPr>
                <w:rFonts w:hint="default" w:ascii="Times New Roman" w:hAnsi="Times New Roman" w:eastAsia="宋体" w:cs="Times New Roman"/>
                <w:color w:val="auto"/>
                <w:sz w:val="24"/>
                <w:szCs w:val="24"/>
              </w:rPr>
              <w:t>有利于保护该区域的耕地农田免受洪水灾害，促进区域农业生态发展，防治区域水土流失，符合区域生态功能定位的要求。</w:t>
            </w:r>
          </w:p>
          <w:p w14:paraId="29033D7A">
            <w:pPr>
              <w:spacing w:before="3" w:line="360" w:lineRule="auto"/>
              <w:ind w:left="113" w:right="106" w:firstLine="486"/>
              <w:rPr>
                <w:rFonts w:hint="default" w:ascii="Times New Roman" w:hAnsi="Times New Roman" w:eastAsia="宋体" w:cs="Times New Roman"/>
                <w:color w:val="auto"/>
              </w:rPr>
            </w:pPr>
            <w:r>
              <w:rPr>
                <w:rFonts w:hint="default" w:ascii="Times New Roman" w:hAnsi="Times New Roman" w:eastAsia="宋体" w:cs="Times New Roman"/>
                <w:color w:val="auto"/>
              </w:rPr>
              <w:drawing>
                <wp:inline distT="0" distB="0" distL="114300" distR="114300">
                  <wp:extent cx="5269865" cy="4305300"/>
                  <wp:effectExtent l="0" t="0" r="6985"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43"/>
                          <a:stretch>
                            <a:fillRect/>
                          </a:stretch>
                        </pic:blipFill>
                        <pic:spPr>
                          <a:xfrm>
                            <a:off x="0" y="0"/>
                            <a:ext cx="5269865" cy="4305300"/>
                          </a:xfrm>
                          <a:prstGeom prst="rect">
                            <a:avLst/>
                          </a:prstGeom>
                          <a:noFill/>
                          <a:ln>
                            <a:noFill/>
                          </a:ln>
                        </pic:spPr>
                      </pic:pic>
                    </a:graphicData>
                  </a:graphic>
                </wp:inline>
              </w:drawing>
            </w:r>
          </w:p>
          <w:p w14:paraId="2160FB87">
            <w:pPr>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图3-2  四川省限制开发区域（重点生态功能区）分布图</w:t>
            </w:r>
          </w:p>
          <w:p w14:paraId="3BE5FB77">
            <w:pPr>
              <w:pStyle w:val="20"/>
              <w:rPr>
                <w:rFonts w:hint="default" w:ascii="Times New Roman" w:hAnsi="Times New Roman" w:eastAsia="宋体" w:cs="Times New Roman"/>
                <w:color w:val="auto"/>
              </w:rPr>
            </w:pPr>
          </w:p>
          <w:p w14:paraId="64919D45">
            <w:pPr>
              <w:spacing w:before="41" w:line="360" w:lineRule="auto"/>
              <w:ind w:firstLine="687" w:firstLineChars="300"/>
              <w:rPr>
                <w:rFonts w:hint="default" w:ascii="Times New Roman" w:hAnsi="Times New Roman" w:eastAsia="宋体" w:cs="Times New Roman"/>
                <w:b/>
                <w:bCs/>
                <w:color w:val="auto"/>
                <w:spacing w:val="-6"/>
                <w:sz w:val="24"/>
                <w:szCs w:val="24"/>
              </w:rPr>
            </w:pPr>
            <w:r>
              <w:rPr>
                <w:rFonts w:hint="default" w:ascii="Times New Roman" w:hAnsi="Times New Roman" w:eastAsia="宋体" w:cs="Times New Roman"/>
                <w:b/>
                <w:bCs/>
                <w:color w:val="auto"/>
                <w:spacing w:val="-6"/>
                <w:sz w:val="24"/>
                <w:szCs w:val="24"/>
              </w:rPr>
              <w:t>(3)生态环境现状</w:t>
            </w:r>
          </w:p>
          <w:p w14:paraId="78D44417">
            <w:pPr>
              <w:spacing w:before="41" w:line="360" w:lineRule="auto"/>
              <w:ind w:firstLine="687" w:firstLineChars="300"/>
              <w:rPr>
                <w:rFonts w:hint="default" w:ascii="Times New Roman" w:hAnsi="Times New Roman" w:eastAsia="宋体" w:cs="Times New Roman"/>
                <w:b/>
                <w:bCs/>
                <w:color w:val="auto"/>
                <w:spacing w:val="-6"/>
                <w:sz w:val="24"/>
                <w:szCs w:val="24"/>
              </w:rPr>
            </w:pPr>
            <w:r>
              <w:rPr>
                <w:rFonts w:hint="default" w:ascii="Times New Roman" w:hAnsi="Times New Roman" w:eastAsia="宋体" w:cs="Times New Roman"/>
                <w:b/>
                <w:bCs/>
                <w:color w:val="auto"/>
                <w:spacing w:val="-6"/>
                <w:sz w:val="24"/>
                <w:szCs w:val="24"/>
              </w:rPr>
              <w:t>1）调查范围及方法</w:t>
            </w:r>
          </w:p>
          <w:p w14:paraId="7CF4A09C">
            <w:pPr>
              <w:spacing w:before="3" w:line="360" w:lineRule="auto"/>
              <w:ind w:left="113" w:right="106" w:firstLine="486"/>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次评价主要采用生物量和物种多样性调查以及资料收集等方法，对评价区域的土地利用现状、植物资源、动物资源、景观格局等进行生态背景调查。查阅标本馆中有关评价区内珍稀濒危保护动植物的标本，并整理有分布的动植物种类、分布范围和生境（栖息地）等资料；查阅《四川植物志》、《中国药用植物志》等相关资料，整理评价区内的重要野生资源植物分布情况。</w:t>
            </w:r>
          </w:p>
          <w:p w14:paraId="1362817E">
            <w:pPr>
              <w:kinsoku/>
              <w:autoSpaceDE/>
              <w:autoSpaceDN/>
              <w:adjustRightInd/>
              <w:snapToGrid/>
              <w:spacing w:line="360" w:lineRule="auto"/>
              <w:ind w:firstLine="482" w:firstLineChars="200"/>
              <w:textAlignment w:val="auto"/>
              <w:outlineLvl w:val="2"/>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sz w:val="24"/>
                <w:szCs w:val="24"/>
                <w:lang w:bidi="ar"/>
              </w:rPr>
              <w:t>2）生态系统现状</w:t>
            </w:r>
          </w:p>
          <w:p w14:paraId="4F6F4742">
            <w:pPr>
              <w:spacing w:before="3" w:line="360" w:lineRule="auto"/>
              <w:ind w:left="113" w:right="106" w:firstLine="486"/>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参考中国陆地生态系统数据库及中国生态分类系统标准的划分方法，对本工程生态评价范围内的生态系统类型进行划分，工程评价区共有4种生态系统类型：森林生态系统、灌丛生态系统、农田生态系统和水域生态系统。</w:t>
            </w:r>
          </w:p>
          <w:p w14:paraId="2FC44A48">
            <w:pPr>
              <w:spacing w:before="3" w:line="360" w:lineRule="auto"/>
              <w:ind w:left="113" w:right="106" w:firstLine="486"/>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①森林生态系统</w:t>
            </w:r>
          </w:p>
          <w:p w14:paraId="503AC9E1">
            <w:pPr>
              <w:spacing w:before="3" w:line="360" w:lineRule="auto"/>
              <w:ind w:left="113" w:right="106" w:firstLine="486"/>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此生态系统以亚热带阔叶林、亚热带针叶林及常绿阔叶林为主。项目区适生植被以松、柏、香樟、香椿、杉树、枫树、桉树、泡桐、黄桷、白杨、洋槐、黄荆、青杠、杂竹、杂草为主。人工植被有油桐、桑树、柚子、柑橘、枇杷李、桃、梨、杏等经济果林。此外，森林生态系统内动物种类主要是鼠类、喜鹊、乌鸦、布谷鸟、山麻雀、野鸡、野兔等类型。</w:t>
            </w:r>
          </w:p>
          <w:p w14:paraId="1407D2E6">
            <w:pPr>
              <w:spacing w:before="3" w:line="360" w:lineRule="auto"/>
              <w:ind w:left="113" w:right="106" w:firstLine="486"/>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②灌丛生态系统</w:t>
            </w:r>
          </w:p>
          <w:p w14:paraId="1C602C6A">
            <w:pPr>
              <w:spacing w:before="3" w:line="360" w:lineRule="auto"/>
              <w:ind w:left="113" w:right="106" w:firstLine="486"/>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此生态系统以蒲苇、黄荆、马桑、龙葵灌丛为主。</w:t>
            </w:r>
          </w:p>
          <w:p w14:paraId="65D9E5B8">
            <w:pPr>
              <w:spacing w:before="3" w:line="360" w:lineRule="auto"/>
              <w:ind w:left="113" w:right="106" w:firstLine="486"/>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 xml:space="preserve">③农田生态系统 </w:t>
            </w:r>
          </w:p>
          <w:p w14:paraId="4E2A464B">
            <w:pPr>
              <w:spacing w:before="3" w:line="360" w:lineRule="auto"/>
              <w:ind w:left="113" w:right="106" w:firstLine="486"/>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此类生态系统是受人工干扰最多的类型，评价区内呈片状分布，植物种类为各种农作物，包括小麦、玉米、油菜、蔬菜等，其生产力水平较高，但生物量受季节影响较大。此外，农田生态系统内动物种类主要是老鼠、昆虫、青蛙、麻雀等田园类型。</w:t>
            </w:r>
          </w:p>
          <w:p w14:paraId="7B9BF913">
            <w:pPr>
              <w:spacing w:before="3" w:line="360" w:lineRule="auto"/>
              <w:ind w:left="113" w:right="106" w:firstLine="486"/>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④水域生态系统</w:t>
            </w:r>
          </w:p>
          <w:p w14:paraId="08661026">
            <w:pPr>
              <w:spacing w:before="3" w:line="360" w:lineRule="auto"/>
              <w:ind w:left="113" w:right="106" w:firstLine="486"/>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此类生态系统主要包括评价区内的河流等，连通性高。受区域气候、地形的影响，评价区内水域生态系统较为单一。该类生态系统的生产者主要为水域中的浮游植物、水生维管束植物、浮叶植物，消费者主要为浮游动物、底栖动物和鱼类。植物优势种主要有蒲苇、菖蒲等沼泽植被与藻类等水生植被。</w:t>
            </w:r>
          </w:p>
          <w:p w14:paraId="2442B382">
            <w:pPr>
              <w:kinsoku/>
              <w:autoSpaceDE/>
              <w:autoSpaceDN/>
              <w:adjustRightInd/>
              <w:snapToGrid/>
              <w:spacing w:line="360" w:lineRule="auto"/>
              <w:ind w:firstLine="482" w:firstLineChars="200"/>
              <w:textAlignment w:val="auto"/>
              <w:outlineLvl w:val="2"/>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3）</w:t>
            </w:r>
            <w:r>
              <w:rPr>
                <w:rFonts w:hint="default" w:ascii="Times New Roman" w:hAnsi="Times New Roman" w:eastAsia="宋体" w:cs="Times New Roman"/>
                <w:b/>
                <w:bCs/>
                <w:color w:val="auto"/>
                <w:sz w:val="24"/>
                <w:szCs w:val="24"/>
                <w:lang w:bidi="ar"/>
              </w:rPr>
              <w:t>植被</w:t>
            </w:r>
          </w:p>
          <w:p w14:paraId="59079E03">
            <w:pPr>
              <w:kinsoku/>
              <w:autoSpaceDE/>
              <w:autoSpaceDN/>
              <w:adjustRightInd/>
              <w:snapToGrid/>
              <w:spacing w:line="360" w:lineRule="auto"/>
              <w:ind w:firstLine="48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 1 \* GB3 \* MERGEFORMAT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①</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t>区域植被区系</w:t>
            </w:r>
          </w:p>
          <w:p w14:paraId="45A017C3">
            <w:pPr>
              <w:kinsoku/>
              <w:autoSpaceDE/>
              <w:autoSpaceDN/>
              <w:adjustRightInd/>
              <w:snapToGrid/>
              <w:spacing w:line="360" w:lineRule="auto"/>
              <w:ind w:firstLine="48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根据《中国植被区划》（孙世洲1999年），工程所在区域属亚热带阔叶林、亚热带针叶林及常绿阔叶林为主。</w:t>
            </w:r>
          </w:p>
          <w:p w14:paraId="5524154F">
            <w:pPr>
              <w:kinsoku/>
              <w:autoSpaceDE/>
              <w:autoSpaceDN/>
              <w:adjustRightInd/>
              <w:snapToGrid/>
              <w:spacing w:line="360" w:lineRule="auto"/>
              <w:ind w:firstLine="48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 2 \* GB3 \* MERGEFORMAT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②</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t>区域植被类型</w:t>
            </w:r>
          </w:p>
          <w:p w14:paraId="405C9614">
            <w:pPr>
              <w:kinsoku/>
              <w:autoSpaceDE/>
              <w:autoSpaceDN/>
              <w:adjustRightInd/>
              <w:snapToGrid/>
              <w:spacing w:line="360" w:lineRule="auto"/>
              <w:ind w:firstLine="48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项目区适生植被以松、柏、香樟、香椿、杉树、枫树、桉树、泡桐、黄桷、白杨、洋槐、黄荆、青杠、杂竹、杂草为主。人工植被有油桐、桑树、柚子、柑橘、枇杷李、桃、梨、杏等经济果林。</w:t>
            </w:r>
          </w:p>
          <w:p w14:paraId="6B8935A5">
            <w:pPr>
              <w:spacing w:before="3" w:line="360" w:lineRule="auto"/>
              <w:ind w:left="113" w:right="106" w:firstLine="486"/>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根据现场调查，项目生态评价范围内无国家Ⅰ、Ⅱ级重点保护野生植物和名木古树，无特殊风景和需保护的名胜、古迹，工程建设不涉及生态敏感区。</w:t>
            </w:r>
          </w:p>
          <w:p w14:paraId="39B6A457">
            <w:pPr>
              <w:kinsoku/>
              <w:autoSpaceDE/>
              <w:autoSpaceDN/>
              <w:adjustRightInd/>
              <w:snapToGrid/>
              <w:spacing w:line="360" w:lineRule="auto"/>
              <w:ind w:firstLine="480"/>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4）陆生动物生态现状调查及评价</w:t>
            </w:r>
          </w:p>
          <w:p w14:paraId="659A62CA">
            <w:pPr>
              <w:spacing w:before="3" w:line="360" w:lineRule="auto"/>
              <w:ind w:left="113" w:right="106" w:firstLine="486"/>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①家庭喂养的动物资源</w:t>
            </w:r>
          </w:p>
          <w:p w14:paraId="1F7929C1">
            <w:pPr>
              <w:spacing w:before="3" w:line="360" w:lineRule="auto"/>
              <w:ind w:left="113" w:right="106" w:firstLine="486"/>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本工程评价区域以森林生态系统、农田生态系统为主。家庭喂养的动物主要有鸡、鸭、家犬、猪等。</w:t>
            </w:r>
          </w:p>
          <w:p w14:paraId="157C45A2">
            <w:pPr>
              <w:spacing w:before="3" w:line="360" w:lineRule="auto"/>
              <w:ind w:left="113" w:right="106" w:firstLine="486"/>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②陆生野生动物资源</w:t>
            </w:r>
          </w:p>
          <w:p w14:paraId="738B3CD8">
            <w:pPr>
              <w:spacing w:before="3" w:line="360" w:lineRule="auto"/>
              <w:ind w:left="113" w:right="106" w:firstLine="486"/>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评价范围内野生动物主要以爬行动物、鸟类、昆虫和软体动物为主。爬行动物有壁虎、蛇，均分布在沿线灌草丛附近；鸟类有家燕、八哥、麻雀、乌鸦、喜鹊等；兽类主要为小型啮齿目鼠类、野鸡、野兔；昆虫类如瓢虫、蚂蚁、蝴蝶等；软体动物，如蚯蚓等。</w:t>
            </w:r>
          </w:p>
          <w:p w14:paraId="493E6AD0">
            <w:pPr>
              <w:spacing w:before="3" w:line="360" w:lineRule="auto"/>
              <w:ind w:right="106" w:firstLine="480" w:firstLineChars="20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（一）两栖类</w:t>
            </w:r>
          </w:p>
          <w:p w14:paraId="3D3D919D">
            <w:pPr>
              <w:spacing w:before="3" w:line="360" w:lineRule="auto"/>
              <w:ind w:left="113" w:right="106" w:firstLine="486"/>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评价范围内的两栖动物有1目2科3种，没有国家及四川省级重点保护两栖动物。</w:t>
            </w:r>
          </w:p>
          <w:p w14:paraId="77BE5DFB">
            <w:pPr>
              <w:spacing w:before="3" w:line="360" w:lineRule="auto"/>
              <w:ind w:left="113" w:right="106" w:firstLine="486"/>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2种两栖动物以东洋界区系为主。适应农田生境的有泽陆蛙、黑斑蛙等，该生境中的优势种为泽蛙、黑斑蛙等，在次生灌丛中，常见的有日本林蛙。</w:t>
            </w:r>
          </w:p>
          <w:p w14:paraId="51F5BF9B">
            <w:pPr>
              <w:spacing w:before="3" w:line="360" w:lineRule="auto"/>
              <w:ind w:left="113" w:right="106" w:firstLine="486"/>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主要种类的生态习性及其分布：</w:t>
            </w:r>
          </w:p>
          <w:p w14:paraId="41FB3E6D">
            <w:pPr>
              <w:spacing w:before="3" w:line="360" w:lineRule="auto"/>
              <w:ind w:left="113" w:right="106" w:firstLine="486"/>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泽陆蛙（Fejevaraya limnocharis）</w:t>
            </w:r>
          </w:p>
          <w:p w14:paraId="7804EDF5">
            <w:pPr>
              <w:spacing w:before="3" w:line="360" w:lineRule="auto"/>
              <w:ind w:left="113" w:right="106" w:firstLine="486"/>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俗称“梆声蛙”、“乌蟆”、“虾蟆仔”。外形似虎纹蛙而体形小，体长50～55毫米。生活在稻田、沼泽、菜园附近。</w:t>
            </w:r>
          </w:p>
          <w:p w14:paraId="13FF9B3B">
            <w:pPr>
              <w:spacing w:before="3" w:line="360" w:lineRule="auto"/>
              <w:ind w:left="113" w:right="106" w:firstLine="486"/>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黑斑蛙（Rana nigromaculata）</w:t>
            </w:r>
          </w:p>
          <w:p w14:paraId="359F6B18">
            <w:pPr>
              <w:spacing w:before="3" w:line="360" w:lineRule="auto"/>
              <w:ind w:left="113" w:right="106" w:firstLine="486"/>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俗称“青蛙”，“田鸡”。体长约7～8cm，雄者略小。常栖息于稻田、池溏、湖泽、河滨、水沟内或水域附近的草丛中。</w:t>
            </w:r>
          </w:p>
          <w:p w14:paraId="2FC25C06">
            <w:pPr>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表3-1   陆域两栖动物名录</w:t>
            </w:r>
          </w:p>
          <w:tbl>
            <w:tblPr>
              <w:tblStyle w:val="32"/>
              <w:tblW w:w="4998" w:type="pct"/>
              <w:jc w:val="center"/>
              <w:tblLayout w:type="autofit"/>
              <w:tblCellMar>
                <w:top w:w="0" w:type="dxa"/>
                <w:left w:w="108" w:type="dxa"/>
                <w:bottom w:w="0" w:type="dxa"/>
                <w:right w:w="108" w:type="dxa"/>
              </w:tblCellMar>
            </w:tblPr>
            <w:tblGrid>
              <w:gridCol w:w="3927"/>
              <w:gridCol w:w="554"/>
              <w:gridCol w:w="554"/>
              <w:gridCol w:w="476"/>
              <w:gridCol w:w="499"/>
              <w:gridCol w:w="1275"/>
              <w:gridCol w:w="838"/>
              <w:gridCol w:w="888"/>
            </w:tblGrid>
            <w:tr w14:paraId="34FBC467">
              <w:tblPrEx>
                <w:tblCellMar>
                  <w:top w:w="0" w:type="dxa"/>
                  <w:left w:w="108" w:type="dxa"/>
                  <w:bottom w:w="0" w:type="dxa"/>
                  <w:right w:w="108" w:type="dxa"/>
                </w:tblCellMar>
              </w:tblPrEx>
              <w:trPr>
                <w:trHeight w:val="23" w:hRule="atLeast"/>
                <w:jc w:val="center"/>
              </w:trPr>
              <w:tc>
                <w:tcPr>
                  <w:tcW w:w="2178" w:type="pct"/>
                  <w:vMerge w:val="restart"/>
                  <w:tcBorders>
                    <w:top w:val="single" w:color="auto" w:sz="8" w:space="0"/>
                    <w:left w:val="single" w:color="auto" w:sz="8" w:space="0"/>
                    <w:bottom w:val="single" w:color="000000" w:sz="8" w:space="0"/>
                    <w:right w:val="single" w:color="auto" w:sz="8" w:space="0"/>
                  </w:tcBorders>
                  <w:vAlign w:val="center"/>
                </w:tcPr>
                <w:p w14:paraId="64D10BBE">
                  <w:pPr>
                    <w:kinsoku/>
                    <w:autoSpaceDE/>
                    <w:autoSpaceDN/>
                    <w:adjustRightInd/>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目、科、种名称</w:t>
                  </w:r>
                </w:p>
              </w:tc>
              <w:tc>
                <w:tcPr>
                  <w:tcW w:w="1155" w:type="pct"/>
                  <w:gridSpan w:val="4"/>
                  <w:tcBorders>
                    <w:top w:val="single" w:color="auto" w:sz="8" w:space="0"/>
                    <w:left w:val="nil"/>
                    <w:bottom w:val="single" w:color="auto" w:sz="8" w:space="0"/>
                    <w:right w:val="single" w:color="000000" w:sz="8" w:space="0"/>
                  </w:tcBorders>
                  <w:vAlign w:val="center"/>
                </w:tcPr>
                <w:p w14:paraId="411B200D">
                  <w:pPr>
                    <w:kinsoku/>
                    <w:autoSpaceDE/>
                    <w:autoSpaceDN/>
                    <w:adjustRightInd/>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生境类型</w:t>
                  </w:r>
                </w:p>
              </w:tc>
              <w:tc>
                <w:tcPr>
                  <w:tcW w:w="707" w:type="pct"/>
                  <w:vMerge w:val="restart"/>
                  <w:tcBorders>
                    <w:top w:val="single" w:color="auto" w:sz="8" w:space="0"/>
                    <w:left w:val="single" w:color="auto" w:sz="8" w:space="0"/>
                    <w:bottom w:val="single" w:color="000000" w:sz="8" w:space="0"/>
                    <w:right w:val="single" w:color="auto" w:sz="8" w:space="0"/>
                  </w:tcBorders>
                  <w:vAlign w:val="center"/>
                </w:tcPr>
                <w:p w14:paraId="18FA5811">
                  <w:pPr>
                    <w:kinsoku/>
                    <w:autoSpaceDE/>
                    <w:autoSpaceDN/>
                    <w:adjustRightInd/>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从属区系</w:t>
                  </w:r>
                </w:p>
              </w:tc>
              <w:tc>
                <w:tcPr>
                  <w:tcW w:w="465" w:type="pct"/>
                  <w:vMerge w:val="restart"/>
                  <w:tcBorders>
                    <w:top w:val="single" w:color="auto" w:sz="8" w:space="0"/>
                    <w:left w:val="single" w:color="auto" w:sz="8" w:space="0"/>
                    <w:bottom w:val="single" w:color="000000" w:sz="8" w:space="0"/>
                    <w:right w:val="single" w:color="auto" w:sz="8" w:space="0"/>
                  </w:tcBorders>
                  <w:vAlign w:val="center"/>
                </w:tcPr>
                <w:p w14:paraId="3012CC64">
                  <w:pPr>
                    <w:kinsoku/>
                    <w:autoSpaceDE/>
                    <w:autoSpaceDN/>
                    <w:adjustRightInd/>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数量</w:t>
                  </w:r>
                </w:p>
              </w:tc>
              <w:tc>
                <w:tcPr>
                  <w:tcW w:w="492" w:type="pct"/>
                  <w:vMerge w:val="restart"/>
                  <w:tcBorders>
                    <w:top w:val="single" w:color="auto" w:sz="8" w:space="0"/>
                    <w:left w:val="single" w:color="auto" w:sz="8" w:space="0"/>
                    <w:bottom w:val="single" w:color="000000" w:sz="8" w:space="0"/>
                    <w:right w:val="single" w:color="auto" w:sz="8" w:space="0"/>
                  </w:tcBorders>
                  <w:vAlign w:val="center"/>
                </w:tcPr>
                <w:p w14:paraId="391600AD">
                  <w:pPr>
                    <w:kinsoku/>
                    <w:autoSpaceDE/>
                    <w:autoSpaceDN/>
                    <w:adjustRightInd/>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保护等级</w:t>
                  </w:r>
                </w:p>
              </w:tc>
            </w:tr>
            <w:tr w14:paraId="243B15E6">
              <w:tblPrEx>
                <w:tblCellMar>
                  <w:top w:w="0" w:type="dxa"/>
                  <w:left w:w="108" w:type="dxa"/>
                  <w:bottom w:w="0" w:type="dxa"/>
                  <w:right w:w="108" w:type="dxa"/>
                </w:tblCellMar>
              </w:tblPrEx>
              <w:trPr>
                <w:trHeight w:val="23" w:hRule="atLeast"/>
                <w:jc w:val="center"/>
              </w:trPr>
              <w:tc>
                <w:tcPr>
                  <w:tcW w:w="2178" w:type="pct"/>
                  <w:vMerge w:val="continue"/>
                  <w:tcBorders>
                    <w:top w:val="single" w:color="auto" w:sz="8" w:space="0"/>
                    <w:left w:val="single" w:color="auto" w:sz="8" w:space="0"/>
                    <w:bottom w:val="single" w:color="000000" w:sz="8" w:space="0"/>
                    <w:right w:val="single" w:color="auto" w:sz="8" w:space="0"/>
                  </w:tcBorders>
                  <w:vAlign w:val="center"/>
                </w:tcPr>
                <w:p w14:paraId="1FD3A85E">
                  <w:pPr>
                    <w:kinsoku/>
                    <w:autoSpaceDE/>
                    <w:autoSpaceDN/>
                    <w:adjustRightInd/>
                    <w:jc w:val="center"/>
                    <w:textAlignment w:val="auto"/>
                    <w:rPr>
                      <w:rFonts w:hint="default" w:ascii="Times New Roman" w:hAnsi="Times New Roman" w:eastAsia="宋体" w:cs="Times New Roman"/>
                      <w:color w:val="auto"/>
                    </w:rPr>
                  </w:pPr>
                </w:p>
              </w:tc>
              <w:tc>
                <w:tcPr>
                  <w:tcW w:w="307" w:type="pct"/>
                  <w:tcBorders>
                    <w:top w:val="nil"/>
                    <w:left w:val="nil"/>
                    <w:bottom w:val="single" w:color="auto" w:sz="8" w:space="0"/>
                    <w:right w:val="single" w:color="auto" w:sz="8" w:space="0"/>
                  </w:tcBorders>
                  <w:vAlign w:val="center"/>
                </w:tcPr>
                <w:p w14:paraId="2E9C6A82">
                  <w:pPr>
                    <w:kinsoku/>
                    <w:autoSpaceDE/>
                    <w:autoSpaceDN/>
                    <w:adjustRightInd/>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水域</w:t>
                  </w:r>
                </w:p>
              </w:tc>
              <w:tc>
                <w:tcPr>
                  <w:tcW w:w="307" w:type="pct"/>
                  <w:tcBorders>
                    <w:top w:val="nil"/>
                    <w:left w:val="nil"/>
                    <w:bottom w:val="single" w:color="auto" w:sz="8" w:space="0"/>
                    <w:right w:val="single" w:color="auto" w:sz="8" w:space="0"/>
                  </w:tcBorders>
                  <w:vAlign w:val="center"/>
                </w:tcPr>
                <w:p w14:paraId="520DE213">
                  <w:pPr>
                    <w:kinsoku/>
                    <w:autoSpaceDE/>
                    <w:autoSpaceDN/>
                    <w:adjustRightInd/>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农田</w:t>
                  </w:r>
                </w:p>
              </w:tc>
              <w:tc>
                <w:tcPr>
                  <w:tcW w:w="264" w:type="pct"/>
                  <w:tcBorders>
                    <w:top w:val="nil"/>
                    <w:left w:val="nil"/>
                    <w:bottom w:val="single" w:color="auto" w:sz="8" w:space="0"/>
                    <w:right w:val="single" w:color="auto" w:sz="8" w:space="0"/>
                  </w:tcBorders>
                  <w:vAlign w:val="center"/>
                </w:tcPr>
                <w:p w14:paraId="41A1E015">
                  <w:pPr>
                    <w:kinsoku/>
                    <w:autoSpaceDE/>
                    <w:autoSpaceDN/>
                    <w:adjustRightInd/>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草灌</w:t>
                  </w:r>
                </w:p>
              </w:tc>
              <w:tc>
                <w:tcPr>
                  <w:tcW w:w="276" w:type="pct"/>
                  <w:tcBorders>
                    <w:top w:val="nil"/>
                    <w:left w:val="nil"/>
                    <w:bottom w:val="single" w:color="auto" w:sz="8" w:space="0"/>
                    <w:right w:val="single" w:color="auto" w:sz="8" w:space="0"/>
                  </w:tcBorders>
                  <w:vAlign w:val="center"/>
                </w:tcPr>
                <w:p w14:paraId="4EE51235">
                  <w:pPr>
                    <w:kinsoku/>
                    <w:autoSpaceDE/>
                    <w:autoSpaceDN/>
                    <w:adjustRightInd/>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森林</w:t>
                  </w:r>
                </w:p>
              </w:tc>
              <w:tc>
                <w:tcPr>
                  <w:tcW w:w="707" w:type="pct"/>
                  <w:vMerge w:val="continue"/>
                  <w:tcBorders>
                    <w:top w:val="single" w:color="auto" w:sz="8" w:space="0"/>
                    <w:left w:val="single" w:color="auto" w:sz="8" w:space="0"/>
                    <w:bottom w:val="single" w:color="000000" w:sz="8" w:space="0"/>
                    <w:right w:val="single" w:color="auto" w:sz="8" w:space="0"/>
                  </w:tcBorders>
                  <w:vAlign w:val="center"/>
                </w:tcPr>
                <w:p w14:paraId="6B49FE0F">
                  <w:pPr>
                    <w:kinsoku/>
                    <w:autoSpaceDE/>
                    <w:autoSpaceDN/>
                    <w:adjustRightInd/>
                    <w:jc w:val="center"/>
                    <w:textAlignment w:val="auto"/>
                    <w:rPr>
                      <w:rFonts w:hint="default" w:ascii="Times New Roman" w:hAnsi="Times New Roman" w:eastAsia="宋体" w:cs="Times New Roman"/>
                      <w:color w:val="auto"/>
                    </w:rPr>
                  </w:pPr>
                </w:p>
              </w:tc>
              <w:tc>
                <w:tcPr>
                  <w:tcW w:w="465" w:type="pct"/>
                  <w:vMerge w:val="continue"/>
                  <w:tcBorders>
                    <w:top w:val="single" w:color="auto" w:sz="8" w:space="0"/>
                    <w:left w:val="single" w:color="auto" w:sz="8" w:space="0"/>
                    <w:bottom w:val="single" w:color="000000" w:sz="8" w:space="0"/>
                    <w:right w:val="single" w:color="auto" w:sz="8" w:space="0"/>
                  </w:tcBorders>
                  <w:vAlign w:val="center"/>
                </w:tcPr>
                <w:p w14:paraId="111894D4">
                  <w:pPr>
                    <w:kinsoku/>
                    <w:autoSpaceDE/>
                    <w:autoSpaceDN/>
                    <w:adjustRightInd/>
                    <w:jc w:val="center"/>
                    <w:textAlignment w:val="auto"/>
                    <w:rPr>
                      <w:rFonts w:hint="default" w:ascii="Times New Roman" w:hAnsi="Times New Roman" w:eastAsia="宋体" w:cs="Times New Roman"/>
                      <w:color w:val="auto"/>
                    </w:rPr>
                  </w:pPr>
                </w:p>
              </w:tc>
              <w:tc>
                <w:tcPr>
                  <w:tcW w:w="492" w:type="pct"/>
                  <w:vMerge w:val="continue"/>
                  <w:tcBorders>
                    <w:top w:val="single" w:color="auto" w:sz="8" w:space="0"/>
                    <w:left w:val="single" w:color="auto" w:sz="8" w:space="0"/>
                    <w:bottom w:val="single" w:color="000000" w:sz="8" w:space="0"/>
                    <w:right w:val="single" w:color="auto" w:sz="8" w:space="0"/>
                  </w:tcBorders>
                  <w:vAlign w:val="center"/>
                </w:tcPr>
                <w:p w14:paraId="7FB5A39A">
                  <w:pPr>
                    <w:kinsoku/>
                    <w:autoSpaceDE/>
                    <w:autoSpaceDN/>
                    <w:adjustRightInd/>
                    <w:jc w:val="center"/>
                    <w:textAlignment w:val="auto"/>
                    <w:rPr>
                      <w:rFonts w:hint="default" w:ascii="Times New Roman" w:hAnsi="Times New Roman" w:eastAsia="宋体" w:cs="Times New Roman"/>
                      <w:color w:val="auto"/>
                    </w:rPr>
                  </w:pPr>
                </w:p>
              </w:tc>
            </w:tr>
            <w:tr w14:paraId="49D08919">
              <w:tblPrEx>
                <w:tblCellMar>
                  <w:top w:w="0" w:type="dxa"/>
                  <w:left w:w="108" w:type="dxa"/>
                  <w:bottom w:w="0" w:type="dxa"/>
                  <w:right w:w="108" w:type="dxa"/>
                </w:tblCellMar>
              </w:tblPrEx>
              <w:trPr>
                <w:trHeight w:val="23" w:hRule="atLeast"/>
                <w:jc w:val="center"/>
              </w:trPr>
              <w:tc>
                <w:tcPr>
                  <w:tcW w:w="2178" w:type="pct"/>
                  <w:tcBorders>
                    <w:top w:val="nil"/>
                    <w:left w:val="single" w:color="auto" w:sz="8" w:space="0"/>
                    <w:bottom w:val="single" w:color="auto" w:sz="8" w:space="0"/>
                    <w:right w:val="single" w:color="auto" w:sz="8" w:space="0"/>
                  </w:tcBorders>
                  <w:vAlign w:val="center"/>
                </w:tcPr>
                <w:p w14:paraId="14A64CBD">
                  <w:pPr>
                    <w:kinsoku/>
                    <w:autoSpaceDE/>
                    <w:autoSpaceDN/>
                    <w:adjustRightInd/>
                    <w:jc w:val="center"/>
                    <w:textAlignment w:val="auto"/>
                    <w:rPr>
                      <w:rFonts w:hint="default" w:ascii="Times New Roman" w:hAnsi="Times New Roman" w:eastAsia="宋体" w:cs="Times New Roman"/>
                      <w:b/>
                      <w:bCs/>
                      <w:color w:val="auto"/>
                    </w:rPr>
                  </w:pPr>
                  <w:r>
                    <w:rPr>
                      <w:rFonts w:hint="default" w:ascii="Times New Roman" w:hAnsi="Times New Roman" w:eastAsia="宋体" w:cs="Times New Roman"/>
                      <w:b/>
                      <w:bCs/>
                      <w:color w:val="auto"/>
                    </w:rPr>
                    <w:t>一、无尾目 ANURA</w:t>
                  </w:r>
                </w:p>
              </w:tc>
              <w:tc>
                <w:tcPr>
                  <w:tcW w:w="307" w:type="pct"/>
                  <w:tcBorders>
                    <w:top w:val="nil"/>
                    <w:left w:val="nil"/>
                    <w:bottom w:val="single" w:color="auto" w:sz="8" w:space="0"/>
                    <w:right w:val="single" w:color="auto" w:sz="8" w:space="0"/>
                  </w:tcBorders>
                  <w:vAlign w:val="center"/>
                </w:tcPr>
                <w:p w14:paraId="52F33D59">
                  <w:pPr>
                    <w:kinsoku/>
                    <w:autoSpaceDE/>
                    <w:autoSpaceDN/>
                    <w:adjustRightInd/>
                    <w:jc w:val="center"/>
                    <w:textAlignment w:val="auto"/>
                    <w:rPr>
                      <w:rFonts w:hint="default" w:ascii="Times New Roman" w:hAnsi="Times New Roman" w:eastAsia="宋体" w:cs="Times New Roman"/>
                      <w:color w:val="auto"/>
                    </w:rPr>
                  </w:pPr>
                </w:p>
              </w:tc>
              <w:tc>
                <w:tcPr>
                  <w:tcW w:w="307" w:type="pct"/>
                  <w:tcBorders>
                    <w:top w:val="nil"/>
                    <w:left w:val="nil"/>
                    <w:bottom w:val="single" w:color="auto" w:sz="8" w:space="0"/>
                    <w:right w:val="single" w:color="auto" w:sz="8" w:space="0"/>
                  </w:tcBorders>
                  <w:vAlign w:val="center"/>
                </w:tcPr>
                <w:p w14:paraId="705FC1C4">
                  <w:pPr>
                    <w:kinsoku/>
                    <w:autoSpaceDE/>
                    <w:autoSpaceDN/>
                    <w:adjustRightInd/>
                    <w:jc w:val="center"/>
                    <w:textAlignment w:val="auto"/>
                    <w:rPr>
                      <w:rFonts w:hint="default" w:ascii="Times New Roman" w:hAnsi="Times New Roman" w:eastAsia="宋体" w:cs="Times New Roman"/>
                      <w:color w:val="auto"/>
                    </w:rPr>
                  </w:pPr>
                </w:p>
              </w:tc>
              <w:tc>
                <w:tcPr>
                  <w:tcW w:w="264" w:type="pct"/>
                  <w:tcBorders>
                    <w:top w:val="nil"/>
                    <w:left w:val="nil"/>
                    <w:bottom w:val="single" w:color="auto" w:sz="8" w:space="0"/>
                    <w:right w:val="single" w:color="auto" w:sz="8" w:space="0"/>
                  </w:tcBorders>
                  <w:vAlign w:val="center"/>
                </w:tcPr>
                <w:p w14:paraId="68C5039C">
                  <w:pPr>
                    <w:kinsoku/>
                    <w:autoSpaceDE/>
                    <w:autoSpaceDN/>
                    <w:adjustRightInd/>
                    <w:jc w:val="center"/>
                    <w:textAlignment w:val="auto"/>
                    <w:rPr>
                      <w:rFonts w:hint="default" w:ascii="Times New Roman" w:hAnsi="Times New Roman" w:eastAsia="宋体" w:cs="Times New Roman"/>
                      <w:color w:val="auto"/>
                    </w:rPr>
                  </w:pPr>
                </w:p>
              </w:tc>
              <w:tc>
                <w:tcPr>
                  <w:tcW w:w="276" w:type="pct"/>
                  <w:tcBorders>
                    <w:top w:val="nil"/>
                    <w:left w:val="nil"/>
                    <w:bottom w:val="single" w:color="auto" w:sz="8" w:space="0"/>
                    <w:right w:val="single" w:color="auto" w:sz="8" w:space="0"/>
                  </w:tcBorders>
                  <w:vAlign w:val="center"/>
                </w:tcPr>
                <w:p w14:paraId="2A6024AA">
                  <w:pPr>
                    <w:kinsoku/>
                    <w:autoSpaceDE/>
                    <w:autoSpaceDN/>
                    <w:adjustRightInd/>
                    <w:jc w:val="center"/>
                    <w:textAlignment w:val="auto"/>
                    <w:rPr>
                      <w:rFonts w:hint="default" w:ascii="Times New Roman" w:hAnsi="Times New Roman" w:eastAsia="宋体" w:cs="Times New Roman"/>
                      <w:color w:val="auto"/>
                    </w:rPr>
                  </w:pPr>
                </w:p>
              </w:tc>
              <w:tc>
                <w:tcPr>
                  <w:tcW w:w="707" w:type="pct"/>
                  <w:tcBorders>
                    <w:top w:val="nil"/>
                    <w:left w:val="nil"/>
                    <w:bottom w:val="single" w:color="auto" w:sz="8" w:space="0"/>
                    <w:right w:val="single" w:color="auto" w:sz="8" w:space="0"/>
                  </w:tcBorders>
                  <w:vAlign w:val="center"/>
                </w:tcPr>
                <w:p w14:paraId="0645A5DA">
                  <w:pPr>
                    <w:kinsoku/>
                    <w:autoSpaceDE/>
                    <w:autoSpaceDN/>
                    <w:adjustRightInd/>
                    <w:jc w:val="center"/>
                    <w:textAlignment w:val="auto"/>
                    <w:rPr>
                      <w:rFonts w:hint="default" w:ascii="Times New Roman" w:hAnsi="Times New Roman" w:eastAsia="宋体" w:cs="Times New Roman"/>
                      <w:color w:val="auto"/>
                    </w:rPr>
                  </w:pPr>
                </w:p>
              </w:tc>
              <w:tc>
                <w:tcPr>
                  <w:tcW w:w="465" w:type="pct"/>
                  <w:tcBorders>
                    <w:top w:val="nil"/>
                    <w:left w:val="nil"/>
                    <w:bottom w:val="single" w:color="auto" w:sz="8" w:space="0"/>
                    <w:right w:val="single" w:color="auto" w:sz="8" w:space="0"/>
                  </w:tcBorders>
                  <w:vAlign w:val="center"/>
                </w:tcPr>
                <w:p w14:paraId="40508467">
                  <w:pPr>
                    <w:kinsoku/>
                    <w:autoSpaceDE/>
                    <w:autoSpaceDN/>
                    <w:adjustRightInd/>
                    <w:jc w:val="center"/>
                    <w:textAlignment w:val="auto"/>
                    <w:rPr>
                      <w:rFonts w:hint="default" w:ascii="Times New Roman" w:hAnsi="Times New Roman" w:eastAsia="宋体" w:cs="Times New Roman"/>
                      <w:color w:val="auto"/>
                    </w:rPr>
                  </w:pPr>
                </w:p>
              </w:tc>
              <w:tc>
                <w:tcPr>
                  <w:tcW w:w="492" w:type="pct"/>
                  <w:tcBorders>
                    <w:top w:val="nil"/>
                    <w:left w:val="nil"/>
                    <w:bottom w:val="single" w:color="auto" w:sz="8" w:space="0"/>
                    <w:right w:val="single" w:color="auto" w:sz="8" w:space="0"/>
                  </w:tcBorders>
                  <w:vAlign w:val="center"/>
                </w:tcPr>
                <w:p w14:paraId="39815CDC">
                  <w:pPr>
                    <w:kinsoku/>
                    <w:autoSpaceDE/>
                    <w:autoSpaceDN/>
                    <w:adjustRightInd/>
                    <w:jc w:val="center"/>
                    <w:textAlignment w:val="auto"/>
                    <w:rPr>
                      <w:rFonts w:hint="default" w:ascii="Times New Roman" w:hAnsi="Times New Roman" w:eastAsia="宋体" w:cs="Times New Roman"/>
                      <w:color w:val="auto"/>
                    </w:rPr>
                  </w:pPr>
                </w:p>
              </w:tc>
            </w:tr>
            <w:tr w14:paraId="7F6BF3F6">
              <w:tblPrEx>
                <w:tblCellMar>
                  <w:top w:w="0" w:type="dxa"/>
                  <w:left w:w="108" w:type="dxa"/>
                  <w:bottom w:w="0" w:type="dxa"/>
                  <w:right w:w="108" w:type="dxa"/>
                </w:tblCellMar>
              </w:tblPrEx>
              <w:trPr>
                <w:trHeight w:val="23" w:hRule="atLeast"/>
                <w:jc w:val="center"/>
              </w:trPr>
              <w:tc>
                <w:tcPr>
                  <w:tcW w:w="2178" w:type="pct"/>
                  <w:tcBorders>
                    <w:top w:val="nil"/>
                    <w:left w:val="single" w:color="auto" w:sz="8" w:space="0"/>
                    <w:bottom w:val="single" w:color="auto" w:sz="8" w:space="0"/>
                    <w:right w:val="single" w:color="auto" w:sz="8" w:space="0"/>
                  </w:tcBorders>
                  <w:vAlign w:val="center"/>
                </w:tcPr>
                <w:p w14:paraId="0B94B5BB">
                  <w:pPr>
                    <w:kinsoku/>
                    <w:autoSpaceDE/>
                    <w:autoSpaceDN/>
                    <w:adjustRightInd/>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（一）蟾蜍科 Bufonidae</w:t>
                  </w:r>
                </w:p>
              </w:tc>
              <w:tc>
                <w:tcPr>
                  <w:tcW w:w="307" w:type="pct"/>
                  <w:tcBorders>
                    <w:top w:val="nil"/>
                    <w:left w:val="nil"/>
                    <w:bottom w:val="single" w:color="auto" w:sz="8" w:space="0"/>
                    <w:right w:val="single" w:color="auto" w:sz="8" w:space="0"/>
                  </w:tcBorders>
                  <w:vAlign w:val="center"/>
                </w:tcPr>
                <w:p w14:paraId="121164DB">
                  <w:pPr>
                    <w:kinsoku/>
                    <w:autoSpaceDE/>
                    <w:autoSpaceDN/>
                    <w:adjustRightInd/>
                    <w:jc w:val="center"/>
                    <w:textAlignment w:val="auto"/>
                    <w:rPr>
                      <w:rFonts w:hint="default" w:ascii="Times New Roman" w:hAnsi="Times New Roman" w:eastAsia="宋体" w:cs="Times New Roman"/>
                      <w:color w:val="auto"/>
                    </w:rPr>
                  </w:pPr>
                </w:p>
              </w:tc>
              <w:tc>
                <w:tcPr>
                  <w:tcW w:w="307" w:type="pct"/>
                  <w:tcBorders>
                    <w:top w:val="nil"/>
                    <w:left w:val="nil"/>
                    <w:bottom w:val="single" w:color="auto" w:sz="8" w:space="0"/>
                    <w:right w:val="single" w:color="auto" w:sz="8" w:space="0"/>
                  </w:tcBorders>
                  <w:vAlign w:val="center"/>
                </w:tcPr>
                <w:p w14:paraId="4AC16D79">
                  <w:pPr>
                    <w:kinsoku/>
                    <w:autoSpaceDE/>
                    <w:autoSpaceDN/>
                    <w:adjustRightInd/>
                    <w:jc w:val="center"/>
                    <w:textAlignment w:val="auto"/>
                    <w:rPr>
                      <w:rFonts w:hint="default" w:ascii="Times New Roman" w:hAnsi="Times New Roman" w:eastAsia="宋体" w:cs="Times New Roman"/>
                      <w:color w:val="auto"/>
                    </w:rPr>
                  </w:pPr>
                </w:p>
              </w:tc>
              <w:tc>
                <w:tcPr>
                  <w:tcW w:w="264" w:type="pct"/>
                  <w:tcBorders>
                    <w:top w:val="nil"/>
                    <w:left w:val="nil"/>
                    <w:bottom w:val="single" w:color="auto" w:sz="8" w:space="0"/>
                    <w:right w:val="single" w:color="auto" w:sz="8" w:space="0"/>
                  </w:tcBorders>
                  <w:vAlign w:val="center"/>
                </w:tcPr>
                <w:p w14:paraId="20E58023">
                  <w:pPr>
                    <w:kinsoku/>
                    <w:autoSpaceDE/>
                    <w:autoSpaceDN/>
                    <w:adjustRightInd/>
                    <w:jc w:val="center"/>
                    <w:textAlignment w:val="auto"/>
                    <w:rPr>
                      <w:rFonts w:hint="default" w:ascii="Times New Roman" w:hAnsi="Times New Roman" w:eastAsia="宋体" w:cs="Times New Roman"/>
                      <w:color w:val="auto"/>
                    </w:rPr>
                  </w:pPr>
                </w:p>
              </w:tc>
              <w:tc>
                <w:tcPr>
                  <w:tcW w:w="276" w:type="pct"/>
                  <w:tcBorders>
                    <w:top w:val="nil"/>
                    <w:left w:val="nil"/>
                    <w:bottom w:val="single" w:color="auto" w:sz="8" w:space="0"/>
                    <w:right w:val="single" w:color="auto" w:sz="8" w:space="0"/>
                  </w:tcBorders>
                  <w:vAlign w:val="center"/>
                </w:tcPr>
                <w:p w14:paraId="0F88DF0F">
                  <w:pPr>
                    <w:kinsoku/>
                    <w:autoSpaceDE/>
                    <w:autoSpaceDN/>
                    <w:adjustRightInd/>
                    <w:jc w:val="center"/>
                    <w:textAlignment w:val="auto"/>
                    <w:rPr>
                      <w:rFonts w:hint="default" w:ascii="Times New Roman" w:hAnsi="Times New Roman" w:eastAsia="宋体" w:cs="Times New Roman"/>
                      <w:color w:val="auto"/>
                    </w:rPr>
                  </w:pPr>
                </w:p>
              </w:tc>
              <w:tc>
                <w:tcPr>
                  <w:tcW w:w="707" w:type="pct"/>
                  <w:tcBorders>
                    <w:top w:val="nil"/>
                    <w:left w:val="nil"/>
                    <w:bottom w:val="single" w:color="auto" w:sz="8" w:space="0"/>
                    <w:right w:val="single" w:color="auto" w:sz="8" w:space="0"/>
                  </w:tcBorders>
                  <w:vAlign w:val="center"/>
                </w:tcPr>
                <w:p w14:paraId="487EFB9B">
                  <w:pPr>
                    <w:kinsoku/>
                    <w:autoSpaceDE/>
                    <w:autoSpaceDN/>
                    <w:adjustRightInd/>
                    <w:jc w:val="center"/>
                    <w:textAlignment w:val="auto"/>
                    <w:rPr>
                      <w:rFonts w:hint="default" w:ascii="Times New Roman" w:hAnsi="Times New Roman" w:eastAsia="宋体" w:cs="Times New Roman"/>
                      <w:color w:val="auto"/>
                    </w:rPr>
                  </w:pPr>
                </w:p>
              </w:tc>
              <w:tc>
                <w:tcPr>
                  <w:tcW w:w="465" w:type="pct"/>
                  <w:tcBorders>
                    <w:top w:val="nil"/>
                    <w:left w:val="nil"/>
                    <w:bottom w:val="single" w:color="auto" w:sz="8" w:space="0"/>
                    <w:right w:val="single" w:color="auto" w:sz="8" w:space="0"/>
                  </w:tcBorders>
                  <w:vAlign w:val="center"/>
                </w:tcPr>
                <w:p w14:paraId="307BF010">
                  <w:pPr>
                    <w:kinsoku/>
                    <w:autoSpaceDE/>
                    <w:autoSpaceDN/>
                    <w:adjustRightInd/>
                    <w:jc w:val="center"/>
                    <w:textAlignment w:val="auto"/>
                    <w:rPr>
                      <w:rFonts w:hint="default" w:ascii="Times New Roman" w:hAnsi="Times New Roman" w:eastAsia="宋体" w:cs="Times New Roman"/>
                      <w:color w:val="auto"/>
                    </w:rPr>
                  </w:pPr>
                </w:p>
              </w:tc>
              <w:tc>
                <w:tcPr>
                  <w:tcW w:w="492" w:type="pct"/>
                  <w:tcBorders>
                    <w:top w:val="nil"/>
                    <w:left w:val="nil"/>
                    <w:bottom w:val="single" w:color="auto" w:sz="8" w:space="0"/>
                    <w:right w:val="single" w:color="auto" w:sz="8" w:space="0"/>
                  </w:tcBorders>
                  <w:vAlign w:val="center"/>
                </w:tcPr>
                <w:p w14:paraId="6E904D1B">
                  <w:pPr>
                    <w:kinsoku/>
                    <w:autoSpaceDE/>
                    <w:autoSpaceDN/>
                    <w:adjustRightInd/>
                    <w:jc w:val="center"/>
                    <w:textAlignment w:val="auto"/>
                    <w:rPr>
                      <w:rFonts w:hint="default" w:ascii="Times New Roman" w:hAnsi="Times New Roman" w:eastAsia="宋体" w:cs="Times New Roman"/>
                      <w:color w:val="auto"/>
                    </w:rPr>
                  </w:pPr>
                </w:p>
              </w:tc>
            </w:tr>
            <w:tr w14:paraId="60A33DC2">
              <w:tblPrEx>
                <w:tblCellMar>
                  <w:top w:w="0" w:type="dxa"/>
                  <w:left w:w="108" w:type="dxa"/>
                  <w:bottom w:w="0" w:type="dxa"/>
                  <w:right w:w="108" w:type="dxa"/>
                </w:tblCellMar>
              </w:tblPrEx>
              <w:trPr>
                <w:trHeight w:val="23" w:hRule="atLeast"/>
                <w:jc w:val="center"/>
              </w:trPr>
              <w:tc>
                <w:tcPr>
                  <w:tcW w:w="2178" w:type="pct"/>
                  <w:tcBorders>
                    <w:top w:val="nil"/>
                    <w:left w:val="single" w:color="auto" w:sz="8" w:space="0"/>
                    <w:bottom w:val="single" w:color="auto" w:sz="8" w:space="0"/>
                    <w:right w:val="single" w:color="auto" w:sz="8" w:space="0"/>
                  </w:tcBorders>
                  <w:vAlign w:val="center"/>
                </w:tcPr>
                <w:p w14:paraId="3BA8DAD1">
                  <w:pPr>
                    <w:kinsoku/>
                    <w:autoSpaceDE/>
                    <w:autoSpaceDN/>
                    <w:adjustRightInd/>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1.中华大蟾蜍</w:t>
                  </w:r>
                  <w:r>
                    <w:rPr>
                      <w:rFonts w:hint="default" w:ascii="Times New Roman" w:hAnsi="Times New Roman" w:eastAsia="宋体" w:cs="Times New Roman"/>
                      <w:i/>
                      <w:iCs/>
                      <w:color w:val="auto"/>
                    </w:rPr>
                    <w:t xml:space="preserve"> Bufo gargarizans</w:t>
                  </w:r>
                </w:p>
              </w:tc>
              <w:tc>
                <w:tcPr>
                  <w:tcW w:w="307" w:type="pct"/>
                  <w:tcBorders>
                    <w:top w:val="nil"/>
                    <w:left w:val="nil"/>
                    <w:bottom w:val="single" w:color="auto" w:sz="8" w:space="0"/>
                    <w:right w:val="single" w:color="auto" w:sz="8" w:space="0"/>
                  </w:tcBorders>
                  <w:vAlign w:val="center"/>
                </w:tcPr>
                <w:p w14:paraId="00418275">
                  <w:pPr>
                    <w:kinsoku/>
                    <w:autoSpaceDE/>
                    <w:autoSpaceDN/>
                    <w:adjustRightInd/>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307" w:type="pct"/>
                  <w:tcBorders>
                    <w:top w:val="nil"/>
                    <w:left w:val="nil"/>
                    <w:bottom w:val="single" w:color="auto" w:sz="8" w:space="0"/>
                    <w:right w:val="single" w:color="auto" w:sz="8" w:space="0"/>
                  </w:tcBorders>
                  <w:vAlign w:val="center"/>
                </w:tcPr>
                <w:p w14:paraId="52CE782F">
                  <w:pPr>
                    <w:kinsoku/>
                    <w:autoSpaceDE/>
                    <w:autoSpaceDN/>
                    <w:adjustRightInd/>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264" w:type="pct"/>
                  <w:tcBorders>
                    <w:top w:val="nil"/>
                    <w:left w:val="nil"/>
                    <w:bottom w:val="single" w:color="auto" w:sz="8" w:space="0"/>
                    <w:right w:val="single" w:color="auto" w:sz="8" w:space="0"/>
                  </w:tcBorders>
                  <w:vAlign w:val="center"/>
                </w:tcPr>
                <w:p w14:paraId="155BDF16">
                  <w:pPr>
                    <w:kinsoku/>
                    <w:autoSpaceDE/>
                    <w:autoSpaceDN/>
                    <w:adjustRightInd/>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276" w:type="pct"/>
                  <w:tcBorders>
                    <w:top w:val="nil"/>
                    <w:left w:val="nil"/>
                    <w:bottom w:val="single" w:color="auto" w:sz="8" w:space="0"/>
                    <w:right w:val="single" w:color="auto" w:sz="8" w:space="0"/>
                  </w:tcBorders>
                  <w:vAlign w:val="center"/>
                </w:tcPr>
                <w:p w14:paraId="4B086742">
                  <w:pPr>
                    <w:kinsoku/>
                    <w:autoSpaceDE/>
                    <w:autoSpaceDN/>
                    <w:adjustRightInd/>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707" w:type="pct"/>
                  <w:tcBorders>
                    <w:top w:val="nil"/>
                    <w:left w:val="nil"/>
                    <w:bottom w:val="single" w:color="auto" w:sz="8" w:space="0"/>
                    <w:right w:val="single" w:color="auto" w:sz="8" w:space="0"/>
                  </w:tcBorders>
                  <w:vAlign w:val="center"/>
                </w:tcPr>
                <w:p w14:paraId="39366CAB">
                  <w:pPr>
                    <w:kinsoku/>
                    <w:autoSpaceDE/>
                    <w:autoSpaceDN/>
                    <w:adjustRightInd/>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广布种</w:t>
                  </w:r>
                </w:p>
              </w:tc>
              <w:tc>
                <w:tcPr>
                  <w:tcW w:w="465" w:type="pct"/>
                  <w:tcBorders>
                    <w:top w:val="nil"/>
                    <w:left w:val="nil"/>
                    <w:bottom w:val="single" w:color="auto" w:sz="8" w:space="0"/>
                    <w:right w:val="single" w:color="auto" w:sz="8" w:space="0"/>
                  </w:tcBorders>
                  <w:vAlign w:val="center"/>
                </w:tcPr>
                <w:p w14:paraId="10A50D46">
                  <w:pPr>
                    <w:kinsoku/>
                    <w:autoSpaceDE/>
                    <w:autoSpaceDN/>
                    <w:adjustRightInd/>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492" w:type="pct"/>
                  <w:tcBorders>
                    <w:top w:val="nil"/>
                    <w:left w:val="nil"/>
                    <w:bottom w:val="single" w:color="auto" w:sz="8" w:space="0"/>
                    <w:right w:val="single" w:color="auto" w:sz="8" w:space="0"/>
                  </w:tcBorders>
                  <w:vAlign w:val="center"/>
                </w:tcPr>
                <w:p w14:paraId="44673C30">
                  <w:pPr>
                    <w:kinsoku/>
                    <w:autoSpaceDE/>
                    <w:autoSpaceDN/>
                    <w:adjustRightInd/>
                    <w:jc w:val="center"/>
                    <w:textAlignment w:val="auto"/>
                    <w:rPr>
                      <w:rFonts w:hint="default" w:ascii="Times New Roman" w:hAnsi="Times New Roman" w:eastAsia="宋体" w:cs="Times New Roman"/>
                      <w:color w:val="auto"/>
                    </w:rPr>
                  </w:pPr>
                </w:p>
              </w:tc>
            </w:tr>
            <w:tr w14:paraId="66AEB730">
              <w:tblPrEx>
                <w:tblCellMar>
                  <w:top w:w="0" w:type="dxa"/>
                  <w:left w:w="108" w:type="dxa"/>
                  <w:bottom w:w="0" w:type="dxa"/>
                  <w:right w:w="108" w:type="dxa"/>
                </w:tblCellMar>
              </w:tblPrEx>
              <w:trPr>
                <w:trHeight w:val="23" w:hRule="atLeast"/>
                <w:jc w:val="center"/>
              </w:trPr>
              <w:tc>
                <w:tcPr>
                  <w:tcW w:w="2178" w:type="pct"/>
                  <w:tcBorders>
                    <w:top w:val="nil"/>
                    <w:left w:val="single" w:color="auto" w:sz="8" w:space="0"/>
                    <w:bottom w:val="single" w:color="auto" w:sz="8" w:space="0"/>
                    <w:right w:val="single" w:color="auto" w:sz="8" w:space="0"/>
                  </w:tcBorders>
                  <w:vAlign w:val="center"/>
                </w:tcPr>
                <w:p w14:paraId="6B5DE237">
                  <w:pPr>
                    <w:kinsoku/>
                    <w:autoSpaceDE/>
                    <w:autoSpaceDN/>
                    <w:adjustRightInd/>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（二）蛙科 Ranidae</w:t>
                  </w:r>
                </w:p>
              </w:tc>
              <w:tc>
                <w:tcPr>
                  <w:tcW w:w="307" w:type="pct"/>
                  <w:tcBorders>
                    <w:top w:val="nil"/>
                    <w:left w:val="nil"/>
                    <w:bottom w:val="single" w:color="auto" w:sz="8" w:space="0"/>
                    <w:right w:val="single" w:color="auto" w:sz="8" w:space="0"/>
                  </w:tcBorders>
                  <w:vAlign w:val="center"/>
                </w:tcPr>
                <w:p w14:paraId="38B45F76">
                  <w:pPr>
                    <w:kinsoku/>
                    <w:autoSpaceDE/>
                    <w:autoSpaceDN/>
                    <w:adjustRightInd/>
                    <w:jc w:val="center"/>
                    <w:textAlignment w:val="auto"/>
                    <w:rPr>
                      <w:rFonts w:hint="default" w:ascii="Times New Roman" w:hAnsi="Times New Roman" w:eastAsia="宋体" w:cs="Times New Roman"/>
                      <w:color w:val="auto"/>
                    </w:rPr>
                  </w:pPr>
                </w:p>
              </w:tc>
              <w:tc>
                <w:tcPr>
                  <w:tcW w:w="307" w:type="pct"/>
                  <w:tcBorders>
                    <w:top w:val="nil"/>
                    <w:left w:val="nil"/>
                    <w:bottom w:val="single" w:color="auto" w:sz="8" w:space="0"/>
                    <w:right w:val="single" w:color="auto" w:sz="8" w:space="0"/>
                  </w:tcBorders>
                  <w:vAlign w:val="center"/>
                </w:tcPr>
                <w:p w14:paraId="4859652D">
                  <w:pPr>
                    <w:kinsoku/>
                    <w:autoSpaceDE/>
                    <w:autoSpaceDN/>
                    <w:adjustRightInd/>
                    <w:jc w:val="center"/>
                    <w:textAlignment w:val="auto"/>
                    <w:rPr>
                      <w:rFonts w:hint="default" w:ascii="Times New Roman" w:hAnsi="Times New Roman" w:eastAsia="宋体" w:cs="Times New Roman"/>
                      <w:color w:val="auto"/>
                    </w:rPr>
                  </w:pPr>
                </w:p>
              </w:tc>
              <w:tc>
                <w:tcPr>
                  <w:tcW w:w="264" w:type="pct"/>
                  <w:tcBorders>
                    <w:top w:val="nil"/>
                    <w:left w:val="nil"/>
                    <w:bottom w:val="single" w:color="auto" w:sz="8" w:space="0"/>
                    <w:right w:val="single" w:color="auto" w:sz="8" w:space="0"/>
                  </w:tcBorders>
                  <w:vAlign w:val="center"/>
                </w:tcPr>
                <w:p w14:paraId="5A24C44A">
                  <w:pPr>
                    <w:kinsoku/>
                    <w:autoSpaceDE/>
                    <w:autoSpaceDN/>
                    <w:adjustRightInd/>
                    <w:jc w:val="center"/>
                    <w:textAlignment w:val="auto"/>
                    <w:rPr>
                      <w:rFonts w:hint="default" w:ascii="Times New Roman" w:hAnsi="Times New Roman" w:eastAsia="宋体" w:cs="Times New Roman"/>
                      <w:color w:val="auto"/>
                    </w:rPr>
                  </w:pPr>
                </w:p>
              </w:tc>
              <w:tc>
                <w:tcPr>
                  <w:tcW w:w="276" w:type="pct"/>
                  <w:tcBorders>
                    <w:top w:val="nil"/>
                    <w:left w:val="nil"/>
                    <w:bottom w:val="single" w:color="auto" w:sz="8" w:space="0"/>
                    <w:right w:val="single" w:color="auto" w:sz="8" w:space="0"/>
                  </w:tcBorders>
                  <w:vAlign w:val="center"/>
                </w:tcPr>
                <w:p w14:paraId="3F5A7C5D">
                  <w:pPr>
                    <w:kinsoku/>
                    <w:autoSpaceDE/>
                    <w:autoSpaceDN/>
                    <w:adjustRightInd/>
                    <w:jc w:val="center"/>
                    <w:textAlignment w:val="auto"/>
                    <w:rPr>
                      <w:rFonts w:hint="default" w:ascii="Times New Roman" w:hAnsi="Times New Roman" w:eastAsia="宋体" w:cs="Times New Roman"/>
                      <w:color w:val="auto"/>
                    </w:rPr>
                  </w:pPr>
                </w:p>
              </w:tc>
              <w:tc>
                <w:tcPr>
                  <w:tcW w:w="707" w:type="pct"/>
                  <w:tcBorders>
                    <w:top w:val="nil"/>
                    <w:left w:val="nil"/>
                    <w:bottom w:val="single" w:color="auto" w:sz="8" w:space="0"/>
                    <w:right w:val="single" w:color="auto" w:sz="8" w:space="0"/>
                  </w:tcBorders>
                  <w:vAlign w:val="center"/>
                </w:tcPr>
                <w:p w14:paraId="5BF06F0C">
                  <w:pPr>
                    <w:kinsoku/>
                    <w:autoSpaceDE/>
                    <w:autoSpaceDN/>
                    <w:adjustRightInd/>
                    <w:jc w:val="center"/>
                    <w:textAlignment w:val="auto"/>
                    <w:rPr>
                      <w:rFonts w:hint="default" w:ascii="Times New Roman" w:hAnsi="Times New Roman" w:eastAsia="宋体" w:cs="Times New Roman"/>
                      <w:color w:val="auto"/>
                    </w:rPr>
                  </w:pPr>
                </w:p>
              </w:tc>
              <w:tc>
                <w:tcPr>
                  <w:tcW w:w="465" w:type="pct"/>
                  <w:tcBorders>
                    <w:top w:val="nil"/>
                    <w:left w:val="nil"/>
                    <w:bottom w:val="single" w:color="auto" w:sz="8" w:space="0"/>
                    <w:right w:val="single" w:color="auto" w:sz="8" w:space="0"/>
                  </w:tcBorders>
                  <w:vAlign w:val="center"/>
                </w:tcPr>
                <w:p w14:paraId="631D2F67">
                  <w:pPr>
                    <w:kinsoku/>
                    <w:autoSpaceDE/>
                    <w:autoSpaceDN/>
                    <w:adjustRightInd/>
                    <w:jc w:val="center"/>
                    <w:textAlignment w:val="auto"/>
                    <w:rPr>
                      <w:rFonts w:hint="default" w:ascii="Times New Roman" w:hAnsi="Times New Roman" w:eastAsia="宋体" w:cs="Times New Roman"/>
                      <w:color w:val="auto"/>
                    </w:rPr>
                  </w:pPr>
                </w:p>
              </w:tc>
              <w:tc>
                <w:tcPr>
                  <w:tcW w:w="492" w:type="pct"/>
                  <w:tcBorders>
                    <w:top w:val="nil"/>
                    <w:left w:val="nil"/>
                    <w:bottom w:val="single" w:color="auto" w:sz="8" w:space="0"/>
                    <w:right w:val="single" w:color="auto" w:sz="8" w:space="0"/>
                  </w:tcBorders>
                  <w:vAlign w:val="center"/>
                </w:tcPr>
                <w:p w14:paraId="1BFD51CF">
                  <w:pPr>
                    <w:kinsoku/>
                    <w:autoSpaceDE/>
                    <w:autoSpaceDN/>
                    <w:adjustRightInd/>
                    <w:jc w:val="center"/>
                    <w:textAlignment w:val="auto"/>
                    <w:rPr>
                      <w:rFonts w:hint="default" w:ascii="Times New Roman" w:hAnsi="Times New Roman" w:eastAsia="宋体" w:cs="Times New Roman"/>
                      <w:color w:val="auto"/>
                    </w:rPr>
                  </w:pPr>
                </w:p>
              </w:tc>
            </w:tr>
            <w:tr w14:paraId="5E9EC210">
              <w:tblPrEx>
                <w:tblCellMar>
                  <w:top w:w="0" w:type="dxa"/>
                  <w:left w:w="108" w:type="dxa"/>
                  <w:bottom w:w="0" w:type="dxa"/>
                  <w:right w:w="108" w:type="dxa"/>
                </w:tblCellMar>
              </w:tblPrEx>
              <w:trPr>
                <w:trHeight w:val="23" w:hRule="atLeast"/>
                <w:jc w:val="center"/>
              </w:trPr>
              <w:tc>
                <w:tcPr>
                  <w:tcW w:w="2178" w:type="pct"/>
                  <w:tcBorders>
                    <w:top w:val="nil"/>
                    <w:left w:val="single" w:color="auto" w:sz="8" w:space="0"/>
                    <w:bottom w:val="single" w:color="auto" w:sz="8" w:space="0"/>
                    <w:right w:val="single" w:color="auto" w:sz="8" w:space="0"/>
                  </w:tcBorders>
                  <w:vAlign w:val="center"/>
                </w:tcPr>
                <w:p w14:paraId="22100CD7">
                  <w:pPr>
                    <w:kinsoku/>
                    <w:autoSpaceDE/>
                    <w:autoSpaceDN/>
                    <w:adjustRightInd/>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 xml:space="preserve">2.泽陆蛙 </w:t>
                  </w:r>
                  <w:r>
                    <w:rPr>
                      <w:rFonts w:hint="default" w:ascii="Times New Roman" w:hAnsi="Times New Roman" w:eastAsia="宋体" w:cs="Times New Roman"/>
                      <w:i/>
                      <w:iCs/>
                      <w:color w:val="auto"/>
                    </w:rPr>
                    <w:t>Fejevaraya limnocharis</w:t>
                  </w:r>
                </w:p>
              </w:tc>
              <w:tc>
                <w:tcPr>
                  <w:tcW w:w="307" w:type="pct"/>
                  <w:tcBorders>
                    <w:top w:val="nil"/>
                    <w:left w:val="nil"/>
                    <w:bottom w:val="single" w:color="auto" w:sz="8" w:space="0"/>
                    <w:right w:val="single" w:color="auto" w:sz="8" w:space="0"/>
                  </w:tcBorders>
                  <w:vAlign w:val="center"/>
                </w:tcPr>
                <w:p w14:paraId="538E2927">
                  <w:pPr>
                    <w:kinsoku/>
                    <w:autoSpaceDE/>
                    <w:autoSpaceDN/>
                    <w:adjustRightInd/>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307" w:type="pct"/>
                  <w:tcBorders>
                    <w:top w:val="nil"/>
                    <w:left w:val="nil"/>
                    <w:bottom w:val="single" w:color="auto" w:sz="8" w:space="0"/>
                    <w:right w:val="single" w:color="auto" w:sz="8" w:space="0"/>
                  </w:tcBorders>
                  <w:vAlign w:val="center"/>
                </w:tcPr>
                <w:p w14:paraId="01A7B4EC">
                  <w:pPr>
                    <w:kinsoku/>
                    <w:autoSpaceDE/>
                    <w:autoSpaceDN/>
                    <w:adjustRightInd/>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264" w:type="pct"/>
                  <w:tcBorders>
                    <w:top w:val="nil"/>
                    <w:left w:val="nil"/>
                    <w:bottom w:val="single" w:color="auto" w:sz="8" w:space="0"/>
                    <w:right w:val="single" w:color="auto" w:sz="8" w:space="0"/>
                  </w:tcBorders>
                  <w:vAlign w:val="center"/>
                </w:tcPr>
                <w:p w14:paraId="04CDD93E">
                  <w:pPr>
                    <w:kinsoku/>
                    <w:autoSpaceDE/>
                    <w:autoSpaceDN/>
                    <w:adjustRightInd/>
                    <w:jc w:val="center"/>
                    <w:textAlignment w:val="auto"/>
                    <w:rPr>
                      <w:rFonts w:hint="default" w:ascii="Times New Roman" w:hAnsi="Times New Roman" w:eastAsia="宋体" w:cs="Times New Roman"/>
                      <w:color w:val="auto"/>
                    </w:rPr>
                  </w:pPr>
                </w:p>
              </w:tc>
              <w:tc>
                <w:tcPr>
                  <w:tcW w:w="276" w:type="pct"/>
                  <w:tcBorders>
                    <w:top w:val="nil"/>
                    <w:left w:val="nil"/>
                    <w:bottom w:val="single" w:color="auto" w:sz="8" w:space="0"/>
                    <w:right w:val="single" w:color="auto" w:sz="8" w:space="0"/>
                  </w:tcBorders>
                  <w:vAlign w:val="center"/>
                </w:tcPr>
                <w:p w14:paraId="159033A9">
                  <w:pPr>
                    <w:kinsoku/>
                    <w:autoSpaceDE/>
                    <w:autoSpaceDN/>
                    <w:adjustRightInd/>
                    <w:jc w:val="center"/>
                    <w:textAlignment w:val="auto"/>
                    <w:rPr>
                      <w:rFonts w:hint="default" w:ascii="Times New Roman" w:hAnsi="Times New Roman" w:eastAsia="宋体" w:cs="Times New Roman"/>
                      <w:color w:val="auto"/>
                    </w:rPr>
                  </w:pPr>
                </w:p>
              </w:tc>
              <w:tc>
                <w:tcPr>
                  <w:tcW w:w="707" w:type="pct"/>
                  <w:tcBorders>
                    <w:top w:val="nil"/>
                    <w:left w:val="nil"/>
                    <w:bottom w:val="single" w:color="auto" w:sz="8" w:space="0"/>
                    <w:right w:val="single" w:color="auto" w:sz="8" w:space="0"/>
                  </w:tcBorders>
                  <w:vAlign w:val="center"/>
                </w:tcPr>
                <w:p w14:paraId="6AB4464B">
                  <w:pPr>
                    <w:kinsoku/>
                    <w:autoSpaceDE/>
                    <w:autoSpaceDN/>
                    <w:adjustRightInd/>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东洋界</w:t>
                  </w:r>
                </w:p>
              </w:tc>
              <w:tc>
                <w:tcPr>
                  <w:tcW w:w="465" w:type="pct"/>
                  <w:tcBorders>
                    <w:top w:val="nil"/>
                    <w:left w:val="nil"/>
                    <w:bottom w:val="single" w:color="auto" w:sz="8" w:space="0"/>
                    <w:right w:val="single" w:color="auto" w:sz="8" w:space="0"/>
                  </w:tcBorders>
                  <w:vAlign w:val="center"/>
                </w:tcPr>
                <w:p w14:paraId="0B3AF2CB">
                  <w:pPr>
                    <w:kinsoku/>
                    <w:autoSpaceDE/>
                    <w:autoSpaceDN/>
                    <w:adjustRightInd/>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492" w:type="pct"/>
                  <w:tcBorders>
                    <w:top w:val="nil"/>
                    <w:left w:val="nil"/>
                    <w:bottom w:val="single" w:color="auto" w:sz="8" w:space="0"/>
                    <w:right w:val="single" w:color="auto" w:sz="8" w:space="0"/>
                  </w:tcBorders>
                  <w:vAlign w:val="center"/>
                </w:tcPr>
                <w:p w14:paraId="1784C018">
                  <w:pPr>
                    <w:kinsoku/>
                    <w:autoSpaceDE/>
                    <w:autoSpaceDN/>
                    <w:adjustRightInd/>
                    <w:jc w:val="center"/>
                    <w:textAlignment w:val="auto"/>
                    <w:rPr>
                      <w:rFonts w:hint="default" w:ascii="Times New Roman" w:hAnsi="Times New Roman" w:eastAsia="宋体" w:cs="Times New Roman"/>
                      <w:color w:val="auto"/>
                    </w:rPr>
                  </w:pPr>
                </w:p>
              </w:tc>
            </w:tr>
            <w:tr w14:paraId="41FF2170">
              <w:tblPrEx>
                <w:tblCellMar>
                  <w:top w:w="0" w:type="dxa"/>
                  <w:left w:w="108" w:type="dxa"/>
                  <w:bottom w:w="0" w:type="dxa"/>
                  <w:right w:w="108" w:type="dxa"/>
                </w:tblCellMar>
              </w:tblPrEx>
              <w:trPr>
                <w:trHeight w:val="23" w:hRule="atLeast"/>
                <w:jc w:val="center"/>
              </w:trPr>
              <w:tc>
                <w:tcPr>
                  <w:tcW w:w="2178" w:type="pct"/>
                  <w:tcBorders>
                    <w:top w:val="nil"/>
                    <w:left w:val="single" w:color="auto" w:sz="8" w:space="0"/>
                    <w:bottom w:val="single" w:color="auto" w:sz="8" w:space="0"/>
                    <w:right w:val="single" w:color="auto" w:sz="8" w:space="0"/>
                  </w:tcBorders>
                  <w:vAlign w:val="center"/>
                </w:tcPr>
                <w:p w14:paraId="5FF9C5B3">
                  <w:pPr>
                    <w:kinsoku/>
                    <w:autoSpaceDE/>
                    <w:autoSpaceDN/>
                    <w:adjustRightInd/>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3.黑斑蛙</w:t>
                  </w:r>
                  <w:r>
                    <w:rPr>
                      <w:rFonts w:hint="default" w:ascii="Times New Roman" w:hAnsi="Times New Roman" w:eastAsia="宋体" w:cs="Times New Roman"/>
                      <w:i/>
                      <w:iCs/>
                      <w:color w:val="auto"/>
                    </w:rPr>
                    <w:t>Rana nigromaculata</w:t>
                  </w:r>
                </w:p>
              </w:tc>
              <w:tc>
                <w:tcPr>
                  <w:tcW w:w="307" w:type="pct"/>
                  <w:tcBorders>
                    <w:top w:val="nil"/>
                    <w:left w:val="nil"/>
                    <w:bottom w:val="single" w:color="auto" w:sz="8" w:space="0"/>
                    <w:right w:val="single" w:color="auto" w:sz="8" w:space="0"/>
                  </w:tcBorders>
                  <w:vAlign w:val="center"/>
                </w:tcPr>
                <w:p w14:paraId="03E5E663">
                  <w:pPr>
                    <w:kinsoku/>
                    <w:autoSpaceDE/>
                    <w:autoSpaceDN/>
                    <w:adjustRightInd/>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307" w:type="pct"/>
                  <w:tcBorders>
                    <w:top w:val="nil"/>
                    <w:left w:val="nil"/>
                    <w:bottom w:val="single" w:color="auto" w:sz="8" w:space="0"/>
                    <w:right w:val="single" w:color="auto" w:sz="8" w:space="0"/>
                  </w:tcBorders>
                  <w:vAlign w:val="center"/>
                </w:tcPr>
                <w:p w14:paraId="09516D23">
                  <w:pPr>
                    <w:kinsoku/>
                    <w:autoSpaceDE/>
                    <w:autoSpaceDN/>
                    <w:adjustRightInd/>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264" w:type="pct"/>
                  <w:tcBorders>
                    <w:top w:val="nil"/>
                    <w:left w:val="nil"/>
                    <w:bottom w:val="single" w:color="auto" w:sz="8" w:space="0"/>
                    <w:right w:val="single" w:color="auto" w:sz="8" w:space="0"/>
                  </w:tcBorders>
                  <w:vAlign w:val="center"/>
                </w:tcPr>
                <w:p w14:paraId="61B5A2A0">
                  <w:pPr>
                    <w:kinsoku/>
                    <w:autoSpaceDE/>
                    <w:autoSpaceDN/>
                    <w:adjustRightInd/>
                    <w:jc w:val="center"/>
                    <w:textAlignment w:val="auto"/>
                    <w:rPr>
                      <w:rFonts w:hint="default" w:ascii="Times New Roman" w:hAnsi="Times New Roman" w:eastAsia="宋体" w:cs="Times New Roman"/>
                      <w:color w:val="auto"/>
                    </w:rPr>
                  </w:pPr>
                </w:p>
              </w:tc>
              <w:tc>
                <w:tcPr>
                  <w:tcW w:w="276" w:type="pct"/>
                  <w:tcBorders>
                    <w:top w:val="nil"/>
                    <w:left w:val="nil"/>
                    <w:bottom w:val="single" w:color="auto" w:sz="8" w:space="0"/>
                    <w:right w:val="single" w:color="auto" w:sz="8" w:space="0"/>
                  </w:tcBorders>
                  <w:vAlign w:val="center"/>
                </w:tcPr>
                <w:p w14:paraId="2F643A79">
                  <w:pPr>
                    <w:kinsoku/>
                    <w:autoSpaceDE/>
                    <w:autoSpaceDN/>
                    <w:adjustRightInd/>
                    <w:jc w:val="center"/>
                    <w:textAlignment w:val="auto"/>
                    <w:rPr>
                      <w:rFonts w:hint="default" w:ascii="Times New Roman" w:hAnsi="Times New Roman" w:eastAsia="宋体" w:cs="Times New Roman"/>
                      <w:color w:val="auto"/>
                    </w:rPr>
                  </w:pPr>
                </w:p>
              </w:tc>
              <w:tc>
                <w:tcPr>
                  <w:tcW w:w="707" w:type="pct"/>
                  <w:tcBorders>
                    <w:top w:val="nil"/>
                    <w:left w:val="nil"/>
                    <w:bottom w:val="single" w:color="auto" w:sz="8" w:space="0"/>
                    <w:right w:val="single" w:color="auto" w:sz="8" w:space="0"/>
                  </w:tcBorders>
                  <w:vAlign w:val="center"/>
                </w:tcPr>
                <w:p w14:paraId="0B0DD279">
                  <w:pPr>
                    <w:kinsoku/>
                    <w:autoSpaceDE/>
                    <w:autoSpaceDN/>
                    <w:adjustRightInd/>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东洋界</w:t>
                  </w:r>
                </w:p>
              </w:tc>
              <w:tc>
                <w:tcPr>
                  <w:tcW w:w="465" w:type="pct"/>
                  <w:tcBorders>
                    <w:top w:val="nil"/>
                    <w:left w:val="nil"/>
                    <w:bottom w:val="single" w:color="auto" w:sz="8" w:space="0"/>
                    <w:right w:val="single" w:color="auto" w:sz="8" w:space="0"/>
                  </w:tcBorders>
                  <w:vAlign w:val="center"/>
                </w:tcPr>
                <w:p w14:paraId="6B96CC86">
                  <w:pPr>
                    <w:kinsoku/>
                    <w:autoSpaceDE/>
                    <w:autoSpaceDN/>
                    <w:adjustRightInd/>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492" w:type="pct"/>
                  <w:tcBorders>
                    <w:top w:val="nil"/>
                    <w:left w:val="nil"/>
                    <w:bottom w:val="single" w:color="auto" w:sz="8" w:space="0"/>
                    <w:right w:val="single" w:color="auto" w:sz="8" w:space="0"/>
                  </w:tcBorders>
                  <w:vAlign w:val="center"/>
                </w:tcPr>
                <w:p w14:paraId="3AA114EE">
                  <w:pPr>
                    <w:kinsoku/>
                    <w:autoSpaceDE/>
                    <w:autoSpaceDN/>
                    <w:adjustRightInd/>
                    <w:jc w:val="center"/>
                    <w:textAlignment w:val="auto"/>
                    <w:rPr>
                      <w:rFonts w:hint="default" w:ascii="Times New Roman" w:hAnsi="Times New Roman" w:eastAsia="宋体" w:cs="Times New Roman"/>
                      <w:color w:val="auto"/>
                    </w:rPr>
                  </w:pPr>
                </w:p>
              </w:tc>
            </w:tr>
          </w:tbl>
          <w:p w14:paraId="7147BA74">
            <w:pPr>
              <w:spacing w:before="3" w:line="360" w:lineRule="auto"/>
              <w:ind w:right="106" w:firstLine="480" w:firstLineChars="20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（二）爬行类</w:t>
            </w:r>
          </w:p>
          <w:p w14:paraId="32C5F2FF">
            <w:pPr>
              <w:spacing w:line="360" w:lineRule="auto"/>
              <w:ind w:firstLine="48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评价范围爬行类共有1目2科3种。其中没有国家及四川省级重点保护爬行动物。</w:t>
            </w:r>
          </w:p>
          <w:p w14:paraId="47AF73BF">
            <w:pPr>
              <w:spacing w:line="360" w:lineRule="auto"/>
              <w:ind w:firstLine="480"/>
              <w:rPr>
                <w:rFonts w:hint="default" w:ascii="Times New Roman" w:hAnsi="Times New Roman" w:eastAsia="宋体" w:cs="Times New Roman"/>
                <w:color w:val="auto"/>
                <w:kern w:val="10"/>
                <w:sz w:val="24"/>
              </w:rPr>
            </w:pPr>
            <w:r>
              <w:rPr>
                <w:rFonts w:hint="default" w:ascii="Times New Roman" w:hAnsi="Times New Roman" w:eastAsia="宋体" w:cs="Times New Roman"/>
                <w:color w:val="auto"/>
                <w:sz w:val="24"/>
              </w:rPr>
              <w:t>爬行动物仍以东洋界物种为绝对优势种，而且动物的特有种少。</w:t>
            </w:r>
            <w:r>
              <w:rPr>
                <w:rFonts w:hint="default" w:ascii="Times New Roman" w:hAnsi="Times New Roman" w:eastAsia="宋体" w:cs="Times New Roman"/>
                <w:color w:val="auto"/>
                <w:kern w:val="10"/>
                <w:sz w:val="24"/>
              </w:rPr>
              <w:t>爬行类以草灌生境中居多。</w:t>
            </w:r>
          </w:p>
          <w:p w14:paraId="7E664598">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主要种类的生态习性及其分布：</w:t>
            </w:r>
          </w:p>
          <w:p w14:paraId="3BD9C398">
            <w:pPr>
              <w:spacing w:line="360" w:lineRule="auto"/>
              <w:ind w:firstLine="482" w:firstLineChars="200"/>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王锦蛇（</w:t>
            </w:r>
            <w:r>
              <w:rPr>
                <w:rFonts w:hint="default" w:ascii="Times New Roman" w:hAnsi="Times New Roman" w:eastAsia="宋体" w:cs="Times New Roman"/>
                <w:b/>
                <w:bCs/>
                <w:i/>
                <w:iCs/>
                <w:color w:val="auto"/>
                <w:sz w:val="24"/>
              </w:rPr>
              <w:t>Elaphe carinata Guenther</w:t>
            </w:r>
            <w:r>
              <w:rPr>
                <w:rFonts w:hint="default" w:ascii="Times New Roman" w:hAnsi="Times New Roman" w:eastAsia="宋体" w:cs="Times New Roman"/>
                <w:b/>
                <w:bCs/>
                <w:color w:val="auto"/>
                <w:sz w:val="24"/>
              </w:rPr>
              <w:t>）</w:t>
            </w:r>
          </w:p>
          <w:p w14:paraId="23B90072">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体粗大而长，颈显，尾细长体色  背部黄绿色，中央黄色，头背色泽呈“王”形斑，腹面黄色，有黑色斑纹。分布，山区森林，也常栖息于平原，丘陵旷野等处。</w:t>
            </w:r>
          </w:p>
          <w:p w14:paraId="59BDF70D">
            <w:pPr>
              <w:spacing w:line="360" w:lineRule="auto"/>
              <w:ind w:firstLine="482" w:firstLineChars="200"/>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黑眉锦蛇（</w:t>
            </w:r>
            <w:r>
              <w:rPr>
                <w:rFonts w:hint="default" w:ascii="Times New Roman" w:hAnsi="Times New Roman" w:eastAsia="宋体" w:cs="Times New Roman"/>
                <w:b/>
                <w:bCs/>
                <w:i/>
                <w:iCs/>
                <w:color w:val="auto"/>
                <w:sz w:val="24"/>
              </w:rPr>
              <w:t>Elaphe taeniura cope</w:t>
            </w:r>
            <w:r>
              <w:rPr>
                <w:rFonts w:hint="default" w:ascii="Times New Roman" w:hAnsi="Times New Roman" w:eastAsia="宋体" w:cs="Times New Roman"/>
                <w:b/>
                <w:bCs/>
                <w:color w:val="auto"/>
                <w:sz w:val="24"/>
              </w:rPr>
              <w:t>）</w:t>
            </w:r>
          </w:p>
          <w:p w14:paraId="5993CDA6">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个体较大，行动迅速，善攀爬，性较凶猛，受惊后竖起头部作攻击之势。栖居海平原、丘陵、山地，常在林，溪边、水田、丛草等处活动。穴洞居住，也常栖息于住屋内的墙缝，梁上或地板下。</w:t>
            </w:r>
          </w:p>
          <w:p w14:paraId="3C34B66A">
            <w:pPr>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表3-2  陆域爬行动物名录</w:t>
            </w:r>
          </w:p>
          <w:tbl>
            <w:tblPr>
              <w:tblStyle w:val="32"/>
              <w:tblW w:w="4998" w:type="pct"/>
              <w:jc w:val="center"/>
              <w:tblLayout w:type="autofit"/>
              <w:tblCellMar>
                <w:top w:w="0" w:type="dxa"/>
                <w:left w:w="108" w:type="dxa"/>
                <w:bottom w:w="0" w:type="dxa"/>
                <w:right w:w="108" w:type="dxa"/>
              </w:tblCellMar>
            </w:tblPr>
            <w:tblGrid>
              <w:gridCol w:w="3717"/>
              <w:gridCol w:w="673"/>
              <w:gridCol w:w="673"/>
              <w:gridCol w:w="626"/>
              <w:gridCol w:w="593"/>
              <w:gridCol w:w="1123"/>
              <w:gridCol w:w="609"/>
              <w:gridCol w:w="997"/>
            </w:tblGrid>
            <w:tr w14:paraId="6C466EB8">
              <w:tblPrEx>
                <w:tblCellMar>
                  <w:top w:w="0" w:type="dxa"/>
                  <w:left w:w="108" w:type="dxa"/>
                  <w:bottom w:w="0" w:type="dxa"/>
                  <w:right w:w="108" w:type="dxa"/>
                </w:tblCellMar>
              </w:tblPrEx>
              <w:trPr>
                <w:trHeight w:val="23" w:hRule="atLeast"/>
                <w:jc w:val="center"/>
              </w:trPr>
              <w:tc>
                <w:tcPr>
                  <w:tcW w:w="2062" w:type="pct"/>
                  <w:vMerge w:val="restart"/>
                  <w:tcBorders>
                    <w:top w:val="single" w:color="auto" w:sz="8" w:space="0"/>
                    <w:left w:val="single" w:color="auto" w:sz="8" w:space="0"/>
                    <w:bottom w:val="single" w:color="000000" w:sz="8" w:space="0"/>
                    <w:right w:val="single" w:color="auto" w:sz="8" w:space="0"/>
                  </w:tcBorders>
                  <w:vAlign w:val="center"/>
                </w:tcPr>
                <w:p w14:paraId="64071B9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目、科、种名称</w:t>
                  </w:r>
                </w:p>
              </w:tc>
              <w:tc>
                <w:tcPr>
                  <w:tcW w:w="1422" w:type="pct"/>
                  <w:gridSpan w:val="4"/>
                  <w:tcBorders>
                    <w:top w:val="single" w:color="auto" w:sz="8" w:space="0"/>
                    <w:left w:val="nil"/>
                    <w:bottom w:val="single" w:color="auto" w:sz="8" w:space="0"/>
                    <w:right w:val="single" w:color="000000" w:sz="8" w:space="0"/>
                  </w:tcBorders>
                  <w:vAlign w:val="center"/>
                </w:tcPr>
                <w:p w14:paraId="7D5F7C2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生境类型</w:t>
                  </w:r>
                </w:p>
              </w:tc>
              <w:tc>
                <w:tcPr>
                  <w:tcW w:w="623" w:type="pct"/>
                  <w:vMerge w:val="restart"/>
                  <w:tcBorders>
                    <w:top w:val="single" w:color="auto" w:sz="8" w:space="0"/>
                    <w:left w:val="single" w:color="auto" w:sz="8" w:space="0"/>
                    <w:bottom w:val="single" w:color="000000" w:sz="8" w:space="0"/>
                    <w:right w:val="single" w:color="auto" w:sz="8" w:space="0"/>
                  </w:tcBorders>
                  <w:vAlign w:val="center"/>
                </w:tcPr>
                <w:p w14:paraId="441603B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从属区系</w:t>
                  </w:r>
                </w:p>
              </w:tc>
              <w:tc>
                <w:tcPr>
                  <w:tcW w:w="338" w:type="pct"/>
                  <w:vMerge w:val="restart"/>
                  <w:tcBorders>
                    <w:top w:val="single" w:color="auto" w:sz="8" w:space="0"/>
                    <w:left w:val="single" w:color="auto" w:sz="8" w:space="0"/>
                    <w:bottom w:val="single" w:color="000000" w:sz="8" w:space="0"/>
                    <w:right w:val="single" w:color="auto" w:sz="8" w:space="0"/>
                  </w:tcBorders>
                  <w:vAlign w:val="center"/>
                </w:tcPr>
                <w:p w14:paraId="6E609C2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数量</w:t>
                  </w:r>
                </w:p>
              </w:tc>
              <w:tc>
                <w:tcPr>
                  <w:tcW w:w="553" w:type="pct"/>
                  <w:vMerge w:val="restart"/>
                  <w:tcBorders>
                    <w:top w:val="single" w:color="auto" w:sz="8" w:space="0"/>
                    <w:left w:val="single" w:color="auto" w:sz="8" w:space="0"/>
                    <w:bottom w:val="single" w:color="000000" w:sz="8" w:space="0"/>
                    <w:right w:val="single" w:color="auto" w:sz="8" w:space="0"/>
                  </w:tcBorders>
                  <w:vAlign w:val="center"/>
                </w:tcPr>
                <w:p w14:paraId="4D0D7BD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保护等级</w:t>
                  </w:r>
                </w:p>
              </w:tc>
            </w:tr>
            <w:tr w14:paraId="3EDC650B">
              <w:tblPrEx>
                <w:tblCellMar>
                  <w:top w:w="0" w:type="dxa"/>
                  <w:left w:w="108" w:type="dxa"/>
                  <w:bottom w:w="0" w:type="dxa"/>
                  <w:right w:w="108" w:type="dxa"/>
                </w:tblCellMar>
              </w:tblPrEx>
              <w:trPr>
                <w:trHeight w:val="23" w:hRule="atLeast"/>
                <w:jc w:val="center"/>
              </w:trPr>
              <w:tc>
                <w:tcPr>
                  <w:tcW w:w="2062" w:type="pct"/>
                  <w:vMerge w:val="continue"/>
                  <w:tcBorders>
                    <w:top w:val="single" w:color="auto" w:sz="8" w:space="0"/>
                    <w:left w:val="single" w:color="auto" w:sz="8" w:space="0"/>
                    <w:bottom w:val="single" w:color="000000" w:sz="8" w:space="0"/>
                    <w:right w:val="single" w:color="auto" w:sz="8" w:space="0"/>
                  </w:tcBorders>
                  <w:vAlign w:val="center"/>
                </w:tcPr>
                <w:p w14:paraId="3E064202">
                  <w:pPr>
                    <w:rPr>
                      <w:rFonts w:hint="default" w:ascii="Times New Roman" w:hAnsi="Times New Roman" w:eastAsia="宋体" w:cs="Times New Roman"/>
                      <w:color w:val="auto"/>
                    </w:rPr>
                  </w:pPr>
                </w:p>
              </w:tc>
              <w:tc>
                <w:tcPr>
                  <w:tcW w:w="373" w:type="pct"/>
                  <w:tcBorders>
                    <w:top w:val="nil"/>
                    <w:left w:val="nil"/>
                    <w:bottom w:val="single" w:color="auto" w:sz="8" w:space="0"/>
                    <w:right w:val="single" w:color="auto" w:sz="8" w:space="0"/>
                  </w:tcBorders>
                  <w:vAlign w:val="center"/>
                </w:tcPr>
                <w:p w14:paraId="31A9872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水域</w:t>
                  </w:r>
                </w:p>
              </w:tc>
              <w:tc>
                <w:tcPr>
                  <w:tcW w:w="373" w:type="pct"/>
                  <w:tcBorders>
                    <w:top w:val="nil"/>
                    <w:left w:val="nil"/>
                    <w:bottom w:val="single" w:color="auto" w:sz="8" w:space="0"/>
                    <w:right w:val="single" w:color="auto" w:sz="8" w:space="0"/>
                  </w:tcBorders>
                  <w:vAlign w:val="center"/>
                </w:tcPr>
                <w:p w14:paraId="4A30957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农田</w:t>
                  </w:r>
                </w:p>
              </w:tc>
              <w:tc>
                <w:tcPr>
                  <w:tcW w:w="347" w:type="pct"/>
                  <w:tcBorders>
                    <w:top w:val="nil"/>
                    <w:left w:val="nil"/>
                    <w:bottom w:val="single" w:color="auto" w:sz="8" w:space="0"/>
                    <w:right w:val="single" w:color="auto" w:sz="8" w:space="0"/>
                  </w:tcBorders>
                  <w:vAlign w:val="center"/>
                </w:tcPr>
                <w:p w14:paraId="4F5F119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草灌</w:t>
                  </w:r>
                </w:p>
              </w:tc>
              <w:tc>
                <w:tcPr>
                  <w:tcW w:w="329" w:type="pct"/>
                  <w:tcBorders>
                    <w:top w:val="nil"/>
                    <w:left w:val="nil"/>
                    <w:bottom w:val="single" w:color="auto" w:sz="8" w:space="0"/>
                    <w:right w:val="single" w:color="auto" w:sz="8" w:space="0"/>
                  </w:tcBorders>
                  <w:vAlign w:val="center"/>
                </w:tcPr>
                <w:p w14:paraId="6BE0292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森林</w:t>
                  </w:r>
                </w:p>
              </w:tc>
              <w:tc>
                <w:tcPr>
                  <w:tcW w:w="623" w:type="pct"/>
                  <w:vMerge w:val="continue"/>
                  <w:tcBorders>
                    <w:top w:val="single" w:color="auto" w:sz="8" w:space="0"/>
                    <w:left w:val="single" w:color="auto" w:sz="8" w:space="0"/>
                    <w:bottom w:val="single" w:color="000000" w:sz="8" w:space="0"/>
                    <w:right w:val="single" w:color="auto" w:sz="8" w:space="0"/>
                  </w:tcBorders>
                  <w:vAlign w:val="center"/>
                </w:tcPr>
                <w:p w14:paraId="3AF6E1B4">
                  <w:pPr>
                    <w:rPr>
                      <w:rFonts w:hint="default" w:ascii="Times New Roman" w:hAnsi="Times New Roman" w:eastAsia="宋体" w:cs="Times New Roman"/>
                      <w:color w:val="auto"/>
                    </w:rPr>
                  </w:pPr>
                </w:p>
              </w:tc>
              <w:tc>
                <w:tcPr>
                  <w:tcW w:w="338" w:type="pct"/>
                  <w:vMerge w:val="continue"/>
                  <w:tcBorders>
                    <w:top w:val="single" w:color="auto" w:sz="8" w:space="0"/>
                    <w:left w:val="single" w:color="auto" w:sz="8" w:space="0"/>
                    <w:bottom w:val="single" w:color="000000" w:sz="8" w:space="0"/>
                    <w:right w:val="single" w:color="auto" w:sz="8" w:space="0"/>
                  </w:tcBorders>
                  <w:vAlign w:val="center"/>
                </w:tcPr>
                <w:p w14:paraId="1BBD26B4">
                  <w:pPr>
                    <w:rPr>
                      <w:rFonts w:hint="default" w:ascii="Times New Roman" w:hAnsi="Times New Roman" w:eastAsia="宋体" w:cs="Times New Roman"/>
                      <w:color w:val="auto"/>
                    </w:rPr>
                  </w:pPr>
                </w:p>
              </w:tc>
              <w:tc>
                <w:tcPr>
                  <w:tcW w:w="553" w:type="pct"/>
                  <w:vMerge w:val="continue"/>
                  <w:tcBorders>
                    <w:top w:val="single" w:color="auto" w:sz="8" w:space="0"/>
                    <w:left w:val="single" w:color="auto" w:sz="8" w:space="0"/>
                    <w:bottom w:val="single" w:color="000000" w:sz="8" w:space="0"/>
                    <w:right w:val="single" w:color="auto" w:sz="8" w:space="0"/>
                  </w:tcBorders>
                  <w:vAlign w:val="center"/>
                </w:tcPr>
                <w:p w14:paraId="5B8985EC">
                  <w:pPr>
                    <w:rPr>
                      <w:rFonts w:hint="default" w:ascii="Times New Roman" w:hAnsi="Times New Roman" w:eastAsia="宋体" w:cs="Times New Roman"/>
                      <w:color w:val="auto"/>
                    </w:rPr>
                  </w:pPr>
                </w:p>
              </w:tc>
            </w:tr>
            <w:tr w14:paraId="7A8A855C">
              <w:tblPrEx>
                <w:tblCellMar>
                  <w:top w:w="0" w:type="dxa"/>
                  <w:left w:w="108" w:type="dxa"/>
                  <w:bottom w:w="0" w:type="dxa"/>
                  <w:right w:w="108" w:type="dxa"/>
                </w:tblCellMar>
              </w:tblPrEx>
              <w:trPr>
                <w:trHeight w:val="23" w:hRule="atLeast"/>
                <w:jc w:val="center"/>
              </w:trPr>
              <w:tc>
                <w:tcPr>
                  <w:tcW w:w="2062" w:type="pct"/>
                  <w:tcBorders>
                    <w:top w:val="single" w:color="auto" w:sz="8" w:space="0"/>
                    <w:left w:val="single" w:color="auto" w:sz="8" w:space="0"/>
                    <w:bottom w:val="single" w:color="000000" w:sz="8" w:space="0"/>
                    <w:right w:val="single" w:color="auto" w:sz="8" w:space="0"/>
                  </w:tcBorders>
                  <w:vAlign w:val="center"/>
                </w:tcPr>
                <w:p w14:paraId="180D8103">
                  <w:pPr>
                    <w:rPr>
                      <w:rFonts w:hint="default" w:ascii="Times New Roman" w:hAnsi="Times New Roman" w:eastAsia="宋体" w:cs="Times New Roman"/>
                      <w:color w:val="auto"/>
                    </w:rPr>
                  </w:pPr>
                  <w:r>
                    <w:rPr>
                      <w:rFonts w:hint="default" w:ascii="Times New Roman" w:hAnsi="Times New Roman" w:eastAsia="宋体" w:cs="Times New Roman"/>
                      <w:color w:val="auto"/>
                    </w:rPr>
                    <w:t>一、有鳞目 SQUAMATA</w:t>
                  </w:r>
                </w:p>
              </w:tc>
              <w:tc>
                <w:tcPr>
                  <w:tcW w:w="373" w:type="pct"/>
                  <w:tcBorders>
                    <w:top w:val="nil"/>
                    <w:left w:val="nil"/>
                    <w:bottom w:val="single" w:color="auto" w:sz="8" w:space="0"/>
                    <w:right w:val="single" w:color="auto" w:sz="8" w:space="0"/>
                  </w:tcBorders>
                  <w:vAlign w:val="center"/>
                </w:tcPr>
                <w:p w14:paraId="5C29788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　</w:t>
                  </w:r>
                </w:p>
              </w:tc>
              <w:tc>
                <w:tcPr>
                  <w:tcW w:w="373" w:type="pct"/>
                  <w:tcBorders>
                    <w:top w:val="nil"/>
                    <w:left w:val="nil"/>
                    <w:bottom w:val="single" w:color="auto" w:sz="8" w:space="0"/>
                    <w:right w:val="single" w:color="auto" w:sz="8" w:space="0"/>
                  </w:tcBorders>
                  <w:vAlign w:val="center"/>
                </w:tcPr>
                <w:p w14:paraId="200A106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　</w:t>
                  </w:r>
                </w:p>
              </w:tc>
              <w:tc>
                <w:tcPr>
                  <w:tcW w:w="347" w:type="pct"/>
                  <w:tcBorders>
                    <w:top w:val="nil"/>
                    <w:left w:val="nil"/>
                    <w:bottom w:val="single" w:color="auto" w:sz="8" w:space="0"/>
                    <w:right w:val="single" w:color="auto" w:sz="8" w:space="0"/>
                  </w:tcBorders>
                  <w:vAlign w:val="center"/>
                </w:tcPr>
                <w:p w14:paraId="4A0A9A7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　</w:t>
                  </w:r>
                </w:p>
              </w:tc>
              <w:tc>
                <w:tcPr>
                  <w:tcW w:w="329" w:type="pct"/>
                  <w:tcBorders>
                    <w:top w:val="nil"/>
                    <w:left w:val="nil"/>
                    <w:bottom w:val="single" w:color="auto" w:sz="8" w:space="0"/>
                    <w:right w:val="single" w:color="auto" w:sz="8" w:space="0"/>
                  </w:tcBorders>
                  <w:vAlign w:val="center"/>
                </w:tcPr>
                <w:p w14:paraId="7CB0AC9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　</w:t>
                  </w:r>
                </w:p>
              </w:tc>
              <w:tc>
                <w:tcPr>
                  <w:tcW w:w="623" w:type="pct"/>
                  <w:tcBorders>
                    <w:top w:val="single" w:color="auto" w:sz="8" w:space="0"/>
                    <w:left w:val="single" w:color="auto" w:sz="8" w:space="0"/>
                    <w:bottom w:val="single" w:color="000000" w:sz="8" w:space="0"/>
                    <w:right w:val="single" w:color="auto" w:sz="8" w:space="0"/>
                  </w:tcBorders>
                  <w:vAlign w:val="center"/>
                </w:tcPr>
                <w:p w14:paraId="47A89A6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　</w:t>
                  </w:r>
                </w:p>
              </w:tc>
              <w:tc>
                <w:tcPr>
                  <w:tcW w:w="338" w:type="pct"/>
                  <w:tcBorders>
                    <w:top w:val="single" w:color="auto" w:sz="8" w:space="0"/>
                    <w:left w:val="single" w:color="auto" w:sz="8" w:space="0"/>
                    <w:bottom w:val="single" w:color="000000" w:sz="8" w:space="0"/>
                    <w:right w:val="single" w:color="auto" w:sz="8" w:space="0"/>
                  </w:tcBorders>
                  <w:vAlign w:val="center"/>
                </w:tcPr>
                <w:p w14:paraId="553DBF8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　</w:t>
                  </w:r>
                </w:p>
              </w:tc>
              <w:tc>
                <w:tcPr>
                  <w:tcW w:w="553" w:type="pct"/>
                  <w:tcBorders>
                    <w:top w:val="single" w:color="auto" w:sz="8" w:space="0"/>
                    <w:left w:val="single" w:color="auto" w:sz="8" w:space="0"/>
                    <w:bottom w:val="single" w:color="000000" w:sz="8" w:space="0"/>
                    <w:right w:val="single" w:color="auto" w:sz="8" w:space="0"/>
                  </w:tcBorders>
                  <w:vAlign w:val="center"/>
                </w:tcPr>
                <w:p w14:paraId="40B2E80E">
                  <w:pPr>
                    <w:jc w:val="center"/>
                    <w:rPr>
                      <w:rFonts w:hint="default" w:ascii="Times New Roman" w:hAnsi="Times New Roman" w:eastAsia="宋体" w:cs="Times New Roman"/>
                      <w:color w:val="auto"/>
                    </w:rPr>
                  </w:pPr>
                </w:p>
              </w:tc>
            </w:tr>
            <w:tr w14:paraId="55E56A28">
              <w:tblPrEx>
                <w:tblCellMar>
                  <w:top w:w="0" w:type="dxa"/>
                  <w:left w:w="108" w:type="dxa"/>
                  <w:bottom w:w="0" w:type="dxa"/>
                  <w:right w:w="108" w:type="dxa"/>
                </w:tblCellMar>
              </w:tblPrEx>
              <w:trPr>
                <w:trHeight w:val="23" w:hRule="atLeast"/>
                <w:jc w:val="center"/>
              </w:trPr>
              <w:tc>
                <w:tcPr>
                  <w:tcW w:w="2062" w:type="pct"/>
                  <w:tcBorders>
                    <w:top w:val="nil"/>
                    <w:left w:val="single" w:color="auto" w:sz="8" w:space="0"/>
                    <w:bottom w:val="single" w:color="auto" w:sz="8" w:space="0"/>
                    <w:right w:val="single" w:color="auto" w:sz="8" w:space="0"/>
                  </w:tcBorders>
                  <w:vAlign w:val="center"/>
                </w:tcPr>
                <w:p w14:paraId="5F256F76">
                  <w:pPr>
                    <w:rPr>
                      <w:rFonts w:hint="default" w:ascii="Times New Roman" w:hAnsi="Times New Roman" w:eastAsia="宋体" w:cs="Times New Roman"/>
                      <w:color w:val="auto"/>
                    </w:rPr>
                  </w:pPr>
                  <w:r>
                    <w:rPr>
                      <w:rFonts w:hint="default" w:ascii="Times New Roman" w:hAnsi="Times New Roman" w:eastAsia="宋体" w:cs="Times New Roman"/>
                      <w:color w:val="auto"/>
                    </w:rPr>
                    <w:t>（一） 壁虎科 Gekkonidae</w:t>
                  </w:r>
                </w:p>
              </w:tc>
              <w:tc>
                <w:tcPr>
                  <w:tcW w:w="373" w:type="pct"/>
                  <w:tcBorders>
                    <w:top w:val="nil"/>
                    <w:left w:val="nil"/>
                    <w:bottom w:val="single" w:color="auto" w:sz="8" w:space="0"/>
                    <w:right w:val="single" w:color="auto" w:sz="8" w:space="0"/>
                  </w:tcBorders>
                  <w:vAlign w:val="center"/>
                </w:tcPr>
                <w:p w14:paraId="1AEC2CB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　</w:t>
                  </w:r>
                </w:p>
              </w:tc>
              <w:tc>
                <w:tcPr>
                  <w:tcW w:w="373" w:type="pct"/>
                  <w:tcBorders>
                    <w:top w:val="nil"/>
                    <w:left w:val="nil"/>
                    <w:bottom w:val="single" w:color="auto" w:sz="8" w:space="0"/>
                    <w:right w:val="single" w:color="auto" w:sz="8" w:space="0"/>
                  </w:tcBorders>
                  <w:vAlign w:val="center"/>
                </w:tcPr>
                <w:p w14:paraId="52BA438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　</w:t>
                  </w:r>
                </w:p>
              </w:tc>
              <w:tc>
                <w:tcPr>
                  <w:tcW w:w="347" w:type="pct"/>
                  <w:tcBorders>
                    <w:top w:val="nil"/>
                    <w:left w:val="nil"/>
                    <w:bottom w:val="single" w:color="auto" w:sz="8" w:space="0"/>
                    <w:right w:val="single" w:color="auto" w:sz="8" w:space="0"/>
                  </w:tcBorders>
                  <w:vAlign w:val="center"/>
                </w:tcPr>
                <w:p w14:paraId="5AE1806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　</w:t>
                  </w:r>
                </w:p>
              </w:tc>
              <w:tc>
                <w:tcPr>
                  <w:tcW w:w="329" w:type="pct"/>
                  <w:tcBorders>
                    <w:top w:val="nil"/>
                    <w:left w:val="nil"/>
                    <w:bottom w:val="single" w:color="auto" w:sz="8" w:space="0"/>
                    <w:right w:val="single" w:color="auto" w:sz="8" w:space="0"/>
                  </w:tcBorders>
                  <w:vAlign w:val="center"/>
                </w:tcPr>
                <w:p w14:paraId="191F74A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　</w:t>
                  </w:r>
                </w:p>
              </w:tc>
              <w:tc>
                <w:tcPr>
                  <w:tcW w:w="623" w:type="pct"/>
                  <w:tcBorders>
                    <w:top w:val="nil"/>
                    <w:left w:val="nil"/>
                    <w:bottom w:val="single" w:color="auto" w:sz="8" w:space="0"/>
                    <w:right w:val="single" w:color="auto" w:sz="8" w:space="0"/>
                  </w:tcBorders>
                  <w:vAlign w:val="center"/>
                </w:tcPr>
                <w:p w14:paraId="6D82BE0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　</w:t>
                  </w:r>
                </w:p>
              </w:tc>
              <w:tc>
                <w:tcPr>
                  <w:tcW w:w="338" w:type="pct"/>
                  <w:tcBorders>
                    <w:top w:val="nil"/>
                    <w:left w:val="nil"/>
                    <w:bottom w:val="single" w:color="auto" w:sz="8" w:space="0"/>
                    <w:right w:val="single" w:color="auto" w:sz="8" w:space="0"/>
                  </w:tcBorders>
                  <w:vAlign w:val="center"/>
                </w:tcPr>
                <w:p w14:paraId="3A95068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　</w:t>
                  </w:r>
                </w:p>
              </w:tc>
              <w:tc>
                <w:tcPr>
                  <w:tcW w:w="553" w:type="pct"/>
                  <w:tcBorders>
                    <w:top w:val="nil"/>
                    <w:left w:val="nil"/>
                    <w:bottom w:val="single" w:color="auto" w:sz="8" w:space="0"/>
                    <w:right w:val="single" w:color="auto" w:sz="8" w:space="0"/>
                  </w:tcBorders>
                  <w:vAlign w:val="center"/>
                </w:tcPr>
                <w:p w14:paraId="4F68F60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　</w:t>
                  </w:r>
                </w:p>
              </w:tc>
            </w:tr>
            <w:tr w14:paraId="6E195D5F">
              <w:tblPrEx>
                <w:tblCellMar>
                  <w:top w:w="0" w:type="dxa"/>
                  <w:left w:w="108" w:type="dxa"/>
                  <w:bottom w:w="0" w:type="dxa"/>
                  <w:right w:w="108" w:type="dxa"/>
                </w:tblCellMar>
              </w:tblPrEx>
              <w:trPr>
                <w:trHeight w:val="23" w:hRule="atLeast"/>
                <w:jc w:val="center"/>
              </w:trPr>
              <w:tc>
                <w:tcPr>
                  <w:tcW w:w="2062" w:type="pct"/>
                  <w:tcBorders>
                    <w:top w:val="nil"/>
                    <w:left w:val="single" w:color="auto" w:sz="8" w:space="0"/>
                    <w:bottom w:val="single" w:color="auto" w:sz="8" w:space="0"/>
                    <w:right w:val="single" w:color="auto" w:sz="8" w:space="0"/>
                  </w:tcBorders>
                  <w:vAlign w:val="center"/>
                </w:tcPr>
                <w:p w14:paraId="68A4F5AB">
                  <w:pPr>
                    <w:rPr>
                      <w:rFonts w:hint="default" w:ascii="Times New Roman" w:hAnsi="Times New Roman" w:eastAsia="宋体" w:cs="Times New Roman"/>
                      <w:color w:val="auto"/>
                    </w:rPr>
                  </w:pPr>
                  <w:r>
                    <w:rPr>
                      <w:rFonts w:hint="default" w:ascii="Times New Roman" w:hAnsi="Times New Roman" w:eastAsia="宋体" w:cs="Times New Roman"/>
                      <w:color w:val="auto"/>
                    </w:rPr>
                    <w:t xml:space="preserve">1.蹼趾壁虎 </w:t>
                  </w:r>
                  <w:r>
                    <w:rPr>
                      <w:rFonts w:hint="default" w:ascii="Times New Roman" w:hAnsi="Times New Roman" w:eastAsia="宋体" w:cs="Times New Roman"/>
                      <w:i/>
                      <w:iCs/>
                      <w:color w:val="auto"/>
                    </w:rPr>
                    <w:t>Gekko subpalmatus</w:t>
                  </w:r>
                </w:p>
              </w:tc>
              <w:tc>
                <w:tcPr>
                  <w:tcW w:w="373" w:type="pct"/>
                  <w:tcBorders>
                    <w:top w:val="nil"/>
                    <w:left w:val="nil"/>
                    <w:bottom w:val="single" w:color="auto" w:sz="8" w:space="0"/>
                    <w:right w:val="single" w:color="auto" w:sz="8" w:space="0"/>
                  </w:tcBorders>
                  <w:vAlign w:val="center"/>
                </w:tcPr>
                <w:p w14:paraId="059E772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　</w:t>
                  </w:r>
                </w:p>
              </w:tc>
              <w:tc>
                <w:tcPr>
                  <w:tcW w:w="373" w:type="pct"/>
                  <w:tcBorders>
                    <w:top w:val="nil"/>
                    <w:left w:val="nil"/>
                    <w:bottom w:val="single" w:color="auto" w:sz="8" w:space="0"/>
                    <w:right w:val="single" w:color="auto" w:sz="8" w:space="0"/>
                  </w:tcBorders>
                  <w:vAlign w:val="center"/>
                </w:tcPr>
                <w:p w14:paraId="0731BD5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347" w:type="pct"/>
                  <w:tcBorders>
                    <w:top w:val="nil"/>
                    <w:left w:val="nil"/>
                    <w:bottom w:val="single" w:color="auto" w:sz="8" w:space="0"/>
                    <w:right w:val="single" w:color="auto" w:sz="8" w:space="0"/>
                  </w:tcBorders>
                  <w:vAlign w:val="center"/>
                </w:tcPr>
                <w:p w14:paraId="2809D5D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329" w:type="pct"/>
                  <w:tcBorders>
                    <w:top w:val="nil"/>
                    <w:left w:val="nil"/>
                    <w:bottom w:val="single" w:color="auto" w:sz="8" w:space="0"/>
                    <w:right w:val="single" w:color="auto" w:sz="8" w:space="0"/>
                  </w:tcBorders>
                  <w:vAlign w:val="center"/>
                </w:tcPr>
                <w:p w14:paraId="61DA356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　</w:t>
                  </w:r>
                </w:p>
              </w:tc>
              <w:tc>
                <w:tcPr>
                  <w:tcW w:w="623" w:type="pct"/>
                  <w:tcBorders>
                    <w:top w:val="nil"/>
                    <w:left w:val="nil"/>
                    <w:bottom w:val="single" w:color="auto" w:sz="8" w:space="0"/>
                    <w:right w:val="single" w:color="auto" w:sz="8" w:space="0"/>
                  </w:tcBorders>
                  <w:vAlign w:val="center"/>
                </w:tcPr>
                <w:p w14:paraId="043F571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东洋界</w:t>
                  </w:r>
                </w:p>
              </w:tc>
              <w:tc>
                <w:tcPr>
                  <w:tcW w:w="338" w:type="pct"/>
                  <w:tcBorders>
                    <w:top w:val="nil"/>
                    <w:left w:val="nil"/>
                    <w:bottom w:val="single" w:color="auto" w:sz="8" w:space="0"/>
                    <w:right w:val="single" w:color="auto" w:sz="8" w:space="0"/>
                  </w:tcBorders>
                  <w:vAlign w:val="center"/>
                </w:tcPr>
                <w:p w14:paraId="26A8195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553" w:type="pct"/>
                  <w:tcBorders>
                    <w:top w:val="nil"/>
                    <w:left w:val="nil"/>
                    <w:bottom w:val="single" w:color="auto" w:sz="8" w:space="0"/>
                    <w:right w:val="single" w:color="auto" w:sz="8" w:space="0"/>
                  </w:tcBorders>
                  <w:vAlign w:val="center"/>
                </w:tcPr>
                <w:p w14:paraId="2A41F69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　</w:t>
                  </w:r>
                </w:p>
              </w:tc>
            </w:tr>
            <w:tr w14:paraId="7FA3659F">
              <w:tblPrEx>
                <w:tblCellMar>
                  <w:top w:w="0" w:type="dxa"/>
                  <w:left w:w="108" w:type="dxa"/>
                  <w:bottom w:w="0" w:type="dxa"/>
                  <w:right w:w="108" w:type="dxa"/>
                </w:tblCellMar>
              </w:tblPrEx>
              <w:trPr>
                <w:trHeight w:val="23" w:hRule="atLeast"/>
                <w:jc w:val="center"/>
              </w:trPr>
              <w:tc>
                <w:tcPr>
                  <w:tcW w:w="2062" w:type="pct"/>
                  <w:tcBorders>
                    <w:top w:val="nil"/>
                    <w:left w:val="single" w:color="auto" w:sz="8" w:space="0"/>
                    <w:bottom w:val="single" w:color="auto" w:sz="8" w:space="0"/>
                    <w:right w:val="single" w:color="auto" w:sz="8" w:space="0"/>
                  </w:tcBorders>
                  <w:vAlign w:val="center"/>
                </w:tcPr>
                <w:p w14:paraId="6230A079">
                  <w:pPr>
                    <w:rPr>
                      <w:rFonts w:hint="default" w:ascii="Times New Roman" w:hAnsi="Times New Roman" w:eastAsia="宋体" w:cs="Times New Roman"/>
                      <w:color w:val="auto"/>
                    </w:rPr>
                  </w:pPr>
                  <w:r>
                    <w:rPr>
                      <w:rFonts w:hint="default" w:ascii="Times New Roman" w:hAnsi="Times New Roman" w:eastAsia="宋体" w:cs="Times New Roman"/>
                      <w:color w:val="auto"/>
                    </w:rPr>
                    <w:t>（二）游蛇科 Colubridae</w:t>
                  </w:r>
                </w:p>
              </w:tc>
              <w:tc>
                <w:tcPr>
                  <w:tcW w:w="373" w:type="pct"/>
                  <w:tcBorders>
                    <w:top w:val="nil"/>
                    <w:left w:val="nil"/>
                    <w:bottom w:val="single" w:color="auto" w:sz="8" w:space="0"/>
                    <w:right w:val="single" w:color="auto" w:sz="8" w:space="0"/>
                  </w:tcBorders>
                  <w:vAlign w:val="center"/>
                </w:tcPr>
                <w:p w14:paraId="1FAB78A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　</w:t>
                  </w:r>
                </w:p>
              </w:tc>
              <w:tc>
                <w:tcPr>
                  <w:tcW w:w="373" w:type="pct"/>
                  <w:tcBorders>
                    <w:top w:val="nil"/>
                    <w:left w:val="nil"/>
                    <w:bottom w:val="single" w:color="auto" w:sz="8" w:space="0"/>
                    <w:right w:val="single" w:color="auto" w:sz="8" w:space="0"/>
                  </w:tcBorders>
                  <w:vAlign w:val="center"/>
                </w:tcPr>
                <w:p w14:paraId="2E24FB6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　</w:t>
                  </w:r>
                </w:p>
              </w:tc>
              <w:tc>
                <w:tcPr>
                  <w:tcW w:w="347" w:type="pct"/>
                  <w:tcBorders>
                    <w:top w:val="nil"/>
                    <w:left w:val="nil"/>
                    <w:bottom w:val="single" w:color="auto" w:sz="8" w:space="0"/>
                    <w:right w:val="single" w:color="auto" w:sz="8" w:space="0"/>
                  </w:tcBorders>
                  <w:vAlign w:val="center"/>
                </w:tcPr>
                <w:p w14:paraId="4841B5D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　</w:t>
                  </w:r>
                </w:p>
              </w:tc>
              <w:tc>
                <w:tcPr>
                  <w:tcW w:w="329" w:type="pct"/>
                  <w:tcBorders>
                    <w:top w:val="nil"/>
                    <w:left w:val="nil"/>
                    <w:bottom w:val="single" w:color="auto" w:sz="8" w:space="0"/>
                    <w:right w:val="single" w:color="auto" w:sz="8" w:space="0"/>
                  </w:tcBorders>
                  <w:vAlign w:val="center"/>
                </w:tcPr>
                <w:p w14:paraId="4AA28E1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　</w:t>
                  </w:r>
                </w:p>
              </w:tc>
              <w:tc>
                <w:tcPr>
                  <w:tcW w:w="623" w:type="pct"/>
                  <w:tcBorders>
                    <w:top w:val="nil"/>
                    <w:left w:val="nil"/>
                    <w:bottom w:val="single" w:color="auto" w:sz="8" w:space="0"/>
                    <w:right w:val="single" w:color="auto" w:sz="8" w:space="0"/>
                  </w:tcBorders>
                  <w:vAlign w:val="center"/>
                </w:tcPr>
                <w:p w14:paraId="6BEFED7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　</w:t>
                  </w:r>
                </w:p>
              </w:tc>
              <w:tc>
                <w:tcPr>
                  <w:tcW w:w="338" w:type="pct"/>
                  <w:tcBorders>
                    <w:top w:val="nil"/>
                    <w:left w:val="nil"/>
                    <w:bottom w:val="single" w:color="auto" w:sz="8" w:space="0"/>
                    <w:right w:val="single" w:color="auto" w:sz="8" w:space="0"/>
                  </w:tcBorders>
                  <w:vAlign w:val="center"/>
                </w:tcPr>
                <w:p w14:paraId="6EB48C5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　</w:t>
                  </w:r>
                </w:p>
              </w:tc>
              <w:tc>
                <w:tcPr>
                  <w:tcW w:w="553" w:type="pct"/>
                  <w:tcBorders>
                    <w:top w:val="nil"/>
                    <w:left w:val="nil"/>
                    <w:bottom w:val="single" w:color="auto" w:sz="8" w:space="0"/>
                    <w:right w:val="single" w:color="auto" w:sz="8" w:space="0"/>
                  </w:tcBorders>
                  <w:vAlign w:val="center"/>
                </w:tcPr>
                <w:p w14:paraId="316B21C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　</w:t>
                  </w:r>
                </w:p>
              </w:tc>
            </w:tr>
            <w:tr w14:paraId="1AEB6CE5">
              <w:tblPrEx>
                <w:tblCellMar>
                  <w:top w:w="0" w:type="dxa"/>
                  <w:left w:w="108" w:type="dxa"/>
                  <w:bottom w:w="0" w:type="dxa"/>
                  <w:right w:w="108" w:type="dxa"/>
                </w:tblCellMar>
              </w:tblPrEx>
              <w:trPr>
                <w:trHeight w:val="23" w:hRule="atLeast"/>
                <w:jc w:val="center"/>
              </w:trPr>
              <w:tc>
                <w:tcPr>
                  <w:tcW w:w="2062" w:type="pct"/>
                  <w:tcBorders>
                    <w:top w:val="nil"/>
                    <w:left w:val="single" w:color="auto" w:sz="8" w:space="0"/>
                    <w:bottom w:val="single" w:color="auto" w:sz="8" w:space="0"/>
                    <w:right w:val="single" w:color="auto" w:sz="8" w:space="0"/>
                  </w:tcBorders>
                  <w:vAlign w:val="center"/>
                </w:tcPr>
                <w:p w14:paraId="4E6D3404">
                  <w:pPr>
                    <w:rPr>
                      <w:rFonts w:hint="default" w:ascii="Times New Roman" w:hAnsi="Times New Roman" w:eastAsia="宋体" w:cs="Times New Roman"/>
                      <w:color w:val="auto"/>
                    </w:rPr>
                  </w:pPr>
                  <w:r>
                    <w:rPr>
                      <w:rFonts w:hint="default" w:ascii="Times New Roman" w:hAnsi="Times New Roman" w:eastAsia="宋体" w:cs="Times New Roman"/>
                      <w:color w:val="auto"/>
                    </w:rPr>
                    <w:t xml:space="preserve">2.玉斑锦蛇 </w:t>
                  </w:r>
                  <w:r>
                    <w:rPr>
                      <w:rFonts w:hint="default" w:ascii="Times New Roman" w:hAnsi="Times New Roman" w:eastAsia="宋体" w:cs="Times New Roman"/>
                      <w:i/>
                      <w:iCs/>
                      <w:color w:val="auto"/>
                    </w:rPr>
                    <w:t>Elaphe mandarina</w:t>
                  </w:r>
                </w:p>
              </w:tc>
              <w:tc>
                <w:tcPr>
                  <w:tcW w:w="373" w:type="pct"/>
                  <w:tcBorders>
                    <w:top w:val="nil"/>
                    <w:left w:val="nil"/>
                    <w:bottom w:val="single" w:color="auto" w:sz="8" w:space="0"/>
                    <w:right w:val="single" w:color="auto" w:sz="8" w:space="0"/>
                  </w:tcBorders>
                  <w:vAlign w:val="center"/>
                </w:tcPr>
                <w:p w14:paraId="631C674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　</w:t>
                  </w:r>
                </w:p>
              </w:tc>
              <w:tc>
                <w:tcPr>
                  <w:tcW w:w="373" w:type="pct"/>
                  <w:tcBorders>
                    <w:top w:val="nil"/>
                    <w:left w:val="nil"/>
                    <w:bottom w:val="single" w:color="auto" w:sz="8" w:space="0"/>
                    <w:right w:val="single" w:color="auto" w:sz="8" w:space="0"/>
                  </w:tcBorders>
                  <w:vAlign w:val="center"/>
                </w:tcPr>
                <w:p w14:paraId="0A18A7C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　</w:t>
                  </w:r>
                </w:p>
              </w:tc>
              <w:tc>
                <w:tcPr>
                  <w:tcW w:w="347" w:type="pct"/>
                  <w:tcBorders>
                    <w:top w:val="nil"/>
                    <w:left w:val="nil"/>
                    <w:bottom w:val="single" w:color="auto" w:sz="8" w:space="0"/>
                    <w:right w:val="single" w:color="auto" w:sz="8" w:space="0"/>
                  </w:tcBorders>
                  <w:vAlign w:val="center"/>
                </w:tcPr>
                <w:p w14:paraId="0B92668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329" w:type="pct"/>
                  <w:tcBorders>
                    <w:top w:val="nil"/>
                    <w:left w:val="nil"/>
                    <w:bottom w:val="single" w:color="auto" w:sz="8" w:space="0"/>
                    <w:right w:val="single" w:color="auto" w:sz="8" w:space="0"/>
                  </w:tcBorders>
                  <w:vAlign w:val="center"/>
                </w:tcPr>
                <w:p w14:paraId="665117B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623" w:type="pct"/>
                  <w:tcBorders>
                    <w:top w:val="nil"/>
                    <w:left w:val="nil"/>
                    <w:bottom w:val="single" w:color="auto" w:sz="8" w:space="0"/>
                    <w:right w:val="single" w:color="auto" w:sz="8" w:space="0"/>
                  </w:tcBorders>
                  <w:vAlign w:val="center"/>
                </w:tcPr>
                <w:p w14:paraId="7B6DA40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东洋界</w:t>
                  </w:r>
                </w:p>
              </w:tc>
              <w:tc>
                <w:tcPr>
                  <w:tcW w:w="338" w:type="pct"/>
                  <w:tcBorders>
                    <w:top w:val="nil"/>
                    <w:left w:val="nil"/>
                    <w:bottom w:val="single" w:color="auto" w:sz="8" w:space="0"/>
                    <w:right w:val="single" w:color="auto" w:sz="8" w:space="0"/>
                  </w:tcBorders>
                  <w:vAlign w:val="center"/>
                </w:tcPr>
                <w:p w14:paraId="4A4F702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553" w:type="pct"/>
                  <w:tcBorders>
                    <w:top w:val="nil"/>
                    <w:left w:val="nil"/>
                    <w:bottom w:val="single" w:color="auto" w:sz="8" w:space="0"/>
                    <w:right w:val="single" w:color="auto" w:sz="8" w:space="0"/>
                  </w:tcBorders>
                  <w:vAlign w:val="center"/>
                </w:tcPr>
                <w:p w14:paraId="7054407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　</w:t>
                  </w:r>
                </w:p>
              </w:tc>
            </w:tr>
            <w:tr w14:paraId="6759DDF5">
              <w:tblPrEx>
                <w:tblCellMar>
                  <w:top w:w="0" w:type="dxa"/>
                  <w:left w:w="108" w:type="dxa"/>
                  <w:bottom w:w="0" w:type="dxa"/>
                  <w:right w:w="108" w:type="dxa"/>
                </w:tblCellMar>
              </w:tblPrEx>
              <w:trPr>
                <w:trHeight w:val="23" w:hRule="atLeast"/>
                <w:jc w:val="center"/>
              </w:trPr>
              <w:tc>
                <w:tcPr>
                  <w:tcW w:w="2062" w:type="pct"/>
                  <w:tcBorders>
                    <w:top w:val="nil"/>
                    <w:left w:val="single" w:color="auto" w:sz="8" w:space="0"/>
                    <w:bottom w:val="single" w:color="auto" w:sz="8" w:space="0"/>
                    <w:right w:val="single" w:color="auto" w:sz="8" w:space="0"/>
                  </w:tcBorders>
                  <w:vAlign w:val="center"/>
                </w:tcPr>
                <w:p w14:paraId="68B820C6">
                  <w:pPr>
                    <w:rPr>
                      <w:rFonts w:hint="default" w:ascii="Times New Roman" w:hAnsi="Times New Roman" w:eastAsia="宋体" w:cs="Times New Roman"/>
                      <w:color w:val="auto"/>
                    </w:rPr>
                  </w:pPr>
                  <w:r>
                    <w:rPr>
                      <w:rFonts w:hint="default" w:ascii="Times New Roman" w:hAnsi="Times New Roman" w:eastAsia="宋体" w:cs="Times New Roman"/>
                      <w:color w:val="auto"/>
                    </w:rPr>
                    <w:t xml:space="preserve">3.黑眉锦蛇 </w:t>
                  </w:r>
                  <w:r>
                    <w:rPr>
                      <w:rFonts w:hint="default" w:ascii="Times New Roman" w:hAnsi="Times New Roman" w:eastAsia="宋体" w:cs="Times New Roman"/>
                      <w:i/>
                      <w:iCs/>
                      <w:color w:val="auto"/>
                    </w:rPr>
                    <w:t>Elaphe taeniura</w:t>
                  </w:r>
                </w:p>
              </w:tc>
              <w:tc>
                <w:tcPr>
                  <w:tcW w:w="373" w:type="pct"/>
                  <w:tcBorders>
                    <w:top w:val="nil"/>
                    <w:left w:val="nil"/>
                    <w:bottom w:val="single" w:color="auto" w:sz="8" w:space="0"/>
                    <w:right w:val="single" w:color="auto" w:sz="8" w:space="0"/>
                  </w:tcBorders>
                  <w:vAlign w:val="center"/>
                </w:tcPr>
                <w:p w14:paraId="6A65F86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　</w:t>
                  </w:r>
                </w:p>
              </w:tc>
              <w:tc>
                <w:tcPr>
                  <w:tcW w:w="373" w:type="pct"/>
                  <w:tcBorders>
                    <w:top w:val="nil"/>
                    <w:left w:val="nil"/>
                    <w:bottom w:val="single" w:color="auto" w:sz="8" w:space="0"/>
                    <w:right w:val="single" w:color="auto" w:sz="8" w:space="0"/>
                  </w:tcBorders>
                  <w:vAlign w:val="center"/>
                </w:tcPr>
                <w:p w14:paraId="74D24FF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347" w:type="pct"/>
                  <w:tcBorders>
                    <w:top w:val="nil"/>
                    <w:left w:val="nil"/>
                    <w:bottom w:val="single" w:color="auto" w:sz="8" w:space="0"/>
                    <w:right w:val="single" w:color="auto" w:sz="8" w:space="0"/>
                  </w:tcBorders>
                  <w:vAlign w:val="center"/>
                </w:tcPr>
                <w:p w14:paraId="690988F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329" w:type="pct"/>
                  <w:tcBorders>
                    <w:top w:val="nil"/>
                    <w:left w:val="nil"/>
                    <w:bottom w:val="single" w:color="auto" w:sz="8" w:space="0"/>
                    <w:right w:val="single" w:color="auto" w:sz="8" w:space="0"/>
                  </w:tcBorders>
                  <w:vAlign w:val="center"/>
                </w:tcPr>
                <w:p w14:paraId="3105887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623" w:type="pct"/>
                  <w:tcBorders>
                    <w:top w:val="nil"/>
                    <w:left w:val="nil"/>
                    <w:bottom w:val="single" w:color="auto" w:sz="8" w:space="0"/>
                    <w:right w:val="single" w:color="auto" w:sz="8" w:space="0"/>
                  </w:tcBorders>
                  <w:vAlign w:val="center"/>
                </w:tcPr>
                <w:p w14:paraId="0E0E33B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广布种</w:t>
                  </w:r>
                </w:p>
              </w:tc>
              <w:tc>
                <w:tcPr>
                  <w:tcW w:w="338" w:type="pct"/>
                  <w:tcBorders>
                    <w:top w:val="nil"/>
                    <w:left w:val="nil"/>
                    <w:bottom w:val="single" w:color="auto" w:sz="8" w:space="0"/>
                    <w:right w:val="single" w:color="auto" w:sz="8" w:space="0"/>
                  </w:tcBorders>
                  <w:vAlign w:val="center"/>
                </w:tcPr>
                <w:p w14:paraId="0478985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553" w:type="pct"/>
                  <w:tcBorders>
                    <w:top w:val="nil"/>
                    <w:left w:val="nil"/>
                    <w:bottom w:val="single" w:color="auto" w:sz="8" w:space="0"/>
                    <w:right w:val="single" w:color="auto" w:sz="8" w:space="0"/>
                  </w:tcBorders>
                  <w:vAlign w:val="center"/>
                </w:tcPr>
                <w:p w14:paraId="3927CC8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　</w:t>
                  </w:r>
                </w:p>
              </w:tc>
            </w:tr>
          </w:tbl>
          <w:p w14:paraId="57C13534">
            <w:pPr>
              <w:spacing w:before="3" w:line="360" w:lineRule="auto"/>
              <w:ind w:right="106" w:firstLine="480" w:firstLineChars="20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（三）鸟类</w:t>
            </w:r>
          </w:p>
          <w:p w14:paraId="3709D3FE">
            <w:pPr>
              <w:spacing w:before="3" w:line="360" w:lineRule="auto"/>
              <w:ind w:left="113" w:right="106" w:firstLine="486"/>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主要鸟类的居留及旅鸟的迁徙时间见表3-3。</w:t>
            </w:r>
          </w:p>
          <w:p w14:paraId="1D2EB1F7">
            <w:pPr>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表3-3  区域主要鸟类的居留状况及旅鸟的居留时间</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68"/>
              <w:gridCol w:w="2268"/>
              <w:gridCol w:w="4469"/>
            </w:tblGrid>
            <w:tr w14:paraId="59A9A7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59" w:type="pct"/>
                  <w:vAlign w:val="center"/>
                </w:tcPr>
                <w:p w14:paraId="7A97A912">
                  <w:pPr>
                    <w:pStyle w:val="19"/>
                    <w:kinsoku/>
                    <w:autoSpaceDE/>
                    <w:autoSpaceDN/>
                    <w:adjustRightInd/>
                    <w:snapToGrid/>
                    <w:spacing w:line="240" w:lineRule="auto"/>
                    <w:ind w:leftChars="0"/>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鸟类名称</w:t>
                  </w:r>
                </w:p>
              </w:tc>
              <w:tc>
                <w:tcPr>
                  <w:tcW w:w="1259" w:type="pct"/>
                  <w:vAlign w:val="center"/>
                </w:tcPr>
                <w:p w14:paraId="55D19988">
                  <w:pPr>
                    <w:pStyle w:val="19"/>
                    <w:kinsoku/>
                    <w:autoSpaceDE/>
                    <w:autoSpaceDN/>
                    <w:adjustRightInd/>
                    <w:snapToGrid/>
                    <w:spacing w:line="240" w:lineRule="auto"/>
                    <w:ind w:leftChars="0"/>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居留状况</w:t>
                  </w:r>
                </w:p>
              </w:tc>
              <w:tc>
                <w:tcPr>
                  <w:tcW w:w="2481" w:type="pct"/>
                  <w:vAlign w:val="center"/>
                </w:tcPr>
                <w:p w14:paraId="7784FDDC">
                  <w:pPr>
                    <w:pStyle w:val="19"/>
                    <w:kinsoku/>
                    <w:autoSpaceDE/>
                    <w:autoSpaceDN/>
                    <w:adjustRightInd/>
                    <w:snapToGrid/>
                    <w:spacing w:line="240" w:lineRule="auto"/>
                    <w:ind w:leftChars="0"/>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居留时间</w:t>
                  </w:r>
                </w:p>
              </w:tc>
            </w:tr>
            <w:tr w14:paraId="410372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59" w:type="pct"/>
                  <w:vAlign w:val="center"/>
                </w:tcPr>
                <w:p w14:paraId="53EA9EF5">
                  <w:pPr>
                    <w:pStyle w:val="19"/>
                    <w:kinsoku/>
                    <w:autoSpaceDE/>
                    <w:autoSpaceDN/>
                    <w:adjustRightInd/>
                    <w:snapToGrid/>
                    <w:spacing w:line="240" w:lineRule="auto"/>
                    <w:ind w:leftChars="0"/>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家燕</w:t>
                  </w:r>
                </w:p>
              </w:tc>
              <w:tc>
                <w:tcPr>
                  <w:tcW w:w="1259" w:type="pct"/>
                  <w:vAlign w:val="center"/>
                </w:tcPr>
                <w:p w14:paraId="145CD75C">
                  <w:pPr>
                    <w:pStyle w:val="19"/>
                    <w:kinsoku/>
                    <w:autoSpaceDE/>
                    <w:autoSpaceDN/>
                    <w:adjustRightInd/>
                    <w:snapToGrid/>
                    <w:spacing w:line="240" w:lineRule="auto"/>
                    <w:ind w:left="0" w:leftChars="0"/>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夏候鸟</w:t>
                  </w:r>
                </w:p>
              </w:tc>
              <w:tc>
                <w:tcPr>
                  <w:tcW w:w="2481" w:type="pct"/>
                  <w:vAlign w:val="center"/>
                </w:tcPr>
                <w:p w14:paraId="4D26DF0C">
                  <w:pPr>
                    <w:kinsoku/>
                    <w:autoSpaceDE/>
                    <w:autoSpaceDN/>
                    <w:adjustRightInd/>
                    <w:snapToGrid/>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lang w:bidi="ar"/>
                    </w:rPr>
                    <w:t>3下—10下</w:t>
                  </w:r>
                </w:p>
              </w:tc>
            </w:tr>
            <w:tr w14:paraId="4F242A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59" w:type="pct"/>
                  <w:vAlign w:val="center"/>
                </w:tcPr>
                <w:p w14:paraId="1705E186">
                  <w:pPr>
                    <w:pStyle w:val="19"/>
                    <w:kinsoku/>
                    <w:autoSpaceDE/>
                    <w:autoSpaceDN/>
                    <w:adjustRightInd/>
                    <w:snapToGrid/>
                    <w:spacing w:line="240" w:lineRule="auto"/>
                    <w:ind w:leftChars="0"/>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八哥</w:t>
                  </w:r>
                </w:p>
              </w:tc>
              <w:tc>
                <w:tcPr>
                  <w:tcW w:w="1259" w:type="pct"/>
                  <w:vAlign w:val="center"/>
                </w:tcPr>
                <w:p w14:paraId="58442A38">
                  <w:pPr>
                    <w:kinsoku/>
                    <w:autoSpaceDE/>
                    <w:autoSpaceDN/>
                    <w:adjustRightInd/>
                    <w:snapToGrid/>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lang w:bidi="ar"/>
                    </w:rPr>
                    <w:t>留鸟</w:t>
                  </w:r>
                </w:p>
              </w:tc>
              <w:tc>
                <w:tcPr>
                  <w:tcW w:w="2481" w:type="pct"/>
                  <w:vAlign w:val="center"/>
                </w:tcPr>
                <w:p w14:paraId="17009EDC">
                  <w:pPr>
                    <w:pStyle w:val="19"/>
                    <w:kinsoku/>
                    <w:autoSpaceDE/>
                    <w:autoSpaceDN/>
                    <w:adjustRightInd/>
                    <w:snapToGrid/>
                    <w:spacing w:line="240" w:lineRule="auto"/>
                    <w:ind w:leftChars="0"/>
                    <w:jc w:val="center"/>
                    <w:textAlignment w:val="auto"/>
                    <w:rPr>
                      <w:rFonts w:hint="default" w:ascii="Times New Roman" w:hAnsi="Times New Roman" w:eastAsia="宋体" w:cs="Times New Roman"/>
                      <w:color w:val="auto"/>
                    </w:rPr>
                  </w:pPr>
                </w:p>
              </w:tc>
            </w:tr>
            <w:tr w14:paraId="749849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59" w:type="pct"/>
                  <w:vAlign w:val="center"/>
                </w:tcPr>
                <w:p w14:paraId="617B3BD9">
                  <w:pPr>
                    <w:pStyle w:val="19"/>
                    <w:kinsoku/>
                    <w:autoSpaceDE/>
                    <w:autoSpaceDN/>
                    <w:adjustRightInd/>
                    <w:snapToGrid/>
                    <w:spacing w:line="240" w:lineRule="auto"/>
                    <w:ind w:leftChars="0"/>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麻雀</w:t>
                  </w:r>
                </w:p>
              </w:tc>
              <w:tc>
                <w:tcPr>
                  <w:tcW w:w="1259" w:type="pct"/>
                  <w:vAlign w:val="center"/>
                </w:tcPr>
                <w:p w14:paraId="10DEFC99">
                  <w:pPr>
                    <w:kinsoku/>
                    <w:autoSpaceDE/>
                    <w:autoSpaceDN/>
                    <w:adjustRightInd/>
                    <w:snapToGrid/>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lang w:bidi="ar"/>
                    </w:rPr>
                    <w:t>留鸟</w:t>
                  </w:r>
                </w:p>
              </w:tc>
              <w:tc>
                <w:tcPr>
                  <w:tcW w:w="2481" w:type="pct"/>
                  <w:vAlign w:val="center"/>
                </w:tcPr>
                <w:p w14:paraId="7C46654A">
                  <w:pPr>
                    <w:pStyle w:val="19"/>
                    <w:kinsoku/>
                    <w:autoSpaceDE/>
                    <w:autoSpaceDN/>
                    <w:adjustRightInd/>
                    <w:snapToGrid/>
                    <w:spacing w:line="240" w:lineRule="auto"/>
                    <w:ind w:leftChars="0"/>
                    <w:jc w:val="center"/>
                    <w:textAlignment w:val="auto"/>
                    <w:rPr>
                      <w:rFonts w:hint="default" w:ascii="Times New Roman" w:hAnsi="Times New Roman" w:eastAsia="宋体" w:cs="Times New Roman"/>
                      <w:color w:val="auto"/>
                    </w:rPr>
                  </w:pPr>
                </w:p>
              </w:tc>
            </w:tr>
            <w:tr w14:paraId="0D2C08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59" w:type="pct"/>
                  <w:vAlign w:val="center"/>
                </w:tcPr>
                <w:p w14:paraId="37683FAA">
                  <w:pPr>
                    <w:pStyle w:val="19"/>
                    <w:kinsoku/>
                    <w:autoSpaceDE/>
                    <w:autoSpaceDN/>
                    <w:adjustRightInd/>
                    <w:snapToGrid/>
                    <w:spacing w:line="240" w:lineRule="auto"/>
                    <w:ind w:leftChars="0"/>
                    <w:jc w:val="center"/>
                    <w:textAlignment w:val="auto"/>
                    <w:rPr>
                      <w:rFonts w:hint="default" w:ascii="Times New Roman" w:hAnsi="Times New Roman" w:eastAsia="宋体" w:cs="Times New Roman"/>
                      <w:color w:val="auto"/>
                      <w:lang w:bidi="ar"/>
                    </w:rPr>
                  </w:pPr>
                  <w:r>
                    <w:rPr>
                      <w:rFonts w:hint="default" w:ascii="Times New Roman" w:hAnsi="Times New Roman" w:eastAsia="宋体" w:cs="Times New Roman"/>
                      <w:color w:val="auto"/>
                      <w:lang w:bidi="ar"/>
                    </w:rPr>
                    <w:t>白头鹎</w:t>
                  </w:r>
                </w:p>
              </w:tc>
              <w:tc>
                <w:tcPr>
                  <w:tcW w:w="1259" w:type="pct"/>
                  <w:vAlign w:val="center"/>
                </w:tcPr>
                <w:p w14:paraId="3804F54A">
                  <w:pPr>
                    <w:kinsoku/>
                    <w:autoSpaceDE/>
                    <w:autoSpaceDN/>
                    <w:adjustRightInd/>
                    <w:snapToGrid/>
                    <w:jc w:val="center"/>
                    <w:textAlignment w:val="auto"/>
                    <w:rPr>
                      <w:rFonts w:hint="default" w:ascii="Times New Roman" w:hAnsi="Times New Roman" w:eastAsia="宋体" w:cs="Times New Roman"/>
                      <w:color w:val="auto"/>
                      <w:lang w:bidi="ar"/>
                    </w:rPr>
                  </w:pPr>
                  <w:r>
                    <w:rPr>
                      <w:rFonts w:hint="default" w:ascii="Times New Roman" w:hAnsi="Times New Roman" w:eastAsia="宋体" w:cs="Times New Roman"/>
                      <w:color w:val="auto"/>
                      <w:lang w:bidi="ar"/>
                    </w:rPr>
                    <w:t>留鸟</w:t>
                  </w:r>
                </w:p>
              </w:tc>
              <w:tc>
                <w:tcPr>
                  <w:tcW w:w="2481" w:type="pct"/>
                  <w:vAlign w:val="center"/>
                </w:tcPr>
                <w:p w14:paraId="39B60432">
                  <w:pPr>
                    <w:pStyle w:val="19"/>
                    <w:kinsoku/>
                    <w:autoSpaceDE/>
                    <w:autoSpaceDN/>
                    <w:adjustRightInd/>
                    <w:snapToGrid/>
                    <w:spacing w:line="240" w:lineRule="auto"/>
                    <w:ind w:leftChars="0"/>
                    <w:jc w:val="center"/>
                    <w:textAlignment w:val="auto"/>
                    <w:rPr>
                      <w:rFonts w:hint="default" w:ascii="Times New Roman" w:hAnsi="Times New Roman" w:eastAsia="宋体" w:cs="Times New Roman"/>
                      <w:color w:val="auto"/>
                    </w:rPr>
                  </w:pPr>
                </w:p>
              </w:tc>
            </w:tr>
          </w:tbl>
          <w:p w14:paraId="396618C5">
            <w:pPr>
              <w:widowControl w:val="0"/>
              <w:kinsoku/>
              <w:autoSpaceDE/>
              <w:autoSpaceDN/>
              <w:adjustRightInd/>
              <w:snapToGrid/>
              <w:spacing w:before="3" w:line="360" w:lineRule="auto"/>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项目所在地受人类活动影响较明显，区域内野生动物数量较少，未发现国家重点保护陆生野生动物和地方特有动物物种，无鸟类集中栖息地与鸟类迁徙通道分布。</w:t>
            </w:r>
          </w:p>
          <w:p w14:paraId="3506D57C">
            <w:pPr>
              <w:widowControl w:val="0"/>
              <w:kinsoku/>
              <w:autoSpaceDE/>
              <w:autoSpaceDN/>
              <w:adjustRightInd/>
              <w:snapToGrid/>
              <w:spacing w:before="3" w:line="360" w:lineRule="auto"/>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（四）兽类</w:t>
            </w:r>
          </w:p>
          <w:p w14:paraId="6E0CECA6">
            <w:pPr>
              <w:widowControl w:val="0"/>
              <w:kinsoku/>
              <w:autoSpaceDE/>
              <w:autoSpaceDN/>
              <w:adjustRightInd/>
              <w:snapToGrid/>
              <w:spacing w:before="3" w:line="360" w:lineRule="auto"/>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评价区域陆域有兽类2目2科3种，其中没有国家级他四川省级保护野生动物。</w:t>
            </w:r>
          </w:p>
          <w:p w14:paraId="34020C9B">
            <w:pPr>
              <w:widowControl w:val="0"/>
              <w:kinsoku/>
              <w:autoSpaceDE/>
              <w:autoSpaceDN/>
              <w:adjustRightInd/>
              <w:snapToGrid/>
              <w:spacing w:before="3" w:line="360" w:lineRule="auto"/>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3种兽类中，古北界有0种，东洋界1种，广布种有2种，说明评价范围内兽类动物较为常见，也是以广布种动物为主。</w:t>
            </w:r>
          </w:p>
          <w:p w14:paraId="2E2A6A8D">
            <w:pPr>
              <w:widowControl w:val="0"/>
              <w:kinsoku/>
              <w:autoSpaceDE/>
              <w:autoSpaceDN/>
              <w:adjustRightInd/>
              <w:snapToGrid/>
              <w:spacing w:before="3" w:line="360" w:lineRule="auto"/>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评价范围兽类分布的栖息环境分为5个主要类型，即森林、灌丛、农田、房舍。在周边环境较好、人为干扰轻的地方也有分布，主要以灌丛作为栖息地。如草兔等。灌丛、农田里则分布着啮齿目的动物如：小家鼠、黄胸鼠等，是物种最丰富的栖息地类型。在评价范围农田和房舍活动的啮齿动物如：小家鼠、黄胸鼠等。</w:t>
            </w:r>
          </w:p>
          <w:p w14:paraId="3682FD39">
            <w:pPr>
              <w:widowControl w:val="0"/>
              <w:kinsoku/>
              <w:autoSpaceDE/>
              <w:autoSpaceDN/>
              <w:adjustRightInd/>
              <w:snapToGrid/>
              <w:spacing w:before="3" w:line="360" w:lineRule="auto"/>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项目所在地受人类活动影响较明显，区域内野生动物数量较少，未发现国家重点保护陆生野生动物和地方特有动物物种。</w:t>
            </w:r>
          </w:p>
          <w:p w14:paraId="6858BC5E">
            <w:pPr>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表3-4   陆域兽类名录</w:t>
            </w:r>
          </w:p>
          <w:tbl>
            <w:tblPr>
              <w:tblStyle w:val="32"/>
              <w:tblW w:w="4998" w:type="pct"/>
              <w:jc w:val="center"/>
              <w:tblLayout w:type="autofit"/>
              <w:tblCellMar>
                <w:top w:w="0" w:type="dxa"/>
                <w:left w:w="108" w:type="dxa"/>
                <w:bottom w:w="0" w:type="dxa"/>
                <w:right w:w="108" w:type="dxa"/>
              </w:tblCellMar>
            </w:tblPr>
            <w:tblGrid>
              <w:gridCol w:w="3629"/>
              <w:gridCol w:w="654"/>
              <w:gridCol w:w="700"/>
              <w:gridCol w:w="700"/>
              <w:gridCol w:w="714"/>
              <w:gridCol w:w="1150"/>
              <w:gridCol w:w="636"/>
              <w:gridCol w:w="828"/>
            </w:tblGrid>
            <w:tr w14:paraId="0BBF1538">
              <w:tblPrEx>
                <w:tblCellMar>
                  <w:top w:w="0" w:type="dxa"/>
                  <w:left w:w="108" w:type="dxa"/>
                  <w:bottom w:w="0" w:type="dxa"/>
                  <w:right w:w="108" w:type="dxa"/>
                </w:tblCellMar>
              </w:tblPrEx>
              <w:trPr>
                <w:trHeight w:val="23" w:hRule="atLeast"/>
                <w:jc w:val="center"/>
              </w:trPr>
              <w:tc>
                <w:tcPr>
                  <w:tcW w:w="2013" w:type="pct"/>
                  <w:vMerge w:val="restart"/>
                  <w:tcBorders>
                    <w:top w:val="single" w:color="auto" w:sz="4" w:space="0"/>
                    <w:left w:val="single" w:color="auto" w:sz="4" w:space="0"/>
                    <w:bottom w:val="single" w:color="auto" w:sz="4" w:space="0"/>
                    <w:right w:val="single" w:color="auto" w:sz="4" w:space="0"/>
                  </w:tcBorders>
                  <w:vAlign w:val="center"/>
                </w:tcPr>
                <w:p w14:paraId="514B131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mc:AlternateContent>
                      <mc:Choice Requires="wps">
                        <w:drawing>
                          <wp:anchor distT="0" distB="0" distL="114300" distR="114300" simplePos="0" relativeHeight="251666432" behindDoc="0" locked="0" layoutInCell="1" hidden="1" allowOverlap="1">
                            <wp:simplePos x="0" y="0"/>
                            <wp:positionH relativeFrom="column">
                              <wp:posOffset>0</wp:posOffset>
                            </wp:positionH>
                            <wp:positionV relativeFrom="paragraph">
                              <wp:posOffset>0</wp:posOffset>
                            </wp:positionV>
                            <wp:extent cx="3276600" cy="333375"/>
                            <wp:effectExtent l="0" t="0" r="0" b="0"/>
                            <wp:wrapNone/>
                            <wp:docPr id="33" name="矩形 33" hidden="1"/>
                            <wp:cNvGraphicFramePr/>
                            <a:graphic xmlns:a="http://schemas.openxmlformats.org/drawingml/2006/main">
                              <a:graphicData uri="http://schemas.microsoft.com/office/word/2010/wordprocessingShape">
                                <wps:wsp>
                                  <wps:cNvSpPr>
                                    <a:spLocks noRot="1"/>
                                  </wps:cNvSpPr>
                                  <wps:spPr>
                                    <a:xfrm>
                                      <a:off x="0" y="0"/>
                                      <a:ext cx="3276600" cy="333375"/>
                                    </a:xfrm>
                                    <a:prstGeom prst="rect">
                                      <a:avLst/>
                                    </a:prstGeom>
                                    <a:noFill/>
                                    <a:ln>
                                      <a:noFill/>
                                    </a:ln>
                                  </wps:spPr>
                                  <wps:bodyPr upright="1"/>
                                </wps:wsp>
                              </a:graphicData>
                            </a:graphic>
                          </wp:anchor>
                        </w:drawing>
                      </mc:Choice>
                      <mc:Fallback>
                        <w:pict>
                          <v:rect id="_x0000_s1026" o:spid="_x0000_s1026" o:spt="1" style="position:absolute;left:0pt;margin-left:0pt;margin-top:0pt;height:26.25pt;width:258pt;visibility:hidden;z-index:251666432;mso-width-relative:page;mso-height-relative:page;" filled="f" stroked="f" coordsize="21600,21600" o:gfxdata="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BG1Hyf0wAA&#10;AAQBAAAPAAAAAAAAAAEAIAAAACIAAABkcnMvZG93bnJldi54bWxQSwECFAAUAAAACACHTuJAWvwb&#10;nbEBAABmAwAADgAAAAAAAAABACAAAAAiAQAAZHJzL2Uyb0RvYy54bWxQSwUGAAAAAAYABgBZAQAA&#10;RQUAAAAA&#10;">
                            <v:fill on="f" focussize="0,0"/>
                            <v:stroke on="f"/>
                            <v:imagedata o:title=""/>
                            <o:lock v:ext="edit" rotation="t" aspectratio="f"/>
                          </v:rect>
                        </w:pict>
                      </mc:Fallback>
                    </mc:AlternateContent>
                  </w:r>
                  <w:r>
                    <w:rPr>
                      <w:rFonts w:hint="default" w:ascii="Times New Roman" w:hAnsi="Times New Roman" w:eastAsia="宋体" w:cs="Times New Roman"/>
                      <w:color w:val="auto"/>
                    </w:rPr>
                    <mc:AlternateContent>
                      <mc:Choice Requires="wps">
                        <w:drawing>
                          <wp:anchor distT="0" distB="0" distL="114300" distR="114300" simplePos="0" relativeHeight="251667456" behindDoc="0" locked="0" layoutInCell="1" hidden="1" allowOverlap="1">
                            <wp:simplePos x="0" y="0"/>
                            <wp:positionH relativeFrom="column">
                              <wp:posOffset>0</wp:posOffset>
                            </wp:positionH>
                            <wp:positionV relativeFrom="paragraph">
                              <wp:posOffset>0</wp:posOffset>
                            </wp:positionV>
                            <wp:extent cx="3276600" cy="333375"/>
                            <wp:effectExtent l="0" t="0" r="0" b="0"/>
                            <wp:wrapNone/>
                            <wp:docPr id="5" name="矩形 5" hidden="1"/>
                            <wp:cNvGraphicFramePr/>
                            <a:graphic xmlns:a="http://schemas.openxmlformats.org/drawingml/2006/main">
                              <a:graphicData uri="http://schemas.microsoft.com/office/word/2010/wordprocessingShape">
                                <wps:wsp>
                                  <wps:cNvSpPr>
                                    <a:spLocks noRot="1"/>
                                  </wps:cNvSpPr>
                                  <wps:spPr>
                                    <a:xfrm>
                                      <a:off x="0" y="0"/>
                                      <a:ext cx="3276600" cy="333375"/>
                                    </a:xfrm>
                                    <a:prstGeom prst="rect">
                                      <a:avLst/>
                                    </a:prstGeom>
                                    <a:noFill/>
                                    <a:ln>
                                      <a:noFill/>
                                    </a:ln>
                                  </wps:spPr>
                                  <wps:bodyPr upright="1"/>
                                </wps:wsp>
                              </a:graphicData>
                            </a:graphic>
                          </wp:anchor>
                        </w:drawing>
                      </mc:Choice>
                      <mc:Fallback>
                        <w:pict>
                          <v:rect id="_x0000_s1026" o:spid="_x0000_s1026" o:spt="1" style="position:absolute;left:0pt;margin-left:0pt;margin-top:0pt;height:26.25pt;width:258pt;visibility:hidden;z-index:251667456;mso-width-relative:page;mso-height-relative:page;" filled="f" stroked="f" coordsize="21600,21600" o:gfxdata="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">
                            <v:fill on="f" focussize="0,0"/>
                            <v:stroke on="f"/>
                            <v:imagedata o:title=""/>
                            <o:lock v:ext="edit" rotation="t" aspectratio="f"/>
                          </v:rect>
                        </w:pict>
                      </mc:Fallback>
                    </mc:AlternateContent>
                  </w:r>
                  <w:r>
                    <w:rPr>
                      <w:rFonts w:hint="default" w:ascii="Times New Roman" w:hAnsi="Times New Roman" w:eastAsia="宋体" w:cs="Times New Roman"/>
                      <w:color w:val="auto"/>
                    </w:rPr>
                    <mc:AlternateContent>
                      <mc:Choice Requires="wps">
                        <w:drawing>
                          <wp:anchor distT="0" distB="0" distL="114300" distR="114300" simplePos="0" relativeHeight="251668480" behindDoc="0" locked="0" layoutInCell="1" hidden="1" allowOverlap="1">
                            <wp:simplePos x="0" y="0"/>
                            <wp:positionH relativeFrom="column">
                              <wp:posOffset>0</wp:posOffset>
                            </wp:positionH>
                            <wp:positionV relativeFrom="paragraph">
                              <wp:posOffset>0</wp:posOffset>
                            </wp:positionV>
                            <wp:extent cx="3276600" cy="333375"/>
                            <wp:effectExtent l="0" t="0" r="0" b="0"/>
                            <wp:wrapNone/>
                            <wp:docPr id="14" name="矩形 14" hidden="1"/>
                            <wp:cNvGraphicFramePr/>
                            <a:graphic xmlns:a="http://schemas.openxmlformats.org/drawingml/2006/main">
                              <a:graphicData uri="http://schemas.microsoft.com/office/word/2010/wordprocessingShape">
                                <wps:wsp>
                                  <wps:cNvSpPr>
                                    <a:spLocks noRot="1"/>
                                  </wps:cNvSpPr>
                                  <wps:spPr>
                                    <a:xfrm>
                                      <a:off x="0" y="0"/>
                                      <a:ext cx="3276600" cy="333375"/>
                                    </a:xfrm>
                                    <a:prstGeom prst="rect">
                                      <a:avLst/>
                                    </a:prstGeom>
                                    <a:noFill/>
                                    <a:ln>
                                      <a:noFill/>
                                    </a:ln>
                                  </wps:spPr>
                                  <wps:bodyPr upright="1"/>
                                </wps:wsp>
                              </a:graphicData>
                            </a:graphic>
                          </wp:anchor>
                        </w:drawing>
                      </mc:Choice>
                      <mc:Fallback>
                        <w:pict>
                          <v:rect id="_x0000_s1026" o:spid="_x0000_s1026" o:spt="1" style="position:absolute;left:0pt;margin-left:0pt;margin-top:0pt;height:26.25pt;width:258pt;visibility:hidden;z-index:251668480;mso-width-relative:page;mso-height-relative:page;" filled="f" stroked="f" coordsize="21600,21600" o:gfxdata="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BG1Hyf0wAA&#10;AAQBAAAPAAAAAAAAAAEAIAAAACIAAABkcnMvZG93bnJldi54bWxQSwECFAAUAAAACACHTuJAsIb3&#10;7bEBAABmAwAADgAAAAAAAAABACAAAAAiAQAAZHJzL2Uyb0RvYy54bWxQSwUGAAAAAAYABgBZAQAA&#10;RQUAAAAA&#10;">
                            <v:fill on="f" focussize="0,0"/>
                            <v:stroke on="f"/>
                            <v:imagedata o:title=""/>
                            <o:lock v:ext="edit" rotation="t" aspectratio="f"/>
                          </v:rect>
                        </w:pict>
                      </mc:Fallback>
                    </mc:AlternateContent>
                  </w:r>
                  <w:r>
                    <w:rPr>
                      <w:rFonts w:hint="default" w:ascii="Times New Roman" w:hAnsi="Times New Roman" w:eastAsia="宋体" w:cs="Times New Roman"/>
                      <w:color w:val="auto"/>
                    </w:rPr>
                    <mc:AlternateContent>
                      <mc:Choice Requires="wps">
                        <w:drawing>
                          <wp:anchor distT="0" distB="0" distL="114300" distR="114300" simplePos="0" relativeHeight="251669504" behindDoc="0" locked="0" layoutInCell="1" hidden="1" allowOverlap="1">
                            <wp:simplePos x="0" y="0"/>
                            <wp:positionH relativeFrom="column">
                              <wp:posOffset>0</wp:posOffset>
                            </wp:positionH>
                            <wp:positionV relativeFrom="paragraph">
                              <wp:posOffset>0</wp:posOffset>
                            </wp:positionV>
                            <wp:extent cx="3276600" cy="333375"/>
                            <wp:effectExtent l="0" t="0" r="0" b="0"/>
                            <wp:wrapNone/>
                            <wp:docPr id="17" name="矩形 17" hidden="1"/>
                            <wp:cNvGraphicFramePr/>
                            <a:graphic xmlns:a="http://schemas.openxmlformats.org/drawingml/2006/main">
                              <a:graphicData uri="http://schemas.microsoft.com/office/word/2010/wordprocessingShape">
                                <wps:wsp>
                                  <wps:cNvSpPr>
                                    <a:spLocks noRot="1"/>
                                  </wps:cNvSpPr>
                                  <wps:spPr>
                                    <a:xfrm>
                                      <a:off x="0" y="0"/>
                                      <a:ext cx="3276600" cy="333375"/>
                                    </a:xfrm>
                                    <a:prstGeom prst="rect">
                                      <a:avLst/>
                                    </a:prstGeom>
                                    <a:noFill/>
                                    <a:ln>
                                      <a:noFill/>
                                    </a:ln>
                                  </wps:spPr>
                                  <wps:bodyPr upright="1"/>
                                </wps:wsp>
                              </a:graphicData>
                            </a:graphic>
                          </wp:anchor>
                        </w:drawing>
                      </mc:Choice>
                      <mc:Fallback>
                        <w:pict>
                          <v:rect id="_x0000_s1026" o:spid="_x0000_s1026" o:spt="1" style="position:absolute;left:0pt;margin-left:0pt;margin-top:0pt;height:26.25pt;width:258pt;visibility:hidden;z-index:251669504;mso-width-relative:page;mso-height-relative:page;" filled="f" stroked="f" coordsize="21600,21600" o:gfxdata="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BG1Hyf0wAA&#10;AAQBAAAPAAAAAAAAAAEAIAAAACIAAABkcnMvZG93bnJldi54bWxQSwECFAAUAAAACACHTuJA+5gA&#10;UrEBAABmAwAADgAAAAAAAAABACAAAAAiAQAAZHJzL2Uyb0RvYy54bWxQSwUGAAAAAAYABgBZAQAA&#10;RQUAAAAA&#10;">
                            <v:fill on="f" focussize="0,0"/>
                            <v:stroke on="f"/>
                            <v:imagedata o:title=""/>
                            <o:lock v:ext="edit" rotation="t" aspectratio="f"/>
                          </v:rect>
                        </w:pict>
                      </mc:Fallback>
                    </mc:AlternateContent>
                  </w:r>
                  <w:r>
                    <w:rPr>
                      <w:rFonts w:hint="default" w:ascii="Times New Roman" w:hAnsi="Times New Roman" w:eastAsia="宋体" w:cs="Times New Roman"/>
                      <w:color w:val="auto"/>
                    </w:rPr>
                    <mc:AlternateContent>
                      <mc:Choice Requires="wps">
                        <w:drawing>
                          <wp:anchor distT="0" distB="0" distL="114300" distR="114300" simplePos="0" relativeHeight="251670528" behindDoc="0" locked="0" layoutInCell="1" hidden="1" allowOverlap="1">
                            <wp:simplePos x="0" y="0"/>
                            <wp:positionH relativeFrom="column">
                              <wp:posOffset>0</wp:posOffset>
                            </wp:positionH>
                            <wp:positionV relativeFrom="paragraph">
                              <wp:posOffset>0</wp:posOffset>
                            </wp:positionV>
                            <wp:extent cx="3276600" cy="333375"/>
                            <wp:effectExtent l="0" t="0" r="0" b="0"/>
                            <wp:wrapNone/>
                            <wp:docPr id="21" name="矩形 21" hidden="1"/>
                            <wp:cNvGraphicFramePr/>
                            <a:graphic xmlns:a="http://schemas.openxmlformats.org/drawingml/2006/main">
                              <a:graphicData uri="http://schemas.microsoft.com/office/word/2010/wordprocessingShape">
                                <wps:wsp>
                                  <wps:cNvSpPr>
                                    <a:spLocks noRot="1"/>
                                  </wps:cNvSpPr>
                                  <wps:spPr>
                                    <a:xfrm>
                                      <a:off x="0" y="0"/>
                                      <a:ext cx="3276600" cy="333375"/>
                                    </a:xfrm>
                                    <a:prstGeom prst="rect">
                                      <a:avLst/>
                                    </a:prstGeom>
                                    <a:noFill/>
                                    <a:ln>
                                      <a:noFill/>
                                    </a:ln>
                                  </wps:spPr>
                                  <wps:bodyPr upright="1"/>
                                </wps:wsp>
                              </a:graphicData>
                            </a:graphic>
                          </wp:anchor>
                        </w:drawing>
                      </mc:Choice>
                      <mc:Fallback>
                        <w:pict>
                          <v:rect id="_x0000_s1026" o:spid="_x0000_s1026" o:spt="1" style="position:absolute;left:0pt;margin-left:0pt;margin-top:0pt;height:26.25pt;width:258pt;visibility:hidden;z-index:251670528;mso-width-relative:page;mso-height-relative:page;" filled="f" stroked="f" coordsize="21600,21600" o:gfxdata="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BG1Hyf0wAA&#10;AAQBAAAPAAAAAAAAAAEAIAAAACIAAABkcnMvZG93bnJldi54bWxQSwECFAAUAAAACACHTuJAKs0u&#10;F7EBAABmAwAADgAAAAAAAAABACAAAAAiAQAAZHJzL2Uyb0RvYy54bWxQSwUGAAAAAAYABgBZAQAA&#10;RQUAAAAA&#10;">
                            <v:fill on="f" focussize="0,0"/>
                            <v:stroke on="f"/>
                            <v:imagedata o:title=""/>
                            <o:lock v:ext="edit" rotation="t" aspectratio="f"/>
                          </v:rect>
                        </w:pict>
                      </mc:Fallback>
                    </mc:AlternateContent>
                  </w:r>
                  <w:r>
                    <w:rPr>
                      <w:rFonts w:hint="default" w:ascii="Times New Roman" w:hAnsi="Times New Roman" w:eastAsia="宋体" w:cs="Times New Roman"/>
                      <w:color w:val="auto"/>
                    </w:rPr>
                    <mc:AlternateContent>
                      <mc:Choice Requires="wps">
                        <w:drawing>
                          <wp:anchor distT="0" distB="0" distL="114300" distR="114300" simplePos="0" relativeHeight="251671552" behindDoc="0" locked="0" layoutInCell="1" hidden="1" allowOverlap="1">
                            <wp:simplePos x="0" y="0"/>
                            <wp:positionH relativeFrom="column">
                              <wp:posOffset>0</wp:posOffset>
                            </wp:positionH>
                            <wp:positionV relativeFrom="paragraph">
                              <wp:posOffset>0</wp:posOffset>
                            </wp:positionV>
                            <wp:extent cx="3276600" cy="333375"/>
                            <wp:effectExtent l="0" t="0" r="0" b="0"/>
                            <wp:wrapNone/>
                            <wp:docPr id="25" name="矩形 25" hidden="1"/>
                            <wp:cNvGraphicFramePr/>
                            <a:graphic xmlns:a="http://schemas.openxmlformats.org/drawingml/2006/main">
                              <a:graphicData uri="http://schemas.microsoft.com/office/word/2010/wordprocessingShape">
                                <wps:wsp>
                                  <wps:cNvSpPr>
                                    <a:spLocks noRot="1"/>
                                  </wps:cNvSpPr>
                                  <wps:spPr>
                                    <a:xfrm>
                                      <a:off x="0" y="0"/>
                                      <a:ext cx="3276600" cy="333375"/>
                                    </a:xfrm>
                                    <a:prstGeom prst="rect">
                                      <a:avLst/>
                                    </a:prstGeom>
                                    <a:noFill/>
                                    <a:ln>
                                      <a:noFill/>
                                    </a:ln>
                                  </wps:spPr>
                                  <wps:bodyPr upright="1"/>
                                </wps:wsp>
                              </a:graphicData>
                            </a:graphic>
                          </wp:anchor>
                        </w:drawing>
                      </mc:Choice>
                      <mc:Fallback>
                        <w:pict>
                          <v:rect id="_x0000_s1026" o:spid="_x0000_s1026" o:spt="1" style="position:absolute;left:0pt;margin-left:0pt;margin-top:0pt;height:26.25pt;width:258pt;visibility:hidden;z-index:251671552;mso-width-relative:page;mso-height-relative:page;" filled="f" stroked="f" coordsize="21600,21600" o:gfxdata="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BG1Hyf0wAA&#10;AAQBAAAPAAAAAAAAAAEAIAAAACIAAABkcnMvZG93bnJldi54bWxQSwECFAAUAAAACACHTuJAj+Pr&#10;ZrEBAABmAwAADgAAAAAAAAABACAAAAAiAQAAZHJzL2Uyb0RvYy54bWxQSwUGAAAAAAYABgBZAQAA&#10;RQUAAAAA&#10;">
                            <v:fill on="f" focussize="0,0"/>
                            <v:stroke on="f"/>
                            <v:imagedata o:title=""/>
                            <o:lock v:ext="edit" rotation="t" aspectratio="f"/>
                          </v:rect>
                        </w:pict>
                      </mc:Fallback>
                    </mc:AlternateContent>
                  </w:r>
                  <w:r>
                    <w:rPr>
                      <w:rFonts w:hint="default" w:ascii="Times New Roman" w:hAnsi="Times New Roman" w:eastAsia="宋体" w:cs="Times New Roman"/>
                      <w:color w:val="auto"/>
                    </w:rPr>
                    <mc:AlternateContent>
                      <mc:Choice Requires="wps">
                        <w:drawing>
                          <wp:anchor distT="0" distB="0" distL="114300" distR="114300" simplePos="0" relativeHeight="251672576" behindDoc="0" locked="0" layoutInCell="1" hidden="1" allowOverlap="1">
                            <wp:simplePos x="0" y="0"/>
                            <wp:positionH relativeFrom="column">
                              <wp:posOffset>0</wp:posOffset>
                            </wp:positionH>
                            <wp:positionV relativeFrom="paragraph">
                              <wp:posOffset>0</wp:posOffset>
                            </wp:positionV>
                            <wp:extent cx="3276600" cy="333375"/>
                            <wp:effectExtent l="0" t="0" r="0" b="0"/>
                            <wp:wrapNone/>
                            <wp:docPr id="23" name="矩形 23" hidden="1"/>
                            <wp:cNvGraphicFramePr/>
                            <a:graphic xmlns:a="http://schemas.openxmlformats.org/drawingml/2006/main">
                              <a:graphicData uri="http://schemas.microsoft.com/office/word/2010/wordprocessingShape">
                                <wps:wsp>
                                  <wps:cNvSpPr>
                                    <a:spLocks noRot="1"/>
                                  </wps:cNvSpPr>
                                  <wps:spPr>
                                    <a:xfrm>
                                      <a:off x="0" y="0"/>
                                      <a:ext cx="3276600" cy="333375"/>
                                    </a:xfrm>
                                    <a:prstGeom prst="rect">
                                      <a:avLst/>
                                    </a:prstGeom>
                                    <a:noFill/>
                                    <a:ln>
                                      <a:noFill/>
                                    </a:ln>
                                  </wps:spPr>
                                  <wps:bodyPr upright="1"/>
                                </wps:wsp>
                              </a:graphicData>
                            </a:graphic>
                          </wp:anchor>
                        </w:drawing>
                      </mc:Choice>
                      <mc:Fallback>
                        <w:pict>
                          <v:rect id="_x0000_s1026" o:spid="_x0000_s1026" o:spt="1" style="position:absolute;left:0pt;margin-left:0pt;margin-top:0pt;height:26.25pt;width:258pt;visibility:hidden;z-index:251672576;mso-width-relative:page;mso-height-relative:page;" filled="f" stroked="f" coordsize="21600,21600" o:gfxdata="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BG1Hyf0wAA&#10;AAQBAAAPAAAAAAAAAAEAIAAAACIAAABkcnMvZG93bnJldi54bWxQSwECFAAUAAAACACHTuJAWNl0&#10;wrEBAABmAwAADgAAAAAAAAABACAAAAAiAQAAZHJzL2Uyb0RvYy54bWxQSwUGAAAAAAYABgBZAQAA&#10;RQUAAAAA&#10;">
                            <v:fill on="f" focussize="0,0"/>
                            <v:stroke on="f"/>
                            <v:imagedata o:title=""/>
                            <o:lock v:ext="edit" rotation="t" aspectratio="f"/>
                          </v:rect>
                        </w:pict>
                      </mc:Fallback>
                    </mc:AlternateContent>
                  </w:r>
                  <w:r>
                    <w:rPr>
                      <w:rFonts w:hint="default" w:ascii="Times New Roman" w:hAnsi="Times New Roman" w:eastAsia="宋体" w:cs="Times New Roman"/>
                      <w:color w:val="auto"/>
                    </w:rPr>
                    <mc:AlternateContent>
                      <mc:Choice Requires="wps">
                        <w:drawing>
                          <wp:anchor distT="0" distB="0" distL="114300" distR="114300" simplePos="0" relativeHeight="251673600" behindDoc="0" locked="0" layoutInCell="1" hidden="1" allowOverlap="1">
                            <wp:simplePos x="0" y="0"/>
                            <wp:positionH relativeFrom="column">
                              <wp:posOffset>0</wp:posOffset>
                            </wp:positionH>
                            <wp:positionV relativeFrom="paragraph">
                              <wp:posOffset>0</wp:posOffset>
                            </wp:positionV>
                            <wp:extent cx="3276600" cy="333375"/>
                            <wp:effectExtent l="0" t="0" r="0" b="0"/>
                            <wp:wrapNone/>
                            <wp:docPr id="26" name="矩形 26" hidden="1"/>
                            <wp:cNvGraphicFramePr/>
                            <a:graphic xmlns:a="http://schemas.openxmlformats.org/drawingml/2006/main">
                              <a:graphicData uri="http://schemas.microsoft.com/office/word/2010/wordprocessingShape">
                                <wps:wsp>
                                  <wps:cNvSpPr>
                                    <a:spLocks noRot="1"/>
                                  </wps:cNvSpPr>
                                  <wps:spPr>
                                    <a:xfrm>
                                      <a:off x="0" y="0"/>
                                      <a:ext cx="3276600" cy="333375"/>
                                    </a:xfrm>
                                    <a:prstGeom prst="rect">
                                      <a:avLst/>
                                    </a:prstGeom>
                                    <a:noFill/>
                                    <a:ln>
                                      <a:noFill/>
                                    </a:ln>
                                  </wps:spPr>
                                  <wps:bodyPr upright="1"/>
                                </wps:wsp>
                              </a:graphicData>
                            </a:graphic>
                          </wp:anchor>
                        </w:drawing>
                      </mc:Choice>
                      <mc:Fallback>
                        <w:pict>
                          <v:rect id="_x0000_s1026" o:spid="_x0000_s1026" o:spt="1" style="position:absolute;left:0pt;margin-left:0pt;margin-top:0pt;height:26.25pt;width:258pt;visibility:hidden;z-index:251673600;mso-width-relative:page;mso-height-relative:page;" filled="f" stroked="f" coordsize="21600,21600" o:gfxdata="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BG1Hyf0wAA&#10;AAQBAAAPAAAAAAAAAAEAIAAAACIAAABkcnMvZG93bnJldi54bWxQSwECFAAUAAAACACHTuJAxP0c&#10;2bEBAABmAwAADgAAAAAAAAABACAAAAAiAQAAZHJzL2Uyb0RvYy54bWxQSwUGAAAAAAYABgBZAQAA&#10;RQUAAAAA&#10;">
                            <v:fill on="f" focussize="0,0"/>
                            <v:stroke on="f"/>
                            <v:imagedata o:title=""/>
                            <o:lock v:ext="edit" rotation="t" aspectratio="f"/>
                          </v:rect>
                        </w:pict>
                      </mc:Fallback>
                    </mc:AlternateContent>
                  </w:r>
                  <w:r>
                    <w:rPr>
                      <w:rFonts w:hint="default" w:ascii="Times New Roman" w:hAnsi="Times New Roman" w:eastAsia="宋体" w:cs="Times New Roman"/>
                      <w:color w:val="auto"/>
                    </w:rPr>
                    <mc:AlternateContent>
                      <mc:Choice Requires="wps">
                        <w:drawing>
                          <wp:anchor distT="0" distB="0" distL="114300" distR="114300" simplePos="0" relativeHeight="251674624" behindDoc="0" locked="0" layoutInCell="1" hidden="1" allowOverlap="1">
                            <wp:simplePos x="0" y="0"/>
                            <wp:positionH relativeFrom="column">
                              <wp:posOffset>0</wp:posOffset>
                            </wp:positionH>
                            <wp:positionV relativeFrom="paragraph">
                              <wp:posOffset>0</wp:posOffset>
                            </wp:positionV>
                            <wp:extent cx="3276600" cy="333375"/>
                            <wp:effectExtent l="0" t="0" r="0" b="0"/>
                            <wp:wrapNone/>
                            <wp:docPr id="34" name="矩形 34" hidden="1"/>
                            <wp:cNvGraphicFramePr/>
                            <a:graphic xmlns:a="http://schemas.openxmlformats.org/drawingml/2006/main">
                              <a:graphicData uri="http://schemas.microsoft.com/office/word/2010/wordprocessingShape">
                                <wps:wsp>
                                  <wps:cNvSpPr>
                                    <a:spLocks noRot="1"/>
                                  </wps:cNvSpPr>
                                  <wps:spPr>
                                    <a:xfrm>
                                      <a:off x="0" y="0"/>
                                      <a:ext cx="3276600" cy="333375"/>
                                    </a:xfrm>
                                    <a:prstGeom prst="rect">
                                      <a:avLst/>
                                    </a:prstGeom>
                                    <a:noFill/>
                                    <a:ln>
                                      <a:noFill/>
                                    </a:ln>
                                  </wps:spPr>
                                  <wps:bodyPr upright="1"/>
                                </wps:wsp>
                              </a:graphicData>
                            </a:graphic>
                          </wp:anchor>
                        </w:drawing>
                      </mc:Choice>
                      <mc:Fallback>
                        <w:pict>
                          <v:rect id="_x0000_s1026" o:spid="_x0000_s1026" o:spt="1" style="position:absolute;left:0pt;margin-left:0pt;margin-top:0pt;height:26.25pt;width:258pt;visibility:hidden;z-index:251674624;mso-width-relative:page;mso-height-relative:page;" filled="f" stroked="f" coordsize="21600,21600" o:gfxdata="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BG1Hyf0wAA&#10;AAQBAAAPAAAAAAAAAAEAIAAAACIAAABkcnMvZG93bnJldi54bWxQSwECFAAUAAAACACHTuJAtMwp&#10;U7EBAABmAwAADgAAAAAAAAABACAAAAAiAQAAZHJzL2Uyb0RvYy54bWxQSwUGAAAAAAYABgBZAQAA&#10;RQUAAAAA&#10;">
                            <v:fill on="f" focussize="0,0"/>
                            <v:stroke on="f"/>
                            <v:imagedata o:title=""/>
                            <o:lock v:ext="edit" rotation="t" aspectratio="f"/>
                          </v:rect>
                        </w:pict>
                      </mc:Fallback>
                    </mc:AlternateContent>
                  </w:r>
                  <w:r>
                    <w:rPr>
                      <w:rFonts w:hint="default" w:ascii="Times New Roman" w:hAnsi="Times New Roman" w:eastAsia="宋体" w:cs="Times New Roman"/>
                      <w:color w:val="auto"/>
                    </w:rPr>
                    <mc:AlternateContent>
                      <mc:Choice Requires="wps">
                        <w:drawing>
                          <wp:anchor distT="0" distB="0" distL="114300" distR="114300" simplePos="0" relativeHeight="251675648" behindDoc="0" locked="0" layoutInCell="1" hidden="1" allowOverlap="1">
                            <wp:simplePos x="0" y="0"/>
                            <wp:positionH relativeFrom="column">
                              <wp:posOffset>0</wp:posOffset>
                            </wp:positionH>
                            <wp:positionV relativeFrom="paragraph">
                              <wp:posOffset>0</wp:posOffset>
                            </wp:positionV>
                            <wp:extent cx="3276600" cy="333375"/>
                            <wp:effectExtent l="0" t="0" r="0" b="0"/>
                            <wp:wrapNone/>
                            <wp:docPr id="38" name="矩形 38" hidden="1"/>
                            <wp:cNvGraphicFramePr/>
                            <a:graphic xmlns:a="http://schemas.openxmlformats.org/drawingml/2006/main">
                              <a:graphicData uri="http://schemas.microsoft.com/office/word/2010/wordprocessingShape">
                                <wps:wsp>
                                  <wps:cNvSpPr>
                                    <a:spLocks noRot="1"/>
                                  </wps:cNvSpPr>
                                  <wps:spPr>
                                    <a:xfrm>
                                      <a:off x="0" y="0"/>
                                      <a:ext cx="3276600" cy="333375"/>
                                    </a:xfrm>
                                    <a:prstGeom prst="rect">
                                      <a:avLst/>
                                    </a:prstGeom>
                                    <a:noFill/>
                                    <a:ln>
                                      <a:noFill/>
                                    </a:ln>
                                  </wps:spPr>
                                  <wps:bodyPr upright="1"/>
                                </wps:wsp>
                              </a:graphicData>
                            </a:graphic>
                          </wp:anchor>
                        </w:drawing>
                      </mc:Choice>
                      <mc:Fallback>
                        <w:pict>
                          <v:rect id="_x0000_s1026" o:spid="_x0000_s1026" o:spt="1" style="position:absolute;left:0pt;margin-left:0pt;margin-top:0pt;height:26.25pt;width:258pt;visibility:hidden;z-index:251675648;mso-width-relative:page;mso-height-relative:page;" filled="f" stroked="f" coordsize="21600,21600" o:gfxdata="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BG1Hyf0wAA&#10;AAQBAAAPAAAAAAAAAAEAIAAAACIAAABkcnMvZG93bnJldi54bWxQSwECFAAUAAAACACHTuJAW79m&#10;wbEBAABmAwAADgAAAAAAAAABACAAAAAiAQAAZHJzL2Uyb0RvYy54bWxQSwUGAAAAAAYABgBZAQAA&#10;RQUAAAAA&#10;">
                            <v:fill on="f" focussize="0,0"/>
                            <v:stroke on="f"/>
                            <v:imagedata o:title=""/>
                            <o:lock v:ext="edit" rotation="t" aspectratio="f"/>
                          </v:rect>
                        </w:pict>
                      </mc:Fallback>
                    </mc:AlternateContent>
                  </w:r>
                  <w:r>
                    <w:rPr>
                      <w:rFonts w:hint="default" w:ascii="Times New Roman" w:hAnsi="Times New Roman" w:eastAsia="宋体" w:cs="Times New Roman"/>
                      <w:color w:val="auto"/>
                    </w:rPr>
                    <mc:AlternateContent>
                      <mc:Choice Requires="wps">
                        <w:drawing>
                          <wp:anchor distT="0" distB="0" distL="114300" distR="114300" simplePos="0" relativeHeight="251676672" behindDoc="0" locked="0" layoutInCell="1" hidden="1" allowOverlap="1">
                            <wp:simplePos x="0" y="0"/>
                            <wp:positionH relativeFrom="column">
                              <wp:posOffset>0</wp:posOffset>
                            </wp:positionH>
                            <wp:positionV relativeFrom="paragraph">
                              <wp:posOffset>0</wp:posOffset>
                            </wp:positionV>
                            <wp:extent cx="3276600" cy="333375"/>
                            <wp:effectExtent l="0" t="0" r="0" b="0"/>
                            <wp:wrapNone/>
                            <wp:docPr id="37" name="矩形 37" hidden="1"/>
                            <wp:cNvGraphicFramePr/>
                            <a:graphic xmlns:a="http://schemas.openxmlformats.org/drawingml/2006/main">
                              <a:graphicData uri="http://schemas.microsoft.com/office/word/2010/wordprocessingShape">
                                <wps:wsp>
                                  <wps:cNvSpPr>
                                    <a:spLocks noRot="1"/>
                                  </wps:cNvSpPr>
                                  <wps:spPr>
                                    <a:xfrm>
                                      <a:off x="0" y="0"/>
                                      <a:ext cx="3276600" cy="333375"/>
                                    </a:xfrm>
                                    <a:prstGeom prst="rect">
                                      <a:avLst/>
                                    </a:prstGeom>
                                    <a:noFill/>
                                    <a:ln>
                                      <a:noFill/>
                                    </a:ln>
                                  </wps:spPr>
                                  <wps:bodyPr upright="1"/>
                                </wps:wsp>
                              </a:graphicData>
                            </a:graphic>
                          </wp:anchor>
                        </w:drawing>
                      </mc:Choice>
                      <mc:Fallback>
                        <w:pict>
                          <v:rect id="_x0000_s1026" o:spid="_x0000_s1026" o:spt="1" style="position:absolute;left:0pt;margin-left:0pt;margin-top:0pt;height:26.25pt;width:258pt;visibility:hidden;z-index:251676672;mso-width-relative:page;mso-height-relative:page;" filled="f" stroked="f" coordsize="21600,21600" o:gfxdata="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BG1Hyf0wAA&#10;AAQBAAAPAAAAAAAAAAEAIAAAACIAAABkcnMvZG93bnJldi54bWxQSwECFAAUAAAACACHTuJA/9Le&#10;7LEBAABmAwAADgAAAAAAAAABACAAAAAiAQAAZHJzL2Uyb0RvYy54bWxQSwUGAAAAAAYABgBZAQAA&#10;RQUAAAAA&#10;">
                            <v:fill on="f" focussize="0,0"/>
                            <v:stroke on="f"/>
                            <v:imagedata o:title=""/>
                            <o:lock v:ext="edit" rotation="t" aspectratio="f"/>
                          </v:rect>
                        </w:pict>
                      </mc:Fallback>
                    </mc:AlternateContent>
                  </w:r>
                  <w:r>
                    <w:rPr>
                      <w:rFonts w:hint="default" w:ascii="Times New Roman" w:hAnsi="Times New Roman" w:eastAsia="宋体" w:cs="Times New Roman"/>
                      <w:color w:val="auto"/>
                    </w:rPr>
                    <w:t>目、科、种名称</w:t>
                  </w:r>
                </w:p>
              </w:tc>
              <w:tc>
                <w:tcPr>
                  <w:tcW w:w="1535" w:type="pct"/>
                  <w:gridSpan w:val="4"/>
                  <w:tcBorders>
                    <w:top w:val="single" w:color="auto" w:sz="4" w:space="0"/>
                    <w:left w:val="nil"/>
                    <w:bottom w:val="single" w:color="auto" w:sz="4" w:space="0"/>
                    <w:right w:val="single" w:color="auto" w:sz="4" w:space="0"/>
                  </w:tcBorders>
                  <w:vAlign w:val="center"/>
                </w:tcPr>
                <w:p w14:paraId="0598799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生境类型</w:t>
                  </w:r>
                </w:p>
              </w:tc>
              <w:tc>
                <w:tcPr>
                  <w:tcW w:w="638" w:type="pct"/>
                  <w:vMerge w:val="restart"/>
                  <w:tcBorders>
                    <w:top w:val="single" w:color="auto" w:sz="4" w:space="0"/>
                    <w:left w:val="single" w:color="auto" w:sz="4" w:space="0"/>
                    <w:bottom w:val="single" w:color="000000" w:sz="4" w:space="0"/>
                    <w:right w:val="single" w:color="auto" w:sz="4" w:space="0"/>
                  </w:tcBorders>
                  <w:vAlign w:val="center"/>
                </w:tcPr>
                <w:p w14:paraId="0F53540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从属区系</w:t>
                  </w:r>
                </w:p>
              </w:tc>
              <w:tc>
                <w:tcPr>
                  <w:tcW w:w="353" w:type="pct"/>
                  <w:vMerge w:val="restart"/>
                  <w:tcBorders>
                    <w:top w:val="single" w:color="auto" w:sz="4" w:space="0"/>
                    <w:left w:val="single" w:color="auto" w:sz="4" w:space="0"/>
                    <w:bottom w:val="single" w:color="auto" w:sz="4" w:space="0"/>
                    <w:right w:val="single" w:color="auto" w:sz="4" w:space="0"/>
                  </w:tcBorders>
                  <w:vAlign w:val="center"/>
                </w:tcPr>
                <w:p w14:paraId="788CB51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数量</w:t>
                  </w:r>
                </w:p>
              </w:tc>
              <w:tc>
                <w:tcPr>
                  <w:tcW w:w="459" w:type="pct"/>
                  <w:vMerge w:val="restart"/>
                  <w:tcBorders>
                    <w:top w:val="single" w:color="auto" w:sz="4" w:space="0"/>
                    <w:left w:val="single" w:color="auto" w:sz="4" w:space="0"/>
                    <w:bottom w:val="single" w:color="000000" w:sz="4" w:space="0"/>
                    <w:right w:val="single" w:color="auto" w:sz="4" w:space="0"/>
                  </w:tcBorders>
                  <w:vAlign w:val="center"/>
                </w:tcPr>
                <w:p w14:paraId="507E6C8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保护等级</w:t>
                  </w:r>
                </w:p>
              </w:tc>
            </w:tr>
            <w:tr w14:paraId="35B5A4D0">
              <w:tblPrEx>
                <w:tblCellMar>
                  <w:top w:w="0" w:type="dxa"/>
                  <w:left w:w="108" w:type="dxa"/>
                  <w:bottom w:w="0" w:type="dxa"/>
                  <w:right w:w="108" w:type="dxa"/>
                </w:tblCellMar>
              </w:tblPrEx>
              <w:trPr>
                <w:trHeight w:val="23" w:hRule="atLeast"/>
                <w:jc w:val="center"/>
              </w:trPr>
              <w:tc>
                <w:tcPr>
                  <w:tcW w:w="2013" w:type="pct"/>
                  <w:vMerge w:val="continue"/>
                  <w:tcBorders>
                    <w:top w:val="single" w:color="auto" w:sz="4" w:space="0"/>
                    <w:left w:val="single" w:color="auto" w:sz="4" w:space="0"/>
                    <w:bottom w:val="single" w:color="auto" w:sz="4" w:space="0"/>
                    <w:right w:val="single" w:color="auto" w:sz="4" w:space="0"/>
                  </w:tcBorders>
                  <w:vAlign w:val="center"/>
                </w:tcPr>
                <w:p w14:paraId="701CF9EB">
                  <w:pPr>
                    <w:rPr>
                      <w:rFonts w:hint="default" w:ascii="Times New Roman" w:hAnsi="Times New Roman" w:eastAsia="宋体" w:cs="Times New Roman"/>
                      <w:color w:val="auto"/>
                    </w:rPr>
                  </w:pPr>
                </w:p>
              </w:tc>
              <w:tc>
                <w:tcPr>
                  <w:tcW w:w="363" w:type="pct"/>
                  <w:tcBorders>
                    <w:top w:val="nil"/>
                    <w:left w:val="nil"/>
                    <w:bottom w:val="single" w:color="auto" w:sz="4" w:space="0"/>
                    <w:right w:val="single" w:color="auto" w:sz="4" w:space="0"/>
                  </w:tcBorders>
                  <w:vAlign w:val="center"/>
                </w:tcPr>
                <w:p w14:paraId="3565FC8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水域</w:t>
                  </w:r>
                </w:p>
              </w:tc>
              <w:tc>
                <w:tcPr>
                  <w:tcW w:w="388" w:type="pct"/>
                  <w:tcBorders>
                    <w:top w:val="nil"/>
                    <w:left w:val="nil"/>
                    <w:bottom w:val="single" w:color="auto" w:sz="4" w:space="0"/>
                    <w:right w:val="single" w:color="auto" w:sz="4" w:space="0"/>
                  </w:tcBorders>
                  <w:vAlign w:val="center"/>
                </w:tcPr>
                <w:p w14:paraId="3B55D9A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农田</w:t>
                  </w:r>
                </w:p>
              </w:tc>
              <w:tc>
                <w:tcPr>
                  <w:tcW w:w="388" w:type="pct"/>
                  <w:tcBorders>
                    <w:top w:val="nil"/>
                    <w:left w:val="nil"/>
                    <w:bottom w:val="single" w:color="auto" w:sz="4" w:space="0"/>
                    <w:right w:val="single" w:color="auto" w:sz="4" w:space="0"/>
                  </w:tcBorders>
                  <w:vAlign w:val="center"/>
                </w:tcPr>
                <w:p w14:paraId="5AFBA51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草灌</w:t>
                  </w:r>
                </w:p>
              </w:tc>
              <w:tc>
                <w:tcPr>
                  <w:tcW w:w="394" w:type="pct"/>
                  <w:tcBorders>
                    <w:top w:val="nil"/>
                    <w:left w:val="nil"/>
                    <w:bottom w:val="single" w:color="auto" w:sz="4" w:space="0"/>
                    <w:right w:val="single" w:color="auto" w:sz="4" w:space="0"/>
                  </w:tcBorders>
                  <w:vAlign w:val="center"/>
                </w:tcPr>
                <w:p w14:paraId="27A7C2C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森林</w:t>
                  </w:r>
                </w:p>
              </w:tc>
              <w:tc>
                <w:tcPr>
                  <w:tcW w:w="638" w:type="pct"/>
                  <w:vMerge w:val="continue"/>
                  <w:tcBorders>
                    <w:top w:val="single" w:color="auto" w:sz="4" w:space="0"/>
                    <w:left w:val="single" w:color="auto" w:sz="4" w:space="0"/>
                    <w:bottom w:val="single" w:color="000000" w:sz="4" w:space="0"/>
                    <w:right w:val="single" w:color="auto" w:sz="4" w:space="0"/>
                  </w:tcBorders>
                  <w:vAlign w:val="center"/>
                </w:tcPr>
                <w:p w14:paraId="5F747710">
                  <w:pPr>
                    <w:rPr>
                      <w:rFonts w:hint="default" w:ascii="Times New Roman" w:hAnsi="Times New Roman" w:eastAsia="宋体" w:cs="Times New Roman"/>
                      <w:color w:val="auto"/>
                    </w:rPr>
                  </w:pPr>
                </w:p>
              </w:tc>
              <w:tc>
                <w:tcPr>
                  <w:tcW w:w="353" w:type="pct"/>
                  <w:vMerge w:val="continue"/>
                  <w:tcBorders>
                    <w:top w:val="single" w:color="auto" w:sz="4" w:space="0"/>
                    <w:left w:val="single" w:color="auto" w:sz="4" w:space="0"/>
                    <w:bottom w:val="single" w:color="auto" w:sz="4" w:space="0"/>
                    <w:right w:val="single" w:color="auto" w:sz="4" w:space="0"/>
                  </w:tcBorders>
                  <w:vAlign w:val="center"/>
                </w:tcPr>
                <w:p w14:paraId="4DCF0E70">
                  <w:pPr>
                    <w:rPr>
                      <w:rFonts w:hint="default" w:ascii="Times New Roman" w:hAnsi="Times New Roman" w:eastAsia="宋体" w:cs="Times New Roman"/>
                      <w:color w:val="auto"/>
                    </w:rPr>
                  </w:pPr>
                </w:p>
              </w:tc>
              <w:tc>
                <w:tcPr>
                  <w:tcW w:w="459" w:type="pct"/>
                  <w:vMerge w:val="continue"/>
                  <w:tcBorders>
                    <w:top w:val="single" w:color="auto" w:sz="4" w:space="0"/>
                    <w:left w:val="single" w:color="auto" w:sz="4" w:space="0"/>
                    <w:bottom w:val="single" w:color="000000" w:sz="4" w:space="0"/>
                    <w:right w:val="single" w:color="auto" w:sz="4" w:space="0"/>
                  </w:tcBorders>
                  <w:vAlign w:val="center"/>
                </w:tcPr>
                <w:p w14:paraId="1CC6E553">
                  <w:pPr>
                    <w:rPr>
                      <w:rFonts w:hint="default" w:ascii="Times New Roman" w:hAnsi="Times New Roman" w:eastAsia="宋体" w:cs="Times New Roman"/>
                      <w:color w:val="auto"/>
                    </w:rPr>
                  </w:pPr>
                </w:p>
              </w:tc>
            </w:tr>
            <w:tr w14:paraId="73DE5AAB">
              <w:tblPrEx>
                <w:tblCellMar>
                  <w:top w:w="0" w:type="dxa"/>
                  <w:left w:w="108" w:type="dxa"/>
                  <w:bottom w:w="0" w:type="dxa"/>
                  <w:right w:w="108" w:type="dxa"/>
                </w:tblCellMar>
              </w:tblPrEx>
              <w:trPr>
                <w:trHeight w:val="23" w:hRule="atLeast"/>
                <w:jc w:val="center"/>
              </w:trPr>
              <w:tc>
                <w:tcPr>
                  <w:tcW w:w="2013" w:type="pct"/>
                  <w:tcBorders>
                    <w:top w:val="nil"/>
                    <w:left w:val="single" w:color="auto" w:sz="4" w:space="0"/>
                    <w:bottom w:val="single" w:color="auto" w:sz="4" w:space="0"/>
                    <w:right w:val="single" w:color="auto" w:sz="4" w:space="0"/>
                  </w:tcBorders>
                  <w:vAlign w:val="center"/>
                </w:tcPr>
                <w:p w14:paraId="0A0101C2">
                  <w:pPr>
                    <w:rPr>
                      <w:rFonts w:hint="default" w:ascii="Times New Roman" w:hAnsi="Times New Roman" w:eastAsia="宋体" w:cs="Times New Roman"/>
                      <w:color w:val="auto"/>
                    </w:rPr>
                  </w:pPr>
                  <w:r>
                    <w:rPr>
                      <w:rFonts w:hint="default" w:ascii="Times New Roman" w:hAnsi="Times New Roman" w:eastAsia="宋体" w:cs="Times New Roman"/>
                      <w:color w:val="auto"/>
                    </w:rPr>
                    <w:t>一、兔形目LAGOMORPHA</w:t>
                  </w:r>
                </w:p>
              </w:tc>
              <w:tc>
                <w:tcPr>
                  <w:tcW w:w="363" w:type="pct"/>
                  <w:tcBorders>
                    <w:top w:val="nil"/>
                    <w:left w:val="nil"/>
                    <w:bottom w:val="single" w:color="auto" w:sz="4" w:space="0"/>
                    <w:right w:val="single" w:color="auto" w:sz="4" w:space="0"/>
                  </w:tcBorders>
                  <w:vAlign w:val="center"/>
                </w:tcPr>
                <w:p w14:paraId="4F228BF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　</w:t>
                  </w:r>
                </w:p>
              </w:tc>
              <w:tc>
                <w:tcPr>
                  <w:tcW w:w="388" w:type="pct"/>
                  <w:tcBorders>
                    <w:top w:val="nil"/>
                    <w:left w:val="nil"/>
                    <w:bottom w:val="single" w:color="auto" w:sz="4" w:space="0"/>
                    <w:right w:val="single" w:color="auto" w:sz="4" w:space="0"/>
                  </w:tcBorders>
                  <w:vAlign w:val="center"/>
                </w:tcPr>
                <w:p w14:paraId="67AA111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　</w:t>
                  </w:r>
                </w:p>
              </w:tc>
              <w:tc>
                <w:tcPr>
                  <w:tcW w:w="388" w:type="pct"/>
                  <w:tcBorders>
                    <w:top w:val="nil"/>
                    <w:left w:val="nil"/>
                    <w:bottom w:val="single" w:color="auto" w:sz="4" w:space="0"/>
                    <w:right w:val="single" w:color="auto" w:sz="4" w:space="0"/>
                  </w:tcBorders>
                  <w:vAlign w:val="center"/>
                </w:tcPr>
                <w:p w14:paraId="332D958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　</w:t>
                  </w:r>
                </w:p>
              </w:tc>
              <w:tc>
                <w:tcPr>
                  <w:tcW w:w="394" w:type="pct"/>
                  <w:tcBorders>
                    <w:top w:val="nil"/>
                    <w:left w:val="nil"/>
                    <w:bottom w:val="single" w:color="auto" w:sz="4" w:space="0"/>
                    <w:right w:val="single" w:color="auto" w:sz="4" w:space="0"/>
                  </w:tcBorders>
                  <w:vAlign w:val="center"/>
                </w:tcPr>
                <w:p w14:paraId="7FAD773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　</w:t>
                  </w:r>
                </w:p>
              </w:tc>
              <w:tc>
                <w:tcPr>
                  <w:tcW w:w="638" w:type="pct"/>
                  <w:tcBorders>
                    <w:top w:val="nil"/>
                    <w:left w:val="nil"/>
                    <w:bottom w:val="single" w:color="auto" w:sz="4" w:space="0"/>
                    <w:right w:val="single" w:color="auto" w:sz="4" w:space="0"/>
                  </w:tcBorders>
                  <w:vAlign w:val="center"/>
                </w:tcPr>
                <w:p w14:paraId="63857EC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　</w:t>
                  </w:r>
                </w:p>
              </w:tc>
              <w:tc>
                <w:tcPr>
                  <w:tcW w:w="353" w:type="pct"/>
                  <w:tcBorders>
                    <w:top w:val="nil"/>
                    <w:left w:val="nil"/>
                    <w:bottom w:val="single" w:color="auto" w:sz="4" w:space="0"/>
                    <w:right w:val="single" w:color="auto" w:sz="4" w:space="0"/>
                  </w:tcBorders>
                  <w:vAlign w:val="center"/>
                </w:tcPr>
                <w:p w14:paraId="070C2BB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　</w:t>
                  </w:r>
                </w:p>
              </w:tc>
              <w:tc>
                <w:tcPr>
                  <w:tcW w:w="459" w:type="pct"/>
                  <w:tcBorders>
                    <w:top w:val="nil"/>
                    <w:left w:val="nil"/>
                    <w:bottom w:val="single" w:color="auto" w:sz="4" w:space="0"/>
                    <w:right w:val="single" w:color="auto" w:sz="4" w:space="0"/>
                  </w:tcBorders>
                  <w:vAlign w:val="center"/>
                </w:tcPr>
                <w:p w14:paraId="04FDEDB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　</w:t>
                  </w:r>
                </w:p>
              </w:tc>
            </w:tr>
            <w:tr w14:paraId="2EE83551">
              <w:tblPrEx>
                <w:tblCellMar>
                  <w:top w:w="0" w:type="dxa"/>
                  <w:left w:w="108" w:type="dxa"/>
                  <w:bottom w:w="0" w:type="dxa"/>
                  <w:right w:w="108" w:type="dxa"/>
                </w:tblCellMar>
              </w:tblPrEx>
              <w:trPr>
                <w:trHeight w:val="23" w:hRule="atLeast"/>
                <w:jc w:val="center"/>
              </w:trPr>
              <w:tc>
                <w:tcPr>
                  <w:tcW w:w="2013" w:type="pct"/>
                  <w:tcBorders>
                    <w:top w:val="nil"/>
                    <w:left w:val="single" w:color="auto" w:sz="4" w:space="0"/>
                    <w:bottom w:val="single" w:color="auto" w:sz="4" w:space="0"/>
                    <w:right w:val="single" w:color="auto" w:sz="4" w:space="0"/>
                  </w:tcBorders>
                  <w:vAlign w:val="center"/>
                </w:tcPr>
                <w:p w14:paraId="5FFBCA90">
                  <w:pPr>
                    <w:rPr>
                      <w:rFonts w:hint="default" w:ascii="Times New Roman" w:hAnsi="Times New Roman" w:eastAsia="宋体" w:cs="Times New Roman"/>
                      <w:color w:val="auto"/>
                    </w:rPr>
                  </w:pPr>
                  <w:r>
                    <w:rPr>
                      <w:rFonts w:hint="default" w:ascii="Times New Roman" w:hAnsi="Times New Roman" w:eastAsia="宋体" w:cs="Times New Roman"/>
                      <w:color w:val="auto"/>
                    </w:rPr>
                    <w:t>（一）兔科Leporidae</w:t>
                  </w:r>
                </w:p>
              </w:tc>
              <w:tc>
                <w:tcPr>
                  <w:tcW w:w="363" w:type="pct"/>
                  <w:tcBorders>
                    <w:top w:val="nil"/>
                    <w:left w:val="nil"/>
                    <w:bottom w:val="single" w:color="auto" w:sz="4" w:space="0"/>
                    <w:right w:val="single" w:color="auto" w:sz="4" w:space="0"/>
                  </w:tcBorders>
                  <w:vAlign w:val="center"/>
                </w:tcPr>
                <w:p w14:paraId="6DC0D6F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　</w:t>
                  </w:r>
                </w:p>
              </w:tc>
              <w:tc>
                <w:tcPr>
                  <w:tcW w:w="388" w:type="pct"/>
                  <w:tcBorders>
                    <w:top w:val="nil"/>
                    <w:left w:val="nil"/>
                    <w:bottom w:val="single" w:color="auto" w:sz="4" w:space="0"/>
                    <w:right w:val="single" w:color="auto" w:sz="4" w:space="0"/>
                  </w:tcBorders>
                  <w:vAlign w:val="center"/>
                </w:tcPr>
                <w:p w14:paraId="308563E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　</w:t>
                  </w:r>
                </w:p>
              </w:tc>
              <w:tc>
                <w:tcPr>
                  <w:tcW w:w="388" w:type="pct"/>
                  <w:tcBorders>
                    <w:top w:val="nil"/>
                    <w:left w:val="nil"/>
                    <w:bottom w:val="single" w:color="auto" w:sz="4" w:space="0"/>
                    <w:right w:val="single" w:color="auto" w:sz="4" w:space="0"/>
                  </w:tcBorders>
                  <w:vAlign w:val="center"/>
                </w:tcPr>
                <w:p w14:paraId="58A2D4F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　</w:t>
                  </w:r>
                </w:p>
              </w:tc>
              <w:tc>
                <w:tcPr>
                  <w:tcW w:w="394" w:type="pct"/>
                  <w:tcBorders>
                    <w:top w:val="nil"/>
                    <w:left w:val="nil"/>
                    <w:bottom w:val="single" w:color="auto" w:sz="4" w:space="0"/>
                    <w:right w:val="single" w:color="auto" w:sz="4" w:space="0"/>
                  </w:tcBorders>
                  <w:vAlign w:val="center"/>
                </w:tcPr>
                <w:p w14:paraId="03E1413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　</w:t>
                  </w:r>
                </w:p>
              </w:tc>
              <w:tc>
                <w:tcPr>
                  <w:tcW w:w="638" w:type="pct"/>
                  <w:tcBorders>
                    <w:top w:val="nil"/>
                    <w:left w:val="nil"/>
                    <w:bottom w:val="single" w:color="auto" w:sz="4" w:space="0"/>
                    <w:right w:val="single" w:color="auto" w:sz="4" w:space="0"/>
                  </w:tcBorders>
                  <w:vAlign w:val="center"/>
                </w:tcPr>
                <w:p w14:paraId="3598363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　</w:t>
                  </w:r>
                </w:p>
              </w:tc>
              <w:tc>
                <w:tcPr>
                  <w:tcW w:w="353" w:type="pct"/>
                  <w:tcBorders>
                    <w:top w:val="nil"/>
                    <w:left w:val="nil"/>
                    <w:bottom w:val="single" w:color="auto" w:sz="4" w:space="0"/>
                    <w:right w:val="single" w:color="auto" w:sz="4" w:space="0"/>
                  </w:tcBorders>
                  <w:vAlign w:val="center"/>
                </w:tcPr>
                <w:p w14:paraId="59045A7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　</w:t>
                  </w:r>
                </w:p>
              </w:tc>
              <w:tc>
                <w:tcPr>
                  <w:tcW w:w="459" w:type="pct"/>
                  <w:tcBorders>
                    <w:top w:val="nil"/>
                    <w:left w:val="nil"/>
                    <w:bottom w:val="single" w:color="auto" w:sz="4" w:space="0"/>
                    <w:right w:val="single" w:color="auto" w:sz="4" w:space="0"/>
                  </w:tcBorders>
                  <w:vAlign w:val="center"/>
                </w:tcPr>
                <w:p w14:paraId="0C98A09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　</w:t>
                  </w:r>
                </w:p>
              </w:tc>
            </w:tr>
            <w:tr w14:paraId="684924FB">
              <w:tblPrEx>
                <w:tblCellMar>
                  <w:top w:w="0" w:type="dxa"/>
                  <w:left w:w="108" w:type="dxa"/>
                  <w:bottom w:w="0" w:type="dxa"/>
                  <w:right w:w="108" w:type="dxa"/>
                </w:tblCellMar>
              </w:tblPrEx>
              <w:trPr>
                <w:trHeight w:val="23" w:hRule="atLeast"/>
                <w:jc w:val="center"/>
              </w:trPr>
              <w:tc>
                <w:tcPr>
                  <w:tcW w:w="2013" w:type="pct"/>
                  <w:tcBorders>
                    <w:top w:val="nil"/>
                    <w:left w:val="single" w:color="auto" w:sz="4" w:space="0"/>
                    <w:bottom w:val="single" w:color="auto" w:sz="4" w:space="0"/>
                    <w:right w:val="single" w:color="auto" w:sz="4" w:space="0"/>
                  </w:tcBorders>
                  <w:vAlign w:val="center"/>
                </w:tcPr>
                <w:p w14:paraId="3B0D0CE3">
                  <w:pPr>
                    <w:rPr>
                      <w:rFonts w:hint="default" w:ascii="Times New Roman" w:hAnsi="Times New Roman" w:eastAsia="宋体" w:cs="Times New Roman"/>
                      <w:color w:val="auto"/>
                    </w:rPr>
                  </w:pPr>
                  <w:r>
                    <w:rPr>
                      <w:rFonts w:hint="default" w:ascii="Times New Roman" w:hAnsi="Times New Roman" w:eastAsia="宋体" w:cs="Times New Roman"/>
                      <w:color w:val="auto"/>
                    </w:rPr>
                    <w:t xml:space="preserve">1.草兔 </w:t>
                  </w:r>
                  <w:r>
                    <w:rPr>
                      <w:rFonts w:hint="default" w:ascii="Times New Roman" w:hAnsi="Times New Roman" w:eastAsia="宋体" w:cs="Times New Roman"/>
                      <w:i/>
                      <w:iCs/>
                      <w:color w:val="auto"/>
                    </w:rPr>
                    <w:t>Lepus capensis Linnaeus</w:t>
                  </w:r>
                </w:p>
              </w:tc>
              <w:tc>
                <w:tcPr>
                  <w:tcW w:w="363" w:type="pct"/>
                  <w:tcBorders>
                    <w:top w:val="nil"/>
                    <w:left w:val="nil"/>
                    <w:bottom w:val="single" w:color="auto" w:sz="4" w:space="0"/>
                    <w:right w:val="single" w:color="auto" w:sz="4" w:space="0"/>
                  </w:tcBorders>
                  <w:vAlign w:val="center"/>
                </w:tcPr>
                <w:p w14:paraId="7694BCC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　</w:t>
                  </w:r>
                </w:p>
              </w:tc>
              <w:tc>
                <w:tcPr>
                  <w:tcW w:w="388" w:type="pct"/>
                  <w:tcBorders>
                    <w:top w:val="nil"/>
                    <w:left w:val="nil"/>
                    <w:bottom w:val="single" w:color="auto" w:sz="4" w:space="0"/>
                    <w:right w:val="single" w:color="auto" w:sz="4" w:space="0"/>
                  </w:tcBorders>
                  <w:vAlign w:val="center"/>
                </w:tcPr>
                <w:p w14:paraId="7DA44C9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388" w:type="pct"/>
                  <w:tcBorders>
                    <w:top w:val="nil"/>
                    <w:left w:val="nil"/>
                    <w:bottom w:val="single" w:color="auto" w:sz="4" w:space="0"/>
                    <w:right w:val="single" w:color="auto" w:sz="4" w:space="0"/>
                  </w:tcBorders>
                  <w:vAlign w:val="center"/>
                </w:tcPr>
                <w:p w14:paraId="1B51251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394" w:type="pct"/>
                  <w:tcBorders>
                    <w:top w:val="nil"/>
                    <w:left w:val="nil"/>
                    <w:bottom w:val="single" w:color="auto" w:sz="4" w:space="0"/>
                    <w:right w:val="single" w:color="auto" w:sz="4" w:space="0"/>
                  </w:tcBorders>
                  <w:vAlign w:val="center"/>
                </w:tcPr>
                <w:p w14:paraId="38BE5CD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638" w:type="pct"/>
                  <w:tcBorders>
                    <w:top w:val="nil"/>
                    <w:left w:val="nil"/>
                    <w:bottom w:val="single" w:color="auto" w:sz="4" w:space="0"/>
                    <w:right w:val="single" w:color="auto" w:sz="4" w:space="0"/>
                  </w:tcBorders>
                  <w:vAlign w:val="center"/>
                </w:tcPr>
                <w:p w14:paraId="0703378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广布种</w:t>
                  </w:r>
                </w:p>
              </w:tc>
              <w:tc>
                <w:tcPr>
                  <w:tcW w:w="353" w:type="pct"/>
                  <w:tcBorders>
                    <w:top w:val="nil"/>
                    <w:left w:val="nil"/>
                    <w:bottom w:val="single" w:color="auto" w:sz="4" w:space="0"/>
                    <w:right w:val="single" w:color="auto" w:sz="4" w:space="0"/>
                  </w:tcBorders>
                  <w:vAlign w:val="center"/>
                </w:tcPr>
                <w:p w14:paraId="4C4E761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459" w:type="pct"/>
                  <w:tcBorders>
                    <w:top w:val="nil"/>
                    <w:left w:val="nil"/>
                    <w:bottom w:val="single" w:color="auto" w:sz="4" w:space="0"/>
                    <w:right w:val="single" w:color="auto" w:sz="4" w:space="0"/>
                  </w:tcBorders>
                  <w:vAlign w:val="center"/>
                </w:tcPr>
                <w:p w14:paraId="4E8AB52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　</w:t>
                  </w:r>
                </w:p>
              </w:tc>
            </w:tr>
            <w:tr w14:paraId="1978A1F3">
              <w:tblPrEx>
                <w:tblCellMar>
                  <w:top w:w="0" w:type="dxa"/>
                  <w:left w:w="108" w:type="dxa"/>
                  <w:bottom w:w="0" w:type="dxa"/>
                  <w:right w:w="108" w:type="dxa"/>
                </w:tblCellMar>
              </w:tblPrEx>
              <w:trPr>
                <w:trHeight w:val="23" w:hRule="atLeast"/>
                <w:jc w:val="center"/>
              </w:trPr>
              <w:tc>
                <w:tcPr>
                  <w:tcW w:w="2013" w:type="pct"/>
                  <w:tcBorders>
                    <w:top w:val="nil"/>
                    <w:left w:val="single" w:color="auto" w:sz="4" w:space="0"/>
                    <w:bottom w:val="single" w:color="auto" w:sz="4" w:space="0"/>
                    <w:right w:val="single" w:color="auto" w:sz="4" w:space="0"/>
                  </w:tcBorders>
                  <w:vAlign w:val="center"/>
                </w:tcPr>
                <w:p w14:paraId="7F455C3D">
                  <w:pPr>
                    <w:rPr>
                      <w:rFonts w:hint="default" w:ascii="Times New Roman" w:hAnsi="Times New Roman" w:eastAsia="宋体" w:cs="Times New Roman"/>
                      <w:color w:val="auto"/>
                    </w:rPr>
                  </w:pPr>
                  <w:r>
                    <w:rPr>
                      <w:rFonts w:hint="default" w:ascii="Times New Roman" w:hAnsi="Times New Roman" w:eastAsia="宋体" w:cs="Times New Roman"/>
                      <w:color w:val="auto"/>
                    </w:rPr>
                    <w:t>二、啮齿目RODENTIA</w:t>
                  </w:r>
                </w:p>
              </w:tc>
              <w:tc>
                <w:tcPr>
                  <w:tcW w:w="363" w:type="pct"/>
                  <w:tcBorders>
                    <w:top w:val="nil"/>
                    <w:left w:val="nil"/>
                    <w:bottom w:val="single" w:color="auto" w:sz="4" w:space="0"/>
                    <w:right w:val="single" w:color="auto" w:sz="4" w:space="0"/>
                  </w:tcBorders>
                  <w:vAlign w:val="center"/>
                </w:tcPr>
                <w:p w14:paraId="6B40004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　</w:t>
                  </w:r>
                </w:p>
              </w:tc>
              <w:tc>
                <w:tcPr>
                  <w:tcW w:w="388" w:type="pct"/>
                  <w:tcBorders>
                    <w:top w:val="nil"/>
                    <w:left w:val="nil"/>
                    <w:bottom w:val="single" w:color="auto" w:sz="4" w:space="0"/>
                    <w:right w:val="single" w:color="auto" w:sz="4" w:space="0"/>
                  </w:tcBorders>
                  <w:vAlign w:val="center"/>
                </w:tcPr>
                <w:p w14:paraId="1007287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　</w:t>
                  </w:r>
                </w:p>
              </w:tc>
              <w:tc>
                <w:tcPr>
                  <w:tcW w:w="388" w:type="pct"/>
                  <w:tcBorders>
                    <w:top w:val="nil"/>
                    <w:left w:val="nil"/>
                    <w:bottom w:val="single" w:color="auto" w:sz="4" w:space="0"/>
                    <w:right w:val="single" w:color="auto" w:sz="4" w:space="0"/>
                  </w:tcBorders>
                  <w:vAlign w:val="center"/>
                </w:tcPr>
                <w:p w14:paraId="2174493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　</w:t>
                  </w:r>
                </w:p>
              </w:tc>
              <w:tc>
                <w:tcPr>
                  <w:tcW w:w="394" w:type="pct"/>
                  <w:tcBorders>
                    <w:top w:val="nil"/>
                    <w:left w:val="nil"/>
                    <w:bottom w:val="single" w:color="auto" w:sz="4" w:space="0"/>
                    <w:right w:val="single" w:color="auto" w:sz="4" w:space="0"/>
                  </w:tcBorders>
                  <w:vAlign w:val="center"/>
                </w:tcPr>
                <w:p w14:paraId="3D49236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　</w:t>
                  </w:r>
                </w:p>
              </w:tc>
              <w:tc>
                <w:tcPr>
                  <w:tcW w:w="638" w:type="pct"/>
                  <w:tcBorders>
                    <w:top w:val="nil"/>
                    <w:left w:val="nil"/>
                    <w:bottom w:val="single" w:color="auto" w:sz="4" w:space="0"/>
                    <w:right w:val="single" w:color="auto" w:sz="4" w:space="0"/>
                  </w:tcBorders>
                  <w:vAlign w:val="center"/>
                </w:tcPr>
                <w:p w14:paraId="08CF47F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　</w:t>
                  </w:r>
                </w:p>
              </w:tc>
              <w:tc>
                <w:tcPr>
                  <w:tcW w:w="353" w:type="pct"/>
                  <w:tcBorders>
                    <w:top w:val="nil"/>
                    <w:left w:val="nil"/>
                    <w:bottom w:val="single" w:color="auto" w:sz="4" w:space="0"/>
                    <w:right w:val="single" w:color="auto" w:sz="4" w:space="0"/>
                  </w:tcBorders>
                  <w:vAlign w:val="center"/>
                </w:tcPr>
                <w:p w14:paraId="35FF7BD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　</w:t>
                  </w:r>
                </w:p>
              </w:tc>
              <w:tc>
                <w:tcPr>
                  <w:tcW w:w="459" w:type="pct"/>
                  <w:tcBorders>
                    <w:top w:val="nil"/>
                    <w:left w:val="nil"/>
                    <w:bottom w:val="single" w:color="auto" w:sz="4" w:space="0"/>
                    <w:right w:val="single" w:color="auto" w:sz="4" w:space="0"/>
                  </w:tcBorders>
                  <w:vAlign w:val="center"/>
                </w:tcPr>
                <w:p w14:paraId="7FDE8A3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　</w:t>
                  </w:r>
                </w:p>
              </w:tc>
            </w:tr>
            <w:tr w14:paraId="74913607">
              <w:tblPrEx>
                <w:tblCellMar>
                  <w:top w:w="0" w:type="dxa"/>
                  <w:left w:w="108" w:type="dxa"/>
                  <w:bottom w:w="0" w:type="dxa"/>
                  <w:right w:w="108" w:type="dxa"/>
                </w:tblCellMar>
              </w:tblPrEx>
              <w:trPr>
                <w:trHeight w:val="23" w:hRule="atLeast"/>
                <w:jc w:val="center"/>
              </w:trPr>
              <w:tc>
                <w:tcPr>
                  <w:tcW w:w="2013" w:type="pct"/>
                  <w:tcBorders>
                    <w:top w:val="nil"/>
                    <w:left w:val="single" w:color="auto" w:sz="4" w:space="0"/>
                    <w:bottom w:val="single" w:color="auto" w:sz="4" w:space="0"/>
                    <w:right w:val="single" w:color="auto" w:sz="4" w:space="0"/>
                  </w:tcBorders>
                  <w:vAlign w:val="center"/>
                </w:tcPr>
                <w:p w14:paraId="7B27096B">
                  <w:pPr>
                    <w:rPr>
                      <w:rFonts w:hint="default" w:ascii="Times New Roman" w:hAnsi="Times New Roman" w:eastAsia="宋体" w:cs="Times New Roman"/>
                      <w:color w:val="auto"/>
                    </w:rPr>
                  </w:pPr>
                  <w:r>
                    <w:rPr>
                      <w:rFonts w:hint="default" w:ascii="Times New Roman" w:hAnsi="Times New Roman" w:eastAsia="宋体" w:cs="Times New Roman"/>
                      <w:color w:val="auto"/>
                    </w:rPr>
                    <w:t>（二）鼠科Muridae</w:t>
                  </w:r>
                </w:p>
              </w:tc>
              <w:tc>
                <w:tcPr>
                  <w:tcW w:w="363" w:type="pct"/>
                  <w:tcBorders>
                    <w:top w:val="nil"/>
                    <w:left w:val="nil"/>
                    <w:bottom w:val="single" w:color="auto" w:sz="4" w:space="0"/>
                    <w:right w:val="single" w:color="auto" w:sz="4" w:space="0"/>
                  </w:tcBorders>
                  <w:vAlign w:val="center"/>
                </w:tcPr>
                <w:p w14:paraId="5C0DAE2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　</w:t>
                  </w:r>
                </w:p>
              </w:tc>
              <w:tc>
                <w:tcPr>
                  <w:tcW w:w="388" w:type="pct"/>
                  <w:tcBorders>
                    <w:top w:val="nil"/>
                    <w:left w:val="nil"/>
                    <w:bottom w:val="single" w:color="auto" w:sz="4" w:space="0"/>
                    <w:right w:val="single" w:color="auto" w:sz="4" w:space="0"/>
                  </w:tcBorders>
                  <w:vAlign w:val="center"/>
                </w:tcPr>
                <w:p w14:paraId="3BB5039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　</w:t>
                  </w:r>
                </w:p>
              </w:tc>
              <w:tc>
                <w:tcPr>
                  <w:tcW w:w="388" w:type="pct"/>
                  <w:tcBorders>
                    <w:top w:val="nil"/>
                    <w:left w:val="nil"/>
                    <w:bottom w:val="single" w:color="auto" w:sz="4" w:space="0"/>
                    <w:right w:val="single" w:color="auto" w:sz="4" w:space="0"/>
                  </w:tcBorders>
                  <w:vAlign w:val="center"/>
                </w:tcPr>
                <w:p w14:paraId="5E28FCC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　</w:t>
                  </w:r>
                </w:p>
              </w:tc>
              <w:tc>
                <w:tcPr>
                  <w:tcW w:w="394" w:type="pct"/>
                  <w:tcBorders>
                    <w:top w:val="nil"/>
                    <w:left w:val="nil"/>
                    <w:bottom w:val="single" w:color="auto" w:sz="4" w:space="0"/>
                    <w:right w:val="single" w:color="auto" w:sz="4" w:space="0"/>
                  </w:tcBorders>
                  <w:vAlign w:val="center"/>
                </w:tcPr>
                <w:p w14:paraId="7CCEDF1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　</w:t>
                  </w:r>
                </w:p>
              </w:tc>
              <w:tc>
                <w:tcPr>
                  <w:tcW w:w="638" w:type="pct"/>
                  <w:tcBorders>
                    <w:top w:val="nil"/>
                    <w:left w:val="nil"/>
                    <w:bottom w:val="single" w:color="auto" w:sz="4" w:space="0"/>
                    <w:right w:val="single" w:color="auto" w:sz="4" w:space="0"/>
                  </w:tcBorders>
                  <w:vAlign w:val="center"/>
                </w:tcPr>
                <w:p w14:paraId="2534347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　</w:t>
                  </w:r>
                </w:p>
              </w:tc>
              <w:tc>
                <w:tcPr>
                  <w:tcW w:w="353" w:type="pct"/>
                  <w:tcBorders>
                    <w:top w:val="nil"/>
                    <w:left w:val="nil"/>
                    <w:bottom w:val="single" w:color="auto" w:sz="4" w:space="0"/>
                    <w:right w:val="single" w:color="auto" w:sz="4" w:space="0"/>
                  </w:tcBorders>
                  <w:vAlign w:val="center"/>
                </w:tcPr>
                <w:p w14:paraId="7FFCE41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　</w:t>
                  </w:r>
                </w:p>
              </w:tc>
              <w:tc>
                <w:tcPr>
                  <w:tcW w:w="459" w:type="pct"/>
                  <w:tcBorders>
                    <w:top w:val="nil"/>
                    <w:left w:val="nil"/>
                    <w:bottom w:val="single" w:color="auto" w:sz="4" w:space="0"/>
                    <w:right w:val="single" w:color="auto" w:sz="4" w:space="0"/>
                  </w:tcBorders>
                  <w:vAlign w:val="center"/>
                </w:tcPr>
                <w:p w14:paraId="01B9674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　</w:t>
                  </w:r>
                </w:p>
              </w:tc>
            </w:tr>
            <w:tr w14:paraId="04A6BD52">
              <w:tblPrEx>
                <w:tblCellMar>
                  <w:top w:w="0" w:type="dxa"/>
                  <w:left w:w="108" w:type="dxa"/>
                  <w:bottom w:w="0" w:type="dxa"/>
                  <w:right w:w="108" w:type="dxa"/>
                </w:tblCellMar>
              </w:tblPrEx>
              <w:trPr>
                <w:trHeight w:val="23" w:hRule="atLeast"/>
                <w:jc w:val="center"/>
              </w:trPr>
              <w:tc>
                <w:tcPr>
                  <w:tcW w:w="2013" w:type="pct"/>
                  <w:tcBorders>
                    <w:top w:val="nil"/>
                    <w:left w:val="single" w:color="auto" w:sz="4" w:space="0"/>
                    <w:bottom w:val="single" w:color="auto" w:sz="4" w:space="0"/>
                    <w:right w:val="single" w:color="auto" w:sz="4" w:space="0"/>
                  </w:tcBorders>
                  <w:vAlign w:val="center"/>
                </w:tcPr>
                <w:p w14:paraId="5149A798">
                  <w:pPr>
                    <w:rPr>
                      <w:rFonts w:hint="default" w:ascii="Times New Roman" w:hAnsi="Times New Roman" w:eastAsia="宋体" w:cs="Times New Roman"/>
                      <w:color w:val="auto"/>
                    </w:rPr>
                  </w:pPr>
                  <w:r>
                    <w:rPr>
                      <w:rFonts w:hint="default" w:ascii="Times New Roman" w:hAnsi="Times New Roman" w:eastAsia="宋体" w:cs="Times New Roman"/>
                      <w:color w:val="auto"/>
                    </w:rPr>
                    <w:t>2.小家鼠</w:t>
                  </w:r>
                  <w:r>
                    <w:rPr>
                      <w:rFonts w:hint="default" w:ascii="Times New Roman" w:hAnsi="Times New Roman" w:eastAsia="宋体" w:cs="Times New Roman"/>
                      <w:i/>
                      <w:iCs/>
                      <w:color w:val="auto"/>
                    </w:rPr>
                    <w:t>Rattus musculus</w:t>
                  </w:r>
                </w:p>
              </w:tc>
              <w:tc>
                <w:tcPr>
                  <w:tcW w:w="363" w:type="pct"/>
                  <w:tcBorders>
                    <w:top w:val="nil"/>
                    <w:left w:val="nil"/>
                    <w:bottom w:val="single" w:color="auto" w:sz="4" w:space="0"/>
                    <w:right w:val="single" w:color="auto" w:sz="4" w:space="0"/>
                  </w:tcBorders>
                  <w:vAlign w:val="center"/>
                </w:tcPr>
                <w:p w14:paraId="287FE39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　</w:t>
                  </w:r>
                </w:p>
              </w:tc>
              <w:tc>
                <w:tcPr>
                  <w:tcW w:w="388" w:type="pct"/>
                  <w:tcBorders>
                    <w:top w:val="nil"/>
                    <w:left w:val="nil"/>
                    <w:bottom w:val="single" w:color="auto" w:sz="4" w:space="0"/>
                    <w:right w:val="single" w:color="auto" w:sz="4" w:space="0"/>
                  </w:tcBorders>
                  <w:vAlign w:val="center"/>
                </w:tcPr>
                <w:p w14:paraId="2FB3EF1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388" w:type="pct"/>
                  <w:tcBorders>
                    <w:top w:val="nil"/>
                    <w:left w:val="nil"/>
                    <w:bottom w:val="single" w:color="auto" w:sz="4" w:space="0"/>
                    <w:right w:val="single" w:color="auto" w:sz="4" w:space="0"/>
                  </w:tcBorders>
                  <w:vAlign w:val="center"/>
                </w:tcPr>
                <w:p w14:paraId="144B1EA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394" w:type="pct"/>
                  <w:tcBorders>
                    <w:top w:val="nil"/>
                    <w:left w:val="nil"/>
                    <w:bottom w:val="single" w:color="auto" w:sz="4" w:space="0"/>
                    <w:right w:val="single" w:color="auto" w:sz="4" w:space="0"/>
                  </w:tcBorders>
                  <w:vAlign w:val="center"/>
                </w:tcPr>
                <w:p w14:paraId="68B84D0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　</w:t>
                  </w:r>
                </w:p>
              </w:tc>
              <w:tc>
                <w:tcPr>
                  <w:tcW w:w="638" w:type="pct"/>
                  <w:tcBorders>
                    <w:top w:val="nil"/>
                    <w:left w:val="nil"/>
                    <w:bottom w:val="single" w:color="auto" w:sz="4" w:space="0"/>
                    <w:right w:val="single" w:color="auto" w:sz="4" w:space="0"/>
                  </w:tcBorders>
                  <w:vAlign w:val="center"/>
                </w:tcPr>
                <w:p w14:paraId="3B64724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广布种</w:t>
                  </w:r>
                </w:p>
              </w:tc>
              <w:tc>
                <w:tcPr>
                  <w:tcW w:w="353" w:type="pct"/>
                  <w:tcBorders>
                    <w:top w:val="nil"/>
                    <w:left w:val="nil"/>
                    <w:bottom w:val="single" w:color="auto" w:sz="4" w:space="0"/>
                    <w:right w:val="single" w:color="auto" w:sz="4" w:space="0"/>
                  </w:tcBorders>
                  <w:vAlign w:val="center"/>
                </w:tcPr>
                <w:p w14:paraId="4016509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459" w:type="pct"/>
                  <w:tcBorders>
                    <w:top w:val="nil"/>
                    <w:left w:val="nil"/>
                    <w:bottom w:val="single" w:color="auto" w:sz="4" w:space="0"/>
                    <w:right w:val="single" w:color="auto" w:sz="4" w:space="0"/>
                  </w:tcBorders>
                  <w:vAlign w:val="center"/>
                </w:tcPr>
                <w:p w14:paraId="5DD3D40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　</w:t>
                  </w:r>
                </w:p>
              </w:tc>
            </w:tr>
            <w:tr w14:paraId="3E981137">
              <w:tblPrEx>
                <w:tblCellMar>
                  <w:top w:w="0" w:type="dxa"/>
                  <w:left w:w="108" w:type="dxa"/>
                  <w:bottom w:w="0" w:type="dxa"/>
                  <w:right w:w="108" w:type="dxa"/>
                </w:tblCellMar>
              </w:tblPrEx>
              <w:trPr>
                <w:trHeight w:val="23" w:hRule="atLeast"/>
                <w:jc w:val="center"/>
              </w:trPr>
              <w:tc>
                <w:tcPr>
                  <w:tcW w:w="2013" w:type="pct"/>
                  <w:tcBorders>
                    <w:top w:val="nil"/>
                    <w:left w:val="single" w:color="auto" w:sz="4" w:space="0"/>
                    <w:bottom w:val="single" w:color="auto" w:sz="4" w:space="0"/>
                    <w:right w:val="single" w:color="auto" w:sz="4" w:space="0"/>
                  </w:tcBorders>
                  <w:vAlign w:val="center"/>
                </w:tcPr>
                <w:p w14:paraId="31544687">
                  <w:pPr>
                    <w:rPr>
                      <w:rFonts w:hint="default" w:ascii="Times New Roman" w:hAnsi="Times New Roman" w:eastAsia="宋体" w:cs="Times New Roman"/>
                      <w:color w:val="auto"/>
                    </w:rPr>
                  </w:pPr>
                  <w:r>
                    <w:rPr>
                      <w:rFonts w:hint="default" w:ascii="Times New Roman" w:hAnsi="Times New Roman" w:eastAsia="宋体" w:cs="Times New Roman"/>
                      <w:color w:val="auto"/>
                    </w:rPr>
                    <w:t>3.黄胸鼠</w:t>
                  </w:r>
                  <w:r>
                    <w:rPr>
                      <w:rFonts w:hint="default" w:ascii="Times New Roman" w:hAnsi="Times New Roman" w:eastAsia="宋体" w:cs="Times New Roman"/>
                      <w:i/>
                      <w:iCs/>
                      <w:color w:val="auto"/>
                    </w:rPr>
                    <w:t>Rattus flavipectus</w:t>
                  </w:r>
                </w:p>
              </w:tc>
              <w:tc>
                <w:tcPr>
                  <w:tcW w:w="363" w:type="pct"/>
                  <w:tcBorders>
                    <w:top w:val="nil"/>
                    <w:left w:val="nil"/>
                    <w:bottom w:val="single" w:color="auto" w:sz="4" w:space="0"/>
                    <w:right w:val="single" w:color="auto" w:sz="4" w:space="0"/>
                  </w:tcBorders>
                  <w:vAlign w:val="center"/>
                </w:tcPr>
                <w:p w14:paraId="6EB5A86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　</w:t>
                  </w:r>
                </w:p>
              </w:tc>
              <w:tc>
                <w:tcPr>
                  <w:tcW w:w="388" w:type="pct"/>
                  <w:tcBorders>
                    <w:top w:val="nil"/>
                    <w:left w:val="nil"/>
                    <w:bottom w:val="single" w:color="auto" w:sz="4" w:space="0"/>
                    <w:right w:val="single" w:color="auto" w:sz="4" w:space="0"/>
                  </w:tcBorders>
                  <w:vAlign w:val="center"/>
                </w:tcPr>
                <w:p w14:paraId="11A46AF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388" w:type="pct"/>
                  <w:tcBorders>
                    <w:top w:val="nil"/>
                    <w:left w:val="nil"/>
                    <w:bottom w:val="single" w:color="auto" w:sz="4" w:space="0"/>
                    <w:right w:val="single" w:color="auto" w:sz="4" w:space="0"/>
                  </w:tcBorders>
                  <w:vAlign w:val="center"/>
                </w:tcPr>
                <w:p w14:paraId="4DEF715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394" w:type="pct"/>
                  <w:tcBorders>
                    <w:top w:val="nil"/>
                    <w:left w:val="nil"/>
                    <w:bottom w:val="single" w:color="auto" w:sz="4" w:space="0"/>
                    <w:right w:val="single" w:color="auto" w:sz="4" w:space="0"/>
                  </w:tcBorders>
                  <w:vAlign w:val="center"/>
                </w:tcPr>
                <w:p w14:paraId="6CEB888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　</w:t>
                  </w:r>
                </w:p>
              </w:tc>
              <w:tc>
                <w:tcPr>
                  <w:tcW w:w="638" w:type="pct"/>
                  <w:tcBorders>
                    <w:top w:val="nil"/>
                    <w:left w:val="nil"/>
                    <w:bottom w:val="single" w:color="auto" w:sz="4" w:space="0"/>
                    <w:right w:val="single" w:color="auto" w:sz="4" w:space="0"/>
                  </w:tcBorders>
                  <w:vAlign w:val="center"/>
                </w:tcPr>
                <w:p w14:paraId="4ED43CD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东洋界</w:t>
                  </w:r>
                </w:p>
              </w:tc>
              <w:tc>
                <w:tcPr>
                  <w:tcW w:w="353" w:type="pct"/>
                  <w:tcBorders>
                    <w:top w:val="nil"/>
                    <w:left w:val="nil"/>
                    <w:bottom w:val="single" w:color="auto" w:sz="4" w:space="0"/>
                    <w:right w:val="single" w:color="auto" w:sz="4" w:space="0"/>
                  </w:tcBorders>
                  <w:vAlign w:val="center"/>
                </w:tcPr>
                <w:p w14:paraId="2C18463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459" w:type="pct"/>
                  <w:tcBorders>
                    <w:top w:val="nil"/>
                    <w:left w:val="nil"/>
                    <w:bottom w:val="single" w:color="auto" w:sz="4" w:space="0"/>
                    <w:right w:val="single" w:color="auto" w:sz="4" w:space="0"/>
                  </w:tcBorders>
                  <w:vAlign w:val="center"/>
                </w:tcPr>
                <w:p w14:paraId="407A693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　</w:t>
                  </w:r>
                </w:p>
              </w:tc>
            </w:tr>
          </w:tbl>
          <w:p w14:paraId="6DE56B8B">
            <w:pPr>
              <w:spacing w:before="3" w:line="360" w:lineRule="auto"/>
              <w:ind w:left="113" w:right="106" w:firstLine="486"/>
              <w:jc w:val="both"/>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spacing w:val="-6"/>
                <w:sz w:val="24"/>
                <w:szCs w:val="24"/>
              </w:rPr>
              <w:t>5）</w:t>
            </w:r>
            <w:r>
              <w:rPr>
                <w:rFonts w:hint="default" w:ascii="Times New Roman" w:hAnsi="Times New Roman" w:eastAsia="宋体" w:cs="Times New Roman"/>
                <w:b/>
                <w:bCs/>
                <w:color w:val="auto"/>
                <w:sz w:val="24"/>
                <w:szCs w:val="24"/>
              </w:rPr>
              <w:t>水生生物状况现状调查及评价</w:t>
            </w:r>
          </w:p>
          <w:p w14:paraId="60B33DAE">
            <w:pPr>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项目水域主要有友谊水库、玉和沟水库、万古桥水库、东禅寺水库、倒挂金钩水库、蔡家湾水库、盐井函水库、黑堰塘水库、索溪河、桂花湾水库、大庆水库、一碗水水库、丰收水库、汪家水库、新团水库、毗河等。</w:t>
            </w:r>
          </w:p>
          <w:p w14:paraId="57D45A06">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（一）河流浮游藻类</w:t>
            </w:r>
          </w:p>
          <w:p w14:paraId="76586FA4">
            <w:pPr>
              <w:spacing w:line="360" w:lineRule="auto"/>
              <w:ind w:firstLine="48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szCs w:val="24"/>
              </w:rPr>
              <w:t>①</w:t>
            </w:r>
            <w:r>
              <w:rPr>
                <w:rFonts w:hint="default" w:ascii="Times New Roman" w:hAnsi="Times New Roman" w:eastAsia="宋体" w:cs="Times New Roman"/>
                <w:color w:val="auto"/>
                <w:sz w:val="24"/>
              </w:rPr>
              <w:t>种类</w:t>
            </w:r>
          </w:p>
          <w:p w14:paraId="3EFD0C5C">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浮游藻类是水体初级生产力最主要的组成部分，是食物链和营养结构的基础环节；也是鱼苗和部分成鱼的天然饵料。有些藻类可以直接用作环境监测的指示生物，而且相对于理化条件而言，其密度、生物量、种类组成和多样性能更好地反映出水体的营养水平。根据查阅相关资料，本项目河段主要是硅藻类，共观察到浮游植物隶属3门9科11属18种，其中硅藻门有7种；绿藻门有5种，蓝藻门6种。</w:t>
            </w:r>
          </w:p>
          <w:p w14:paraId="1193C3AE">
            <w:pPr>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表3-5   河流浮游植物名录</w:t>
            </w:r>
          </w:p>
          <w:tbl>
            <w:tblPr>
              <w:tblStyle w:val="32"/>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967"/>
              <w:gridCol w:w="1847"/>
              <w:gridCol w:w="2008"/>
              <w:gridCol w:w="3014"/>
              <w:gridCol w:w="1165"/>
            </w:tblGrid>
            <w:tr w14:paraId="00BD3BE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37" w:type="pct"/>
                  <w:vAlign w:val="center"/>
                </w:tcPr>
                <w:p w14:paraId="40AFD8D3">
                  <w:pPr>
                    <w:kinsoku/>
                    <w:autoSpaceDE/>
                    <w:autoSpaceDN/>
                    <w:adjustRightInd/>
                    <w:jc w:val="center"/>
                    <w:textAlignment w:val="auto"/>
                    <w:rPr>
                      <w:rFonts w:hint="default" w:ascii="Times New Roman" w:hAnsi="Times New Roman" w:eastAsia="宋体" w:cs="Times New Roman"/>
                      <w:b/>
                      <w:color w:val="auto"/>
                    </w:rPr>
                  </w:pPr>
                  <w:r>
                    <w:rPr>
                      <w:rFonts w:hint="default" w:ascii="Times New Roman" w:hAnsi="Times New Roman" w:eastAsia="宋体" w:cs="Times New Roman"/>
                      <w:b/>
                      <w:color w:val="auto"/>
                    </w:rPr>
                    <w:t>门</w:t>
                  </w:r>
                </w:p>
              </w:tc>
              <w:tc>
                <w:tcPr>
                  <w:tcW w:w="1026" w:type="pct"/>
                  <w:vAlign w:val="center"/>
                </w:tcPr>
                <w:p w14:paraId="3A5F3E15">
                  <w:pPr>
                    <w:kinsoku/>
                    <w:autoSpaceDE/>
                    <w:autoSpaceDN/>
                    <w:adjustRightInd/>
                    <w:jc w:val="center"/>
                    <w:textAlignment w:val="auto"/>
                    <w:rPr>
                      <w:rFonts w:hint="default" w:ascii="Times New Roman" w:hAnsi="Times New Roman" w:eastAsia="宋体" w:cs="Times New Roman"/>
                      <w:b/>
                      <w:color w:val="auto"/>
                    </w:rPr>
                  </w:pPr>
                  <w:r>
                    <w:rPr>
                      <w:rFonts w:hint="default" w:ascii="Times New Roman" w:hAnsi="Times New Roman" w:eastAsia="宋体" w:cs="Times New Roman"/>
                      <w:b/>
                      <w:color w:val="auto"/>
                    </w:rPr>
                    <w:t>科</w:t>
                  </w:r>
                </w:p>
              </w:tc>
              <w:tc>
                <w:tcPr>
                  <w:tcW w:w="1115" w:type="pct"/>
                  <w:vAlign w:val="center"/>
                </w:tcPr>
                <w:p w14:paraId="14313668">
                  <w:pPr>
                    <w:kinsoku/>
                    <w:autoSpaceDE/>
                    <w:autoSpaceDN/>
                    <w:adjustRightInd/>
                    <w:jc w:val="center"/>
                    <w:textAlignment w:val="auto"/>
                    <w:rPr>
                      <w:rFonts w:hint="default" w:ascii="Times New Roman" w:hAnsi="Times New Roman" w:eastAsia="宋体" w:cs="Times New Roman"/>
                      <w:b/>
                      <w:color w:val="auto"/>
                    </w:rPr>
                  </w:pPr>
                  <w:r>
                    <w:rPr>
                      <w:rFonts w:hint="default" w:ascii="Times New Roman" w:hAnsi="Times New Roman" w:eastAsia="宋体" w:cs="Times New Roman"/>
                      <w:b/>
                      <w:color w:val="auto"/>
                    </w:rPr>
                    <w:t>属</w:t>
                  </w:r>
                </w:p>
              </w:tc>
              <w:tc>
                <w:tcPr>
                  <w:tcW w:w="1674" w:type="pct"/>
                  <w:vAlign w:val="center"/>
                </w:tcPr>
                <w:p w14:paraId="1F23A30D">
                  <w:pPr>
                    <w:kinsoku/>
                    <w:autoSpaceDE/>
                    <w:autoSpaceDN/>
                    <w:adjustRightInd/>
                    <w:jc w:val="center"/>
                    <w:textAlignment w:val="auto"/>
                    <w:rPr>
                      <w:rFonts w:hint="default" w:ascii="Times New Roman" w:hAnsi="Times New Roman" w:eastAsia="宋体" w:cs="Times New Roman"/>
                      <w:b/>
                      <w:color w:val="auto"/>
                    </w:rPr>
                  </w:pPr>
                  <w:r>
                    <w:rPr>
                      <w:rFonts w:hint="default" w:ascii="Times New Roman" w:hAnsi="Times New Roman" w:eastAsia="宋体" w:cs="Times New Roman"/>
                      <w:b/>
                      <w:color w:val="auto"/>
                    </w:rPr>
                    <w:t>种类</w:t>
                  </w:r>
                </w:p>
              </w:tc>
              <w:tc>
                <w:tcPr>
                  <w:tcW w:w="647" w:type="pct"/>
                  <w:vAlign w:val="center"/>
                </w:tcPr>
                <w:p w14:paraId="52604F4B">
                  <w:pPr>
                    <w:kinsoku/>
                    <w:autoSpaceDE/>
                    <w:autoSpaceDN/>
                    <w:adjustRightInd/>
                    <w:jc w:val="center"/>
                    <w:textAlignment w:val="auto"/>
                    <w:rPr>
                      <w:rFonts w:hint="default" w:ascii="Times New Roman" w:hAnsi="Times New Roman" w:eastAsia="宋体" w:cs="Times New Roman"/>
                      <w:b/>
                      <w:color w:val="auto"/>
                    </w:rPr>
                  </w:pPr>
                  <w:r>
                    <w:rPr>
                      <w:rFonts w:hint="default" w:ascii="Times New Roman" w:hAnsi="Times New Roman" w:eastAsia="宋体" w:cs="Times New Roman"/>
                      <w:color w:val="auto"/>
                    </w:rPr>
                    <w:t>数量</w:t>
                  </w:r>
                </w:p>
              </w:tc>
            </w:tr>
            <w:tr w14:paraId="2C6B44C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37" w:type="pct"/>
                  <w:vMerge w:val="restart"/>
                  <w:vAlign w:val="center"/>
                </w:tcPr>
                <w:p w14:paraId="5A425442">
                  <w:pPr>
                    <w:kinsoku/>
                    <w:autoSpaceDE/>
                    <w:autoSpaceDN/>
                    <w:adjustRightInd/>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蓝藻</w:t>
                  </w:r>
                </w:p>
              </w:tc>
              <w:tc>
                <w:tcPr>
                  <w:tcW w:w="1026" w:type="pct"/>
                  <w:vMerge w:val="restart"/>
                  <w:vAlign w:val="center"/>
                </w:tcPr>
                <w:p w14:paraId="5398AE1A">
                  <w:pPr>
                    <w:kinsoku/>
                    <w:autoSpaceDE/>
                    <w:autoSpaceDN/>
                    <w:adjustRightInd/>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1.色球藻科Chroococcaceae</w:t>
                  </w:r>
                </w:p>
              </w:tc>
              <w:tc>
                <w:tcPr>
                  <w:tcW w:w="1115" w:type="pct"/>
                  <w:vAlign w:val="center"/>
                </w:tcPr>
                <w:p w14:paraId="27BEB7F6">
                  <w:pPr>
                    <w:kinsoku/>
                    <w:autoSpaceDE/>
                    <w:autoSpaceDN/>
                    <w:adjustRightInd/>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1.腔球藻属</w:t>
                  </w:r>
                </w:p>
                <w:p w14:paraId="6D5B4437">
                  <w:pPr>
                    <w:kinsoku/>
                    <w:autoSpaceDE/>
                    <w:autoSpaceDN/>
                    <w:adjustRightInd/>
                    <w:textAlignment w:val="auto"/>
                    <w:rPr>
                      <w:rFonts w:hint="default" w:ascii="Times New Roman" w:hAnsi="Times New Roman" w:eastAsia="宋体" w:cs="Times New Roman"/>
                      <w:color w:val="auto"/>
                    </w:rPr>
                  </w:pPr>
                  <w:r>
                    <w:rPr>
                      <w:rFonts w:hint="default" w:ascii="Times New Roman" w:hAnsi="Times New Roman" w:eastAsia="宋体" w:cs="Times New Roman"/>
                      <w:i/>
                      <w:color w:val="auto"/>
                    </w:rPr>
                    <w:t>Coelosphaerium</w:t>
                  </w:r>
                </w:p>
              </w:tc>
              <w:tc>
                <w:tcPr>
                  <w:tcW w:w="1674" w:type="pct"/>
                  <w:vAlign w:val="center"/>
                </w:tcPr>
                <w:p w14:paraId="57A91257">
                  <w:pPr>
                    <w:kinsoku/>
                    <w:autoSpaceDE/>
                    <w:autoSpaceDN/>
                    <w:adjustRightInd/>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腔球藻</w:t>
                  </w:r>
                  <w:r>
                    <w:rPr>
                      <w:rFonts w:hint="default" w:ascii="Times New Roman" w:hAnsi="Times New Roman" w:eastAsia="宋体" w:cs="Times New Roman"/>
                      <w:i/>
                      <w:color w:val="auto"/>
                    </w:rPr>
                    <w:t>Coelosphaerium sp.</w:t>
                  </w:r>
                </w:p>
              </w:tc>
              <w:tc>
                <w:tcPr>
                  <w:tcW w:w="647" w:type="pct"/>
                  <w:vAlign w:val="center"/>
                </w:tcPr>
                <w:p w14:paraId="5EBCD7B5">
                  <w:pPr>
                    <w:kinsoku/>
                    <w:autoSpaceDE/>
                    <w:autoSpaceDN/>
                    <w:adjustRightInd/>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w:t>
                  </w:r>
                </w:p>
              </w:tc>
            </w:tr>
            <w:tr w14:paraId="715B362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37" w:type="pct"/>
                  <w:vMerge w:val="continue"/>
                  <w:vAlign w:val="center"/>
                </w:tcPr>
                <w:p w14:paraId="3BBBABF0">
                  <w:pPr>
                    <w:kinsoku/>
                    <w:autoSpaceDE/>
                    <w:autoSpaceDN/>
                    <w:adjustRightInd/>
                    <w:jc w:val="center"/>
                    <w:textAlignment w:val="auto"/>
                    <w:rPr>
                      <w:rFonts w:hint="default" w:ascii="Times New Roman" w:hAnsi="Times New Roman" w:eastAsia="宋体" w:cs="Times New Roman"/>
                      <w:color w:val="auto"/>
                    </w:rPr>
                  </w:pPr>
                </w:p>
              </w:tc>
              <w:tc>
                <w:tcPr>
                  <w:tcW w:w="1026" w:type="pct"/>
                  <w:vMerge w:val="continue"/>
                  <w:vAlign w:val="center"/>
                </w:tcPr>
                <w:p w14:paraId="1F4C1E45">
                  <w:pPr>
                    <w:kinsoku/>
                    <w:autoSpaceDE/>
                    <w:autoSpaceDN/>
                    <w:adjustRightInd/>
                    <w:textAlignment w:val="auto"/>
                    <w:rPr>
                      <w:rFonts w:hint="default" w:ascii="Times New Roman" w:hAnsi="Times New Roman" w:eastAsia="宋体" w:cs="Times New Roman"/>
                      <w:color w:val="auto"/>
                    </w:rPr>
                  </w:pPr>
                </w:p>
              </w:tc>
              <w:tc>
                <w:tcPr>
                  <w:tcW w:w="1115" w:type="pct"/>
                  <w:vMerge w:val="restart"/>
                  <w:vAlign w:val="center"/>
                </w:tcPr>
                <w:p w14:paraId="504F298D">
                  <w:pPr>
                    <w:kinsoku/>
                    <w:autoSpaceDE/>
                    <w:autoSpaceDN/>
                    <w:adjustRightInd/>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2.色球藻属</w:t>
                  </w:r>
                  <w:r>
                    <w:rPr>
                      <w:rFonts w:hint="default" w:ascii="Times New Roman" w:hAnsi="Times New Roman" w:eastAsia="宋体" w:cs="Times New Roman"/>
                      <w:i/>
                      <w:color w:val="auto"/>
                    </w:rPr>
                    <w:t>Chroococcus</w:t>
                  </w:r>
                </w:p>
              </w:tc>
              <w:tc>
                <w:tcPr>
                  <w:tcW w:w="1674" w:type="pct"/>
                  <w:vAlign w:val="center"/>
                </w:tcPr>
                <w:p w14:paraId="08CB1C11">
                  <w:pPr>
                    <w:kinsoku/>
                    <w:autoSpaceDE/>
                    <w:autoSpaceDN/>
                    <w:adjustRightInd/>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小形色球藻</w:t>
                  </w:r>
                  <w:r>
                    <w:rPr>
                      <w:rFonts w:hint="default" w:ascii="Times New Roman" w:hAnsi="Times New Roman" w:eastAsia="宋体" w:cs="Times New Roman"/>
                      <w:i/>
                      <w:color w:val="auto"/>
                    </w:rPr>
                    <w:t>Ch.minor</w:t>
                  </w:r>
                </w:p>
              </w:tc>
              <w:tc>
                <w:tcPr>
                  <w:tcW w:w="647" w:type="pct"/>
                  <w:vAlign w:val="center"/>
                </w:tcPr>
                <w:p w14:paraId="764FAA85">
                  <w:pPr>
                    <w:kinsoku/>
                    <w:autoSpaceDE/>
                    <w:autoSpaceDN/>
                    <w:adjustRightInd/>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w:t>
                  </w:r>
                </w:p>
              </w:tc>
            </w:tr>
            <w:tr w14:paraId="51C2E4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37" w:type="pct"/>
                  <w:vMerge w:val="continue"/>
                  <w:vAlign w:val="center"/>
                </w:tcPr>
                <w:p w14:paraId="2CE30EDF">
                  <w:pPr>
                    <w:kinsoku/>
                    <w:autoSpaceDE/>
                    <w:autoSpaceDN/>
                    <w:adjustRightInd/>
                    <w:jc w:val="center"/>
                    <w:textAlignment w:val="auto"/>
                    <w:rPr>
                      <w:rFonts w:hint="default" w:ascii="Times New Roman" w:hAnsi="Times New Roman" w:eastAsia="宋体" w:cs="Times New Roman"/>
                      <w:color w:val="auto"/>
                    </w:rPr>
                  </w:pPr>
                </w:p>
              </w:tc>
              <w:tc>
                <w:tcPr>
                  <w:tcW w:w="1026" w:type="pct"/>
                  <w:vMerge w:val="continue"/>
                  <w:vAlign w:val="center"/>
                </w:tcPr>
                <w:p w14:paraId="18ADC521">
                  <w:pPr>
                    <w:kinsoku/>
                    <w:autoSpaceDE/>
                    <w:autoSpaceDN/>
                    <w:adjustRightInd/>
                    <w:textAlignment w:val="auto"/>
                    <w:rPr>
                      <w:rFonts w:hint="default" w:ascii="Times New Roman" w:hAnsi="Times New Roman" w:eastAsia="宋体" w:cs="Times New Roman"/>
                      <w:color w:val="auto"/>
                    </w:rPr>
                  </w:pPr>
                </w:p>
              </w:tc>
              <w:tc>
                <w:tcPr>
                  <w:tcW w:w="1115" w:type="pct"/>
                  <w:vMerge w:val="continue"/>
                  <w:vAlign w:val="center"/>
                </w:tcPr>
                <w:p w14:paraId="4D1BFEFF">
                  <w:pPr>
                    <w:kinsoku/>
                    <w:autoSpaceDE/>
                    <w:autoSpaceDN/>
                    <w:adjustRightInd/>
                    <w:textAlignment w:val="auto"/>
                    <w:rPr>
                      <w:rFonts w:hint="default" w:ascii="Times New Roman" w:hAnsi="Times New Roman" w:eastAsia="宋体" w:cs="Times New Roman"/>
                      <w:color w:val="auto"/>
                    </w:rPr>
                  </w:pPr>
                </w:p>
              </w:tc>
              <w:tc>
                <w:tcPr>
                  <w:tcW w:w="1674" w:type="pct"/>
                  <w:vAlign w:val="center"/>
                </w:tcPr>
                <w:p w14:paraId="78E1E592">
                  <w:pPr>
                    <w:kinsoku/>
                    <w:autoSpaceDE/>
                    <w:autoSpaceDN/>
                    <w:adjustRightInd/>
                    <w:textAlignment w:val="auto"/>
                    <w:rPr>
                      <w:rFonts w:hint="default" w:ascii="Times New Roman" w:hAnsi="Times New Roman" w:eastAsia="宋体" w:cs="Times New Roman"/>
                      <w:i/>
                      <w:color w:val="auto"/>
                    </w:rPr>
                  </w:pPr>
                  <w:r>
                    <w:rPr>
                      <w:rFonts w:hint="default" w:ascii="Times New Roman" w:hAnsi="Times New Roman" w:eastAsia="宋体" w:cs="Times New Roman"/>
                      <w:color w:val="auto"/>
                    </w:rPr>
                    <w:t>微小色球藻</w:t>
                  </w:r>
                  <w:r>
                    <w:rPr>
                      <w:rFonts w:hint="default" w:ascii="Times New Roman" w:hAnsi="Times New Roman" w:eastAsia="宋体" w:cs="Times New Roman"/>
                      <w:i/>
                      <w:color w:val="auto"/>
                    </w:rPr>
                    <w:t>Ch.minutus</w:t>
                  </w:r>
                </w:p>
              </w:tc>
              <w:tc>
                <w:tcPr>
                  <w:tcW w:w="647" w:type="pct"/>
                  <w:vAlign w:val="center"/>
                </w:tcPr>
                <w:p w14:paraId="5BB7D3D3">
                  <w:pPr>
                    <w:kinsoku/>
                    <w:autoSpaceDE/>
                    <w:autoSpaceDN/>
                    <w:adjustRightInd/>
                    <w:jc w:val="center"/>
                    <w:textAlignment w:val="auto"/>
                    <w:rPr>
                      <w:rFonts w:hint="default" w:ascii="Times New Roman" w:hAnsi="Times New Roman" w:eastAsia="宋体" w:cs="Times New Roman"/>
                      <w:color w:val="auto"/>
                    </w:rPr>
                  </w:pPr>
                </w:p>
              </w:tc>
            </w:tr>
            <w:tr w14:paraId="0CAEC2A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37" w:type="pct"/>
                  <w:vMerge w:val="continue"/>
                  <w:vAlign w:val="center"/>
                </w:tcPr>
                <w:p w14:paraId="3CA2F51B">
                  <w:pPr>
                    <w:kinsoku/>
                    <w:autoSpaceDE/>
                    <w:autoSpaceDN/>
                    <w:adjustRightInd/>
                    <w:jc w:val="center"/>
                    <w:textAlignment w:val="auto"/>
                    <w:rPr>
                      <w:rFonts w:hint="default" w:ascii="Times New Roman" w:hAnsi="Times New Roman" w:eastAsia="宋体" w:cs="Times New Roman"/>
                      <w:color w:val="auto"/>
                    </w:rPr>
                  </w:pPr>
                </w:p>
              </w:tc>
              <w:tc>
                <w:tcPr>
                  <w:tcW w:w="1026" w:type="pct"/>
                  <w:vMerge w:val="restart"/>
                  <w:vAlign w:val="center"/>
                </w:tcPr>
                <w:p w14:paraId="1AC6A865">
                  <w:pPr>
                    <w:kinsoku/>
                    <w:autoSpaceDE/>
                    <w:autoSpaceDN/>
                    <w:adjustRightInd/>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2.颤藻科 Osicillatoriaceae</w:t>
                  </w:r>
                </w:p>
              </w:tc>
              <w:tc>
                <w:tcPr>
                  <w:tcW w:w="1115" w:type="pct"/>
                  <w:vMerge w:val="restart"/>
                  <w:vAlign w:val="center"/>
                </w:tcPr>
                <w:p w14:paraId="6B75EEAC">
                  <w:pPr>
                    <w:kinsoku/>
                    <w:autoSpaceDE/>
                    <w:autoSpaceDN/>
                    <w:adjustRightInd/>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3.颤藻属</w:t>
                  </w:r>
                  <w:r>
                    <w:rPr>
                      <w:rFonts w:hint="default" w:ascii="Times New Roman" w:hAnsi="Times New Roman" w:eastAsia="宋体" w:cs="Times New Roman"/>
                      <w:i/>
                      <w:color w:val="auto"/>
                    </w:rPr>
                    <w:t>Oscillatoria</w:t>
                  </w:r>
                </w:p>
              </w:tc>
              <w:tc>
                <w:tcPr>
                  <w:tcW w:w="1674" w:type="pct"/>
                  <w:vAlign w:val="center"/>
                </w:tcPr>
                <w:p w14:paraId="7E724605">
                  <w:pPr>
                    <w:kinsoku/>
                    <w:autoSpaceDE/>
                    <w:autoSpaceDN/>
                    <w:adjustRightInd/>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颤藻</w:t>
                  </w:r>
                  <w:r>
                    <w:rPr>
                      <w:rFonts w:hint="default" w:ascii="Times New Roman" w:hAnsi="Times New Roman" w:eastAsia="宋体" w:cs="Times New Roman"/>
                      <w:i/>
                      <w:color w:val="auto"/>
                    </w:rPr>
                    <w:t>Oscillatoria sp.</w:t>
                  </w:r>
                </w:p>
              </w:tc>
              <w:tc>
                <w:tcPr>
                  <w:tcW w:w="647" w:type="pct"/>
                  <w:vAlign w:val="center"/>
                </w:tcPr>
                <w:p w14:paraId="3D28C19D">
                  <w:pPr>
                    <w:kinsoku/>
                    <w:autoSpaceDE/>
                    <w:autoSpaceDN/>
                    <w:adjustRightInd/>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w:t>
                  </w:r>
                </w:p>
              </w:tc>
            </w:tr>
            <w:tr w14:paraId="7CA2EA1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37" w:type="pct"/>
                  <w:vMerge w:val="continue"/>
                  <w:vAlign w:val="center"/>
                </w:tcPr>
                <w:p w14:paraId="58D1A7F3">
                  <w:pPr>
                    <w:kinsoku/>
                    <w:autoSpaceDE/>
                    <w:autoSpaceDN/>
                    <w:adjustRightInd/>
                    <w:jc w:val="center"/>
                    <w:textAlignment w:val="auto"/>
                    <w:rPr>
                      <w:rFonts w:hint="default" w:ascii="Times New Roman" w:hAnsi="Times New Roman" w:eastAsia="宋体" w:cs="Times New Roman"/>
                      <w:color w:val="auto"/>
                    </w:rPr>
                  </w:pPr>
                </w:p>
              </w:tc>
              <w:tc>
                <w:tcPr>
                  <w:tcW w:w="1026" w:type="pct"/>
                  <w:vMerge w:val="continue"/>
                  <w:vAlign w:val="center"/>
                </w:tcPr>
                <w:p w14:paraId="68FF906D">
                  <w:pPr>
                    <w:kinsoku/>
                    <w:autoSpaceDE/>
                    <w:autoSpaceDN/>
                    <w:adjustRightInd/>
                    <w:textAlignment w:val="auto"/>
                    <w:rPr>
                      <w:rFonts w:hint="default" w:ascii="Times New Roman" w:hAnsi="Times New Roman" w:eastAsia="宋体" w:cs="Times New Roman"/>
                      <w:color w:val="auto"/>
                    </w:rPr>
                  </w:pPr>
                </w:p>
              </w:tc>
              <w:tc>
                <w:tcPr>
                  <w:tcW w:w="1115" w:type="pct"/>
                  <w:vMerge w:val="continue"/>
                  <w:vAlign w:val="center"/>
                </w:tcPr>
                <w:p w14:paraId="54D4D29B">
                  <w:pPr>
                    <w:kinsoku/>
                    <w:autoSpaceDE/>
                    <w:autoSpaceDN/>
                    <w:adjustRightInd/>
                    <w:textAlignment w:val="auto"/>
                    <w:rPr>
                      <w:rFonts w:hint="default" w:ascii="Times New Roman" w:hAnsi="Times New Roman" w:eastAsia="宋体" w:cs="Times New Roman"/>
                      <w:color w:val="auto"/>
                    </w:rPr>
                  </w:pPr>
                </w:p>
              </w:tc>
              <w:tc>
                <w:tcPr>
                  <w:tcW w:w="1674" w:type="pct"/>
                  <w:vAlign w:val="center"/>
                </w:tcPr>
                <w:p w14:paraId="68887A06">
                  <w:pPr>
                    <w:kinsoku/>
                    <w:autoSpaceDE/>
                    <w:autoSpaceDN/>
                    <w:adjustRightInd/>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美丽颤藻</w:t>
                  </w:r>
                  <w:r>
                    <w:rPr>
                      <w:rFonts w:hint="default" w:ascii="Times New Roman" w:hAnsi="Times New Roman" w:eastAsia="宋体" w:cs="Times New Roman"/>
                      <w:i/>
                      <w:color w:val="auto"/>
                    </w:rPr>
                    <w:t>O. formosa</w:t>
                  </w:r>
                </w:p>
              </w:tc>
              <w:tc>
                <w:tcPr>
                  <w:tcW w:w="647" w:type="pct"/>
                  <w:vAlign w:val="center"/>
                </w:tcPr>
                <w:p w14:paraId="4F4AA7E8">
                  <w:pPr>
                    <w:kinsoku/>
                    <w:autoSpaceDE/>
                    <w:autoSpaceDN/>
                    <w:adjustRightInd/>
                    <w:jc w:val="center"/>
                    <w:textAlignment w:val="auto"/>
                    <w:rPr>
                      <w:rFonts w:hint="default" w:ascii="Times New Roman" w:hAnsi="Times New Roman" w:eastAsia="宋体" w:cs="Times New Roman"/>
                      <w:color w:val="auto"/>
                    </w:rPr>
                  </w:pPr>
                </w:p>
              </w:tc>
            </w:tr>
            <w:tr w14:paraId="2B84FEC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37" w:type="pct"/>
                  <w:vMerge w:val="continue"/>
                  <w:vAlign w:val="center"/>
                </w:tcPr>
                <w:p w14:paraId="2618396A">
                  <w:pPr>
                    <w:kinsoku/>
                    <w:autoSpaceDE/>
                    <w:autoSpaceDN/>
                    <w:adjustRightInd/>
                    <w:jc w:val="center"/>
                    <w:textAlignment w:val="auto"/>
                    <w:rPr>
                      <w:rFonts w:hint="default" w:ascii="Times New Roman" w:hAnsi="Times New Roman" w:eastAsia="宋体" w:cs="Times New Roman"/>
                      <w:color w:val="auto"/>
                    </w:rPr>
                  </w:pPr>
                </w:p>
              </w:tc>
              <w:tc>
                <w:tcPr>
                  <w:tcW w:w="1026" w:type="pct"/>
                  <w:vMerge w:val="continue"/>
                  <w:vAlign w:val="center"/>
                </w:tcPr>
                <w:p w14:paraId="44EB4608">
                  <w:pPr>
                    <w:kinsoku/>
                    <w:autoSpaceDE/>
                    <w:autoSpaceDN/>
                    <w:adjustRightInd/>
                    <w:textAlignment w:val="auto"/>
                    <w:rPr>
                      <w:rFonts w:hint="default" w:ascii="Times New Roman" w:hAnsi="Times New Roman" w:eastAsia="宋体" w:cs="Times New Roman"/>
                      <w:color w:val="auto"/>
                    </w:rPr>
                  </w:pPr>
                </w:p>
              </w:tc>
              <w:tc>
                <w:tcPr>
                  <w:tcW w:w="1115" w:type="pct"/>
                  <w:vMerge w:val="continue"/>
                  <w:vAlign w:val="center"/>
                </w:tcPr>
                <w:p w14:paraId="791D7A27">
                  <w:pPr>
                    <w:kinsoku/>
                    <w:autoSpaceDE/>
                    <w:autoSpaceDN/>
                    <w:adjustRightInd/>
                    <w:textAlignment w:val="auto"/>
                    <w:rPr>
                      <w:rFonts w:hint="default" w:ascii="Times New Roman" w:hAnsi="Times New Roman" w:eastAsia="宋体" w:cs="Times New Roman"/>
                      <w:color w:val="auto"/>
                    </w:rPr>
                  </w:pPr>
                </w:p>
              </w:tc>
              <w:tc>
                <w:tcPr>
                  <w:tcW w:w="1674" w:type="pct"/>
                  <w:vAlign w:val="center"/>
                </w:tcPr>
                <w:p w14:paraId="437DE4A2">
                  <w:pPr>
                    <w:kinsoku/>
                    <w:autoSpaceDE/>
                    <w:autoSpaceDN/>
                    <w:adjustRightInd/>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绿色颤藻</w:t>
                  </w:r>
                  <w:r>
                    <w:rPr>
                      <w:rFonts w:hint="default" w:ascii="Times New Roman" w:hAnsi="Times New Roman" w:eastAsia="宋体" w:cs="Times New Roman"/>
                      <w:i/>
                      <w:color w:val="auto"/>
                    </w:rPr>
                    <w:t>Oscillatoria chlorina</w:t>
                  </w:r>
                </w:p>
              </w:tc>
              <w:tc>
                <w:tcPr>
                  <w:tcW w:w="647" w:type="pct"/>
                  <w:vAlign w:val="center"/>
                </w:tcPr>
                <w:p w14:paraId="4AA7C8FC">
                  <w:pPr>
                    <w:kinsoku/>
                    <w:autoSpaceDE/>
                    <w:autoSpaceDN/>
                    <w:adjustRightInd/>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w:t>
                  </w:r>
                </w:p>
              </w:tc>
            </w:tr>
            <w:tr w14:paraId="3D1696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37" w:type="pct"/>
                  <w:vMerge w:val="restart"/>
                  <w:vAlign w:val="center"/>
                </w:tcPr>
                <w:p w14:paraId="4A980279">
                  <w:pPr>
                    <w:kinsoku/>
                    <w:autoSpaceDE/>
                    <w:autoSpaceDN/>
                    <w:adjustRightInd/>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硅藻</w:t>
                  </w:r>
                </w:p>
              </w:tc>
              <w:tc>
                <w:tcPr>
                  <w:tcW w:w="1026" w:type="pct"/>
                  <w:vAlign w:val="center"/>
                </w:tcPr>
                <w:p w14:paraId="56370050">
                  <w:pPr>
                    <w:kinsoku/>
                    <w:autoSpaceDE/>
                    <w:autoSpaceDN/>
                    <w:adjustRightInd/>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3.脆杆藻科Fragilariaceae</w:t>
                  </w:r>
                </w:p>
              </w:tc>
              <w:tc>
                <w:tcPr>
                  <w:tcW w:w="1115" w:type="pct"/>
                  <w:vAlign w:val="center"/>
                </w:tcPr>
                <w:p w14:paraId="433F9646">
                  <w:pPr>
                    <w:kinsoku/>
                    <w:autoSpaceDE/>
                    <w:autoSpaceDN/>
                    <w:adjustRightInd/>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4.脆杆藻属</w:t>
                  </w:r>
                  <w:r>
                    <w:rPr>
                      <w:rFonts w:hint="default" w:ascii="Times New Roman" w:hAnsi="Times New Roman" w:eastAsia="宋体" w:cs="Times New Roman"/>
                      <w:i/>
                      <w:color w:val="auto"/>
                    </w:rPr>
                    <w:t>Fragilaria</w:t>
                  </w:r>
                </w:p>
              </w:tc>
              <w:tc>
                <w:tcPr>
                  <w:tcW w:w="1674" w:type="pct"/>
                  <w:vAlign w:val="center"/>
                </w:tcPr>
                <w:p w14:paraId="3A333862">
                  <w:pPr>
                    <w:kinsoku/>
                    <w:autoSpaceDE/>
                    <w:autoSpaceDN/>
                    <w:adjustRightInd/>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脆杆藻</w:t>
                  </w:r>
                  <w:r>
                    <w:rPr>
                      <w:rFonts w:hint="default" w:ascii="Times New Roman" w:hAnsi="Times New Roman" w:eastAsia="宋体" w:cs="Times New Roman"/>
                      <w:i/>
                      <w:color w:val="auto"/>
                    </w:rPr>
                    <w:t>Fragilaria sp.</w:t>
                  </w:r>
                </w:p>
              </w:tc>
              <w:tc>
                <w:tcPr>
                  <w:tcW w:w="647" w:type="pct"/>
                  <w:vAlign w:val="center"/>
                </w:tcPr>
                <w:p w14:paraId="7751E398">
                  <w:pPr>
                    <w:kinsoku/>
                    <w:autoSpaceDE/>
                    <w:autoSpaceDN/>
                    <w:adjustRightInd/>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w:t>
                  </w:r>
                </w:p>
              </w:tc>
            </w:tr>
            <w:tr w14:paraId="6ECB62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37" w:type="pct"/>
                  <w:vMerge w:val="continue"/>
                  <w:vAlign w:val="center"/>
                </w:tcPr>
                <w:p w14:paraId="54BD5C41">
                  <w:pPr>
                    <w:kinsoku/>
                    <w:autoSpaceDE/>
                    <w:autoSpaceDN/>
                    <w:adjustRightInd/>
                    <w:jc w:val="center"/>
                    <w:textAlignment w:val="auto"/>
                    <w:rPr>
                      <w:rFonts w:hint="default" w:ascii="Times New Roman" w:hAnsi="Times New Roman" w:eastAsia="宋体" w:cs="Times New Roman"/>
                      <w:color w:val="auto"/>
                    </w:rPr>
                  </w:pPr>
                </w:p>
              </w:tc>
              <w:tc>
                <w:tcPr>
                  <w:tcW w:w="1026" w:type="pct"/>
                  <w:vMerge w:val="restart"/>
                  <w:vAlign w:val="center"/>
                </w:tcPr>
                <w:p w14:paraId="17447F73">
                  <w:pPr>
                    <w:kinsoku/>
                    <w:autoSpaceDE/>
                    <w:autoSpaceDN/>
                    <w:adjustRightInd/>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4.舟形藻科</w:t>
                  </w:r>
                </w:p>
              </w:tc>
              <w:tc>
                <w:tcPr>
                  <w:tcW w:w="1115" w:type="pct"/>
                  <w:vAlign w:val="center"/>
                </w:tcPr>
                <w:p w14:paraId="15DFEB13">
                  <w:pPr>
                    <w:kinsoku/>
                    <w:autoSpaceDE/>
                    <w:autoSpaceDN/>
                    <w:adjustRightInd/>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5.舟形藻属</w:t>
                  </w:r>
                </w:p>
              </w:tc>
              <w:tc>
                <w:tcPr>
                  <w:tcW w:w="1674" w:type="pct"/>
                  <w:vAlign w:val="center"/>
                </w:tcPr>
                <w:p w14:paraId="12D25A1A">
                  <w:pPr>
                    <w:kinsoku/>
                    <w:autoSpaceDE/>
                    <w:autoSpaceDN/>
                    <w:adjustRightInd/>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隐头舟形藻</w:t>
                  </w:r>
                  <w:r>
                    <w:rPr>
                      <w:rFonts w:hint="default" w:ascii="Times New Roman" w:hAnsi="Times New Roman" w:eastAsia="宋体" w:cs="Times New Roman"/>
                      <w:i/>
                      <w:color w:val="auto"/>
                    </w:rPr>
                    <w:t>Navicula cryptocephala</w:t>
                  </w:r>
                </w:p>
              </w:tc>
              <w:tc>
                <w:tcPr>
                  <w:tcW w:w="647" w:type="pct"/>
                  <w:vAlign w:val="center"/>
                </w:tcPr>
                <w:p w14:paraId="28C9F600">
                  <w:pPr>
                    <w:kinsoku/>
                    <w:autoSpaceDE/>
                    <w:autoSpaceDN/>
                    <w:adjustRightInd/>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w:t>
                  </w:r>
                </w:p>
              </w:tc>
            </w:tr>
            <w:tr w14:paraId="47D570F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37" w:type="pct"/>
                  <w:vMerge w:val="continue"/>
                  <w:vAlign w:val="center"/>
                </w:tcPr>
                <w:p w14:paraId="090C2EFB">
                  <w:pPr>
                    <w:kinsoku/>
                    <w:autoSpaceDE/>
                    <w:autoSpaceDN/>
                    <w:adjustRightInd/>
                    <w:jc w:val="center"/>
                    <w:textAlignment w:val="auto"/>
                    <w:rPr>
                      <w:rFonts w:hint="default" w:ascii="Times New Roman" w:hAnsi="Times New Roman" w:eastAsia="宋体" w:cs="Times New Roman"/>
                      <w:color w:val="auto"/>
                    </w:rPr>
                  </w:pPr>
                </w:p>
              </w:tc>
              <w:tc>
                <w:tcPr>
                  <w:tcW w:w="1026" w:type="pct"/>
                  <w:vMerge w:val="continue"/>
                  <w:vAlign w:val="center"/>
                </w:tcPr>
                <w:p w14:paraId="5CE90F1B">
                  <w:pPr>
                    <w:kinsoku/>
                    <w:autoSpaceDE/>
                    <w:autoSpaceDN/>
                    <w:adjustRightInd/>
                    <w:textAlignment w:val="auto"/>
                    <w:rPr>
                      <w:rFonts w:hint="default" w:ascii="Times New Roman" w:hAnsi="Times New Roman" w:eastAsia="宋体" w:cs="Times New Roman"/>
                      <w:color w:val="auto"/>
                    </w:rPr>
                  </w:pPr>
                </w:p>
              </w:tc>
              <w:tc>
                <w:tcPr>
                  <w:tcW w:w="1115" w:type="pct"/>
                  <w:vMerge w:val="restart"/>
                  <w:vAlign w:val="center"/>
                </w:tcPr>
                <w:p w14:paraId="151C3F62">
                  <w:pPr>
                    <w:kinsoku/>
                    <w:autoSpaceDE/>
                    <w:autoSpaceDN/>
                    <w:adjustRightInd/>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shd w:val="clear" w:color="auto" w:fill="FFFFFF"/>
                    </w:rPr>
                    <w:t>6.辐节藻属</w:t>
                  </w:r>
                </w:p>
              </w:tc>
              <w:tc>
                <w:tcPr>
                  <w:tcW w:w="1674" w:type="pct"/>
                  <w:vAlign w:val="center"/>
                </w:tcPr>
                <w:p w14:paraId="62896A6D">
                  <w:pPr>
                    <w:kinsoku/>
                    <w:autoSpaceDE/>
                    <w:autoSpaceDN/>
                    <w:adjustRightInd/>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双头辐节藻</w:t>
                  </w:r>
                  <w:r>
                    <w:rPr>
                      <w:rFonts w:hint="default" w:ascii="Times New Roman" w:hAnsi="Times New Roman" w:eastAsia="宋体" w:cs="Times New Roman"/>
                      <w:i/>
                      <w:color w:val="auto"/>
                    </w:rPr>
                    <w:t>Stauroneis anceps</w:t>
                  </w:r>
                </w:p>
              </w:tc>
              <w:tc>
                <w:tcPr>
                  <w:tcW w:w="647" w:type="pct"/>
                  <w:vAlign w:val="center"/>
                </w:tcPr>
                <w:p w14:paraId="2AF634B3">
                  <w:pPr>
                    <w:kinsoku/>
                    <w:autoSpaceDE/>
                    <w:autoSpaceDN/>
                    <w:adjustRightInd/>
                    <w:jc w:val="center"/>
                    <w:textAlignment w:val="auto"/>
                    <w:rPr>
                      <w:rFonts w:hint="default" w:ascii="Times New Roman" w:hAnsi="Times New Roman" w:eastAsia="宋体" w:cs="Times New Roman"/>
                      <w:color w:val="auto"/>
                    </w:rPr>
                  </w:pPr>
                </w:p>
              </w:tc>
            </w:tr>
            <w:tr w14:paraId="71FA2F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37" w:type="pct"/>
                  <w:vMerge w:val="continue"/>
                  <w:vAlign w:val="center"/>
                </w:tcPr>
                <w:p w14:paraId="439CFF8F">
                  <w:pPr>
                    <w:kinsoku/>
                    <w:autoSpaceDE/>
                    <w:autoSpaceDN/>
                    <w:adjustRightInd/>
                    <w:jc w:val="center"/>
                    <w:textAlignment w:val="auto"/>
                    <w:rPr>
                      <w:rFonts w:hint="default" w:ascii="Times New Roman" w:hAnsi="Times New Roman" w:eastAsia="宋体" w:cs="Times New Roman"/>
                      <w:color w:val="auto"/>
                    </w:rPr>
                  </w:pPr>
                </w:p>
              </w:tc>
              <w:tc>
                <w:tcPr>
                  <w:tcW w:w="1026" w:type="pct"/>
                  <w:vMerge w:val="continue"/>
                  <w:vAlign w:val="center"/>
                </w:tcPr>
                <w:p w14:paraId="247A3602">
                  <w:pPr>
                    <w:kinsoku/>
                    <w:autoSpaceDE/>
                    <w:autoSpaceDN/>
                    <w:adjustRightInd/>
                    <w:textAlignment w:val="auto"/>
                    <w:rPr>
                      <w:rFonts w:hint="default" w:ascii="Times New Roman" w:hAnsi="Times New Roman" w:eastAsia="宋体" w:cs="Times New Roman"/>
                      <w:color w:val="auto"/>
                    </w:rPr>
                  </w:pPr>
                </w:p>
              </w:tc>
              <w:tc>
                <w:tcPr>
                  <w:tcW w:w="1115" w:type="pct"/>
                  <w:vMerge w:val="continue"/>
                  <w:vAlign w:val="center"/>
                </w:tcPr>
                <w:p w14:paraId="789E8018">
                  <w:pPr>
                    <w:kinsoku/>
                    <w:autoSpaceDE/>
                    <w:autoSpaceDN/>
                    <w:adjustRightInd/>
                    <w:textAlignment w:val="auto"/>
                    <w:rPr>
                      <w:rFonts w:hint="default" w:ascii="Times New Roman" w:hAnsi="Times New Roman" w:eastAsia="宋体" w:cs="Times New Roman"/>
                      <w:color w:val="auto"/>
                      <w:shd w:val="clear" w:color="auto" w:fill="FFFFFF"/>
                    </w:rPr>
                  </w:pPr>
                </w:p>
              </w:tc>
              <w:tc>
                <w:tcPr>
                  <w:tcW w:w="1674" w:type="pct"/>
                  <w:vAlign w:val="center"/>
                </w:tcPr>
                <w:p w14:paraId="31ADE66D">
                  <w:pPr>
                    <w:kinsoku/>
                    <w:autoSpaceDE/>
                    <w:autoSpaceDN/>
                    <w:adjustRightInd/>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矮小辐节藻</w:t>
                  </w:r>
                  <w:r>
                    <w:rPr>
                      <w:rFonts w:hint="default" w:ascii="Times New Roman" w:hAnsi="Times New Roman" w:eastAsia="宋体" w:cs="Times New Roman"/>
                      <w:i/>
                      <w:color w:val="auto"/>
                    </w:rPr>
                    <w:t>S.pygrnaea</w:t>
                  </w:r>
                </w:p>
              </w:tc>
              <w:tc>
                <w:tcPr>
                  <w:tcW w:w="647" w:type="pct"/>
                  <w:vAlign w:val="center"/>
                </w:tcPr>
                <w:p w14:paraId="13D3A758">
                  <w:pPr>
                    <w:kinsoku/>
                    <w:autoSpaceDE/>
                    <w:autoSpaceDN/>
                    <w:adjustRightInd/>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w:t>
                  </w:r>
                </w:p>
              </w:tc>
            </w:tr>
            <w:tr w14:paraId="7056BA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37" w:type="pct"/>
                  <w:vMerge w:val="continue"/>
                  <w:vAlign w:val="center"/>
                </w:tcPr>
                <w:p w14:paraId="1CA11CE0">
                  <w:pPr>
                    <w:kinsoku/>
                    <w:autoSpaceDE/>
                    <w:autoSpaceDN/>
                    <w:adjustRightInd/>
                    <w:jc w:val="center"/>
                    <w:textAlignment w:val="auto"/>
                    <w:rPr>
                      <w:rFonts w:hint="default" w:ascii="Times New Roman" w:hAnsi="Times New Roman" w:eastAsia="宋体" w:cs="Times New Roman"/>
                      <w:color w:val="auto"/>
                    </w:rPr>
                  </w:pPr>
                </w:p>
              </w:tc>
              <w:tc>
                <w:tcPr>
                  <w:tcW w:w="1026" w:type="pct"/>
                  <w:vAlign w:val="center"/>
                </w:tcPr>
                <w:p w14:paraId="370CF9FE">
                  <w:pPr>
                    <w:kinsoku/>
                    <w:autoSpaceDE/>
                    <w:autoSpaceDN/>
                    <w:adjustRightInd/>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5.双菱藻科</w:t>
                  </w:r>
                </w:p>
              </w:tc>
              <w:tc>
                <w:tcPr>
                  <w:tcW w:w="1115" w:type="pct"/>
                  <w:vAlign w:val="center"/>
                </w:tcPr>
                <w:p w14:paraId="178B7EB6">
                  <w:pPr>
                    <w:kinsoku/>
                    <w:autoSpaceDE/>
                    <w:autoSpaceDN/>
                    <w:adjustRightInd/>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7.双菱藻属</w:t>
                  </w:r>
                </w:p>
              </w:tc>
              <w:tc>
                <w:tcPr>
                  <w:tcW w:w="1674" w:type="pct"/>
                  <w:vAlign w:val="center"/>
                </w:tcPr>
                <w:p w14:paraId="19F2A395">
                  <w:pPr>
                    <w:kinsoku/>
                    <w:autoSpaceDE/>
                    <w:autoSpaceDN/>
                    <w:adjustRightInd/>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卵形双菱藻</w:t>
                  </w:r>
                  <w:r>
                    <w:rPr>
                      <w:rFonts w:hint="default" w:ascii="Times New Roman" w:hAnsi="Times New Roman" w:eastAsia="宋体" w:cs="Times New Roman"/>
                      <w:i/>
                      <w:color w:val="auto"/>
                    </w:rPr>
                    <w:t>Surirella ovata</w:t>
                  </w:r>
                </w:p>
              </w:tc>
              <w:tc>
                <w:tcPr>
                  <w:tcW w:w="647" w:type="pct"/>
                  <w:vAlign w:val="center"/>
                </w:tcPr>
                <w:p w14:paraId="624F6244">
                  <w:pPr>
                    <w:kinsoku/>
                    <w:autoSpaceDE/>
                    <w:autoSpaceDN/>
                    <w:adjustRightInd/>
                    <w:jc w:val="center"/>
                    <w:textAlignment w:val="auto"/>
                    <w:rPr>
                      <w:rFonts w:hint="default" w:ascii="Times New Roman" w:hAnsi="Times New Roman" w:eastAsia="宋体" w:cs="Times New Roman"/>
                      <w:color w:val="auto"/>
                    </w:rPr>
                  </w:pPr>
                </w:p>
              </w:tc>
            </w:tr>
            <w:tr w14:paraId="715A40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37" w:type="pct"/>
                  <w:vMerge w:val="continue"/>
                  <w:vAlign w:val="center"/>
                </w:tcPr>
                <w:p w14:paraId="1E1DE62A">
                  <w:pPr>
                    <w:kinsoku/>
                    <w:autoSpaceDE/>
                    <w:autoSpaceDN/>
                    <w:adjustRightInd/>
                    <w:jc w:val="center"/>
                    <w:textAlignment w:val="auto"/>
                    <w:rPr>
                      <w:rFonts w:hint="default" w:ascii="Times New Roman" w:hAnsi="Times New Roman" w:eastAsia="宋体" w:cs="Times New Roman"/>
                      <w:color w:val="auto"/>
                    </w:rPr>
                  </w:pPr>
                </w:p>
              </w:tc>
              <w:tc>
                <w:tcPr>
                  <w:tcW w:w="1026" w:type="pct"/>
                  <w:vMerge w:val="restart"/>
                  <w:vAlign w:val="center"/>
                </w:tcPr>
                <w:p w14:paraId="2794FAC4">
                  <w:pPr>
                    <w:kinsoku/>
                    <w:autoSpaceDE/>
                    <w:autoSpaceDN/>
                    <w:adjustRightInd/>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6.菱形藻科</w:t>
                  </w:r>
                </w:p>
              </w:tc>
              <w:tc>
                <w:tcPr>
                  <w:tcW w:w="1115" w:type="pct"/>
                  <w:vMerge w:val="restart"/>
                  <w:vAlign w:val="center"/>
                </w:tcPr>
                <w:p w14:paraId="56026B0A">
                  <w:pPr>
                    <w:kinsoku/>
                    <w:autoSpaceDE/>
                    <w:autoSpaceDN/>
                    <w:adjustRightInd/>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shd w:val="clear" w:color="auto" w:fill="FFFFFF"/>
                    </w:rPr>
                    <w:t>8.菱形藻属</w:t>
                  </w:r>
                </w:p>
              </w:tc>
              <w:tc>
                <w:tcPr>
                  <w:tcW w:w="1674" w:type="pct"/>
                  <w:vAlign w:val="center"/>
                </w:tcPr>
                <w:p w14:paraId="2502B8FB">
                  <w:pPr>
                    <w:kinsoku/>
                    <w:autoSpaceDE/>
                    <w:autoSpaceDN/>
                    <w:adjustRightInd/>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双尖菱板藻</w:t>
                  </w:r>
                  <w:r>
                    <w:rPr>
                      <w:rFonts w:hint="default" w:ascii="Times New Roman" w:hAnsi="Times New Roman" w:eastAsia="宋体" w:cs="Times New Roman"/>
                      <w:i/>
                      <w:color w:val="auto"/>
                    </w:rPr>
                    <w:t>Hantzschia amphioxys</w:t>
                  </w:r>
                </w:p>
              </w:tc>
              <w:tc>
                <w:tcPr>
                  <w:tcW w:w="647" w:type="pct"/>
                  <w:vAlign w:val="center"/>
                </w:tcPr>
                <w:p w14:paraId="031B3110">
                  <w:pPr>
                    <w:kinsoku/>
                    <w:autoSpaceDE/>
                    <w:autoSpaceDN/>
                    <w:adjustRightInd/>
                    <w:jc w:val="center"/>
                    <w:textAlignment w:val="auto"/>
                    <w:rPr>
                      <w:rFonts w:hint="default" w:ascii="Times New Roman" w:hAnsi="Times New Roman" w:eastAsia="宋体" w:cs="Times New Roman"/>
                      <w:color w:val="auto"/>
                    </w:rPr>
                  </w:pPr>
                </w:p>
              </w:tc>
            </w:tr>
            <w:tr w14:paraId="7D8DB2A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37" w:type="pct"/>
                  <w:vMerge w:val="continue"/>
                  <w:vAlign w:val="center"/>
                </w:tcPr>
                <w:p w14:paraId="039CD870">
                  <w:pPr>
                    <w:kinsoku/>
                    <w:autoSpaceDE/>
                    <w:autoSpaceDN/>
                    <w:adjustRightInd/>
                    <w:jc w:val="center"/>
                    <w:textAlignment w:val="auto"/>
                    <w:rPr>
                      <w:rFonts w:hint="default" w:ascii="Times New Roman" w:hAnsi="Times New Roman" w:eastAsia="宋体" w:cs="Times New Roman"/>
                      <w:color w:val="auto"/>
                    </w:rPr>
                  </w:pPr>
                </w:p>
              </w:tc>
              <w:tc>
                <w:tcPr>
                  <w:tcW w:w="1026" w:type="pct"/>
                  <w:vMerge w:val="continue"/>
                  <w:vAlign w:val="center"/>
                </w:tcPr>
                <w:p w14:paraId="3C5E673A">
                  <w:pPr>
                    <w:shd w:val="clear" w:color="auto" w:fill="FFFFFF"/>
                    <w:kinsoku/>
                    <w:autoSpaceDE/>
                    <w:autoSpaceDN/>
                    <w:adjustRightInd/>
                    <w:textAlignment w:val="auto"/>
                    <w:rPr>
                      <w:rFonts w:hint="default" w:ascii="Times New Roman" w:hAnsi="Times New Roman" w:eastAsia="宋体" w:cs="Times New Roman"/>
                      <w:color w:val="auto"/>
                      <w:shd w:val="clear" w:color="auto" w:fill="FFFFFF"/>
                    </w:rPr>
                  </w:pPr>
                </w:p>
              </w:tc>
              <w:tc>
                <w:tcPr>
                  <w:tcW w:w="1115" w:type="pct"/>
                  <w:vMerge w:val="continue"/>
                  <w:vAlign w:val="center"/>
                </w:tcPr>
                <w:p w14:paraId="094461BD">
                  <w:pPr>
                    <w:kinsoku/>
                    <w:autoSpaceDE/>
                    <w:autoSpaceDN/>
                    <w:adjustRightInd/>
                    <w:textAlignment w:val="auto"/>
                    <w:rPr>
                      <w:rFonts w:hint="default" w:ascii="Times New Roman" w:hAnsi="Times New Roman" w:eastAsia="宋体" w:cs="Times New Roman"/>
                      <w:color w:val="auto"/>
                      <w:shd w:val="clear" w:color="auto" w:fill="FFFFFF"/>
                    </w:rPr>
                  </w:pPr>
                </w:p>
              </w:tc>
              <w:tc>
                <w:tcPr>
                  <w:tcW w:w="1674" w:type="pct"/>
                  <w:vAlign w:val="center"/>
                </w:tcPr>
                <w:p w14:paraId="7E187736">
                  <w:pPr>
                    <w:kinsoku/>
                    <w:autoSpaceDE/>
                    <w:autoSpaceDN/>
                    <w:adjustRightInd/>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长菱板藻</w:t>
                  </w:r>
                  <w:r>
                    <w:rPr>
                      <w:rFonts w:hint="default" w:ascii="Times New Roman" w:hAnsi="Times New Roman" w:eastAsia="宋体" w:cs="Times New Roman"/>
                      <w:i/>
                      <w:color w:val="auto"/>
                    </w:rPr>
                    <w:t>H. elongata</w:t>
                  </w:r>
                </w:p>
              </w:tc>
              <w:tc>
                <w:tcPr>
                  <w:tcW w:w="647" w:type="pct"/>
                  <w:vAlign w:val="center"/>
                </w:tcPr>
                <w:p w14:paraId="2A5C1CC1">
                  <w:pPr>
                    <w:kinsoku/>
                    <w:autoSpaceDE/>
                    <w:autoSpaceDN/>
                    <w:adjustRightInd/>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w:t>
                  </w:r>
                </w:p>
              </w:tc>
            </w:tr>
            <w:tr w14:paraId="793BDC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37" w:type="pct"/>
                  <w:vMerge w:val="restart"/>
                  <w:tcBorders>
                    <w:top w:val="single" w:color="auto" w:sz="4" w:space="0"/>
                  </w:tcBorders>
                  <w:vAlign w:val="center"/>
                </w:tcPr>
                <w:p w14:paraId="5AA85033">
                  <w:pPr>
                    <w:kinsoku/>
                    <w:autoSpaceDE/>
                    <w:autoSpaceDN/>
                    <w:adjustRightInd/>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绿藻</w:t>
                  </w:r>
                </w:p>
              </w:tc>
              <w:tc>
                <w:tcPr>
                  <w:tcW w:w="1026" w:type="pct"/>
                  <w:tcBorders>
                    <w:top w:val="single" w:color="auto" w:sz="4" w:space="0"/>
                  </w:tcBorders>
                  <w:vAlign w:val="center"/>
                </w:tcPr>
                <w:p w14:paraId="48DEC95E">
                  <w:pPr>
                    <w:kinsoku/>
                    <w:autoSpaceDE/>
                    <w:autoSpaceDN/>
                    <w:adjustRightInd/>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7.卵囊藻科Oocystaceae</w:t>
                  </w:r>
                </w:p>
              </w:tc>
              <w:tc>
                <w:tcPr>
                  <w:tcW w:w="1115" w:type="pct"/>
                  <w:vAlign w:val="center"/>
                </w:tcPr>
                <w:p w14:paraId="704FFC1C">
                  <w:pPr>
                    <w:kinsoku/>
                    <w:autoSpaceDE/>
                    <w:autoSpaceDN/>
                    <w:adjustRightInd/>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9. 卵囊藻属</w:t>
                  </w:r>
                </w:p>
              </w:tc>
              <w:tc>
                <w:tcPr>
                  <w:tcW w:w="1674" w:type="pct"/>
                  <w:vAlign w:val="center"/>
                </w:tcPr>
                <w:p w14:paraId="0C6664F7">
                  <w:pPr>
                    <w:kinsoku/>
                    <w:autoSpaceDE/>
                    <w:autoSpaceDN/>
                    <w:adjustRightInd/>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单生卵囊藻</w:t>
                  </w:r>
                  <w:r>
                    <w:rPr>
                      <w:rFonts w:hint="default" w:ascii="Times New Roman" w:hAnsi="Times New Roman" w:eastAsia="宋体" w:cs="Times New Roman"/>
                      <w:i/>
                      <w:color w:val="auto"/>
                    </w:rPr>
                    <w:t>Oocystis solitaria</w:t>
                  </w:r>
                </w:p>
              </w:tc>
              <w:tc>
                <w:tcPr>
                  <w:tcW w:w="647" w:type="pct"/>
                  <w:vAlign w:val="center"/>
                </w:tcPr>
                <w:p w14:paraId="16FF6A59">
                  <w:pPr>
                    <w:kinsoku/>
                    <w:autoSpaceDE/>
                    <w:autoSpaceDN/>
                    <w:adjustRightInd/>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w:t>
                  </w:r>
                </w:p>
              </w:tc>
            </w:tr>
            <w:tr w14:paraId="6755A7C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37" w:type="pct"/>
                  <w:vMerge w:val="continue"/>
                  <w:vAlign w:val="center"/>
                </w:tcPr>
                <w:p w14:paraId="699584D0">
                  <w:pPr>
                    <w:kinsoku/>
                    <w:autoSpaceDE/>
                    <w:autoSpaceDN/>
                    <w:adjustRightInd/>
                    <w:jc w:val="center"/>
                    <w:textAlignment w:val="auto"/>
                    <w:rPr>
                      <w:rFonts w:hint="default" w:ascii="Times New Roman" w:hAnsi="Times New Roman" w:eastAsia="宋体" w:cs="Times New Roman"/>
                      <w:color w:val="auto"/>
                    </w:rPr>
                  </w:pPr>
                </w:p>
              </w:tc>
              <w:tc>
                <w:tcPr>
                  <w:tcW w:w="1026" w:type="pct"/>
                  <w:vMerge w:val="restart"/>
                  <w:vAlign w:val="center"/>
                </w:tcPr>
                <w:p w14:paraId="670F7035">
                  <w:pPr>
                    <w:kinsoku/>
                    <w:autoSpaceDE/>
                    <w:autoSpaceDN/>
                    <w:adjustRightInd/>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8.鼓藻科Desmidiaceae</w:t>
                  </w:r>
                </w:p>
              </w:tc>
              <w:tc>
                <w:tcPr>
                  <w:tcW w:w="1115" w:type="pct"/>
                  <w:vMerge w:val="restart"/>
                  <w:vAlign w:val="center"/>
                </w:tcPr>
                <w:p w14:paraId="408855A7">
                  <w:pPr>
                    <w:kinsoku/>
                    <w:autoSpaceDE/>
                    <w:autoSpaceDN/>
                    <w:adjustRightInd/>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10.新月藻属</w:t>
                  </w:r>
                  <w:r>
                    <w:rPr>
                      <w:rFonts w:hint="default" w:ascii="Times New Roman" w:hAnsi="Times New Roman" w:eastAsia="宋体" w:cs="Times New Roman"/>
                      <w:i/>
                      <w:color w:val="auto"/>
                      <w:shd w:val="clear" w:color="auto" w:fill="FFFFFF"/>
                    </w:rPr>
                    <w:t>ClosteriumNitzsch</w:t>
                  </w:r>
                </w:p>
              </w:tc>
              <w:tc>
                <w:tcPr>
                  <w:tcW w:w="1674" w:type="pct"/>
                  <w:vAlign w:val="center"/>
                </w:tcPr>
                <w:p w14:paraId="695FEB07">
                  <w:pPr>
                    <w:kinsoku/>
                    <w:autoSpaceDE/>
                    <w:autoSpaceDN/>
                    <w:adjustRightInd/>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库氏新月藻</w:t>
                  </w:r>
                  <w:r>
                    <w:rPr>
                      <w:rFonts w:hint="default" w:ascii="Times New Roman" w:hAnsi="Times New Roman" w:eastAsia="宋体" w:cs="Times New Roman"/>
                      <w:i/>
                      <w:color w:val="auto"/>
                    </w:rPr>
                    <w:t>Cosmarium kuetzingii</w:t>
                  </w:r>
                </w:p>
              </w:tc>
              <w:tc>
                <w:tcPr>
                  <w:tcW w:w="647" w:type="pct"/>
                  <w:vAlign w:val="center"/>
                </w:tcPr>
                <w:p w14:paraId="214A8B83">
                  <w:pPr>
                    <w:kinsoku/>
                    <w:autoSpaceDE/>
                    <w:autoSpaceDN/>
                    <w:adjustRightInd/>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w:t>
                  </w:r>
                </w:p>
              </w:tc>
            </w:tr>
            <w:tr w14:paraId="1474FE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37" w:type="pct"/>
                  <w:vMerge w:val="continue"/>
                  <w:vAlign w:val="center"/>
                </w:tcPr>
                <w:p w14:paraId="13925265">
                  <w:pPr>
                    <w:kinsoku/>
                    <w:autoSpaceDE/>
                    <w:autoSpaceDN/>
                    <w:adjustRightInd/>
                    <w:jc w:val="center"/>
                    <w:textAlignment w:val="auto"/>
                    <w:rPr>
                      <w:rFonts w:hint="default" w:ascii="Times New Roman" w:hAnsi="Times New Roman" w:eastAsia="宋体" w:cs="Times New Roman"/>
                      <w:color w:val="auto"/>
                    </w:rPr>
                  </w:pPr>
                </w:p>
              </w:tc>
              <w:tc>
                <w:tcPr>
                  <w:tcW w:w="1026" w:type="pct"/>
                  <w:vMerge w:val="continue"/>
                  <w:vAlign w:val="center"/>
                </w:tcPr>
                <w:p w14:paraId="5B0A8B32">
                  <w:pPr>
                    <w:kinsoku/>
                    <w:autoSpaceDE/>
                    <w:autoSpaceDN/>
                    <w:adjustRightInd/>
                    <w:textAlignment w:val="auto"/>
                    <w:rPr>
                      <w:rFonts w:hint="default" w:ascii="Times New Roman" w:hAnsi="Times New Roman" w:eastAsia="宋体" w:cs="Times New Roman"/>
                      <w:color w:val="auto"/>
                    </w:rPr>
                  </w:pPr>
                </w:p>
              </w:tc>
              <w:tc>
                <w:tcPr>
                  <w:tcW w:w="1115" w:type="pct"/>
                  <w:vMerge w:val="continue"/>
                  <w:vAlign w:val="center"/>
                </w:tcPr>
                <w:p w14:paraId="758E7D18">
                  <w:pPr>
                    <w:kinsoku/>
                    <w:autoSpaceDE/>
                    <w:autoSpaceDN/>
                    <w:adjustRightInd/>
                    <w:textAlignment w:val="auto"/>
                    <w:rPr>
                      <w:rFonts w:hint="default" w:ascii="Times New Roman" w:hAnsi="Times New Roman" w:eastAsia="宋体" w:cs="Times New Roman"/>
                      <w:color w:val="auto"/>
                    </w:rPr>
                  </w:pPr>
                </w:p>
              </w:tc>
              <w:tc>
                <w:tcPr>
                  <w:tcW w:w="1674" w:type="pct"/>
                  <w:vAlign w:val="center"/>
                </w:tcPr>
                <w:p w14:paraId="1ABC2FF0">
                  <w:pPr>
                    <w:kinsoku/>
                    <w:autoSpaceDE/>
                    <w:autoSpaceDN/>
                    <w:adjustRightInd/>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细新月藻</w:t>
                  </w:r>
                  <w:r>
                    <w:rPr>
                      <w:rFonts w:hint="default" w:ascii="Times New Roman" w:hAnsi="Times New Roman" w:eastAsia="宋体" w:cs="Times New Roman"/>
                      <w:i/>
                      <w:color w:val="auto"/>
                    </w:rPr>
                    <w:t>Cosmarium macilentum</w:t>
                  </w:r>
                </w:p>
              </w:tc>
              <w:tc>
                <w:tcPr>
                  <w:tcW w:w="647" w:type="pct"/>
                  <w:vAlign w:val="center"/>
                </w:tcPr>
                <w:p w14:paraId="2D2A9F88">
                  <w:pPr>
                    <w:kinsoku/>
                    <w:autoSpaceDE/>
                    <w:autoSpaceDN/>
                    <w:adjustRightInd/>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w:t>
                  </w:r>
                </w:p>
              </w:tc>
            </w:tr>
            <w:tr w14:paraId="441ACD0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37" w:type="pct"/>
                  <w:vMerge w:val="continue"/>
                  <w:vAlign w:val="center"/>
                </w:tcPr>
                <w:p w14:paraId="2C267401">
                  <w:pPr>
                    <w:kinsoku/>
                    <w:autoSpaceDE/>
                    <w:autoSpaceDN/>
                    <w:adjustRightInd/>
                    <w:jc w:val="center"/>
                    <w:textAlignment w:val="auto"/>
                    <w:rPr>
                      <w:rFonts w:hint="default" w:ascii="Times New Roman" w:hAnsi="Times New Roman" w:eastAsia="宋体" w:cs="Times New Roman"/>
                      <w:color w:val="auto"/>
                    </w:rPr>
                  </w:pPr>
                </w:p>
              </w:tc>
              <w:tc>
                <w:tcPr>
                  <w:tcW w:w="1026" w:type="pct"/>
                  <w:vMerge w:val="restart"/>
                  <w:vAlign w:val="center"/>
                </w:tcPr>
                <w:p w14:paraId="472F3178">
                  <w:pPr>
                    <w:rPr>
                      <w:rFonts w:hint="default" w:ascii="Times New Roman" w:hAnsi="Times New Roman" w:eastAsia="宋体" w:cs="Times New Roman"/>
                      <w:color w:val="auto"/>
                    </w:rPr>
                  </w:pPr>
                  <w:r>
                    <w:rPr>
                      <w:rFonts w:hint="default" w:ascii="Times New Roman" w:hAnsi="Times New Roman" w:eastAsia="宋体" w:cs="Times New Roman"/>
                      <w:color w:val="auto"/>
                    </w:rPr>
                    <w:t>9.群星藻科Sorastraceae</w:t>
                  </w:r>
                </w:p>
              </w:tc>
              <w:tc>
                <w:tcPr>
                  <w:tcW w:w="1115" w:type="pct"/>
                  <w:vMerge w:val="restart"/>
                  <w:vAlign w:val="center"/>
                </w:tcPr>
                <w:p w14:paraId="49641BB3">
                  <w:pPr>
                    <w:rPr>
                      <w:rFonts w:hint="default" w:ascii="Times New Roman" w:hAnsi="Times New Roman" w:eastAsia="宋体" w:cs="Times New Roman"/>
                      <w:color w:val="auto"/>
                    </w:rPr>
                  </w:pPr>
                  <w:r>
                    <w:rPr>
                      <w:rFonts w:hint="default" w:ascii="Times New Roman" w:hAnsi="Times New Roman" w:eastAsia="宋体" w:cs="Times New Roman"/>
                      <w:color w:val="auto"/>
                    </w:rPr>
                    <w:t>11.集星藻属</w:t>
                  </w:r>
                  <w:r>
                    <w:rPr>
                      <w:rFonts w:hint="default" w:ascii="Times New Roman" w:hAnsi="Times New Roman" w:eastAsia="宋体" w:cs="Times New Roman"/>
                      <w:i/>
                      <w:color w:val="auto"/>
                      <w:shd w:val="clear" w:color="auto" w:fill="FFFFFF"/>
                    </w:rPr>
                    <w:t>Actinastrum</w:t>
                  </w:r>
                </w:p>
              </w:tc>
              <w:tc>
                <w:tcPr>
                  <w:tcW w:w="1674" w:type="pct"/>
                  <w:vAlign w:val="center"/>
                </w:tcPr>
                <w:p w14:paraId="372E57CE">
                  <w:pPr>
                    <w:rPr>
                      <w:rFonts w:hint="default" w:ascii="Times New Roman" w:hAnsi="Times New Roman" w:eastAsia="宋体" w:cs="Times New Roman"/>
                      <w:color w:val="auto"/>
                    </w:rPr>
                  </w:pPr>
                  <w:r>
                    <w:rPr>
                      <w:rFonts w:hint="default" w:ascii="Times New Roman" w:hAnsi="Times New Roman" w:eastAsia="宋体" w:cs="Times New Roman"/>
                      <w:color w:val="auto"/>
                    </w:rPr>
                    <w:t>集星藻</w:t>
                  </w:r>
                  <w:r>
                    <w:rPr>
                      <w:rFonts w:hint="default" w:ascii="Times New Roman" w:hAnsi="Times New Roman" w:eastAsia="宋体" w:cs="Times New Roman"/>
                      <w:i/>
                      <w:color w:val="auto"/>
                    </w:rPr>
                    <w:t>A.hant</w:t>
                  </w:r>
                  <w:r>
                    <w:rPr>
                      <w:rFonts w:hint="default" w:ascii="Times New Roman" w:hAnsi="Times New Roman" w:eastAsia="宋体" w:cs="Times New Roman"/>
                      <w:i/>
                      <w:color w:val="auto"/>
                      <w:shd w:val="clear" w:color="auto" w:fill="FFFFFF"/>
                    </w:rPr>
                    <w:t>zschii</w:t>
                  </w:r>
                </w:p>
              </w:tc>
              <w:tc>
                <w:tcPr>
                  <w:tcW w:w="647" w:type="pct"/>
                  <w:vAlign w:val="center"/>
                </w:tcPr>
                <w:p w14:paraId="1679EC9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r>
            <w:tr w14:paraId="2DBF43B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37" w:type="pct"/>
                  <w:vMerge w:val="continue"/>
                  <w:vAlign w:val="center"/>
                </w:tcPr>
                <w:p w14:paraId="1C943B99">
                  <w:pPr>
                    <w:kinsoku/>
                    <w:autoSpaceDE/>
                    <w:autoSpaceDN/>
                    <w:adjustRightInd/>
                    <w:jc w:val="center"/>
                    <w:textAlignment w:val="auto"/>
                    <w:rPr>
                      <w:rFonts w:hint="default" w:ascii="Times New Roman" w:hAnsi="Times New Roman" w:eastAsia="宋体" w:cs="Times New Roman"/>
                      <w:color w:val="auto"/>
                    </w:rPr>
                  </w:pPr>
                </w:p>
              </w:tc>
              <w:tc>
                <w:tcPr>
                  <w:tcW w:w="1026" w:type="pct"/>
                  <w:vMerge w:val="continue"/>
                  <w:vAlign w:val="center"/>
                </w:tcPr>
                <w:p w14:paraId="4E0D4F70">
                  <w:pPr>
                    <w:rPr>
                      <w:rFonts w:hint="default" w:ascii="Times New Roman" w:hAnsi="Times New Roman" w:eastAsia="宋体" w:cs="Times New Roman"/>
                      <w:color w:val="auto"/>
                    </w:rPr>
                  </w:pPr>
                </w:p>
              </w:tc>
              <w:tc>
                <w:tcPr>
                  <w:tcW w:w="1115" w:type="pct"/>
                  <w:vMerge w:val="continue"/>
                  <w:vAlign w:val="center"/>
                </w:tcPr>
                <w:p w14:paraId="718A0990">
                  <w:pPr>
                    <w:rPr>
                      <w:rFonts w:hint="default" w:ascii="Times New Roman" w:hAnsi="Times New Roman" w:eastAsia="宋体" w:cs="Times New Roman"/>
                      <w:color w:val="auto"/>
                    </w:rPr>
                  </w:pPr>
                </w:p>
              </w:tc>
              <w:tc>
                <w:tcPr>
                  <w:tcW w:w="1674" w:type="pct"/>
                  <w:vAlign w:val="center"/>
                </w:tcPr>
                <w:p w14:paraId="6535F842">
                  <w:pPr>
                    <w:rPr>
                      <w:rFonts w:hint="default" w:ascii="Times New Roman" w:hAnsi="Times New Roman" w:eastAsia="宋体" w:cs="Times New Roman"/>
                      <w:color w:val="auto"/>
                    </w:rPr>
                  </w:pPr>
                  <w:r>
                    <w:rPr>
                      <w:rFonts w:hint="default" w:ascii="Times New Roman" w:hAnsi="Times New Roman" w:eastAsia="宋体" w:cs="Times New Roman"/>
                      <w:color w:val="auto"/>
                    </w:rPr>
                    <w:t>美丽星杆藻</w:t>
                  </w:r>
                  <w:r>
                    <w:rPr>
                      <w:rFonts w:hint="default" w:ascii="Times New Roman" w:hAnsi="Times New Roman" w:eastAsia="宋体" w:cs="Times New Roman"/>
                      <w:i/>
                      <w:color w:val="auto"/>
                    </w:rPr>
                    <w:t>Asterionella   formosa Hassall</w:t>
                  </w:r>
                </w:p>
              </w:tc>
              <w:tc>
                <w:tcPr>
                  <w:tcW w:w="647" w:type="pct"/>
                  <w:vAlign w:val="center"/>
                </w:tcPr>
                <w:p w14:paraId="7C26BF97">
                  <w:pPr>
                    <w:jc w:val="center"/>
                    <w:rPr>
                      <w:rFonts w:hint="default" w:ascii="Times New Roman" w:hAnsi="Times New Roman" w:eastAsia="宋体" w:cs="Times New Roman"/>
                      <w:color w:val="auto"/>
                    </w:rPr>
                  </w:pPr>
                </w:p>
              </w:tc>
            </w:tr>
          </w:tbl>
          <w:p w14:paraId="2963B1BC">
            <w:pPr>
              <w:spacing w:line="360" w:lineRule="auto"/>
              <w:ind w:firstLine="411" w:firstLineChars="196"/>
              <w:rPr>
                <w:rFonts w:hint="default" w:ascii="Times New Roman" w:hAnsi="Times New Roman" w:eastAsia="宋体" w:cs="Times New Roman"/>
                <w:b/>
                <w:color w:val="auto"/>
              </w:rPr>
            </w:pPr>
            <w:r>
              <w:rPr>
                <w:rFonts w:hint="default" w:ascii="Times New Roman" w:hAnsi="Times New Roman" w:eastAsia="宋体" w:cs="Times New Roman"/>
                <w:color w:val="auto"/>
              </w:rPr>
              <w:t>注：“+++”——很多、“﹢﹢”——较多、“﹢”——一般，“-”——较少。</w:t>
            </w:r>
          </w:p>
          <w:p w14:paraId="4D670C1B">
            <w:pPr>
              <w:spacing w:line="360" w:lineRule="auto"/>
              <w:ind w:firstLine="480" w:firstLineChars="200"/>
              <w:rPr>
                <w:rFonts w:hint="default" w:ascii="Times New Roman" w:hAnsi="Times New Roman" w:eastAsia="宋体" w:cs="Times New Roman"/>
                <w:color w:val="auto"/>
                <w:sz w:val="24"/>
              </w:rPr>
            </w:pPr>
            <w:bookmarkStart w:id="16" w:name="_Toc515014803"/>
            <w:bookmarkStart w:id="17" w:name="_Toc429433084"/>
            <w:r>
              <w:rPr>
                <w:rFonts w:hint="default" w:ascii="Times New Roman" w:hAnsi="Times New Roman" w:eastAsia="宋体" w:cs="Times New Roman"/>
                <w:color w:val="auto"/>
                <w:sz w:val="24"/>
              </w:rPr>
              <w:t>（二）河流浮游动物</w:t>
            </w:r>
            <w:bookmarkEnd w:id="16"/>
            <w:bookmarkEnd w:id="17"/>
          </w:p>
          <w:p w14:paraId="4EFB5A95">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浮游动物以水生细菌和浮游藻类为食，是属于水生生态系统中的消费者和第二营养级，亦称次级生产力，由于浮游动物摄取大量藻类，所以使水体产生自净作用，同时它也是所有幼鱼和某些成鱼的饵料基础。</w:t>
            </w:r>
          </w:p>
          <w:p w14:paraId="291B5E11">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根据查阅相关资料，项目水域浮游动物的主要类群有：</w:t>
            </w:r>
            <w:r>
              <w:rPr>
                <w:rFonts w:hint="default" w:ascii="Times New Roman" w:hAnsi="Times New Roman" w:eastAsia="宋体" w:cs="Times New Roman"/>
                <w:color w:val="auto"/>
                <w:sz w:val="24"/>
                <w:szCs w:val="24"/>
              </w:rPr>
              <w:t>巨腕轮虫、水溞、象鼻溞、剑水溞等种类</w:t>
            </w:r>
            <w:r>
              <w:rPr>
                <w:rFonts w:hint="default" w:ascii="Times New Roman" w:hAnsi="Times New Roman" w:eastAsia="宋体" w:cs="Times New Roman"/>
                <w:color w:val="auto"/>
                <w:sz w:val="24"/>
              </w:rPr>
              <w:t>，浮游动物总共4种。仅采集到节肢动物、轮虫等2个类群。其中节肢动物较多，有3种；轮虫1种。</w:t>
            </w:r>
          </w:p>
          <w:p w14:paraId="2DE32D4F">
            <w:pPr>
              <w:jc w:val="center"/>
              <w:rPr>
                <w:rFonts w:hint="default" w:ascii="Times New Roman" w:hAnsi="Times New Roman" w:eastAsia="宋体" w:cs="Times New Roman"/>
                <w:b/>
                <w:bCs/>
                <w:color w:val="auto"/>
              </w:rPr>
            </w:pPr>
            <w:bookmarkStart w:id="18" w:name="_Toc515014874"/>
            <w:r>
              <w:rPr>
                <w:rFonts w:hint="default" w:ascii="Times New Roman" w:hAnsi="Times New Roman" w:eastAsia="宋体" w:cs="Times New Roman"/>
                <w:b/>
                <w:bCs/>
                <w:color w:val="auto"/>
              </w:rPr>
              <w:t>表3-6   河流浮游动物名录</w:t>
            </w:r>
            <w:bookmarkEnd w:id="18"/>
          </w:p>
          <w:tbl>
            <w:tblPr>
              <w:tblStyle w:val="32"/>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48"/>
              <w:gridCol w:w="3355"/>
            </w:tblGrid>
            <w:tr w14:paraId="48958D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136" w:type="pct"/>
                  <w:vAlign w:val="center"/>
                </w:tcPr>
                <w:p w14:paraId="697FAC6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种类</w:t>
                  </w:r>
                </w:p>
              </w:tc>
              <w:tc>
                <w:tcPr>
                  <w:tcW w:w="1863" w:type="pct"/>
                  <w:vAlign w:val="center"/>
                </w:tcPr>
                <w:p w14:paraId="59388135">
                  <w:pPr>
                    <w:jc w:val="center"/>
                    <w:rPr>
                      <w:rFonts w:hint="default" w:ascii="Times New Roman" w:hAnsi="Times New Roman" w:eastAsia="宋体" w:cs="Times New Roman"/>
                      <w:b/>
                      <w:color w:val="auto"/>
                    </w:rPr>
                  </w:pPr>
                  <w:r>
                    <w:rPr>
                      <w:rFonts w:hint="default" w:ascii="Times New Roman" w:hAnsi="Times New Roman" w:eastAsia="宋体" w:cs="Times New Roman"/>
                      <w:b/>
                      <w:color w:val="auto"/>
                    </w:rPr>
                    <w:t>数量</w:t>
                  </w:r>
                </w:p>
              </w:tc>
            </w:tr>
            <w:tr w14:paraId="6611B2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136" w:type="pct"/>
                  <w:vAlign w:val="center"/>
                </w:tcPr>
                <w:p w14:paraId="1BC5F99C">
                  <w:pPr>
                    <w:jc w:val="center"/>
                    <w:rPr>
                      <w:rFonts w:hint="default" w:ascii="Times New Roman" w:hAnsi="Times New Roman" w:eastAsia="宋体" w:cs="Times New Roman"/>
                      <w:b/>
                      <w:color w:val="auto"/>
                    </w:rPr>
                  </w:pPr>
                  <w:r>
                    <w:rPr>
                      <w:rFonts w:hint="default" w:ascii="Times New Roman" w:hAnsi="Times New Roman" w:eastAsia="宋体" w:cs="Times New Roman"/>
                      <w:b/>
                      <w:color w:val="auto"/>
                    </w:rPr>
                    <w:t>一、节肢动物门</w:t>
                  </w:r>
                  <w:r>
                    <w:rPr>
                      <w:rFonts w:hint="default" w:ascii="Times New Roman" w:hAnsi="Times New Roman" w:eastAsia="宋体" w:cs="Times New Roman"/>
                      <w:b/>
                      <w:i/>
                      <w:iCs/>
                      <w:color w:val="auto"/>
                    </w:rPr>
                    <w:t>Arthropoda</w:t>
                  </w:r>
                </w:p>
              </w:tc>
              <w:tc>
                <w:tcPr>
                  <w:tcW w:w="1863" w:type="pct"/>
                  <w:vAlign w:val="center"/>
                </w:tcPr>
                <w:p w14:paraId="0DCDEB4A">
                  <w:pPr>
                    <w:jc w:val="center"/>
                    <w:rPr>
                      <w:rFonts w:hint="default" w:ascii="Times New Roman" w:hAnsi="Times New Roman" w:eastAsia="宋体" w:cs="Times New Roman"/>
                      <w:color w:val="auto"/>
                    </w:rPr>
                  </w:pPr>
                </w:p>
              </w:tc>
            </w:tr>
            <w:tr w14:paraId="4CE65E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136" w:type="pct"/>
                  <w:vAlign w:val="center"/>
                </w:tcPr>
                <w:p w14:paraId="1484B73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1、水溞Daphnia</w:t>
                  </w:r>
                </w:p>
              </w:tc>
              <w:tc>
                <w:tcPr>
                  <w:tcW w:w="1863" w:type="pct"/>
                  <w:vAlign w:val="center"/>
                </w:tcPr>
                <w:p w14:paraId="1AE6340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r>
            <w:tr w14:paraId="252B48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136" w:type="pct"/>
                  <w:vAlign w:val="center"/>
                </w:tcPr>
                <w:p w14:paraId="048C615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2、象鼻溞Bosmina longirostris</w:t>
                  </w:r>
                </w:p>
              </w:tc>
              <w:tc>
                <w:tcPr>
                  <w:tcW w:w="1863" w:type="pct"/>
                  <w:vAlign w:val="center"/>
                </w:tcPr>
                <w:p w14:paraId="6EC8037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r>
            <w:tr w14:paraId="2217CB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136" w:type="pct"/>
                  <w:vAlign w:val="center"/>
                </w:tcPr>
                <w:p w14:paraId="71BEAEF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3、剑水溞Cyclops</w:t>
                  </w:r>
                </w:p>
              </w:tc>
              <w:tc>
                <w:tcPr>
                  <w:tcW w:w="1863" w:type="pct"/>
                  <w:vAlign w:val="center"/>
                </w:tcPr>
                <w:p w14:paraId="11637AF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r>
            <w:tr w14:paraId="43DE46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136" w:type="pct"/>
                  <w:vAlign w:val="center"/>
                </w:tcPr>
                <w:p w14:paraId="56FB5DA3">
                  <w:pPr>
                    <w:jc w:val="center"/>
                    <w:rPr>
                      <w:rFonts w:hint="default" w:ascii="Times New Roman" w:hAnsi="Times New Roman" w:eastAsia="宋体" w:cs="Times New Roman"/>
                      <w:b/>
                      <w:color w:val="auto"/>
                    </w:rPr>
                  </w:pPr>
                  <w:r>
                    <w:rPr>
                      <w:rFonts w:hint="default" w:ascii="Times New Roman" w:hAnsi="Times New Roman" w:eastAsia="宋体" w:cs="Times New Roman"/>
                      <w:b/>
                      <w:color w:val="auto"/>
                    </w:rPr>
                    <w:t>二、轮虫</w:t>
                  </w:r>
                  <w:r>
                    <w:rPr>
                      <w:rFonts w:hint="default" w:ascii="Times New Roman" w:hAnsi="Times New Roman" w:eastAsia="宋体" w:cs="Times New Roman"/>
                      <w:b/>
                      <w:i/>
                      <w:iCs/>
                      <w:color w:val="auto"/>
                    </w:rPr>
                    <w:t>Rotifera</w:t>
                  </w:r>
                </w:p>
              </w:tc>
              <w:tc>
                <w:tcPr>
                  <w:tcW w:w="1863" w:type="pct"/>
                  <w:vAlign w:val="center"/>
                </w:tcPr>
                <w:p w14:paraId="4F10D116">
                  <w:pPr>
                    <w:jc w:val="center"/>
                    <w:rPr>
                      <w:rFonts w:hint="default" w:ascii="Times New Roman" w:hAnsi="Times New Roman" w:eastAsia="宋体" w:cs="Times New Roman"/>
                      <w:color w:val="auto"/>
                    </w:rPr>
                  </w:pPr>
                </w:p>
              </w:tc>
            </w:tr>
            <w:tr w14:paraId="51CE1B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136" w:type="pct"/>
                  <w:vAlign w:val="center"/>
                </w:tcPr>
                <w:p w14:paraId="5476C8F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4、巨腕轮虫Hexarthra mira</w:t>
                  </w:r>
                </w:p>
              </w:tc>
              <w:tc>
                <w:tcPr>
                  <w:tcW w:w="1863" w:type="pct"/>
                  <w:vAlign w:val="center"/>
                </w:tcPr>
                <w:p w14:paraId="0D5A334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r>
          </w:tbl>
          <w:p w14:paraId="00FA2099">
            <w:pPr>
              <w:spacing w:line="360" w:lineRule="auto"/>
              <w:ind w:firstLine="411" w:firstLineChars="196"/>
              <w:rPr>
                <w:rFonts w:hint="default" w:ascii="Times New Roman" w:hAnsi="Times New Roman" w:eastAsia="宋体" w:cs="Times New Roman"/>
                <w:color w:val="auto"/>
              </w:rPr>
            </w:pPr>
            <w:r>
              <w:rPr>
                <w:rFonts w:hint="default" w:ascii="Times New Roman" w:hAnsi="Times New Roman" w:eastAsia="宋体" w:cs="Times New Roman"/>
                <w:color w:val="auto"/>
              </w:rPr>
              <w:t>注：“+++”——很多、“﹢﹢”——较多、“﹢”——一般，“-”——较少。</w:t>
            </w:r>
          </w:p>
          <w:p w14:paraId="66E25658">
            <w:pPr>
              <w:spacing w:line="360" w:lineRule="auto"/>
              <w:ind w:firstLine="480" w:firstLineChars="200"/>
              <w:rPr>
                <w:rFonts w:hint="default" w:ascii="Times New Roman" w:hAnsi="Times New Roman" w:eastAsia="宋体" w:cs="Times New Roman"/>
                <w:color w:val="auto"/>
                <w:sz w:val="24"/>
              </w:rPr>
            </w:pPr>
            <w:bookmarkStart w:id="19" w:name="_Toc429433086"/>
            <w:bookmarkStart w:id="20" w:name="_Toc515014804"/>
            <w:bookmarkStart w:id="21" w:name="_Toc429433085"/>
            <w:r>
              <w:rPr>
                <w:rFonts w:hint="default" w:ascii="Times New Roman" w:hAnsi="Times New Roman" w:eastAsia="宋体" w:cs="Times New Roman"/>
                <w:color w:val="auto"/>
                <w:sz w:val="24"/>
              </w:rPr>
              <w:t>（三）河流底栖动物</w:t>
            </w:r>
            <w:bookmarkEnd w:id="19"/>
            <w:bookmarkEnd w:id="20"/>
          </w:p>
          <w:p w14:paraId="2DD26271">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底栖无脊椎动物是第三营养级的主要组成，也是江河中饵料生物生物量较大的类群，为江河中多数鱼类的饵料基础，并且与江河鱼类的生态类群和区系组成密切相关。调查共采集到底栖动物2门5种，其中节肢动物门3种；软体动物门2种。其中扁蜉有较大的生物量，为底栖动物的优势种。</w:t>
            </w:r>
          </w:p>
          <w:p w14:paraId="75BB079C">
            <w:pPr>
              <w:jc w:val="center"/>
              <w:rPr>
                <w:rFonts w:hint="default" w:ascii="Times New Roman" w:hAnsi="Times New Roman" w:eastAsia="宋体" w:cs="Times New Roman"/>
                <w:b/>
                <w:bCs/>
                <w:color w:val="auto"/>
              </w:rPr>
            </w:pPr>
            <w:bookmarkStart w:id="22" w:name="_Toc515014875"/>
            <w:r>
              <w:rPr>
                <w:rFonts w:hint="default" w:ascii="Times New Roman" w:hAnsi="Times New Roman" w:eastAsia="宋体" w:cs="Times New Roman"/>
                <w:b/>
                <w:bCs/>
                <w:color w:val="auto"/>
              </w:rPr>
              <w:t>表3-7   河流底栖动物名录</w:t>
            </w:r>
            <w:bookmarkEnd w:id="22"/>
          </w:p>
          <w:tbl>
            <w:tblPr>
              <w:tblStyle w:val="32"/>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149"/>
              <w:gridCol w:w="2854"/>
            </w:tblGrid>
            <w:tr w14:paraId="019B0C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415" w:type="pct"/>
                  <w:vAlign w:val="center"/>
                </w:tcPr>
                <w:p w14:paraId="097492E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种类</w:t>
                  </w:r>
                </w:p>
              </w:tc>
              <w:tc>
                <w:tcPr>
                  <w:tcW w:w="1584" w:type="pct"/>
                  <w:vAlign w:val="center"/>
                </w:tcPr>
                <w:p w14:paraId="34478388">
                  <w:pPr>
                    <w:jc w:val="center"/>
                    <w:rPr>
                      <w:rFonts w:hint="default" w:ascii="Times New Roman" w:hAnsi="Times New Roman" w:eastAsia="宋体" w:cs="Times New Roman"/>
                      <w:b/>
                      <w:color w:val="auto"/>
                    </w:rPr>
                  </w:pPr>
                  <w:r>
                    <w:rPr>
                      <w:rFonts w:hint="default" w:ascii="Times New Roman" w:hAnsi="Times New Roman" w:eastAsia="宋体" w:cs="Times New Roman"/>
                      <w:b/>
                      <w:color w:val="auto"/>
                    </w:rPr>
                    <w:t>数量</w:t>
                  </w:r>
                </w:p>
              </w:tc>
            </w:tr>
            <w:tr w14:paraId="0011AA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2"/>
                  <w:vAlign w:val="center"/>
                </w:tcPr>
                <w:p w14:paraId="5F40B8CF">
                  <w:pPr>
                    <w:jc w:val="center"/>
                    <w:rPr>
                      <w:rFonts w:hint="default" w:ascii="Times New Roman" w:hAnsi="Times New Roman" w:eastAsia="宋体" w:cs="Times New Roman"/>
                      <w:b/>
                      <w:color w:val="auto"/>
                    </w:rPr>
                  </w:pPr>
                  <w:r>
                    <w:rPr>
                      <w:rFonts w:hint="default" w:ascii="Times New Roman" w:hAnsi="Times New Roman" w:eastAsia="宋体" w:cs="Times New Roman"/>
                      <w:b/>
                      <w:color w:val="auto"/>
                    </w:rPr>
                    <w:t>一、节肢动物门</w:t>
                  </w:r>
                  <w:r>
                    <w:rPr>
                      <w:rFonts w:hint="default" w:ascii="Times New Roman" w:hAnsi="Times New Roman" w:eastAsia="宋体" w:cs="Times New Roman"/>
                      <w:b/>
                      <w:i/>
                      <w:iCs/>
                      <w:color w:val="auto"/>
                    </w:rPr>
                    <w:t>Arthropoda</w:t>
                  </w:r>
                </w:p>
              </w:tc>
            </w:tr>
            <w:tr w14:paraId="28F80F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415" w:type="pct"/>
                  <w:vAlign w:val="center"/>
                </w:tcPr>
                <w:p w14:paraId="3245C27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1、蜉蝣Ephemera</w:t>
                  </w:r>
                </w:p>
              </w:tc>
              <w:tc>
                <w:tcPr>
                  <w:tcW w:w="1584" w:type="pct"/>
                  <w:vAlign w:val="center"/>
                </w:tcPr>
                <w:p w14:paraId="2FF7516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r>
            <w:tr w14:paraId="29EDD1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415" w:type="pct"/>
                  <w:vAlign w:val="center"/>
                </w:tcPr>
                <w:p w14:paraId="56EAE68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2、扁蜉</w:t>
                  </w:r>
                  <w:r>
                    <w:rPr>
                      <w:rFonts w:hint="default" w:ascii="Times New Roman" w:hAnsi="Times New Roman" w:eastAsia="宋体" w:cs="Times New Roman"/>
                      <w:i/>
                      <w:color w:val="auto"/>
                    </w:rPr>
                    <w:t>flatheaded mayflies</w:t>
                  </w:r>
                </w:p>
              </w:tc>
              <w:tc>
                <w:tcPr>
                  <w:tcW w:w="1584" w:type="pct"/>
                  <w:vAlign w:val="center"/>
                </w:tcPr>
                <w:p w14:paraId="7E68629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r>
            <w:tr w14:paraId="62CE54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415" w:type="pct"/>
                  <w:vAlign w:val="center"/>
                </w:tcPr>
                <w:p w14:paraId="14DBCC0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3、秀丽白虾Chinese white prawn</w:t>
                  </w:r>
                </w:p>
              </w:tc>
              <w:tc>
                <w:tcPr>
                  <w:tcW w:w="1584" w:type="pct"/>
                  <w:vAlign w:val="center"/>
                </w:tcPr>
                <w:p w14:paraId="276CDFE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r>
            <w:tr w14:paraId="2BB645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2"/>
                  <w:vAlign w:val="center"/>
                </w:tcPr>
                <w:p w14:paraId="3B10D38E">
                  <w:pPr>
                    <w:jc w:val="center"/>
                    <w:rPr>
                      <w:rFonts w:hint="default" w:ascii="Times New Roman" w:hAnsi="Times New Roman" w:eastAsia="宋体" w:cs="Times New Roman"/>
                      <w:b/>
                      <w:color w:val="auto"/>
                    </w:rPr>
                  </w:pPr>
                  <w:r>
                    <w:rPr>
                      <w:rFonts w:hint="default" w:ascii="Times New Roman" w:hAnsi="Times New Roman" w:eastAsia="宋体" w:cs="Times New Roman"/>
                      <w:b/>
                      <w:color w:val="auto"/>
                    </w:rPr>
                    <w:t>二、软体动物门</w:t>
                  </w:r>
                  <w:r>
                    <w:rPr>
                      <w:rFonts w:hint="default" w:ascii="Times New Roman" w:hAnsi="Times New Roman" w:eastAsia="宋体" w:cs="Times New Roman"/>
                      <w:b/>
                      <w:bCs/>
                      <w:i/>
                      <w:iCs/>
                      <w:color w:val="auto"/>
                    </w:rPr>
                    <w:t>Mollusca</w:t>
                  </w:r>
                </w:p>
              </w:tc>
            </w:tr>
            <w:tr w14:paraId="1B2E4F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415" w:type="pct"/>
                  <w:vAlign w:val="center"/>
                </w:tcPr>
                <w:p w14:paraId="67E9DB9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4、萝卜螺 Radix pereger</w:t>
                  </w:r>
                </w:p>
              </w:tc>
              <w:tc>
                <w:tcPr>
                  <w:tcW w:w="1584" w:type="pct"/>
                  <w:vAlign w:val="center"/>
                </w:tcPr>
                <w:p w14:paraId="66733AA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r>
            <w:tr w14:paraId="13339E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415" w:type="pct"/>
                  <w:vAlign w:val="center"/>
                </w:tcPr>
                <w:p w14:paraId="121DAF4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5、河蚬Corbicula fluminea</w:t>
                  </w:r>
                </w:p>
              </w:tc>
              <w:tc>
                <w:tcPr>
                  <w:tcW w:w="1584" w:type="pct"/>
                  <w:vAlign w:val="center"/>
                </w:tcPr>
                <w:p w14:paraId="313CF9E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_</w:t>
                  </w:r>
                </w:p>
              </w:tc>
            </w:tr>
          </w:tbl>
          <w:p w14:paraId="7DD6481B">
            <w:pPr>
              <w:spacing w:line="360" w:lineRule="auto"/>
              <w:ind w:firstLine="411" w:firstLineChars="196"/>
              <w:rPr>
                <w:rFonts w:hint="default" w:ascii="Times New Roman" w:hAnsi="Times New Roman" w:eastAsia="宋体" w:cs="Times New Roman"/>
                <w:color w:val="auto"/>
              </w:rPr>
            </w:pPr>
            <w:r>
              <w:rPr>
                <w:rFonts w:hint="default" w:ascii="Times New Roman" w:hAnsi="Times New Roman" w:eastAsia="宋体" w:cs="Times New Roman"/>
                <w:color w:val="auto"/>
              </w:rPr>
              <w:t>注：“+++”——很多、“﹢﹢”——较多、“﹢”——一般，“-”——较少。</w:t>
            </w:r>
          </w:p>
          <w:p w14:paraId="4903E5EF">
            <w:pPr>
              <w:spacing w:line="360" w:lineRule="auto"/>
              <w:ind w:firstLine="480" w:firstLineChars="200"/>
              <w:rPr>
                <w:rFonts w:hint="default" w:ascii="Times New Roman" w:hAnsi="Times New Roman" w:eastAsia="宋体" w:cs="Times New Roman"/>
                <w:color w:val="auto"/>
                <w:sz w:val="24"/>
              </w:rPr>
            </w:pPr>
            <w:bookmarkStart w:id="23" w:name="_Toc515014805"/>
            <w:r>
              <w:rPr>
                <w:rFonts w:hint="default" w:ascii="Times New Roman" w:hAnsi="Times New Roman" w:eastAsia="宋体" w:cs="Times New Roman"/>
                <w:color w:val="auto"/>
                <w:sz w:val="24"/>
              </w:rPr>
              <w:t>（四）水生维管束植物</w:t>
            </w:r>
            <w:bookmarkEnd w:id="21"/>
            <w:bookmarkEnd w:id="23"/>
          </w:p>
          <w:p w14:paraId="69A9FD76">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水生维管束植物是水体中的生产者，能利用太阳能，通过光合作用制造有机营养物质，使之变成可供生物生长繁殖的能量，是水生生态系统中的基本环节。本次调查发现本项目水域的水生维管束植物包括1个类群共4种，即：挺水植物类群主要有芦苇、菖蒲等3种。其中菖蒲在调查评价江段内分布较多。</w:t>
            </w:r>
          </w:p>
          <w:p w14:paraId="3DF4D7D0">
            <w:pPr>
              <w:jc w:val="center"/>
              <w:rPr>
                <w:rFonts w:hint="default" w:ascii="Times New Roman" w:hAnsi="Times New Roman" w:eastAsia="宋体" w:cs="Times New Roman"/>
                <w:b/>
                <w:bCs/>
                <w:color w:val="auto"/>
              </w:rPr>
            </w:pPr>
            <w:bookmarkStart w:id="24" w:name="_Toc515014876"/>
            <w:r>
              <w:rPr>
                <w:rFonts w:hint="default" w:ascii="Times New Roman" w:hAnsi="Times New Roman" w:eastAsia="宋体" w:cs="Times New Roman"/>
                <w:b/>
                <w:bCs/>
                <w:color w:val="auto"/>
              </w:rPr>
              <w:t>表3-8  水生维管束植物名录</w:t>
            </w:r>
            <w:bookmarkEnd w:id="24"/>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92"/>
              <w:gridCol w:w="1851"/>
              <w:gridCol w:w="5058"/>
            </w:tblGrid>
            <w:tr w14:paraId="0E080C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62" w:type="pct"/>
                  <w:vAlign w:val="center"/>
                </w:tcPr>
                <w:p w14:paraId="334D5C32">
                  <w:pPr>
                    <w:tabs>
                      <w:tab w:val="left" w:pos="4710"/>
                    </w:tabs>
                    <w:jc w:val="center"/>
                    <w:rPr>
                      <w:rFonts w:hint="default" w:ascii="Times New Roman" w:hAnsi="Times New Roman" w:eastAsia="宋体" w:cs="Times New Roman"/>
                      <w:color w:val="auto"/>
                    </w:rPr>
                  </w:pPr>
                  <w:r>
                    <w:rPr>
                      <w:rFonts w:hint="default" w:ascii="Times New Roman" w:hAnsi="Times New Roman" w:eastAsia="宋体" w:cs="Times New Roman"/>
                      <w:color w:val="auto"/>
                    </w:rPr>
                    <w:t>类型</w:t>
                  </w:r>
                </w:p>
              </w:tc>
              <w:tc>
                <w:tcPr>
                  <w:tcW w:w="1028" w:type="pct"/>
                  <w:vAlign w:val="center"/>
                </w:tcPr>
                <w:p w14:paraId="5BC2B1BF">
                  <w:pPr>
                    <w:tabs>
                      <w:tab w:val="left" w:pos="4710"/>
                    </w:tabs>
                    <w:jc w:val="center"/>
                    <w:rPr>
                      <w:rFonts w:hint="default" w:ascii="Times New Roman" w:hAnsi="Times New Roman" w:eastAsia="宋体" w:cs="Times New Roman"/>
                      <w:color w:val="auto"/>
                    </w:rPr>
                  </w:pPr>
                  <w:r>
                    <w:rPr>
                      <w:rFonts w:hint="default" w:ascii="Times New Roman" w:hAnsi="Times New Roman" w:eastAsia="宋体" w:cs="Times New Roman"/>
                      <w:color w:val="auto"/>
                    </w:rPr>
                    <w:t>科名</w:t>
                  </w:r>
                </w:p>
              </w:tc>
              <w:tc>
                <w:tcPr>
                  <w:tcW w:w="2809" w:type="pct"/>
                  <w:vAlign w:val="center"/>
                </w:tcPr>
                <w:p w14:paraId="73E82E2E">
                  <w:pPr>
                    <w:tabs>
                      <w:tab w:val="left" w:pos="4710"/>
                    </w:tabs>
                    <w:jc w:val="center"/>
                    <w:rPr>
                      <w:rFonts w:hint="default" w:ascii="Times New Roman" w:hAnsi="Times New Roman" w:eastAsia="宋体" w:cs="Times New Roman"/>
                      <w:color w:val="auto"/>
                    </w:rPr>
                  </w:pPr>
                  <w:r>
                    <w:rPr>
                      <w:rFonts w:hint="default" w:ascii="Times New Roman" w:hAnsi="Times New Roman" w:eastAsia="宋体" w:cs="Times New Roman"/>
                      <w:color w:val="auto"/>
                    </w:rPr>
                    <w:t>种名</w:t>
                  </w:r>
                </w:p>
              </w:tc>
            </w:tr>
            <w:tr w14:paraId="101006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62" w:type="pct"/>
                  <w:vMerge w:val="restart"/>
                  <w:vAlign w:val="center"/>
                </w:tcPr>
                <w:p w14:paraId="20641B79">
                  <w:pPr>
                    <w:tabs>
                      <w:tab w:val="left" w:pos="4710"/>
                    </w:tabs>
                    <w:jc w:val="center"/>
                    <w:rPr>
                      <w:rFonts w:hint="default" w:ascii="Times New Roman" w:hAnsi="Times New Roman" w:eastAsia="宋体" w:cs="Times New Roman"/>
                      <w:color w:val="auto"/>
                    </w:rPr>
                  </w:pPr>
                  <w:r>
                    <w:rPr>
                      <w:rFonts w:hint="default" w:ascii="Times New Roman" w:hAnsi="Times New Roman" w:eastAsia="宋体" w:cs="Times New Roman"/>
                      <w:color w:val="auto"/>
                    </w:rPr>
                    <w:t>挺水</w:t>
                  </w:r>
                </w:p>
              </w:tc>
              <w:tc>
                <w:tcPr>
                  <w:tcW w:w="1028" w:type="pct"/>
                  <w:vAlign w:val="center"/>
                </w:tcPr>
                <w:p w14:paraId="3579B838">
                  <w:pPr>
                    <w:tabs>
                      <w:tab w:val="left" w:pos="4710"/>
                    </w:tabs>
                    <w:jc w:val="center"/>
                    <w:rPr>
                      <w:rFonts w:hint="default" w:ascii="Times New Roman" w:hAnsi="Times New Roman" w:eastAsia="宋体" w:cs="Times New Roman"/>
                      <w:color w:val="auto"/>
                    </w:rPr>
                  </w:pPr>
                  <w:r>
                    <w:rPr>
                      <w:rFonts w:hint="default" w:ascii="Times New Roman" w:hAnsi="Times New Roman" w:eastAsia="宋体" w:cs="Times New Roman"/>
                      <w:color w:val="auto"/>
                    </w:rPr>
                    <w:t>蓼科</w:t>
                  </w:r>
                </w:p>
              </w:tc>
              <w:tc>
                <w:tcPr>
                  <w:tcW w:w="2809" w:type="pct"/>
                  <w:vAlign w:val="center"/>
                </w:tcPr>
                <w:p w14:paraId="074B8194">
                  <w:pPr>
                    <w:tabs>
                      <w:tab w:val="left" w:pos="4710"/>
                    </w:tabs>
                    <w:rPr>
                      <w:rFonts w:hint="default" w:ascii="Times New Roman" w:hAnsi="Times New Roman" w:eastAsia="宋体" w:cs="Times New Roman"/>
                      <w:color w:val="auto"/>
                    </w:rPr>
                  </w:pPr>
                  <w:r>
                    <w:rPr>
                      <w:rFonts w:hint="default" w:ascii="Times New Roman" w:hAnsi="Times New Roman" w:eastAsia="宋体" w:cs="Times New Roman"/>
                      <w:color w:val="auto"/>
                    </w:rPr>
                    <w:t>1.水蓼</w:t>
                  </w:r>
                  <w:r>
                    <w:rPr>
                      <w:rFonts w:hint="default" w:ascii="Times New Roman" w:hAnsi="Times New Roman" w:eastAsia="宋体" w:cs="Times New Roman"/>
                      <w:i/>
                      <w:iCs/>
                      <w:color w:val="auto"/>
                    </w:rPr>
                    <w:t>Polygonum hydropiper</w:t>
                  </w:r>
                </w:p>
              </w:tc>
            </w:tr>
            <w:tr w14:paraId="45F135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62" w:type="pct"/>
                  <w:vMerge w:val="continue"/>
                  <w:vAlign w:val="center"/>
                </w:tcPr>
                <w:p w14:paraId="57D4CE54">
                  <w:pPr>
                    <w:tabs>
                      <w:tab w:val="left" w:pos="4710"/>
                    </w:tabs>
                    <w:jc w:val="center"/>
                    <w:rPr>
                      <w:rFonts w:hint="default" w:ascii="Times New Roman" w:hAnsi="Times New Roman" w:eastAsia="宋体" w:cs="Times New Roman"/>
                      <w:color w:val="auto"/>
                    </w:rPr>
                  </w:pPr>
                </w:p>
              </w:tc>
              <w:tc>
                <w:tcPr>
                  <w:tcW w:w="1028" w:type="pct"/>
                  <w:vAlign w:val="center"/>
                </w:tcPr>
                <w:p w14:paraId="214C1515">
                  <w:pPr>
                    <w:tabs>
                      <w:tab w:val="left" w:pos="4710"/>
                    </w:tabs>
                    <w:jc w:val="center"/>
                    <w:rPr>
                      <w:rFonts w:hint="default" w:ascii="Times New Roman" w:hAnsi="Times New Roman" w:eastAsia="宋体" w:cs="Times New Roman"/>
                      <w:color w:val="auto"/>
                    </w:rPr>
                  </w:pPr>
                  <w:r>
                    <w:rPr>
                      <w:rFonts w:hint="default" w:ascii="Times New Roman" w:hAnsi="Times New Roman" w:eastAsia="宋体" w:cs="Times New Roman"/>
                      <w:color w:val="auto"/>
                    </w:rPr>
                    <w:t>禾本科</w:t>
                  </w:r>
                </w:p>
              </w:tc>
              <w:tc>
                <w:tcPr>
                  <w:tcW w:w="2809" w:type="pct"/>
                  <w:vAlign w:val="center"/>
                </w:tcPr>
                <w:p w14:paraId="39D0E596">
                  <w:pPr>
                    <w:tabs>
                      <w:tab w:val="left" w:pos="4710"/>
                    </w:tabs>
                    <w:rPr>
                      <w:rFonts w:hint="default" w:ascii="Times New Roman" w:hAnsi="Times New Roman" w:eastAsia="宋体" w:cs="Times New Roman"/>
                      <w:color w:val="auto"/>
                    </w:rPr>
                  </w:pPr>
                  <w:r>
                    <w:rPr>
                      <w:rFonts w:hint="default" w:ascii="Times New Roman" w:hAnsi="Times New Roman" w:eastAsia="宋体" w:cs="Times New Roman"/>
                      <w:color w:val="auto"/>
                    </w:rPr>
                    <w:t>2.芦苇</w:t>
                  </w:r>
                  <w:r>
                    <w:rPr>
                      <w:rFonts w:hint="default" w:ascii="Times New Roman" w:hAnsi="Times New Roman" w:eastAsia="宋体" w:cs="Times New Roman"/>
                      <w:i/>
                      <w:iCs/>
                      <w:color w:val="auto"/>
                    </w:rPr>
                    <w:t>Plragmites communis</w:t>
                  </w:r>
                </w:p>
              </w:tc>
            </w:tr>
            <w:tr w14:paraId="15D354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62" w:type="pct"/>
                  <w:vMerge w:val="continue"/>
                  <w:vAlign w:val="center"/>
                </w:tcPr>
                <w:p w14:paraId="12E0A818">
                  <w:pPr>
                    <w:tabs>
                      <w:tab w:val="left" w:pos="4710"/>
                    </w:tabs>
                    <w:jc w:val="center"/>
                    <w:rPr>
                      <w:rFonts w:hint="default" w:ascii="Times New Roman" w:hAnsi="Times New Roman" w:eastAsia="宋体" w:cs="Times New Roman"/>
                      <w:color w:val="auto"/>
                    </w:rPr>
                  </w:pPr>
                </w:p>
              </w:tc>
              <w:tc>
                <w:tcPr>
                  <w:tcW w:w="1028" w:type="pct"/>
                  <w:vAlign w:val="center"/>
                </w:tcPr>
                <w:p w14:paraId="7D6606C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天南星科</w:t>
                  </w:r>
                </w:p>
              </w:tc>
              <w:tc>
                <w:tcPr>
                  <w:tcW w:w="2809" w:type="pct"/>
                  <w:vAlign w:val="center"/>
                </w:tcPr>
                <w:p w14:paraId="5D237EB4">
                  <w:pPr>
                    <w:rPr>
                      <w:rFonts w:hint="default" w:ascii="Times New Roman" w:hAnsi="Times New Roman" w:eastAsia="宋体" w:cs="Times New Roman"/>
                      <w:color w:val="auto"/>
                    </w:rPr>
                  </w:pPr>
                  <w:r>
                    <w:rPr>
                      <w:rFonts w:hint="default" w:ascii="Times New Roman" w:hAnsi="Times New Roman" w:eastAsia="宋体" w:cs="Times New Roman"/>
                      <w:color w:val="auto"/>
                    </w:rPr>
                    <w:t>3.菖蒲</w:t>
                  </w:r>
                  <w:r>
                    <w:rPr>
                      <w:rFonts w:hint="default" w:ascii="Times New Roman" w:hAnsi="Times New Roman" w:eastAsia="宋体" w:cs="Times New Roman"/>
                      <w:i/>
                      <w:color w:val="auto"/>
                    </w:rPr>
                    <w:t>Acorus calamus L</w:t>
                  </w:r>
                </w:p>
              </w:tc>
            </w:tr>
          </w:tbl>
          <w:p w14:paraId="7E970A1C">
            <w:pPr>
              <w:spacing w:line="360" w:lineRule="auto"/>
              <w:ind w:firstLine="480" w:firstLineChars="200"/>
              <w:rPr>
                <w:rFonts w:hint="default" w:ascii="Times New Roman" w:hAnsi="Times New Roman" w:eastAsia="宋体" w:cs="Times New Roman"/>
                <w:color w:val="auto"/>
                <w:sz w:val="24"/>
              </w:rPr>
            </w:pPr>
            <w:bookmarkStart w:id="25" w:name="_Toc132433580"/>
            <w:bookmarkStart w:id="26" w:name="_Toc371309827"/>
            <w:bookmarkStart w:id="27" w:name="_Toc515014806"/>
            <w:r>
              <w:rPr>
                <w:rFonts w:hint="default" w:ascii="Times New Roman" w:hAnsi="Times New Roman" w:eastAsia="宋体" w:cs="Times New Roman"/>
                <w:color w:val="auto"/>
                <w:sz w:val="24"/>
              </w:rPr>
              <w:t>（五）河流鱼类资源</w:t>
            </w:r>
            <w:bookmarkEnd w:id="25"/>
            <w:bookmarkEnd w:id="26"/>
            <w:r>
              <w:rPr>
                <w:rFonts w:hint="default" w:ascii="Times New Roman" w:hAnsi="Times New Roman" w:eastAsia="宋体" w:cs="Times New Roman"/>
                <w:color w:val="auto"/>
                <w:sz w:val="24"/>
              </w:rPr>
              <w:t>调查结果</w:t>
            </w:r>
            <w:bookmarkEnd w:id="27"/>
          </w:p>
          <w:p w14:paraId="588E7C88">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根据历史文献记载、近几年的和本次调查结果，整理出水域分布有8种鱼类，其中没有国家和省级保护种类。</w:t>
            </w:r>
          </w:p>
          <w:p w14:paraId="03285DC2">
            <w:pPr>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表3-9  河流水域鱼类名录</w:t>
            </w:r>
          </w:p>
          <w:tbl>
            <w:tblPr>
              <w:tblStyle w:val="32"/>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15"/>
              <w:gridCol w:w="2194"/>
              <w:gridCol w:w="6194"/>
            </w:tblGrid>
            <w:tr w14:paraId="080611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42" w:type="pct"/>
                  <w:vAlign w:val="center"/>
                </w:tcPr>
                <w:p w14:paraId="59D2350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编号</w:t>
                  </w:r>
                </w:p>
              </w:tc>
              <w:tc>
                <w:tcPr>
                  <w:tcW w:w="1218" w:type="pct"/>
                  <w:vAlign w:val="center"/>
                </w:tcPr>
                <w:p w14:paraId="0FF03C3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中文名</w:t>
                  </w:r>
                </w:p>
              </w:tc>
              <w:tc>
                <w:tcPr>
                  <w:tcW w:w="3439" w:type="pct"/>
                  <w:vAlign w:val="center"/>
                </w:tcPr>
                <w:p w14:paraId="44B6583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拉丁名</w:t>
                  </w:r>
                </w:p>
              </w:tc>
            </w:tr>
            <w:tr w14:paraId="5E6460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42" w:type="pct"/>
                  <w:vAlign w:val="center"/>
                </w:tcPr>
                <w:p w14:paraId="14BA77F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w:t>
                  </w:r>
                </w:p>
              </w:tc>
              <w:tc>
                <w:tcPr>
                  <w:tcW w:w="1218" w:type="pct"/>
                  <w:vAlign w:val="center"/>
                </w:tcPr>
                <w:p w14:paraId="2382C6F3">
                  <w:pPr>
                    <w:rPr>
                      <w:rFonts w:hint="default" w:ascii="Times New Roman" w:hAnsi="Times New Roman" w:eastAsia="宋体" w:cs="Times New Roman"/>
                      <w:color w:val="auto"/>
                    </w:rPr>
                  </w:pPr>
                  <w:r>
                    <w:rPr>
                      <w:rFonts w:hint="default" w:ascii="Times New Roman" w:hAnsi="Times New Roman" w:eastAsia="宋体" w:cs="Times New Roman"/>
                      <w:color w:val="auto"/>
                    </w:rPr>
                    <w:t>泥鳅</w:t>
                  </w:r>
                </w:p>
              </w:tc>
              <w:tc>
                <w:tcPr>
                  <w:tcW w:w="3439" w:type="pct"/>
                  <w:vAlign w:val="center"/>
                </w:tcPr>
                <w:p w14:paraId="439FAA33">
                  <w:pPr>
                    <w:rPr>
                      <w:rFonts w:hint="default" w:ascii="Times New Roman" w:hAnsi="Times New Roman" w:eastAsia="宋体" w:cs="Times New Roman"/>
                      <w:i/>
                      <w:iCs/>
                      <w:color w:val="auto"/>
                    </w:rPr>
                  </w:pPr>
                  <w:r>
                    <w:rPr>
                      <w:rFonts w:hint="default" w:ascii="Times New Roman" w:hAnsi="Times New Roman" w:eastAsia="宋体" w:cs="Times New Roman"/>
                      <w:i/>
                      <w:iCs/>
                      <w:color w:val="auto"/>
                    </w:rPr>
                    <w:t xml:space="preserve">Triplophysa bleekeri </w:t>
                  </w:r>
                </w:p>
              </w:tc>
            </w:tr>
            <w:tr w14:paraId="5F1496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42" w:type="pct"/>
                  <w:vAlign w:val="center"/>
                </w:tcPr>
                <w:p w14:paraId="06F9356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w:t>
                  </w:r>
                </w:p>
              </w:tc>
              <w:tc>
                <w:tcPr>
                  <w:tcW w:w="1218" w:type="pct"/>
                  <w:vAlign w:val="center"/>
                </w:tcPr>
                <w:p w14:paraId="2F579B66">
                  <w:pPr>
                    <w:rPr>
                      <w:rFonts w:hint="default" w:ascii="Times New Roman" w:hAnsi="Times New Roman" w:eastAsia="宋体" w:cs="Times New Roman"/>
                      <w:color w:val="auto"/>
                    </w:rPr>
                  </w:pPr>
                  <w:r>
                    <w:rPr>
                      <w:rFonts w:hint="default" w:ascii="Times New Roman" w:hAnsi="Times New Roman" w:eastAsia="宋体" w:cs="Times New Roman"/>
                      <w:color w:val="auto"/>
                    </w:rPr>
                    <w:t>中华倒刺鲃</w:t>
                  </w:r>
                </w:p>
              </w:tc>
              <w:tc>
                <w:tcPr>
                  <w:tcW w:w="3439" w:type="pct"/>
                  <w:vAlign w:val="center"/>
                </w:tcPr>
                <w:p w14:paraId="6B3D9542">
                  <w:pPr>
                    <w:rPr>
                      <w:rFonts w:hint="default" w:ascii="Times New Roman" w:hAnsi="Times New Roman" w:eastAsia="宋体" w:cs="Times New Roman"/>
                      <w:i/>
                      <w:iCs/>
                      <w:color w:val="auto"/>
                      <w:lang w:val="de-DE"/>
                    </w:rPr>
                  </w:pPr>
                  <w:r>
                    <w:rPr>
                      <w:rFonts w:hint="default" w:ascii="Times New Roman" w:hAnsi="Times New Roman" w:eastAsia="宋体" w:cs="Times New Roman"/>
                      <w:i/>
                      <w:iCs/>
                      <w:color w:val="auto"/>
                      <w:lang w:val="de-DE"/>
                    </w:rPr>
                    <w:t>Spinibarbus sinensis</w:t>
                  </w:r>
                </w:p>
              </w:tc>
            </w:tr>
            <w:tr w14:paraId="6C35B7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42" w:type="pct"/>
                  <w:vAlign w:val="center"/>
                </w:tcPr>
                <w:p w14:paraId="76EFAC6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w:t>
                  </w:r>
                </w:p>
              </w:tc>
              <w:tc>
                <w:tcPr>
                  <w:tcW w:w="1218" w:type="pct"/>
                  <w:vAlign w:val="center"/>
                </w:tcPr>
                <w:p w14:paraId="650C6E6C">
                  <w:pPr>
                    <w:rPr>
                      <w:rFonts w:hint="default" w:ascii="Times New Roman" w:hAnsi="Times New Roman" w:eastAsia="宋体" w:cs="Times New Roman"/>
                      <w:color w:val="auto"/>
                    </w:rPr>
                  </w:pPr>
                  <w:r>
                    <w:rPr>
                      <w:rFonts w:hint="default" w:ascii="Times New Roman" w:hAnsi="Times New Roman" w:eastAsia="宋体" w:cs="Times New Roman"/>
                      <w:color w:val="auto"/>
                    </w:rPr>
                    <w:t>鲶</w:t>
                  </w:r>
                </w:p>
              </w:tc>
              <w:tc>
                <w:tcPr>
                  <w:tcW w:w="3439" w:type="pct"/>
                  <w:vAlign w:val="center"/>
                </w:tcPr>
                <w:p w14:paraId="1EA5DD21">
                  <w:pPr>
                    <w:rPr>
                      <w:rFonts w:hint="default" w:ascii="Times New Roman" w:hAnsi="Times New Roman" w:eastAsia="宋体" w:cs="Times New Roman"/>
                      <w:i/>
                      <w:iCs/>
                      <w:color w:val="auto"/>
                    </w:rPr>
                  </w:pPr>
                  <w:r>
                    <w:rPr>
                      <w:rFonts w:hint="default" w:ascii="Times New Roman" w:hAnsi="Times New Roman" w:eastAsia="宋体" w:cs="Times New Roman"/>
                      <w:i/>
                      <w:iCs/>
                      <w:color w:val="auto"/>
                    </w:rPr>
                    <w:t>Silurus asotus</w:t>
                  </w:r>
                </w:p>
              </w:tc>
            </w:tr>
            <w:tr w14:paraId="79AB12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42" w:type="pct"/>
                  <w:vAlign w:val="center"/>
                </w:tcPr>
                <w:p w14:paraId="0EBAB81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4</w:t>
                  </w:r>
                </w:p>
              </w:tc>
              <w:tc>
                <w:tcPr>
                  <w:tcW w:w="1218" w:type="pct"/>
                  <w:vAlign w:val="center"/>
                </w:tcPr>
                <w:p w14:paraId="5492D9EB">
                  <w:pPr>
                    <w:rPr>
                      <w:rFonts w:hint="default" w:ascii="Times New Roman" w:hAnsi="Times New Roman" w:eastAsia="宋体" w:cs="Times New Roman"/>
                      <w:color w:val="auto"/>
                    </w:rPr>
                  </w:pPr>
                  <w:r>
                    <w:rPr>
                      <w:rFonts w:hint="default" w:ascii="Times New Roman" w:hAnsi="Times New Roman" w:eastAsia="宋体" w:cs="Times New Roman"/>
                      <w:color w:val="auto"/>
                    </w:rPr>
                    <w:t>鳙</w:t>
                  </w:r>
                </w:p>
              </w:tc>
              <w:tc>
                <w:tcPr>
                  <w:tcW w:w="3439" w:type="pct"/>
                  <w:vAlign w:val="center"/>
                </w:tcPr>
                <w:p w14:paraId="74D36299">
                  <w:pPr>
                    <w:rPr>
                      <w:rFonts w:hint="default" w:ascii="Times New Roman" w:hAnsi="Times New Roman" w:eastAsia="宋体" w:cs="Times New Roman"/>
                      <w:i/>
                      <w:iCs/>
                      <w:color w:val="auto"/>
                    </w:rPr>
                  </w:pPr>
                  <w:r>
                    <w:rPr>
                      <w:rFonts w:hint="default" w:ascii="Times New Roman" w:hAnsi="Times New Roman" w:eastAsia="宋体" w:cs="Times New Roman"/>
                      <w:i/>
                      <w:iCs/>
                      <w:color w:val="auto"/>
                    </w:rPr>
                    <w:t xml:space="preserve">Aristichthys nobilis </w:t>
                  </w:r>
                  <w:r>
                    <w:rPr>
                      <w:rFonts w:hint="default" w:ascii="Times New Roman" w:hAnsi="Times New Roman" w:eastAsia="宋体" w:cs="Times New Roman"/>
                      <w:color w:val="auto"/>
                    </w:rPr>
                    <w:t>(Ichardson)</w:t>
                  </w:r>
                </w:p>
              </w:tc>
            </w:tr>
            <w:tr w14:paraId="2A8377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42" w:type="pct"/>
                  <w:vAlign w:val="center"/>
                </w:tcPr>
                <w:p w14:paraId="62F403C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5</w:t>
                  </w:r>
                </w:p>
              </w:tc>
              <w:tc>
                <w:tcPr>
                  <w:tcW w:w="1218" w:type="pct"/>
                  <w:vAlign w:val="center"/>
                </w:tcPr>
                <w:p w14:paraId="43D4C8D6">
                  <w:pPr>
                    <w:rPr>
                      <w:rFonts w:hint="default" w:ascii="Times New Roman" w:hAnsi="Times New Roman" w:eastAsia="宋体" w:cs="Times New Roman"/>
                      <w:color w:val="auto"/>
                    </w:rPr>
                  </w:pPr>
                  <w:r>
                    <w:rPr>
                      <w:rFonts w:hint="default" w:ascii="Times New Roman" w:hAnsi="Times New Roman" w:eastAsia="宋体" w:cs="Times New Roman"/>
                      <w:color w:val="auto"/>
                    </w:rPr>
                    <w:t>鲢</w:t>
                  </w:r>
                </w:p>
              </w:tc>
              <w:tc>
                <w:tcPr>
                  <w:tcW w:w="3439" w:type="pct"/>
                  <w:vAlign w:val="center"/>
                </w:tcPr>
                <w:p w14:paraId="7594D6B9">
                  <w:pPr>
                    <w:rPr>
                      <w:rFonts w:hint="default" w:ascii="Times New Roman" w:hAnsi="Times New Roman" w:eastAsia="宋体" w:cs="Times New Roman"/>
                      <w:i/>
                      <w:iCs/>
                      <w:color w:val="auto"/>
                      <w:lang w:val="fr-FR"/>
                    </w:rPr>
                  </w:pPr>
                  <w:r>
                    <w:rPr>
                      <w:rFonts w:hint="default" w:ascii="Times New Roman" w:hAnsi="Times New Roman" w:eastAsia="宋体" w:cs="Times New Roman"/>
                      <w:i/>
                      <w:iCs/>
                      <w:color w:val="auto"/>
                      <w:lang w:val="fr-FR"/>
                    </w:rPr>
                    <w:t>Hypophthmichthys mobitrix</w:t>
                  </w:r>
                  <w:r>
                    <w:rPr>
                      <w:rFonts w:hint="default" w:ascii="Times New Roman" w:hAnsi="Times New Roman" w:eastAsia="宋体" w:cs="Times New Roman"/>
                      <w:color w:val="auto"/>
                      <w:lang w:val="fr-FR"/>
                    </w:rPr>
                    <w:t xml:space="preserve"> (Cuvier et Valenciennes)</w:t>
                  </w:r>
                </w:p>
              </w:tc>
            </w:tr>
            <w:tr w14:paraId="1023C4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42" w:type="pct"/>
                  <w:vAlign w:val="center"/>
                </w:tcPr>
                <w:p w14:paraId="33D0476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6</w:t>
                  </w:r>
                </w:p>
              </w:tc>
              <w:tc>
                <w:tcPr>
                  <w:tcW w:w="1218" w:type="pct"/>
                  <w:vAlign w:val="center"/>
                </w:tcPr>
                <w:p w14:paraId="1457D001">
                  <w:pPr>
                    <w:rPr>
                      <w:rFonts w:hint="default" w:ascii="Times New Roman" w:hAnsi="Times New Roman" w:eastAsia="宋体" w:cs="Times New Roman"/>
                      <w:color w:val="auto"/>
                    </w:rPr>
                  </w:pPr>
                  <w:r>
                    <w:rPr>
                      <w:rFonts w:hint="default" w:ascii="Times New Roman" w:hAnsi="Times New Roman" w:eastAsia="宋体" w:cs="Times New Roman"/>
                      <w:color w:val="auto"/>
                    </w:rPr>
                    <w:t>鲤</w:t>
                  </w:r>
                </w:p>
              </w:tc>
              <w:tc>
                <w:tcPr>
                  <w:tcW w:w="3439" w:type="pct"/>
                  <w:vAlign w:val="center"/>
                </w:tcPr>
                <w:p w14:paraId="1EDA163A">
                  <w:pPr>
                    <w:rPr>
                      <w:rFonts w:hint="default" w:ascii="Times New Roman" w:hAnsi="Times New Roman" w:eastAsia="宋体" w:cs="Times New Roman"/>
                      <w:i/>
                      <w:iCs/>
                      <w:color w:val="auto"/>
                    </w:rPr>
                  </w:pPr>
                  <w:r>
                    <w:rPr>
                      <w:rFonts w:hint="default" w:ascii="Times New Roman" w:hAnsi="Times New Roman" w:eastAsia="宋体" w:cs="Times New Roman"/>
                      <w:i/>
                      <w:iCs/>
                      <w:color w:val="auto"/>
                    </w:rPr>
                    <w:t>Cyprinus (Cyprinus) carpio</w:t>
                  </w:r>
                  <w:r>
                    <w:rPr>
                      <w:rFonts w:hint="default" w:ascii="Times New Roman" w:hAnsi="Times New Roman" w:eastAsia="宋体" w:cs="Times New Roman"/>
                      <w:color w:val="auto"/>
                    </w:rPr>
                    <w:t xml:space="preserve"> Linnaeus</w:t>
                  </w:r>
                </w:p>
              </w:tc>
            </w:tr>
            <w:tr w14:paraId="6C99CF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42" w:type="pct"/>
                  <w:vAlign w:val="center"/>
                </w:tcPr>
                <w:p w14:paraId="65C1042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7</w:t>
                  </w:r>
                </w:p>
              </w:tc>
              <w:tc>
                <w:tcPr>
                  <w:tcW w:w="1218" w:type="pct"/>
                  <w:vAlign w:val="center"/>
                </w:tcPr>
                <w:p w14:paraId="152DD9F8">
                  <w:pPr>
                    <w:rPr>
                      <w:rFonts w:hint="default" w:ascii="Times New Roman" w:hAnsi="Times New Roman" w:eastAsia="宋体" w:cs="Times New Roman"/>
                      <w:color w:val="auto"/>
                    </w:rPr>
                  </w:pPr>
                  <w:r>
                    <w:rPr>
                      <w:rFonts w:hint="default" w:ascii="Times New Roman" w:hAnsi="Times New Roman" w:eastAsia="宋体" w:cs="Times New Roman"/>
                      <w:color w:val="auto"/>
                    </w:rPr>
                    <w:t>鲫</w:t>
                  </w:r>
                </w:p>
              </w:tc>
              <w:tc>
                <w:tcPr>
                  <w:tcW w:w="3439" w:type="pct"/>
                  <w:vAlign w:val="center"/>
                </w:tcPr>
                <w:p w14:paraId="16C49633">
                  <w:pPr>
                    <w:rPr>
                      <w:rFonts w:hint="default" w:ascii="Times New Roman" w:hAnsi="Times New Roman" w:eastAsia="宋体" w:cs="Times New Roman"/>
                      <w:i/>
                      <w:iCs/>
                      <w:color w:val="auto"/>
                    </w:rPr>
                  </w:pPr>
                  <w:r>
                    <w:rPr>
                      <w:rFonts w:hint="default" w:ascii="Times New Roman" w:hAnsi="Times New Roman" w:eastAsia="宋体" w:cs="Times New Roman"/>
                      <w:i/>
                      <w:iCs/>
                      <w:color w:val="auto"/>
                    </w:rPr>
                    <w:t xml:space="preserve">Carassius auratus </w:t>
                  </w:r>
                  <w:r>
                    <w:rPr>
                      <w:rFonts w:hint="default" w:ascii="Times New Roman" w:hAnsi="Times New Roman" w:eastAsia="宋体" w:cs="Times New Roman"/>
                      <w:color w:val="auto"/>
                    </w:rPr>
                    <w:t>(Linnaeus)</w:t>
                  </w:r>
                </w:p>
              </w:tc>
            </w:tr>
            <w:tr w14:paraId="1508FB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42" w:type="pct"/>
                  <w:vAlign w:val="center"/>
                </w:tcPr>
                <w:p w14:paraId="06212B3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8</w:t>
                  </w:r>
                </w:p>
              </w:tc>
              <w:tc>
                <w:tcPr>
                  <w:tcW w:w="1218" w:type="pct"/>
                  <w:vAlign w:val="center"/>
                </w:tcPr>
                <w:p w14:paraId="53D3B4C9">
                  <w:pPr>
                    <w:rPr>
                      <w:rFonts w:hint="default" w:ascii="Times New Roman" w:hAnsi="Times New Roman" w:eastAsia="宋体" w:cs="Times New Roman"/>
                      <w:color w:val="auto"/>
                    </w:rPr>
                  </w:pPr>
                  <w:r>
                    <w:rPr>
                      <w:rFonts w:hint="default" w:ascii="Times New Roman" w:hAnsi="Times New Roman" w:eastAsia="宋体" w:cs="Times New Roman"/>
                      <w:color w:val="auto"/>
                    </w:rPr>
                    <w:t>黄鳝</w:t>
                  </w:r>
                </w:p>
              </w:tc>
              <w:tc>
                <w:tcPr>
                  <w:tcW w:w="3439" w:type="pct"/>
                  <w:vAlign w:val="center"/>
                </w:tcPr>
                <w:p w14:paraId="685B60F8">
                  <w:pPr>
                    <w:rPr>
                      <w:rFonts w:hint="default" w:ascii="Times New Roman" w:hAnsi="Times New Roman" w:eastAsia="宋体" w:cs="Times New Roman"/>
                      <w:i/>
                      <w:iCs/>
                      <w:color w:val="auto"/>
                    </w:rPr>
                  </w:pPr>
                  <w:r>
                    <w:rPr>
                      <w:rFonts w:hint="default" w:ascii="Times New Roman" w:hAnsi="Times New Roman" w:eastAsia="宋体" w:cs="Times New Roman"/>
                      <w:i/>
                      <w:iCs/>
                      <w:color w:val="auto"/>
                    </w:rPr>
                    <w:t xml:space="preserve">Monopterus albus </w:t>
                  </w:r>
                  <w:r>
                    <w:rPr>
                      <w:rFonts w:hint="default" w:ascii="Times New Roman" w:hAnsi="Times New Roman" w:eastAsia="宋体" w:cs="Times New Roman"/>
                      <w:color w:val="auto"/>
                    </w:rPr>
                    <w:t>(Zuiew)</w:t>
                  </w:r>
                </w:p>
              </w:tc>
            </w:tr>
          </w:tbl>
          <w:p w14:paraId="255646E3">
            <w:pPr>
              <w:spacing w:before="3" w:line="360" w:lineRule="auto"/>
              <w:ind w:left="113" w:right="106" w:firstLine="486"/>
              <w:jc w:val="both"/>
              <w:rPr>
                <w:rFonts w:hint="default" w:ascii="Times New Roman" w:hAnsi="Times New Roman" w:eastAsia="宋体" w:cs="Times New Roman"/>
                <w:color w:val="auto"/>
                <w:sz w:val="24"/>
                <w:szCs w:val="24"/>
              </w:rPr>
            </w:pPr>
          </w:p>
          <w:p w14:paraId="45FF2E62">
            <w:pPr>
              <w:spacing w:before="3" w:line="360" w:lineRule="auto"/>
              <w:ind w:left="113" w:right="106" w:firstLine="486"/>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工程项目区域经核实，项目区域无珍稀野生保护植物。项目区野生脊椎动物种类较少，大型野生动物已不见，现有的种类以农村驯养的家畜、家禽等为主，在偏僻的林区偶尔有野兔、山鸡出现。主要的野生动物类型有鼠类、家燕、八哥、麻雀、乌鸦、喜鹊、野鸡、野兔等，项目附近无珍稀野生保护动物。</w:t>
            </w:r>
          </w:p>
          <w:p w14:paraId="21D803E9">
            <w:pPr>
              <w:spacing w:before="3" w:line="360" w:lineRule="auto"/>
              <w:ind w:left="113" w:right="106" w:firstLine="486"/>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所在区域的水生生态系统主要为毗河，河道内以常见的水生动物为主，不涉及珍惜鱼类，不涉及鱼类“产卵场、索饵场、越冬场”。由于两栖动物生存环境和湿度、温度明显相关，故两栖动物种类较少。工程所在区域不存在珍稀、特有鱼类和保护鱼类。</w:t>
            </w:r>
          </w:p>
          <w:p w14:paraId="73AD8E8E">
            <w:pPr>
              <w:spacing w:before="41" w:line="360" w:lineRule="auto"/>
              <w:ind w:firstLine="687" w:firstLineChars="30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pacing w:val="-6"/>
                <w:sz w:val="24"/>
                <w:szCs w:val="24"/>
              </w:rPr>
              <w:t>（4）环境空气质量现状</w:t>
            </w:r>
          </w:p>
          <w:p w14:paraId="313B28DD">
            <w:pPr>
              <w:spacing w:before="3" w:line="360" w:lineRule="auto"/>
              <w:ind w:left="113" w:right="106" w:firstLine="486"/>
              <w:jc w:val="both"/>
              <w:rPr>
                <w:rFonts w:hint="default" w:ascii="Times New Roman" w:hAnsi="Times New Roman" w:eastAsia="宋体" w:cs="Times New Roman"/>
                <w:b/>
                <w:bCs/>
                <w:color w:val="auto"/>
                <w:spacing w:val="-6"/>
                <w:sz w:val="24"/>
                <w:szCs w:val="24"/>
              </w:rPr>
            </w:pPr>
            <w:r>
              <w:rPr>
                <w:rFonts w:hint="default" w:ascii="Times New Roman" w:hAnsi="Times New Roman" w:eastAsia="宋体" w:cs="Times New Roman"/>
                <w:color w:val="auto"/>
                <w:sz w:val="24"/>
                <w:szCs w:val="24"/>
              </w:rPr>
              <w:t>根据《建设项目环境影响报告表编制技术指南(生态影响类）（试行）》，本项目环境空气质量数据引用与项目距离近的有效数据和调查资料，包括符合时限要求的规划环境影响评价监测数据和调查资料，国家、地方环境质量监测网数据或生态环境主管部门公开发布的生态环境质量数据等”的要求。本次环境空气环境质量引用资阳市生态环境局发布的《</w:t>
            </w:r>
            <w:r>
              <w:rPr>
                <w:rFonts w:hint="default" w:ascii="Times New Roman" w:hAnsi="Times New Roman" w:eastAsia="宋体" w:cs="Times New Roman"/>
                <w:color w:val="auto"/>
                <w:sz w:val="24"/>
                <w:szCs w:val="24"/>
                <w:lang w:eastAsia="zh-CN"/>
              </w:rPr>
              <w:t>2023年资阳市生态环境状况公报</w:t>
            </w:r>
            <w:r>
              <w:rPr>
                <w:rFonts w:hint="default" w:ascii="Times New Roman" w:hAnsi="Times New Roman" w:eastAsia="宋体" w:cs="Times New Roman"/>
                <w:color w:val="auto"/>
                <w:sz w:val="24"/>
                <w:szCs w:val="24"/>
              </w:rPr>
              <w:t>》。</w:t>
            </w:r>
          </w:p>
          <w:p w14:paraId="2657DB1F">
            <w:pPr>
              <w:spacing w:before="3" w:line="360" w:lineRule="auto"/>
              <w:ind w:left="113" w:right="106" w:firstLine="486"/>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环境空气质量达标区判定</w:t>
            </w:r>
          </w:p>
          <w:p w14:paraId="176A08C9">
            <w:pPr>
              <w:spacing w:before="3" w:line="360" w:lineRule="auto"/>
              <w:ind w:left="113" w:right="106" w:firstLine="486"/>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1）基本污染物环境质量现状数据来源</w:t>
            </w:r>
          </w:p>
          <w:p w14:paraId="5CA42AEC">
            <w:pPr>
              <w:spacing w:before="3" w:line="360" w:lineRule="auto"/>
              <w:ind w:left="113" w:right="106" w:firstLine="486"/>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项目所在地行政区划属于资阳市，因此根据《环境影响评价技术导则大气环境》（HJ2.2-2018）要求，引用资阳市生态环境局发布的《</w:t>
            </w:r>
            <w:r>
              <w:rPr>
                <w:rFonts w:hint="default" w:ascii="Times New Roman" w:hAnsi="Times New Roman" w:eastAsia="宋体" w:cs="Times New Roman"/>
                <w:color w:val="auto"/>
                <w:sz w:val="24"/>
                <w:szCs w:val="24"/>
                <w:lang w:eastAsia="zh-CN"/>
              </w:rPr>
              <w:t>2023年资阳市生态环境状况公报</w:t>
            </w:r>
            <w:r>
              <w:rPr>
                <w:rFonts w:hint="default" w:ascii="Times New Roman" w:hAnsi="Times New Roman" w:eastAsia="宋体" w:cs="Times New Roman"/>
                <w:color w:val="auto"/>
                <w:sz w:val="24"/>
                <w:szCs w:val="24"/>
              </w:rPr>
              <w:t>》，作为区域环境空气质量达标判断依据。</w:t>
            </w:r>
          </w:p>
          <w:p w14:paraId="2368DF75">
            <w:pPr>
              <w:spacing w:before="3" w:line="360" w:lineRule="auto"/>
              <w:ind w:left="113" w:right="106" w:firstLine="486"/>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2）区域质量达标判断</w:t>
            </w:r>
          </w:p>
          <w:p w14:paraId="6F3D216B">
            <w:pPr>
              <w:spacing w:before="3" w:line="360" w:lineRule="auto"/>
              <w:ind w:left="113" w:right="106" w:firstLine="486"/>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环境空气质量引用“</w:t>
            </w:r>
            <w:r>
              <w:rPr>
                <w:rFonts w:hint="default" w:ascii="Times New Roman" w:hAnsi="Times New Roman" w:eastAsia="宋体" w:cs="Times New Roman"/>
                <w:color w:val="auto"/>
                <w:sz w:val="24"/>
                <w:szCs w:val="24"/>
                <w:lang w:eastAsia="zh-CN"/>
              </w:rPr>
              <w:t>2023年资阳市生态环境状况公报</w:t>
            </w:r>
            <w:r>
              <w:rPr>
                <w:rFonts w:hint="default" w:ascii="Times New Roman" w:hAnsi="Times New Roman" w:eastAsia="宋体" w:cs="Times New Roman"/>
                <w:color w:val="auto"/>
                <w:sz w:val="24"/>
                <w:szCs w:val="24"/>
              </w:rPr>
              <w:t>”的监测数据进行评价，2023年，资阳市空气质量优良天数295天，同比减少19 天；优良天数比例为80.8%,同比下降5.2个百分点。其中，全年空气质量优91天，良204天，轻度污染61 天，中度污染7天，重度污染2天。2023年，3 个县（区）空气质量优良天数范围为295 天(雁江区)～323天(乐至县),优良天数比例范围为 80.8%(雁江区)～88.5%(乐至县)。</w:t>
            </w:r>
          </w:p>
          <w:p w14:paraId="1BE3DA9F">
            <w:pPr>
              <w:spacing w:before="3" w:line="360" w:lineRule="auto"/>
              <w:ind w:left="113" w:right="106" w:firstLine="486"/>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2023年，3 个县（区）首次实现六项污染物浓度全面达标。达标县（区）增加 1 个（安岳县）。</w:t>
            </w:r>
          </w:p>
          <w:p w14:paraId="308A68B6">
            <w:pPr>
              <w:spacing w:before="3" w:line="360" w:lineRule="auto"/>
              <w:ind w:left="113" w:right="106" w:firstLine="486"/>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从2023 年资阳市主要污染物浓度分布来看，SO</w:t>
            </w:r>
            <w:r>
              <w:rPr>
                <w:rFonts w:hint="default" w:ascii="Times New Roman" w:hAnsi="Times New Roman" w:eastAsia="宋体" w:cs="Times New Roman"/>
                <w:color w:val="auto"/>
                <w:sz w:val="24"/>
                <w:szCs w:val="24"/>
                <w:vertAlign w:val="subscript"/>
              </w:rPr>
              <w:t>2</w:t>
            </w:r>
            <w:r>
              <w:rPr>
                <w:rFonts w:hint="default" w:ascii="Times New Roman" w:hAnsi="Times New Roman" w:eastAsia="宋体" w:cs="Times New Roman"/>
                <w:color w:val="auto"/>
                <w:sz w:val="24"/>
                <w:szCs w:val="24"/>
              </w:rPr>
              <w:t>浓度整体较低，东部个别点位浓度相对较高； NO</w:t>
            </w:r>
            <w:r>
              <w:rPr>
                <w:rFonts w:hint="default" w:ascii="Times New Roman" w:hAnsi="Times New Roman" w:eastAsia="宋体" w:cs="Times New Roman"/>
                <w:color w:val="auto"/>
                <w:sz w:val="24"/>
                <w:szCs w:val="24"/>
                <w:vertAlign w:val="subscript"/>
              </w:rPr>
              <w:t>2</w:t>
            </w:r>
            <w:r>
              <w:rPr>
                <w:rFonts w:hint="default" w:ascii="Times New Roman" w:hAnsi="Times New Roman" w:eastAsia="宋体" w:cs="Times New Roman"/>
                <w:color w:val="auto"/>
                <w:sz w:val="24"/>
                <w:szCs w:val="24"/>
              </w:rPr>
              <w:t xml:space="preserve"> 浓度整体较低，相对高值区域主要分布在雁江区西部；PM</w:t>
            </w:r>
            <w:r>
              <w:rPr>
                <w:rFonts w:hint="default" w:ascii="Times New Roman" w:hAnsi="Times New Roman" w:eastAsia="宋体" w:cs="Times New Roman"/>
                <w:color w:val="auto"/>
                <w:sz w:val="24"/>
                <w:szCs w:val="24"/>
                <w:vertAlign w:val="subscript"/>
              </w:rPr>
              <w:t>10</w:t>
            </w:r>
            <w:r>
              <w:rPr>
                <w:rFonts w:hint="default" w:ascii="Times New Roman" w:hAnsi="Times New Roman" w:eastAsia="宋体" w:cs="Times New Roman"/>
                <w:color w:val="auto"/>
                <w:sz w:val="24"/>
                <w:szCs w:val="24"/>
              </w:rPr>
              <w:t xml:space="preserve"> 分布特征为北部浓度相对较高，西部及东部浓度较低；PM</w:t>
            </w:r>
            <w:r>
              <w:rPr>
                <w:rFonts w:hint="default" w:ascii="Times New Roman" w:hAnsi="Times New Roman" w:eastAsia="宋体" w:cs="Times New Roman"/>
                <w:color w:val="auto"/>
                <w:sz w:val="24"/>
                <w:szCs w:val="24"/>
                <w:vertAlign w:val="subscript"/>
              </w:rPr>
              <w:t>2.5</w:t>
            </w:r>
            <w:r>
              <w:rPr>
                <w:rFonts w:hint="default" w:ascii="Times New Roman" w:hAnsi="Times New Roman" w:eastAsia="宋体" w:cs="Times New Roman"/>
                <w:color w:val="auto"/>
                <w:sz w:val="24"/>
                <w:szCs w:val="24"/>
              </w:rPr>
              <w:t xml:space="preserve"> 分布特征为主城区及安岳县中部浓度相对较高；O</w:t>
            </w:r>
            <w:r>
              <w:rPr>
                <w:rFonts w:hint="default" w:ascii="Times New Roman" w:hAnsi="Times New Roman" w:eastAsia="宋体" w:cs="Times New Roman"/>
                <w:color w:val="auto"/>
                <w:sz w:val="24"/>
                <w:szCs w:val="24"/>
                <w:vertAlign w:val="subscript"/>
              </w:rPr>
              <w:t>3</w:t>
            </w:r>
            <w:r>
              <w:rPr>
                <w:rFonts w:hint="default" w:ascii="Times New Roman" w:hAnsi="Times New Roman" w:eastAsia="宋体" w:cs="Times New Roman"/>
                <w:color w:val="auto"/>
                <w:sz w:val="24"/>
                <w:szCs w:val="24"/>
              </w:rPr>
              <w:t>高值区主要分布在主城区，北部和东部浓度相对较低；CO 浓度整体较低，相对高值区主要分布在乐至县中部。</w:t>
            </w:r>
          </w:p>
          <w:p w14:paraId="68AE7EE4">
            <w:pPr>
              <w:spacing w:before="3" w:line="360" w:lineRule="auto"/>
              <w:ind w:left="113" w:right="106" w:firstLine="486"/>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本项目为国家储备林建设及森林质量项目，运营期无废气产生，不会对现有空气质量产生影响。</w:t>
            </w:r>
          </w:p>
          <w:p w14:paraId="10A120F0">
            <w:pPr>
              <w:spacing w:before="41" w:line="360" w:lineRule="auto"/>
              <w:ind w:firstLine="687" w:firstLineChars="300"/>
              <w:rPr>
                <w:rFonts w:hint="default" w:ascii="Times New Roman" w:hAnsi="Times New Roman" w:eastAsia="宋体" w:cs="Times New Roman"/>
                <w:b/>
                <w:bCs/>
                <w:color w:val="auto"/>
                <w:spacing w:val="-6"/>
                <w:sz w:val="24"/>
                <w:szCs w:val="24"/>
              </w:rPr>
            </w:pPr>
            <w:r>
              <w:rPr>
                <w:rFonts w:hint="default" w:ascii="Times New Roman" w:hAnsi="Times New Roman" w:eastAsia="宋体" w:cs="Times New Roman"/>
                <w:b/>
                <w:bCs/>
                <w:color w:val="auto"/>
                <w:spacing w:val="-6"/>
                <w:sz w:val="24"/>
                <w:szCs w:val="24"/>
              </w:rPr>
              <w:t>（5）地表水环境质量现状</w:t>
            </w:r>
          </w:p>
          <w:p w14:paraId="5A7B3F41">
            <w:pPr>
              <w:spacing w:before="41" w:line="360" w:lineRule="auto"/>
              <w:ind w:firstLine="684" w:firstLineChars="300"/>
              <w:rPr>
                <w:rFonts w:hint="default" w:ascii="Times New Roman" w:hAnsi="Times New Roman" w:eastAsia="宋体" w:cs="Times New Roman"/>
                <w:color w:val="auto"/>
                <w:spacing w:val="-6"/>
                <w:sz w:val="24"/>
                <w:szCs w:val="24"/>
              </w:rPr>
            </w:pPr>
            <w:r>
              <w:rPr>
                <w:rFonts w:hint="default" w:ascii="Times New Roman" w:hAnsi="Times New Roman" w:eastAsia="宋体" w:cs="Times New Roman"/>
                <w:color w:val="auto"/>
                <w:spacing w:val="-6"/>
                <w:sz w:val="24"/>
                <w:szCs w:val="24"/>
              </w:rPr>
              <w:t>根据《环境影响评价技术导则地表水环境》（HJ2.3-2018）分析可知，应优先采用国务院生态环境保护主管部门统一发布的水环境状况信息。</w:t>
            </w:r>
          </w:p>
          <w:p w14:paraId="31969B11">
            <w:pPr>
              <w:spacing w:before="3" w:line="360" w:lineRule="auto"/>
              <w:ind w:left="113" w:right="106" w:firstLine="486"/>
              <w:jc w:val="both"/>
              <w:rPr>
                <w:rFonts w:hint="default" w:ascii="Times New Roman" w:hAnsi="Times New Roman" w:eastAsia="宋体" w:cs="Times New Roman"/>
                <w:color w:val="auto"/>
                <w:spacing w:val="-6"/>
                <w:sz w:val="24"/>
                <w:szCs w:val="24"/>
              </w:rPr>
            </w:pPr>
            <w:r>
              <w:rPr>
                <w:rFonts w:hint="default" w:ascii="Times New Roman" w:hAnsi="Times New Roman" w:eastAsia="宋体" w:cs="Times New Roman"/>
                <w:color w:val="auto"/>
                <w:spacing w:val="-6"/>
                <w:sz w:val="24"/>
                <w:szCs w:val="24"/>
              </w:rPr>
              <w:t>为了解地表水环境质量现状，本次环评以《</w:t>
            </w:r>
            <w:r>
              <w:rPr>
                <w:rFonts w:hint="default" w:ascii="Times New Roman" w:hAnsi="Times New Roman" w:eastAsia="宋体" w:cs="Times New Roman"/>
                <w:color w:val="auto"/>
                <w:spacing w:val="-6"/>
                <w:sz w:val="24"/>
                <w:szCs w:val="24"/>
                <w:lang w:eastAsia="zh-CN"/>
              </w:rPr>
              <w:t>2023年资阳市生态环境状况公报</w:t>
            </w:r>
            <w:r>
              <w:rPr>
                <w:rFonts w:hint="default" w:ascii="Times New Roman" w:hAnsi="Times New Roman" w:eastAsia="宋体" w:cs="Times New Roman"/>
                <w:color w:val="auto"/>
                <w:spacing w:val="-6"/>
                <w:sz w:val="24"/>
                <w:szCs w:val="24"/>
              </w:rPr>
              <w:t>》为评价依据。</w:t>
            </w:r>
          </w:p>
          <w:p w14:paraId="1EE74185">
            <w:pPr>
              <w:spacing w:before="41" w:line="360" w:lineRule="auto"/>
              <w:ind w:firstLine="720" w:firstLineChars="300"/>
              <w:rPr>
                <w:rFonts w:hint="default" w:ascii="Times New Roman" w:hAnsi="Times New Roman" w:eastAsia="宋体" w:cs="Times New Roman"/>
                <w:color w:val="auto"/>
                <w:spacing w:val="-6"/>
                <w:sz w:val="24"/>
                <w:szCs w:val="24"/>
              </w:rPr>
            </w:pPr>
            <w:r>
              <w:rPr>
                <w:rFonts w:hint="default" w:ascii="Times New Roman" w:hAnsi="Times New Roman" w:eastAsia="宋体" w:cs="Times New Roman"/>
                <w:color w:val="auto"/>
                <w:sz w:val="24"/>
              </w:rPr>
              <w:t>（1）</w:t>
            </w:r>
            <w:r>
              <w:rPr>
                <w:rFonts w:hint="default" w:ascii="Times New Roman" w:hAnsi="Times New Roman" w:eastAsia="宋体" w:cs="Times New Roman"/>
                <w:color w:val="auto"/>
                <w:spacing w:val="-6"/>
                <w:sz w:val="24"/>
                <w:szCs w:val="24"/>
              </w:rPr>
              <w:t>《</w:t>
            </w:r>
            <w:r>
              <w:rPr>
                <w:rFonts w:hint="default" w:ascii="Times New Roman" w:hAnsi="Times New Roman" w:eastAsia="宋体" w:cs="Times New Roman"/>
                <w:color w:val="auto"/>
                <w:spacing w:val="-6"/>
                <w:sz w:val="24"/>
                <w:szCs w:val="24"/>
                <w:lang w:eastAsia="zh-CN"/>
              </w:rPr>
              <w:t>2023年资阳市生态环境状况公报</w:t>
            </w:r>
            <w:r>
              <w:rPr>
                <w:rFonts w:hint="default" w:ascii="Times New Roman" w:hAnsi="Times New Roman" w:eastAsia="宋体" w:cs="Times New Roman"/>
                <w:color w:val="auto"/>
                <w:spacing w:val="-6"/>
                <w:sz w:val="24"/>
                <w:szCs w:val="24"/>
              </w:rPr>
              <w:t>》</w:t>
            </w:r>
            <w:r>
              <w:rPr>
                <w:rFonts w:hint="default" w:ascii="Times New Roman" w:hAnsi="Times New Roman" w:eastAsia="宋体" w:cs="Times New Roman"/>
                <w:color w:val="auto"/>
                <w:sz w:val="24"/>
              </w:rPr>
              <w:t>中地表水环境现状</w:t>
            </w:r>
          </w:p>
          <w:p w14:paraId="653E728C">
            <w:pPr>
              <w:spacing w:before="3" w:line="360" w:lineRule="auto"/>
              <w:ind w:left="113" w:right="106" w:firstLine="486"/>
              <w:jc w:val="both"/>
              <w:rPr>
                <w:rFonts w:hint="default" w:ascii="Times New Roman" w:hAnsi="Times New Roman" w:eastAsia="宋体" w:cs="Times New Roman"/>
                <w:color w:val="auto"/>
                <w:sz w:val="24"/>
              </w:rPr>
            </w:pPr>
            <w:r>
              <w:rPr>
                <w:rFonts w:hint="default" w:ascii="Times New Roman" w:hAnsi="Times New Roman" w:eastAsia="宋体" w:cs="Times New Roman"/>
                <w:color w:val="auto"/>
                <w:spacing w:val="-6"/>
                <w:sz w:val="24"/>
                <w:szCs w:val="24"/>
              </w:rPr>
              <w:t>根据资阳市生态环境局发布的《</w:t>
            </w:r>
            <w:r>
              <w:rPr>
                <w:rFonts w:hint="default" w:ascii="Times New Roman" w:hAnsi="Times New Roman" w:eastAsia="宋体" w:cs="Times New Roman"/>
                <w:color w:val="auto"/>
                <w:spacing w:val="-6"/>
                <w:sz w:val="24"/>
                <w:szCs w:val="24"/>
                <w:lang w:eastAsia="zh-CN"/>
              </w:rPr>
              <w:t>2023年资阳市生态环境状况公报</w:t>
            </w:r>
            <w:r>
              <w:rPr>
                <w:rFonts w:hint="default" w:ascii="Times New Roman" w:hAnsi="Times New Roman" w:eastAsia="宋体" w:cs="Times New Roman"/>
                <w:color w:val="auto"/>
                <w:spacing w:val="-6"/>
                <w:sz w:val="24"/>
                <w:szCs w:val="24"/>
              </w:rPr>
              <w:t>》</w:t>
            </w:r>
            <w:r>
              <w:rPr>
                <w:rFonts w:hint="default" w:ascii="Times New Roman" w:hAnsi="Times New Roman" w:eastAsia="宋体" w:cs="Times New Roman"/>
                <w:color w:val="auto"/>
                <w:sz w:val="24"/>
              </w:rPr>
              <w:t>中地表水环境现状结论如下：</w:t>
            </w:r>
          </w:p>
          <w:p w14:paraId="39373E85">
            <w:pPr>
              <w:spacing w:before="3" w:line="360" w:lineRule="auto"/>
              <w:ind w:left="113" w:right="106" w:firstLine="486"/>
              <w:jc w:val="both"/>
              <w:rPr>
                <w:rFonts w:hint="default" w:ascii="Times New Roman" w:hAnsi="Times New Roman" w:eastAsia="宋体" w:cs="Times New Roman"/>
                <w:color w:val="auto"/>
                <w:spacing w:val="-6"/>
                <w:sz w:val="24"/>
                <w:szCs w:val="24"/>
              </w:rPr>
            </w:pPr>
            <w:r>
              <w:rPr>
                <w:rFonts w:hint="default" w:ascii="Times New Roman" w:hAnsi="Times New Roman" w:eastAsia="宋体" w:cs="Times New Roman"/>
                <w:color w:val="auto"/>
                <w:spacing w:val="-6"/>
                <w:sz w:val="24"/>
                <w:szCs w:val="24"/>
              </w:rPr>
              <w:t>2023年，资阳市地表水水质总体呈优，沱江、嘉陵江水系资阳段17 个国、省控地表水监测断面水质优良率100%。其中，I～Ⅲ 类水质断面17 个，无Ⅳ类、V 类、劣V类水质断面。</w:t>
            </w:r>
          </w:p>
          <w:p w14:paraId="040D3CEF">
            <w:pPr>
              <w:spacing w:before="41" w:line="360" w:lineRule="auto"/>
              <w:ind w:firstLine="684" w:firstLineChars="300"/>
              <w:rPr>
                <w:rFonts w:hint="default" w:ascii="Times New Roman" w:hAnsi="Times New Roman" w:eastAsia="宋体" w:cs="Times New Roman"/>
                <w:color w:val="auto"/>
                <w:spacing w:val="-6"/>
                <w:sz w:val="24"/>
                <w:szCs w:val="24"/>
              </w:rPr>
            </w:pPr>
            <w:r>
              <w:rPr>
                <w:rFonts w:hint="default" w:ascii="Times New Roman" w:hAnsi="Times New Roman" w:eastAsia="宋体" w:cs="Times New Roman"/>
                <w:color w:val="auto"/>
                <w:spacing w:val="-6"/>
                <w:sz w:val="24"/>
                <w:szCs w:val="24"/>
              </w:rPr>
              <w:t>沱江水系水质总体呈优。监测的 14 个断面中，Ⅰ～Ⅲ类水质断面占 100%,同比不变。</w:t>
            </w:r>
          </w:p>
          <w:p w14:paraId="2EFCBEBA">
            <w:pPr>
              <w:spacing w:before="41" w:line="360" w:lineRule="auto"/>
              <w:ind w:firstLine="684" w:firstLineChars="300"/>
              <w:rPr>
                <w:rFonts w:hint="default" w:ascii="Times New Roman" w:hAnsi="Times New Roman" w:eastAsia="宋体" w:cs="Times New Roman"/>
                <w:color w:val="auto"/>
                <w:spacing w:val="-6"/>
                <w:sz w:val="24"/>
                <w:szCs w:val="24"/>
              </w:rPr>
            </w:pPr>
            <w:r>
              <w:rPr>
                <w:rFonts w:hint="default" w:ascii="Times New Roman" w:hAnsi="Times New Roman" w:eastAsia="宋体" w:cs="Times New Roman"/>
                <w:color w:val="auto"/>
                <w:spacing w:val="-6"/>
                <w:sz w:val="24"/>
                <w:szCs w:val="24"/>
              </w:rPr>
              <w:t>嘉陵江水系水质总体呈优。监测的 3 个断面中，Ⅰ～Ⅲ类水质断面占 100%,同比不变。</w:t>
            </w:r>
          </w:p>
          <w:p w14:paraId="68C20027">
            <w:pPr>
              <w:spacing w:before="41" w:line="360" w:lineRule="auto"/>
              <w:ind w:firstLine="684" w:firstLineChars="300"/>
              <w:rPr>
                <w:rFonts w:hint="default" w:ascii="Times New Roman" w:hAnsi="Times New Roman" w:eastAsia="宋体" w:cs="Times New Roman"/>
                <w:color w:val="auto"/>
                <w:spacing w:val="-6"/>
                <w:sz w:val="24"/>
                <w:szCs w:val="24"/>
              </w:rPr>
            </w:pPr>
            <w:r>
              <w:rPr>
                <w:rFonts w:hint="default" w:ascii="Times New Roman" w:hAnsi="Times New Roman" w:eastAsia="宋体" w:cs="Times New Roman"/>
                <w:color w:val="auto"/>
                <w:spacing w:val="-6"/>
                <w:sz w:val="24"/>
                <w:szCs w:val="24"/>
              </w:rPr>
              <w:t>本项目为国家储备林建设及森林质量项目。运营期生活污水依托附近村民房屋自家旱厕处理后用作农肥不外排，施工期废水主要为车辆冲洗废水、生活污水。车辆冲洗废水经沉淀池沉淀后，用于控尘洒水重复利用，不外排；施工期生活污水依托附近村民房屋自家旱厕处理后用作农肥不外排。项目拟采取的废水污染防治措施可行，确保不会影响地表水环境质量。</w:t>
            </w:r>
          </w:p>
          <w:p w14:paraId="0FDCA05A">
            <w:pPr>
              <w:spacing w:before="41" w:line="360" w:lineRule="auto"/>
              <w:ind w:firstLine="687" w:firstLineChars="300"/>
              <w:rPr>
                <w:rFonts w:hint="default" w:ascii="Times New Roman" w:hAnsi="Times New Roman" w:eastAsia="宋体" w:cs="Times New Roman"/>
                <w:b/>
                <w:bCs/>
                <w:color w:val="auto"/>
                <w:spacing w:val="-6"/>
                <w:sz w:val="24"/>
                <w:szCs w:val="24"/>
              </w:rPr>
            </w:pPr>
            <w:r>
              <w:rPr>
                <w:rFonts w:hint="default" w:ascii="Times New Roman" w:hAnsi="Times New Roman" w:eastAsia="宋体" w:cs="Times New Roman"/>
                <w:b/>
                <w:bCs/>
                <w:color w:val="auto"/>
                <w:spacing w:val="-6"/>
                <w:sz w:val="24"/>
                <w:szCs w:val="24"/>
              </w:rPr>
              <w:t>（6）声环境质量现状</w:t>
            </w:r>
          </w:p>
          <w:p w14:paraId="7A968679">
            <w:pPr>
              <w:spacing w:before="3" w:line="360" w:lineRule="auto"/>
              <w:ind w:left="113" w:right="106" w:firstLine="486"/>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建设项目环境影响报告表编制技术指南（生态影响类）（试行）》固定声源环境质量现状监测参照《建设项目环境影响报告表编制技术指南（污染影响类）》（试行）相关规定开展补充监测。《建设项目环境影响报告表编制技术指南（污染影响类）（试行）》中噪声调查的原则：“厂界外周边50米范围内存在声环境保护目标的建设项目，应监测保护目标声环境质量现状并评价达标情况。各点位应监测昼夜间噪声，监测时间不少于1天，项目夜间不生产则仅监测昼间噪声”。</w:t>
            </w:r>
          </w:p>
          <w:p w14:paraId="6CA1ACA8">
            <w:pPr>
              <w:spacing w:before="3" w:line="360" w:lineRule="auto"/>
              <w:ind w:left="113" w:right="106" w:firstLine="486"/>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本次评价委托四川良测检测有限公司于2023年11月11日~12日对项目所在地噪声进行了现场监测。监测情况如下：</w:t>
            </w:r>
          </w:p>
          <w:p w14:paraId="4AA3BC8D">
            <w:pPr>
              <w:spacing w:before="3" w:line="360" w:lineRule="auto"/>
              <w:ind w:left="113" w:right="106" w:firstLine="486"/>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1）监测内容</w:t>
            </w:r>
          </w:p>
          <w:p w14:paraId="563A8D8E">
            <w:pPr>
              <w:spacing w:before="3" w:line="360" w:lineRule="auto"/>
              <w:ind w:left="113" w:right="106" w:firstLine="486"/>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项目监测内容见下表：</w:t>
            </w:r>
          </w:p>
          <w:p w14:paraId="7A61ECD8">
            <w:pPr>
              <w:spacing w:line="360" w:lineRule="auto"/>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表3</w:t>
            </w:r>
            <w:r>
              <w:rPr>
                <w:rFonts w:hint="default" w:ascii="Times New Roman" w:hAnsi="Times New Roman" w:eastAsia="宋体" w:cs="Times New Roman"/>
                <w:color w:val="auto"/>
              </w:rPr>
              <w:t>-</w:t>
            </w:r>
            <w:r>
              <w:rPr>
                <w:rFonts w:hint="default" w:ascii="Times New Roman" w:hAnsi="Times New Roman" w:eastAsia="宋体" w:cs="Times New Roman"/>
                <w:b/>
                <w:bCs/>
                <w:color w:val="auto"/>
              </w:rPr>
              <w:t>1</w:t>
            </w:r>
            <w:r>
              <w:rPr>
                <w:rFonts w:hint="default" w:ascii="Times New Roman" w:hAnsi="Times New Roman" w:eastAsia="宋体" w:cs="Times New Roman"/>
                <w:b/>
                <w:bCs/>
                <w:color w:val="auto"/>
                <w:lang w:val="en-US" w:eastAsia="zh-CN"/>
              </w:rPr>
              <w:t>0</w:t>
            </w:r>
            <w:r>
              <w:rPr>
                <w:rFonts w:hint="default" w:ascii="Times New Roman" w:hAnsi="Times New Roman" w:eastAsia="宋体" w:cs="Times New Roman"/>
                <w:b/>
                <w:bCs/>
                <w:color w:val="auto"/>
              </w:rPr>
              <w:t xml:space="preserve">  检测内容</w:t>
            </w:r>
          </w:p>
          <w:tbl>
            <w:tblPr>
              <w:tblStyle w:val="32"/>
              <w:tblW w:w="4998" w:type="pct"/>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autofit"/>
              <w:tblCellMar>
                <w:top w:w="0" w:type="dxa"/>
                <w:left w:w="0" w:type="dxa"/>
                <w:bottom w:w="0" w:type="dxa"/>
                <w:right w:w="0" w:type="dxa"/>
              </w:tblCellMar>
            </w:tblPr>
            <w:tblGrid>
              <w:gridCol w:w="703"/>
              <w:gridCol w:w="3500"/>
              <w:gridCol w:w="1228"/>
              <w:gridCol w:w="1626"/>
              <w:gridCol w:w="871"/>
              <w:gridCol w:w="1083"/>
            </w:tblGrid>
            <w:tr w14:paraId="460D7BD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08" w:hRule="atLeast"/>
                <w:jc w:val="center"/>
              </w:trPr>
              <w:tc>
                <w:tcPr>
                  <w:tcW w:w="390" w:type="pct"/>
                  <w:vMerge w:val="restart"/>
                  <w:tcBorders>
                    <w:tl2br w:val="nil"/>
                    <w:tr2bl w:val="nil"/>
                  </w:tcBorders>
                  <w:vAlign w:val="center"/>
                </w:tcPr>
                <w:p w14:paraId="72A488C1">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类别</w:t>
                  </w:r>
                </w:p>
              </w:tc>
              <w:tc>
                <w:tcPr>
                  <w:tcW w:w="1941" w:type="pct"/>
                  <w:vMerge w:val="restart"/>
                  <w:tcBorders>
                    <w:tl2br w:val="nil"/>
                    <w:tr2bl w:val="nil"/>
                  </w:tcBorders>
                  <w:vAlign w:val="center"/>
                </w:tcPr>
                <w:p w14:paraId="06BA70B5">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检测点位</w:t>
                  </w:r>
                </w:p>
              </w:tc>
              <w:tc>
                <w:tcPr>
                  <w:tcW w:w="681" w:type="pct"/>
                  <w:vMerge w:val="restart"/>
                  <w:tcBorders>
                    <w:tl2br w:val="nil"/>
                    <w:tr2bl w:val="nil"/>
                  </w:tcBorders>
                  <w:vAlign w:val="center"/>
                </w:tcPr>
                <w:p w14:paraId="578D6A9E">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点位数</w:t>
                  </w:r>
                </w:p>
              </w:tc>
              <w:tc>
                <w:tcPr>
                  <w:tcW w:w="902" w:type="pct"/>
                  <w:vMerge w:val="restart"/>
                  <w:tcBorders>
                    <w:tl2br w:val="nil"/>
                    <w:tr2bl w:val="nil"/>
                  </w:tcBorders>
                  <w:vAlign w:val="center"/>
                </w:tcPr>
                <w:p w14:paraId="4388F275">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检测项目</w:t>
                  </w:r>
                </w:p>
              </w:tc>
              <w:tc>
                <w:tcPr>
                  <w:tcW w:w="1083" w:type="pct"/>
                  <w:gridSpan w:val="2"/>
                  <w:tcBorders>
                    <w:tl2br w:val="nil"/>
                    <w:tr2bl w:val="nil"/>
                  </w:tcBorders>
                  <w:vAlign w:val="center"/>
                </w:tcPr>
                <w:p w14:paraId="5FFC9212">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检测频次</w:t>
                  </w:r>
                </w:p>
              </w:tc>
            </w:tr>
            <w:tr w14:paraId="16A2B32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08" w:hRule="atLeast"/>
                <w:jc w:val="center"/>
              </w:trPr>
              <w:tc>
                <w:tcPr>
                  <w:tcW w:w="390" w:type="pct"/>
                  <w:vMerge w:val="continue"/>
                  <w:tcBorders>
                    <w:tl2br w:val="nil"/>
                    <w:tr2bl w:val="nil"/>
                  </w:tcBorders>
                  <w:vAlign w:val="center"/>
                </w:tcPr>
                <w:p w14:paraId="0FBFEFA3">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c>
                <w:tcPr>
                  <w:tcW w:w="1941" w:type="pct"/>
                  <w:vMerge w:val="continue"/>
                  <w:tcBorders>
                    <w:tl2br w:val="nil"/>
                    <w:tr2bl w:val="nil"/>
                  </w:tcBorders>
                  <w:vAlign w:val="center"/>
                </w:tcPr>
                <w:p w14:paraId="00E43CBF">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c>
                <w:tcPr>
                  <w:tcW w:w="681" w:type="pct"/>
                  <w:vMerge w:val="continue"/>
                  <w:tcBorders>
                    <w:tl2br w:val="nil"/>
                    <w:tr2bl w:val="nil"/>
                  </w:tcBorders>
                  <w:vAlign w:val="center"/>
                </w:tcPr>
                <w:p w14:paraId="28F480C2">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c>
                <w:tcPr>
                  <w:tcW w:w="902" w:type="pct"/>
                  <w:vMerge w:val="continue"/>
                  <w:tcBorders>
                    <w:tl2br w:val="nil"/>
                    <w:tr2bl w:val="nil"/>
                  </w:tcBorders>
                  <w:vAlign w:val="center"/>
                </w:tcPr>
                <w:p w14:paraId="186CBB05">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c>
                <w:tcPr>
                  <w:tcW w:w="483" w:type="pct"/>
                  <w:tcBorders>
                    <w:tl2br w:val="nil"/>
                    <w:tr2bl w:val="nil"/>
                  </w:tcBorders>
                  <w:vAlign w:val="center"/>
                </w:tcPr>
                <w:p w14:paraId="3C841590">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天</w:t>
                  </w:r>
                </w:p>
              </w:tc>
              <w:tc>
                <w:tcPr>
                  <w:tcW w:w="600" w:type="pct"/>
                  <w:tcBorders>
                    <w:tl2br w:val="nil"/>
                    <w:tr2bl w:val="nil"/>
                  </w:tcBorders>
                  <w:vAlign w:val="center"/>
                </w:tcPr>
                <w:p w14:paraId="137776AA">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次/天</w:t>
                  </w:r>
                </w:p>
              </w:tc>
            </w:tr>
            <w:tr w14:paraId="01B59FB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587" w:hRule="atLeast"/>
                <w:jc w:val="center"/>
              </w:trPr>
              <w:tc>
                <w:tcPr>
                  <w:tcW w:w="390" w:type="pct"/>
                  <w:tcBorders>
                    <w:tl2br w:val="nil"/>
                    <w:tr2bl w:val="nil"/>
                  </w:tcBorders>
                  <w:vAlign w:val="center"/>
                </w:tcPr>
                <w:p w14:paraId="5A209D4E">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噪声</w:t>
                  </w:r>
                </w:p>
              </w:tc>
              <w:tc>
                <w:tcPr>
                  <w:tcW w:w="1941" w:type="pct"/>
                  <w:tcBorders>
                    <w:tl2br w:val="nil"/>
                    <w:tr2bl w:val="nil"/>
                  </w:tcBorders>
                  <w:vAlign w:val="center"/>
                </w:tcPr>
                <w:p w14:paraId="5E9DD07C">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1# 良安镇项目边界东侧居民处</w:t>
                  </w:r>
                </w:p>
                <w:p w14:paraId="0BB85BAC">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2# 中和场镇项目边界东南侧中和场镇初级中学处</w:t>
                  </w:r>
                </w:p>
                <w:p w14:paraId="1FAD5961">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3# 大佛镇项目边界西侧幸福小区</w:t>
                  </w:r>
                </w:p>
                <w:p w14:paraId="569E1395">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4# 劳动镇项目边界东侧居民处</w:t>
                  </w:r>
                </w:p>
                <w:p w14:paraId="6EFD53DA">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5# 宝林镇项目边界西侧居民处</w:t>
                  </w:r>
                </w:p>
                <w:p w14:paraId="448ABC12">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6# 高寺镇项目边界东南侧居民处</w:t>
                  </w:r>
                </w:p>
                <w:p w14:paraId="79555D70">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7# 天池街道项目边界东南侧乐至县公安局处</w:t>
                  </w:r>
                </w:p>
              </w:tc>
              <w:tc>
                <w:tcPr>
                  <w:tcW w:w="681" w:type="pct"/>
                  <w:tcBorders>
                    <w:tl2br w:val="nil"/>
                    <w:tr2bl w:val="nil"/>
                  </w:tcBorders>
                  <w:vAlign w:val="center"/>
                </w:tcPr>
                <w:p w14:paraId="6EB8844B">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7</w:t>
                  </w:r>
                </w:p>
              </w:tc>
              <w:tc>
                <w:tcPr>
                  <w:tcW w:w="902" w:type="pct"/>
                  <w:tcBorders>
                    <w:tl2br w:val="nil"/>
                    <w:tr2bl w:val="nil"/>
                  </w:tcBorders>
                  <w:vAlign w:val="center"/>
                </w:tcPr>
                <w:p w14:paraId="6632FFEC">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环境噪声</w:t>
                  </w:r>
                </w:p>
              </w:tc>
              <w:tc>
                <w:tcPr>
                  <w:tcW w:w="483" w:type="pct"/>
                  <w:tcBorders>
                    <w:tl2br w:val="nil"/>
                    <w:tr2bl w:val="nil"/>
                  </w:tcBorders>
                  <w:vAlign w:val="center"/>
                </w:tcPr>
                <w:p w14:paraId="5832DD96">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2</w:t>
                  </w:r>
                </w:p>
              </w:tc>
              <w:tc>
                <w:tcPr>
                  <w:tcW w:w="600" w:type="pct"/>
                  <w:tcBorders>
                    <w:tl2br w:val="nil"/>
                    <w:tr2bl w:val="nil"/>
                  </w:tcBorders>
                  <w:vAlign w:val="center"/>
                </w:tcPr>
                <w:p w14:paraId="532F645B">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昼夜</w:t>
                  </w:r>
                </w:p>
                <w:p w14:paraId="09CEA434">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各1次</w:t>
                  </w:r>
                </w:p>
              </w:tc>
            </w:tr>
          </w:tbl>
          <w:p w14:paraId="4A02FCC5">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2）检测方法及仪器</w:t>
            </w:r>
          </w:p>
          <w:p w14:paraId="33824018">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检测方法及仪器信息见下表。</w:t>
            </w:r>
          </w:p>
          <w:p w14:paraId="35466621">
            <w:pPr>
              <w:spacing w:line="360" w:lineRule="auto"/>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表3</w:t>
            </w:r>
            <w:r>
              <w:rPr>
                <w:rFonts w:hint="default" w:ascii="Times New Roman" w:hAnsi="Times New Roman" w:eastAsia="宋体" w:cs="Times New Roman"/>
                <w:color w:val="auto"/>
              </w:rPr>
              <w:t>-</w:t>
            </w:r>
            <w:r>
              <w:rPr>
                <w:rFonts w:hint="default" w:ascii="Times New Roman" w:hAnsi="Times New Roman" w:eastAsia="宋体" w:cs="Times New Roman"/>
                <w:b/>
                <w:bCs/>
                <w:color w:val="auto"/>
              </w:rPr>
              <w:t>1</w:t>
            </w:r>
            <w:r>
              <w:rPr>
                <w:rFonts w:hint="default" w:ascii="Times New Roman" w:hAnsi="Times New Roman" w:eastAsia="宋体" w:cs="Times New Roman"/>
                <w:b/>
                <w:bCs/>
                <w:color w:val="auto"/>
                <w:lang w:val="en-US" w:eastAsia="zh-CN"/>
              </w:rPr>
              <w:t>1</w:t>
            </w:r>
            <w:r>
              <w:rPr>
                <w:rFonts w:hint="default" w:ascii="Times New Roman" w:hAnsi="Times New Roman" w:eastAsia="宋体" w:cs="Times New Roman"/>
                <w:b/>
                <w:bCs/>
                <w:color w:val="auto"/>
              </w:rPr>
              <w:t xml:space="preserve">  检测项目、方法依据、仪器及检出限</w:t>
            </w:r>
          </w:p>
          <w:tbl>
            <w:tblPr>
              <w:tblStyle w:val="3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3" w:type="dxa"/>
                <w:bottom w:w="0" w:type="dxa"/>
                <w:right w:w="23" w:type="dxa"/>
              </w:tblCellMar>
            </w:tblPr>
            <w:tblGrid>
              <w:gridCol w:w="526"/>
              <w:gridCol w:w="1003"/>
              <w:gridCol w:w="3181"/>
              <w:gridCol w:w="2209"/>
              <w:gridCol w:w="1327"/>
              <w:gridCol w:w="765"/>
            </w:tblGrid>
            <w:tr w14:paraId="225E30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cantSplit/>
                <w:trHeight w:val="454" w:hRule="atLeast"/>
                <w:tblHeader/>
                <w:jc w:val="center"/>
              </w:trPr>
              <w:tc>
                <w:tcPr>
                  <w:tcW w:w="292" w:type="pct"/>
                  <w:tcBorders>
                    <w:tl2br w:val="nil"/>
                    <w:tr2bl w:val="nil"/>
                  </w:tcBorders>
                  <w:vAlign w:val="center"/>
                </w:tcPr>
                <w:p w14:paraId="7EDD074D">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类别</w:t>
                  </w:r>
                </w:p>
              </w:tc>
              <w:tc>
                <w:tcPr>
                  <w:tcW w:w="556" w:type="pct"/>
                  <w:tcBorders>
                    <w:tl2br w:val="nil"/>
                    <w:tr2bl w:val="nil"/>
                  </w:tcBorders>
                  <w:vAlign w:val="center"/>
                </w:tcPr>
                <w:p w14:paraId="10E0CE33">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检测项目</w:t>
                  </w:r>
                </w:p>
              </w:tc>
              <w:tc>
                <w:tcPr>
                  <w:tcW w:w="1764" w:type="pct"/>
                  <w:tcBorders>
                    <w:tl2br w:val="nil"/>
                    <w:tr2bl w:val="nil"/>
                  </w:tcBorders>
                  <w:vAlign w:val="center"/>
                </w:tcPr>
                <w:p w14:paraId="63416864">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检测方法及依据</w:t>
                  </w:r>
                </w:p>
              </w:tc>
              <w:tc>
                <w:tcPr>
                  <w:tcW w:w="1225" w:type="pct"/>
                  <w:tcBorders>
                    <w:tl2br w:val="nil"/>
                    <w:tr2bl w:val="nil"/>
                  </w:tcBorders>
                  <w:vAlign w:val="center"/>
                </w:tcPr>
                <w:p w14:paraId="21625F19">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所用仪器</w:t>
                  </w:r>
                </w:p>
              </w:tc>
              <w:tc>
                <w:tcPr>
                  <w:tcW w:w="736" w:type="pct"/>
                  <w:tcBorders>
                    <w:tl2br w:val="nil"/>
                    <w:tr2bl w:val="nil"/>
                  </w:tcBorders>
                  <w:vAlign w:val="center"/>
                </w:tcPr>
                <w:p w14:paraId="573B1665">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仪器编号</w:t>
                  </w:r>
                </w:p>
              </w:tc>
              <w:tc>
                <w:tcPr>
                  <w:tcW w:w="424" w:type="pct"/>
                  <w:tcBorders>
                    <w:tl2br w:val="nil"/>
                    <w:tr2bl w:val="nil"/>
                  </w:tcBorders>
                  <w:vAlign w:val="center"/>
                </w:tcPr>
                <w:p w14:paraId="6D4034D1">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检出限</w:t>
                  </w:r>
                </w:p>
              </w:tc>
            </w:tr>
            <w:tr w14:paraId="5F9A6C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cantSplit/>
                <w:trHeight w:val="454" w:hRule="atLeast"/>
                <w:jc w:val="center"/>
              </w:trPr>
              <w:tc>
                <w:tcPr>
                  <w:tcW w:w="292" w:type="pct"/>
                  <w:vMerge w:val="restart"/>
                  <w:tcBorders>
                    <w:tl2br w:val="nil"/>
                    <w:tr2bl w:val="nil"/>
                  </w:tcBorders>
                  <w:vAlign w:val="center"/>
                </w:tcPr>
                <w:p w14:paraId="24C624C3">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噪声</w:t>
                  </w:r>
                </w:p>
              </w:tc>
              <w:tc>
                <w:tcPr>
                  <w:tcW w:w="556" w:type="pct"/>
                  <w:vMerge w:val="restart"/>
                  <w:tcBorders>
                    <w:tl2br w:val="nil"/>
                    <w:tr2bl w:val="nil"/>
                  </w:tcBorders>
                  <w:vAlign w:val="center"/>
                </w:tcPr>
                <w:p w14:paraId="5DCAD218">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环境噪声</w:t>
                  </w:r>
                </w:p>
              </w:tc>
              <w:tc>
                <w:tcPr>
                  <w:tcW w:w="1764" w:type="pct"/>
                  <w:vMerge w:val="restart"/>
                  <w:tcBorders>
                    <w:tl2br w:val="nil"/>
                    <w:tr2bl w:val="nil"/>
                  </w:tcBorders>
                  <w:vAlign w:val="center"/>
                </w:tcPr>
                <w:p w14:paraId="456D8C22">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声环境质量标准 GB 3096-2008</w:t>
                  </w:r>
                </w:p>
              </w:tc>
              <w:tc>
                <w:tcPr>
                  <w:tcW w:w="1225" w:type="pct"/>
                  <w:tcBorders>
                    <w:tl2br w:val="nil"/>
                    <w:tr2bl w:val="nil"/>
                  </w:tcBorders>
                  <w:vAlign w:val="center"/>
                </w:tcPr>
                <w:p w14:paraId="73D283D1">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AWA5688声级计</w:t>
                  </w:r>
                </w:p>
              </w:tc>
              <w:tc>
                <w:tcPr>
                  <w:tcW w:w="736" w:type="pct"/>
                  <w:tcBorders>
                    <w:tl2br w:val="nil"/>
                    <w:tr2bl w:val="nil"/>
                  </w:tcBorders>
                  <w:vAlign w:val="center"/>
                </w:tcPr>
                <w:p w14:paraId="6B330279">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XSJS-063-20</w:t>
                  </w:r>
                </w:p>
              </w:tc>
              <w:tc>
                <w:tcPr>
                  <w:tcW w:w="424" w:type="pct"/>
                  <w:vMerge w:val="restart"/>
                  <w:tcBorders>
                    <w:tl2br w:val="nil"/>
                    <w:tr2bl w:val="nil"/>
                  </w:tcBorders>
                  <w:vAlign w:val="center"/>
                </w:tcPr>
                <w:p w14:paraId="5C92349F">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w:t>
                  </w:r>
                </w:p>
              </w:tc>
            </w:tr>
            <w:tr w14:paraId="6C561B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cantSplit/>
                <w:trHeight w:val="454" w:hRule="atLeast"/>
                <w:jc w:val="center"/>
              </w:trPr>
              <w:tc>
                <w:tcPr>
                  <w:tcW w:w="292" w:type="pct"/>
                  <w:vMerge w:val="continue"/>
                  <w:tcBorders>
                    <w:tl2br w:val="nil"/>
                    <w:tr2bl w:val="nil"/>
                  </w:tcBorders>
                  <w:vAlign w:val="center"/>
                </w:tcPr>
                <w:p w14:paraId="1EA54B2C">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c>
                <w:tcPr>
                  <w:tcW w:w="556" w:type="pct"/>
                  <w:vMerge w:val="continue"/>
                  <w:tcBorders>
                    <w:tl2br w:val="nil"/>
                    <w:tr2bl w:val="nil"/>
                  </w:tcBorders>
                  <w:vAlign w:val="center"/>
                </w:tcPr>
                <w:p w14:paraId="068EE06C">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c>
                <w:tcPr>
                  <w:tcW w:w="1764" w:type="pct"/>
                  <w:vMerge w:val="continue"/>
                  <w:tcBorders>
                    <w:tl2br w:val="nil"/>
                    <w:tr2bl w:val="nil"/>
                  </w:tcBorders>
                  <w:vAlign w:val="center"/>
                </w:tcPr>
                <w:p w14:paraId="1A597A89">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c>
                <w:tcPr>
                  <w:tcW w:w="1225" w:type="pct"/>
                  <w:tcBorders>
                    <w:tl2br w:val="nil"/>
                    <w:tr2bl w:val="nil"/>
                  </w:tcBorders>
                  <w:vAlign w:val="center"/>
                </w:tcPr>
                <w:p w14:paraId="31231181">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AWA6022A声校准器</w:t>
                  </w:r>
                </w:p>
              </w:tc>
              <w:tc>
                <w:tcPr>
                  <w:tcW w:w="736" w:type="pct"/>
                  <w:tcBorders>
                    <w:tl2br w:val="nil"/>
                    <w:tr2bl w:val="nil"/>
                  </w:tcBorders>
                  <w:vAlign w:val="center"/>
                </w:tcPr>
                <w:p w14:paraId="2416C483">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XSJS-064-07</w:t>
                  </w:r>
                </w:p>
              </w:tc>
              <w:tc>
                <w:tcPr>
                  <w:tcW w:w="424" w:type="pct"/>
                  <w:vMerge w:val="continue"/>
                  <w:tcBorders>
                    <w:tl2br w:val="nil"/>
                    <w:tr2bl w:val="nil"/>
                  </w:tcBorders>
                  <w:vAlign w:val="center"/>
                </w:tcPr>
                <w:p w14:paraId="4E7FDE84">
                  <w:pPr>
                    <w:kinsoku/>
                    <w:autoSpaceDE/>
                    <w:autoSpaceDN/>
                    <w:jc w:val="center"/>
                    <w:textAlignment w:val="auto"/>
                    <w:rPr>
                      <w:rFonts w:hint="default" w:ascii="Times New Roman" w:hAnsi="Times New Roman" w:eastAsia="宋体" w:cs="Times New Roman"/>
                      <w:bCs/>
                      <w:color w:val="auto"/>
                      <w:kern w:val="2"/>
                      <w:lang w:bidi="ar"/>
                    </w:rPr>
                  </w:pPr>
                </w:p>
              </w:tc>
            </w:tr>
          </w:tbl>
          <w:p w14:paraId="241736A7">
            <w:pPr>
              <w:spacing w:line="360" w:lineRule="auto"/>
              <w:ind w:firstLine="480" w:firstLineChars="200"/>
              <w:rPr>
                <w:rFonts w:hint="default" w:ascii="Times New Roman" w:hAnsi="Times New Roman" w:eastAsia="宋体" w:cs="Times New Roman"/>
                <w:color w:val="auto"/>
                <w:sz w:val="24"/>
              </w:rPr>
            </w:pPr>
          </w:p>
          <w:p w14:paraId="6E423446">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3）执行标准</w:t>
            </w:r>
          </w:p>
          <w:p w14:paraId="7034CCDA">
            <w:pPr>
              <w:spacing w:line="360" w:lineRule="auto"/>
              <w:ind w:firstLine="480" w:firstLineChars="200"/>
              <w:rPr>
                <w:rFonts w:hint="default" w:ascii="Times New Roman" w:hAnsi="Times New Roman" w:eastAsia="宋体" w:cs="Times New Roman"/>
                <w:b/>
                <w:bCs/>
                <w:color w:val="auto"/>
              </w:rPr>
            </w:pPr>
            <w:r>
              <w:rPr>
                <w:rFonts w:hint="default" w:ascii="Times New Roman" w:hAnsi="Times New Roman" w:eastAsia="宋体" w:cs="Times New Roman"/>
                <w:color w:val="auto"/>
                <w:sz w:val="24"/>
              </w:rPr>
              <w:t>本次检测项目相关执行标准信息见下表。</w:t>
            </w:r>
          </w:p>
          <w:p w14:paraId="73D3624C">
            <w:pPr>
              <w:spacing w:line="360" w:lineRule="auto"/>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表3</w:t>
            </w:r>
            <w:r>
              <w:rPr>
                <w:rFonts w:hint="default" w:ascii="Times New Roman" w:hAnsi="Times New Roman" w:eastAsia="宋体" w:cs="Times New Roman"/>
                <w:color w:val="auto"/>
              </w:rPr>
              <w:t>-</w:t>
            </w:r>
            <w:r>
              <w:rPr>
                <w:rFonts w:hint="default" w:ascii="Times New Roman" w:hAnsi="Times New Roman" w:eastAsia="宋体" w:cs="Times New Roman"/>
                <w:b/>
                <w:bCs/>
                <w:color w:val="auto"/>
              </w:rPr>
              <w:t>1</w:t>
            </w:r>
            <w:r>
              <w:rPr>
                <w:rFonts w:hint="default" w:ascii="Times New Roman" w:hAnsi="Times New Roman" w:eastAsia="宋体" w:cs="Times New Roman"/>
                <w:b/>
                <w:bCs/>
                <w:color w:val="auto"/>
                <w:lang w:val="en-US" w:eastAsia="zh-CN"/>
              </w:rPr>
              <w:t>2</w:t>
            </w:r>
            <w:r>
              <w:rPr>
                <w:rFonts w:hint="default" w:ascii="Times New Roman" w:hAnsi="Times New Roman" w:eastAsia="宋体" w:cs="Times New Roman"/>
                <w:b/>
                <w:bCs/>
                <w:color w:val="auto"/>
              </w:rPr>
              <w:t xml:space="preserve">  执行标准</w:t>
            </w:r>
          </w:p>
          <w:tbl>
            <w:tblPr>
              <w:tblStyle w:val="32"/>
              <w:tblW w:w="4999" w:type="pct"/>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autofit"/>
              <w:tblCellMar>
                <w:top w:w="0" w:type="dxa"/>
                <w:left w:w="0" w:type="dxa"/>
                <w:bottom w:w="0" w:type="dxa"/>
                <w:right w:w="0" w:type="dxa"/>
              </w:tblCellMar>
            </w:tblPr>
            <w:tblGrid>
              <w:gridCol w:w="1433"/>
              <w:gridCol w:w="7580"/>
            </w:tblGrid>
            <w:tr w14:paraId="2B7BB60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67" w:hRule="atLeast"/>
                <w:jc w:val="center"/>
              </w:trPr>
              <w:tc>
                <w:tcPr>
                  <w:tcW w:w="795" w:type="pct"/>
                  <w:tcBorders>
                    <w:tl2br w:val="nil"/>
                    <w:tr2bl w:val="nil"/>
                  </w:tcBorders>
                  <w:vAlign w:val="center"/>
                </w:tcPr>
                <w:p w14:paraId="4059EADB">
                  <w:pPr>
                    <w:pStyle w:val="46"/>
                    <w:widowControl w:val="0"/>
                    <w:kinsoku/>
                    <w:autoSpaceDE/>
                    <w:autoSpaceDN/>
                    <w:adjustRightInd/>
                    <w:snapToGrid/>
                    <w:jc w:val="center"/>
                    <w:textAlignment w:val="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检测类别</w:t>
                  </w:r>
                </w:p>
              </w:tc>
              <w:tc>
                <w:tcPr>
                  <w:tcW w:w="4204" w:type="pct"/>
                  <w:tcBorders>
                    <w:tl2br w:val="nil"/>
                    <w:tr2bl w:val="nil"/>
                  </w:tcBorders>
                  <w:vAlign w:val="center"/>
                </w:tcPr>
                <w:p w14:paraId="4EC6D250">
                  <w:pPr>
                    <w:pStyle w:val="46"/>
                    <w:widowControl w:val="0"/>
                    <w:kinsoku/>
                    <w:autoSpaceDE/>
                    <w:autoSpaceDN/>
                    <w:adjustRightInd/>
                    <w:snapToGrid/>
                    <w:jc w:val="center"/>
                    <w:textAlignment w:val="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执行标准</w:t>
                  </w:r>
                </w:p>
              </w:tc>
            </w:tr>
            <w:tr w14:paraId="0CB886A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588" w:hRule="atLeast"/>
                <w:jc w:val="center"/>
              </w:trPr>
              <w:tc>
                <w:tcPr>
                  <w:tcW w:w="795" w:type="pct"/>
                  <w:tcBorders>
                    <w:tl2br w:val="nil"/>
                    <w:tr2bl w:val="nil"/>
                  </w:tcBorders>
                  <w:vAlign w:val="center"/>
                </w:tcPr>
                <w:p w14:paraId="44877B98">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噪声</w:t>
                  </w:r>
                </w:p>
              </w:tc>
              <w:tc>
                <w:tcPr>
                  <w:tcW w:w="4204" w:type="pct"/>
                  <w:tcBorders>
                    <w:tl2br w:val="nil"/>
                    <w:tr2bl w:val="nil"/>
                  </w:tcBorders>
                  <w:vAlign w:val="center"/>
                </w:tcPr>
                <w:p w14:paraId="22BAF51C">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执行《声环境质量标准》（GB3096-2008）表1中2类标准</w:t>
                  </w:r>
                </w:p>
              </w:tc>
            </w:tr>
          </w:tbl>
          <w:p w14:paraId="6A2CCCA6">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4）检测结果及评价</w:t>
            </w:r>
          </w:p>
          <w:p w14:paraId="5233D062">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本次检测结果及标准限值见下表</w:t>
            </w:r>
          </w:p>
          <w:p w14:paraId="4BEE06DB">
            <w:pPr>
              <w:spacing w:line="360" w:lineRule="auto"/>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表3</w:t>
            </w:r>
            <w:r>
              <w:rPr>
                <w:rFonts w:hint="default" w:ascii="Times New Roman" w:hAnsi="Times New Roman" w:eastAsia="宋体" w:cs="Times New Roman"/>
                <w:color w:val="auto"/>
              </w:rPr>
              <w:t>-</w:t>
            </w:r>
            <w:r>
              <w:rPr>
                <w:rFonts w:hint="default" w:ascii="Times New Roman" w:hAnsi="Times New Roman" w:eastAsia="宋体" w:cs="Times New Roman"/>
                <w:b/>
                <w:bCs/>
                <w:color w:val="auto"/>
              </w:rPr>
              <w:t>1</w:t>
            </w:r>
            <w:r>
              <w:rPr>
                <w:rFonts w:hint="default" w:ascii="Times New Roman" w:hAnsi="Times New Roman" w:eastAsia="宋体" w:cs="Times New Roman"/>
                <w:b/>
                <w:bCs/>
                <w:color w:val="auto"/>
                <w:lang w:val="en-US" w:eastAsia="zh-CN"/>
              </w:rPr>
              <w:t>3</w:t>
            </w:r>
            <w:r>
              <w:rPr>
                <w:rFonts w:hint="default" w:ascii="Times New Roman" w:hAnsi="Times New Roman" w:eastAsia="宋体" w:cs="Times New Roman"/>
                <w:b/>
                <w:bCs/>
                <w:color w:val="auto"/>
              </w:rPr>
              <w:t xml:space="preserve">  噪声监测结果表 单位：dB（A）</w:t>
            </w:r>
          </w:p>
          <w:tbl>
            <w:tblPr>
              <w:tblStyle w:val="32"/>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3" w:type="dxa"/>
                <w:bottom w:w="0" w:type="dxa"/>
                <w:right w:w="23" w:type="dxa"/>
              </w:tblCellMar>
            </w:tblPr>
            <w:tblGrid>
              <w:gridCol w:w="2201"/>
              <w:gridCol w:w="1231"/>
              <w:gridCol w:w="2526"/>
              <w:gridCol w:w="1606"/>
              <w:gridCol w:w="1446"/>
            </w:tblGrid>
            <w:tr w14:paraId="136E21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42" w:hRule="atLeast"/>
                <w:tblHeader/>
                <w:jc w:val="center"/>
              </w:trPr>
              <w:tc>
                <w:tcPr>
                  <w:tcW w:w="1221" w:type="pct"/>
                  <w:tcBorders>
                    <w:tl2br w:val="nil"/>
                    <w:tr2bl w:val="nil"/>
                  </w:tcBorders>
                  <w:vAlign w:val="center"/>
                </w:tcPr>
                <w:p w14:paraId="05B65C42">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检测点位</w:t>
                  </w:r>
                </w:p>
              </w:tc>
              <w:tc>
                <w:tcPr>
                  <w:tcW w:w="683" w:type="pct"/>
                  <w:tcBorders>
                    <w:tl2br w:val="nil"/>
                    <w:tr2bl w:val="nil"/>
                  </w:tcBorders>
                  <w:vAlign w:val="center"/>
                </w:tcPr>
                <w:p w14:paraId="734BFB10">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检测日期</w:t>
                  </w:r>
                </w:p>
              </w:tc>
              <w:tc>
                <w:tcPr>
                  <w:tcW w:w="1401" w:type="pct"/>
                  <w:tcBorders>
                    <w:tl2br w:val="nil"/>
                    <w:tr2bl w:val="nil"/>
                  </w:tcBorders>
                  <w:vAlign w:val="center"/>
                </w:tcPr>
                <w:p w14:paraId="1BA4B1D0">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检测时间</w:t>
                  </w:r>
                </w:p>
              </w:tc>
              <w:tc>
                <w:tcPr>
                  <w:tcW w:w="891" w:type="pct"/>
                  <w:tcBorders>
                    <w:tl2br w:val="nil"/>
                    <w:tr2bl w:val="nil"/>
                  </w:tcBorders>
                  <w:vAlign w:val="center"/>
                </w:tcPr>
                <w:p w14:paraId="4AD1F27D">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检测结果dB(A)</w:t>
                  </w:r>
                </w:p>
              </w:tc>
              <w:tc>
                <w:tcPr>
                  <w:tcW w:w="802" w:type="pct"/>
                  <w:tcBorders>
                    <w:tl2br w:val="nil"/>
                    <w:tr2bl w:val="nil"/>
                  </w:tcBorders>
                  <w:vAlign w:val="center"/>
                </w:tcPr>
                <w:p w14:paraId="64F51133">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标准限值dB(A)</w:t>
                  </w:r>
                </w:p>
              </w:tc>
            </w:tr>
            <w:tr w14:paraId="5A1FA4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42" w:hRule="atLeast"/>
                <w:jc w:val="center"/>
              </w:trPr>
              <w:tc>
                <w:tcPr>
                  <w:tcW w:w="1221" w:type="pct"/>
                  <w:vMerge w:val="restart"/>
                  <w:tcBorders>
                    <w:tl2br w:val="nil"/>
                    <w:tr2bl w:val="nil"/>
                  </w:tcBorders>
                  <w:vAlign w:val="center"/>
                </w:tcPr>
                <w:p w14:paraId="4C8280B8">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fldChar w:fldCharType="begin"/>
                  </w:r>
                  <w:r>
                    <w:rPr>
                      <w:rFonts w:hint="default" w:ascii="Times New Roman" w:hAnsi="Times New Roman" w:eastAsia="宋体" w:cs="Times New Roman"/>
                      <w:color w:val="auto"/>
                      <w:sz w:val="21"/>
                      <w:lang w:eastAsia="zh-CN"/>
                    </w:rPr>
                    <w:instrText xml:space="preserve"> REF 噪声1 \h \* MERGEFORMAT</w:instrText>
                  </w:r>
                  <w:r>
                    <w:rPr>
                      <w:rFonts w:hint="default" w:ascii="Times New Roman" w:hAnsi="Times New Roman" w:eastAsia="宋体" w:cs="Times New Roman"/>
                      <w:color w:val="auto"/>
                      <w:sz w:val="21"/>
                      <w:lang w:eastAsia="zh-CN"/>
                    </w:rPr>
                    <w:fldChar w:fldCharType="separate"/>
                  </w:r>
                  <w:r>
                    <w:rPr>
                      <w:rFonts w:hint="default" w:ascii="Times New Roman" w:hAnsi="Times New Roman" w:eastAsia="宋体" w:cs="Times New Roman"/>
                      <w:color w:val="auto"/>
                      <w:sz w:val="21"/>
                      <w:lang w:eastAsia="zh-CN"/>
                    </w:rPr>
                    <w:t>1# 良安镇项目边界东侧居民处</w:t>
                  </w:r>
                  <w:r>
                    <w:rPr>
                      <w:rFonts w:hint="default" w:ascii="Times New Roman" w:hAnsi="Times New Roman" w:eastAsia="宋体" w:cs="Times New Roman"/>
                      <w:color w:val="auto"/>
                      <w:sz w:val="21"/>
                      <w:lang w:eastAsia="zh-CN"/>
                    </w:rPr>
                    <w:fldChar w:fldCharType="end"/>
                  </w:r>
                  <w:r>
                    <w:rPr>
                      <w:rFonts w:hint="default" w:ascii="Times New Roman" w:hAnsi="Times New Roman" w:eastAsia="宋体" w:cs="Times New Roman"/>
                      <w:color w:val="auto"/>
                      <w:sz w:val="21"/>
                      <w:lang w:eastAsia="zh-CN"/>
                    </w:rPr>
                    <w:br w:type="page"/>
                  </w:r>
                </w:p>
              </w:tc>
              <w:tc>
                <w:tcPr>
                  <w:tcW w:w="683" w:type="pct"/>
                  <w:vMerge w:val="restart"/>
                  <w:tcBorders>
                    <w:tl2br w:val="nil"/>
                    <w:tr2bl w:val="nil"/>
                  </w:tcBorders>
                  <w:vAlign w:val="center"/>
                </w:tcPr>
                <w:p w14:paraId="69076AED">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fldChar w:fldCharType="begin"/>
                  </w:r>
                  <w:r>
                    <w:rPr>
                      <w:rFonts w:hint="default" w:ascii="Times New Roman" w:hAnsi="Times New Roman" w:eastAsia="宋体" w:cs="Times New Roman"/>
                      <w:color w:val="auto"/>
                      <w:sz w:val="21"/>
                      <w:lang w:eastAsia="zh-CN"/>
                    </w:rPr>
                    <w:instrText xml:space="preserve"> REF 日期 \h \* MERGEFORMAT</w:instrText>
                  </w:r>
                  <w:r>
                    <w:rPr>
                      <w:rFonts w:hint="default" w:ascii="Times New Roman" w:hAnsi="Times New Roman" w:eastAsia="宋体" w:cs="Times New Roman"/>
                      <w:color w:val="auto"/>
                      <w:sz w:val="21"/>
                      <w:lang w:eastAsia="zh-CN"/>
                    </w:rPr>
                    <w:fldChar w:fldCharType="separate"/>
                  </w:r>
                  <w:r>
                    <w:rPr>
                      <w:rFonts w:hint="default" w:ascii="Times New Roman" w:hAnsi="Times New Roman" w:eastAsia="宋体" w:cs="Times New Roman"/>
                      <w:color w:val="auto"/>
                      <w:sz w:val="21"/>
                      <w:lang w:eastAsia="zh-CN"/>
                    </w:rPr>
                    <w:t>11月11日</w:t>
                  </w:r>
                  <w:r>
                    <w:rPr>
                      <w:rFonts w:hint="default" w:ascii="Times New Roman" w:hAnsi="Times New Roman" w:eastAsia="宋体" w:cs="Times New Roman"/>
                      <w:color w:val="auto"/>
                      <w:sz w:val="21"/>
                      <w:lang w:eastAsia="zh-CN"/>
                    </w:rPr>
                    <w:fldChar w:fldCharType="end"/>
                  </w:r>
                </w:p>
              </w:tc>
              <w:tc>
                <w:tcPr>
                  <w:tcW w:w="1401" w:type="pct"/>
                  <w:tcBorders>
                    <w:tl2br w:val="nil"/>
                    <w:tr2bl w:val="nil"/>
                  </w:tcBorders>
                  <w:vAlign w:val="center"/>
                </w:tcPr>
                <w:p w14:paraId="24E01E31">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15:16-15:26（昼）</w:t>
                  </w:r>
                </w:p>
              </w:tc>
              <w:tc>
                <w:tcPr>
                  <w:tcW w:w="891" w:type="pct"/>
                  <w:tcBorders>
                    <w:tl2br w:val="nil"/>
                    <w:tr2bl w:val="nil"/>
                  </w:tcBorders>
                  <w:vAlign w:val="center"/>
                </w:tcPr>
                <w:p w14:paraId="5529B231">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53</w:t>
                  </w:r>
                </w:p>
              </w:tc>
              <w:tc>
                <w:tcPr>
                  <w:tcW w:w="802" w:type="pct"/>
                  <w:vMerge w:val="restart"/>
                  <w:tcBorders>
                    <w:tl2br w:val="nil"/>
                    <w:tr2bl w:val="nil"/>
                  </w:tcBorders>
                  <w:vAlign w:val="center"/>
                </w:tcPr>
                <w:p w14:paraId="5A283C8A">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昼间≤60</w:t>
                  </w:r>
                </w:p>
                <w:p w14:paraId="2B3F5885">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夜间≤50</w:t>
                  </w:r>
                </w:p>
              </w:tc>
            </w:tr>
            <w:tr w14:paraId="023FF4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42" w:hRule="atLeast"/>
                <w:jc w:val="center"/>
              </w:trPr>
              <w:tc>
                <w:tcPr>
                  <w:tcW w:w="1221" w:type="pct"/>
                  <w:vMerge w:val="continue"/>
                  <w:tcBorders>
                    <w:tl2br w:val="nil"/>
                    <w:tr2bl w:val="nil"/>
                  </w:tcBorders>
                  <w:vAlign w:val="center"/>
                </w:tcPr>
                <w:p w14:paraId="3C4F63AA">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c>
                <w:tcPr>
                  <w:tcW w:w="683" w:type="pct"/>
                  <w:vMerge w:val="continue"/>
                  <w:tcBorders>
                    <w:tl2br w:val="nil"/>
                    <w:tr2bl w:val="nil"/>
                  </w:tcBorders>
                  <w:vAlign w:val="center"/>
                </w:tcPr>
                <w:p w14:paraId="25FAF653">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c>
                <w:tcPr>
                  <w:tcW w:w="1401" w:type="pct"/>
                  <w:tcBorders>
                    <w:tl2br w:val="nil"/>
                    <w:tr2bl w:val="nil"/>
                  </w:tcBorders>
                  <w:vAlign w:val="center"/>
                </w:tcPr>
                <w:p w14:paraId="12D48816">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22:43-22:53（夜）</w:t>
                  </w:r>
                </w:p>
              </w:tc>
              <w:tc>
                <w:tcPr>
                  <w:tcW w:w="891" w:type="pct"/>
                  <w:tcBorders>
                    <w:tl2br w:val="nil"/>
                    <w:tr2bl w:val="nil"/>
                  </w:tcBorders>
                  <w:vAlign w:val="center"/>
                </w:tcPr>
                <w:p w14:paraId="470BD7B1">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44</w:t>
                  </w:r>
                </w:p>
              </w:tc>
              <w:tc>
                <w:tcPr>
                  <w:tcW w:w="802" w:type="pct"/>
                  <w:vMerge w:val="continue"/>
                  <w:tcBorders>
                    <w:tl2br w:val="nil"/>
                    <w:tr2bl w:val="nil"/>
                  </w:tcBorders>
                  <w:vAlign w:val="center"/>
                </w:tcPr>
                <w:p w14:paraId="225A96D8">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r>
            <w:tr w14:paraId="18FC03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42" w:hRule="atLeast"/>
                <w:jc w:val="center"/>
              </w:trPr>
              <w:tc>
                <w:tcPr>
                  <w:tcW w:w="1221" w:type="pct"/>
                  <w:vMerge w:val="restart"/>
                  <w:tcBorders>
                    <w:tl2br w:val="nil"/>
                    <w:tr2bl w:val="nil"/>
                  </w:tcBorders>
                  <w:vAlign w:val="center"/>
                </w:tcPr>
                <w:p w14:paraId="469194AD">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fldChar w:fldCharType="begin"/>
                  </w:r>
                  <w:r>
                    <w:rPr>
                      <w:rFonts w:hint="default" w:ascii="Times New Roman" w:hAnsi="Times New Roman" w:eastAsia="宋体" w:cs="Times New Roman"/>
                      <w:color w:val="auto"/>
                      <w:sz w:val="21"/>
                      <w:lang w:eastAsia="zh-CN"/>
                    </w:rPr>
                    <w:instrText xml:space="preserve"> REF 噪声2 \h \* MERGEFORMAT</w:instrText>
                  </w:r>
                  <w:r>
                    <w:rPr>
                      <w:rFonts w:hint="default" w:ascii="Times New Roman" w:hAnsi="Times New Roman" w:eastAsia="宋体" w:cs="Times New Roman"/>
                      <w:color w:val="auto"/>
                      <w:sz w:val="21"/>
                      <w:lang w:eastAsia="zh-CN"/>
                    </w:rPr>
                    <w:fldChar w:fldCharType="separate"/>
                  </w:r>
                  <w:r>
                    <w:rPr>
                      <w:rFonts w:hint="default" w:ascii="Times New Roman" w:hAnsi="Times New Roman" w:eastAsia="宋体" w:cs="Times New Roman"/>
                      <w:color w:val="auto"/>
                      <w:sz w:val="21"/>
                      <w:lang w:eastAsia="zh-CN"/>
                    </w:rPr>
                    <w:t>2# 中和场镇项目边界东南侧中和场镇初级中学处</w:t>
                  </w:r>
                  <w:r>
                    <w:rPr>
                      <w:rFonts w:hint="default" w:ascii="Times New Roman" w:hAnsi="Times New Roman" w:eastAsia="宋体" w:cs="Times New Roman"/>
                      <w:color w:val="auto"/>
                      <w:sz w:val="21"/>
                      <w:lang w:eastAsia="zh-CN"/>
                    </w:rPr>
                    <w:fldChar w:fldCharType="end"/>
                  </w:r>
                  <w:r>
                    <w:rPr>
                      <w:rFonts w:hint="default" w:ascii="Times New Roman" w:hAnsi="Times New Roman" w:eastAsia="宋体" w:cs="Times New Roman"/>
                      <w:color w:val="auto"/>
                      <w:sz w:val="21"/>
                      <w:lang w:eastAsia="zh-CN"/>
                    </w:rPr>
                    <w:br w:type="page"/>
                  </w:r>
                </w:p>
              </w:tc>
              <w:tc>
                <w:tcPr>
                  <w:tcW w:w="683" w:type="pct"/>
                  <w:vMerge w:val="continue"/>
                  <w:tcBorders>
                    <w:tl2br w:val="nil"/>
                    <w:tr2bl w:val="nil"/>
                  </w:tcBorders>
                  <w:vAlign w:val="center"/>
                </w:tcPr>
                <w:p w14:paraId="43EFFA0F">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c>
                <w:tcPr>
                  <w:tcW w:w="1401" w:type="pct"/>
                  <w:tcBorders>
                    <w:tl2br w:val="nil"/>
                    <w:tr2bl w:val="nil"/>
                  </w:tcBorders>
                  <w:vAlign w:val="center"/>
                </w:tcPr>
                <w:p w14:paraId="7B6F5FD9">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16:39-16:49（昼）</w:t>
                  </w:r>
                </w:p>
              </w:tc>
              <w:tc>
                <w:tcPr>
                  <w:tcW w:w="891" w:type="pct"/>
                  <w:tcBorders>
                    <w:tl2br w:val="nil"/>
                    <w:tr2bl w:val="nil"/>
                  </w:tcBorders>
                  <w:vAlign w:val="center"/>
                </w:tcPr>
                <w:p w14:paraId="0FF1E719">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50</w:t>
                  </w:r>
                </w:p>
              </w:tc>
              <w:tc>
                <w:tcPr>
                  <w:tcW w:w="802" w:type="pct"/>
                  <w:vMerge w:val="continue"/>
                  <w:tcBorders>
                    <w:tl2br w:val="nil"/>
                    <w:tr2bl w:val="nil"/>
                  </w:tcBorders>
                  <w:vAlign w:val="center"/>
                </w:tcPr>
                <w:p w14:paraId="36BFF173">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r>
            <w:tr w14:paraId="5E6877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42" w:hRule="atLeast"/>
                <w:jc w:val="center"/>
              </w:trPr>
              <w:tc>
                <w:tcPr>
                  <w:tcW w:w="1221" w:type="pct"/>
                  <w:vMerge w:val="continue"/>
                  <w:tcBorders>
                    <w:tl2br w:val="nil"/>
                    <w:tr2bl w:val="nil"/>
                  </w:tcBorders>
                  <w:vAlign w:val="center"/>
                </w:tcPr>
                <w:p w14:paraId="79B38342">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c>
                <w:tcPr>
                  <w:tcW w:w="683" w:type="pct"/>
                  <w:vMerge w:val="continue"/>
                  <w:tcBorders>
                    <w:tl2br w:val="nil"/>
                    <w:tr2bl w:val="nil"/>
                  </w:tcBorders>
                  <w:vAlign w:val="center"/>
                </w:tcPr>
                <w:p w14:paraId="29643F7A">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c>
                <w:tcPr>
                  <w:tcW w:w="1401" w:type="pct"/>
                  <w:tcBorders>
                    <w:tl2br w:val="nil"/>
                    <w:tr2bl w:val="nil"/>
                  </w:tcBorders>
                  <w:vAlign w:val="center"/>
                </w:tcPr>
                <w:p w14:paraId="36F7E681">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23:23-23:33（夜）</w:t>
                  </w:r>
                </w:p>
              </w:tc>
              <w:tc>
                <w:tcPr>
                  <w:tcW w:w="891" w:type="pct"/>
                  <w:tcBorders>
                    <w:tl2br w:val="nil"/>
                    <w:tr2bl w:val="nil"/>
                  </w:tcBorders>
                  <w:vAlign w:val="center"/>
                </w:tcPr>
                <w:p w14:paraId="2ED31325">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42</w:t>
                  </w:r>
                </w:p>
              </w:tc>
              <w:tc>
                <w:tcPr>
                  <w:tcW w:w="802" w:type="pct"/>
                  <w:vMerge w:val="continue"/>
                  <w:tcBorders>
                    <w:tl2br w:val="nil"/>
                    <w:tr2bl w:val="nil"/>
                  </w:tcBorders>
                  <w:vAlign w:val="center"/>
                </w:tcPr>
                <w:p w14:paraId="4DC7AE3E">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r>
            <w:tr w14:paraId="0888B7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42" w:hRule="atLeast"/>
                <w:jc w:val="center"/>
              </w:trPr>
              <w:tc>
                <w:tcPr>
                  <w:tcW w:w="1221" w:type="pct"/>
                  <w:vMerge w:val="restart"/>
                  <w:tcBorders>
                    <w:tl2br w:val="nil"/>
                    <w:tr2bl w:val="nil"/>
                  </w:tcBorders>
                  <w:vAlign w:val="center"/>
                </w:tcPr>
                <w:p w14:paraId="5F780346">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fldChar w:fldCharType="begin"/>
                  </w:r>
                  <w:r>
                    <w:rPr>
                      <w:rFonts w:hint="default" w:ascii="Times New Roman" w:hAnsi="Times New Roman" w:eastAsia="宋体" w:cs="Times New Roman"/>
                      <w:color w:val="auto"/>
                      <w:sz w:val="21"/>
                      <w:lang w:eastAsia="zh-CN"/>
                    </w:rPr>
                    <w:instrText xml:space="preserve"> REF 噪声3 \h \* MERGEFORMAT</w:instrText>
                  </w:r>
                  <w:r>
                    <w:rPr>
                      <w:rFonts w:hint="default" w:ascii="Times New Roman" w:hAnsi="Times New Roman" w:eastAsia="宋体" w:cs="Times New Roman"/>
                      <w:color w:val="auto"/>
                      <w:sz w:val="21"/>
                      <w:lang w:eastAsia="zh-CN"/>
                    </w:rPr>
                    <w:fldChar w:fldCharType="separate"/>
                  </w:r>
                  <w:r>
                    <w:rPr>
                      <w:rFonts w:hint="default" w:ascii="Times New Roman" w:hAnsi="Times New Roman" w:eastAsia="宋体" w:cs="Times New Roman"/>
                      <w:color w:val="auto"/>
                      <w:sz w:val="21"/>
                      <w:lang w:eastAsia="zh-CN"/>
                    </w:rPr>
                    <w:t>3# 大佛镇项目边界西侧幸福小区</w:t>
                  </w:r>
                  <w:r>
                    <w:rPr>
                      <w:rFonts w:hint="default" w:ascii="Times New Roman" w:hAnsi="Times New Roman" w:eastAsia="宋体" w:cs="Times New Roman"/>
                      <w:color w:val="auto"/>
                      <w:sz w:val="21"/>
                      <w:lang w:eastAsia="zh-CN"/>
                    </w:rPr>
                    <w:fldChar w:fldCharType="end"/>
                  </w:r>
                  <w:r>
                    <w:rPr>
                      <w:rFonts w:hint="default" w:ascii="Times New Roman" w:hAnsi="Times New Roman" w:eastAsia="宋体" w:cs="Times New Roman"/>
                      <w:color w:val="auto"/>
                      <w:sz w:val="21"/>
                      <w:lang w:eastAsia="zh-CN"/>
                    </w:rPr>
                    <w:br w:type="page"/>
                  </w:r>
                </w:p>
              </w:tc>
              <w:tc>
                <w:tcPr>
                  <w:tcW w:w="683" w:type="pct"/>
                  <w:vMerge w:val="continue"/>
                  <w:tcBorders>
                    <w:tl2br w:val="nil"/>
                    <w:tr2bl w:val="nil"/>
                  </w:tcBorders>
                  <w:vAlign w:val="center"/>
                </w:tcPr>
                <w:p w14:paraId="47719423">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c>
                <w:tcPr>
                  <w:tcW w:w="1401" w:type="pct"/>
                  <w:tcBorders>
                    <w:tl2br w:val="nil"/>
                    <w:tr2bl w:val="nil"/>
                  </w:tcBorders>
                  <w:vAlign w:val="center"/>
                </w:tcPr>
                <w:p w14:paraId="7DED6329">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15:47-15:57（昼）</w:t>
                  </w:r>
                </w:p>
              </w:tc>
              <w:tc>
                <w:tcPr>
                  <w:tcW w:w="891" w:type="pct"/>
                  <w:tcBorders>
                    <w:tl2br w:val="nil"/>
                    <w:tr2bl w:val="nil"/>
                  </w:tcBorders>
                  <w:vAlign w:val="center"/>
                </w:tcPr>
                <w:p w14:paraId="33854A76">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51</w:t>
                  </w:r>
                </w:p>
              </w:tc>
              <w:tc>
                <w:tcPr>
                  <w:tcW w:w="802" w:type="pct"/>
                  <w:vMerge w:val="continue"/>
                  <w:tcBorders>
                    <w:tl2br w:val="nil"/>
                    <w:tr2bl w:val="nil"/>
                  </w:tcBorders>
                  <w:vAlign w:val="center"/>
                </w:tcPr>
                <w:p w14:paraId="58BCF5D0">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r>
            <w:tr w14:paraId="527367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42" w:hRule="atLeast"/>
                <w:jc w:val="center"/>
              </w:trPr>
              <w:tc>
                <w:tcPr>
                  <w:tcW w:w="1221" w:type="pct"/>
                  <w:vMerge w:val="continue"/>
                  <w:tcBorders>
                    <w:tl2br w:val="nil"/>
                    <w:tr2bl w:val="nil"/>
                  </w:tcBorders>
                  <w:vAlign w:val="center"/>
                </w:tcPr>
                <w:p w14:paraId="0CB73F6F">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c>
                <w:tcPr>
                  <w:tcW w:w="683" w:type="pct"/>
                  <w:vMerge w:val="continue"/>
                  <w:tcBorders>
                    <w:tl2br w:val="nil"/>
                    <w:tr2bl w:val="nil"/>
                  </w:tcBorders>
                  <w:vAlign w:val="center"/>
                </w:tcPr>
                <w:p w14:paraId="61AA3615">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c>
                <w:tcPr>
                  <w:tcW w:w="1401" w:type="pct"/>
                  <w:tcBorders>
                    <w:tl2br w:val="nil"/>
                    <w:tr2bl w:val="nil"/>
                  </w:tcBorders>
                  <w:vAlign w:val="center"/>
                </w:tcPr>
                <w:p w14:paraId="2519ABC4">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22:13-22:23（夜）</w:t>
                  </w:r>
                </w:p>
              </w:tc>
              <w:tc>
                <w:tcPr>
                  <w:tcW w:w="891" w:type="pct"/>
                  <w:tcBorders>
                    <w:tl2br w:val="nil"/>
                    <w:tr2bl w:val="nil"/>
                  </w:tcBorders>
                  <w:vAlign w:val="center"/>
                </w:tcPr>
                <w:p w14:paraId="7C2ED32D">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43</w:t>
                  </w:r>
                </w:p>
              </w:tc>
              <w:tc>
                <w:tcPr>
                  <w:tcW w:w="802" w:type="pct"/>
                  <w:vMerge w:val="continue"/>
                  <w:tcBorders>
                    <w:tl2br w:val="nil"/>
                    <w:tr2bl w:val="nil"/>
                  </w:tcBorders>
                  <w:vAlign w:val="center"/>
                </w:tcPr>
                <w:p w14:paraId="37CE255C">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r>
            <w:tr w14:paraId="2E05CD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42" w:hRule="atLeast"/>
                <w:jc w:val="center"/>
              </w:trPr>
              <w:tc>
                <w:tcPr>
                  <w:tcW w:w="1221" w:type="pct"/>
                  <w:vMerge w:val="restart"/>
                  <w:tcBorders>
                    <w:tl2br w:val="nil"/>
                    <w:tr2bl w:val="nil"/>
                  </w:tcBorders>
                  <w:vAlign w:val="center"/>
                </w:tcPr>
                <w:p w14:paraId="3D1F4C04">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fldChar w:fldCharType="begin"/>
                  </w:r>
                  <w:r>
                    <w:rPr>
                      <w:rFonts w:hint="default" w:ascii="Times New Roman" w:hAnsi="Times New Roman" w:eastAsia="宋体" w:cs="Times New Roman"/>
                      <w:color w:val="auto"/>
                      <w:sz w:val="21"/>
                      <w:lang w:eastAsia="zh-CN"/>
                    </w:rPr>
                    <w:instrText xml:space="preserve"> REF 噪声4 \h \* MERGEFORMAT</w:instrText>
                  </w:r>
                  <w:r>
                    <w:rPr>
                      <w:rFonts w:hint="default" w:ascii="Times New Roman" w:hAnsi="Times New Roman" w:eastAsia="宋体" w:cs="Times New Roman"/>
                      <w:color w:val="auto"/>
                      <w:sz w:val="21"/>
                      <w:lang w:eastAsia="zh-CN"/>
                    </w:rPr>
                    <w:fldChar w:fldCharType="separate"/>
                  </w:r>
                  <w:r>
                    <w:rPr>
                      <w:rFonts w:hint="default" w:ascii="Times New Roman" w:hAnsi="Times New Roman" w:eastAsia="宋体" w:cs="Times New Roman"/>
                      <w:color w:val="auto"/>
                      <w:sz w:val="21"/>
                      <w:lang w:eastAsia="zh-CN"/>
                    </w:rPr>
                    <w:t>4# 劳动镇项目边界东侧居民处</w:t>
                  </w:r>
                  <w:r>
                    <w:rPr>
                      <w:rFonts w:hint="default" w:ascii="Times New Roman" w:hAnsi="Times New Roman" w:eastAsia="宋体" w:cs="Times New Roman"/>
                      <w:color w:val="auto"/>
                      <w:sz w:val="21"/>
                      <w:lang w:eastAsia="zh-CN"/>
                    </w:rPr>
                    <w:fldChar w:fldCharType="end"/>
                  </w:r>
                  <w:r>
                    <w:rPr>
                      <w:rFonts w:hint="default" w:ascii="Times New Roman" w:hAnsi="Times New Roman" w:eastAsia="宋体" w:cs="Times New Roman"/>
                      <w:color w:val="auto"/>
                      <w:sz w:val="21"/>
                      <w:lang w:eastAsia="zh-CN"/>
                    </w:rPr>
                    <w:br w:type="page"/>
                  </w:r>
                </w:p>
              </w:tc>
              <w:tc>
                <w:tcPr>
                  <w:tcW w:w="683" w:type="pct"/>
                  <w:vMerge w:val="continue"/>
                  <w:tcBorders>
                    <w:tl2br w:val="nil"/>
                    <w:tr2bl w:val="nil"/>
                  </w:tcBorders>
                  <w:vAlign w:val="center"/>
                </w:tcPr>
                <w:p w14:paraId="7343F00D">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c>
                <w:tcPr>
                  <w:tcW w:w="1401" w:type="pct"/>
                  <w:tcBorders>
                    <w:tl2br w:val="nil"/>
                    <w:tr2bl w:val="nil"/>
                  </w:tcBorders>
                  <w:vAlign w:val="center"/>
                </w:tcPr>
                <w:p w14:paraId="7FC1F82A">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17:55-18:05（昼）</w:t>
                  </w:r>
                </w:p>
              </w:tc>
              <w:tc>
                <w:tcPr>
                  <w:tcW w:w="891" w:type="pct"/>
                  <w:tcBorders>
                    <w:tl2br w:val="nil"/>
                    <w:tr2bl w:val="nil"/>
                  </w:tcBorders>
                  <w:vAlign w:val="center"/>
                </w:tcPr>
                <w:p w14:paraId="2B12F2EF">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52</w:t>
                  </w:r>
                </w:p>
              </w:tc>
              <w:tc>
                <w:tcPr>
                  <w:tcW w:w="802" w:type="pct"/>
                  <w:vMerge w:val="continue"/>
                  <w:tcBorders>
                    <w:tl2br w:val="nil"/>
                    <w:tr2bl w:val="nil"/>
                  </w:tcBorders>
                  <w:vAlign w:val="center"/>
                </w:tcPr>
                <w:p w14:paraId="3AC4DB2C">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r>
            <w:tr w14:paraId="590EDD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42" w:hRule="atLeast"/>
                <w:jc w:val="center"/>
              </w:trPr>
              <w:tc>
                <w:tcPr>
                  <w:tcW w:w="1221" w:type="pct"/>
                  <w:vMerge w:val="continue"/>
                  <w:tcBorders>
                    <w:tl2br w:val="nil"/>
                    <w:tr2bl w:val="nil"/>
                  </w:tcBorders>
                  <w:vAlign w:val="center"/>
                </w:tcPr>
                <w:p w14:paraId="41CC2934">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c>
                <w:tcPr>
                  <w:tcW w:w="683" w:type="pct"/>
                  <w:vMerge w:val="continue"/>
                  <w:tcBorders>
                    <w:tl2br w:val="nil"/>
                    <w:tr2bl w:val="nil"/>
                  </w:tcBorders>
                  <w:vAlign w:val="center"/>
                </w:tcPr>
                <w:p w14:paraId="17104A51">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c>
                <w:tcPr>
                  <w:tcW w:w="1401" w:type="pct"/>
                  <w:tcBorders>
                    <w:tl2br w:val="nil"/>
                    <w:tr2bl w:val="nil"/>
                  </w:tcBorders>
                  <w:vAlign w:val="center"/>
                </w:tcPr>
                <w:p w14:paraId="60574AA3">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次日00:19-00:29（夜）</w:t>
                  </w:r>
                </w:p>
              </w:tc>
              <w:tc>
                <w:tcPr>
                  <w:tcW w:w="891" w:type="pct"/>
                  <w:tcBorders>
                    <w:tl2br w:val="nil"/>
                    <w:tr2bl w:val="nil"/>
                  </w:tcBorders>
                  <w:vAlign w:val="center"/>
                </w:tcPr>
                <w:p w14:paraId="3AA3FCE8">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42</w:t>
                  </w:r>
                </w:p>
              </w:tc>
              <w:tc>
                <w:tcPr>
                  <w:tcW w:w="802" w:type="pct"/>
                  <w:vMerge w:val="continue"/>
                  <w:tcBorders>
                    <w:tl2br w:val="nil"/>
                    <w:tr2bl w:val="nil"/>
                  </w:tcBorders>
                  <w:vAlign w:val="center"/>
                </w:tcPr>
                <w:p w14:paraId="01C6CDEC">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r>
            <w:tr w14:paraId="4DA48B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42" w:hRule="atLeast"/>
                <w:jc w:val="center"/>
              </w:trPr>
              <w:tc>
                <w:tcPr>
                  <w:tcW w:w="1221" w:type="pct"/>
                  <w:vMerge w:val="restart"/>
                  <w:tcBorders>
                    <w:tl2br w:val="nil"/>
                    <w:tr2bl w:val="nil"/>
                  </w:tcBorders>
                  <w:vAlign w:val="center"/>
                </w:tcPr>
                <w:p w14:paraId="240BC451">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fldChar w:fldCharType="begin"/>
                  </w:r>
                  <w:r>
                    <w:rPr>
                      <w:rFonts w:hint="default" w:ascii="Times New Roman" w:hAnsi="Times New Roman" w:eastAsia="宋体" w:cs="Times New Roman"/>
                      <w:color w:val="auto"/>
                      <w:sz w:val="21"/>
                      <w:lang w:eastAsia="zh-CN"/>
                    </w:rPr>
                    <w:instrText xml:space="preserve"> REF 噪声5 \h \* MERGEFORMAT</w:instrText>
                  </w:r>
                  <w:r>
                    <w:rPr>
                      <w:rFonts w:hint="default" w:ascii="Times New Roman" w:hAnsi="Times New Roman" w:eastAsia="宋体" w:cs="Times New Roman"/>
                      <w:color w:val="auto"/>
                      <w:sz w:val="21"/>
                      <w:lang w:eastAsia="zh-CN"/>
                    </w:rPr>
                    <w:fldChar w:fldCharType="separate"/>
                  </w:r>
                  <w:r>
                    <w:rPr>
                      <w:rFonts w:hint="default" w:ascii="Times New Roman" w:hAnsi="Times New Roman" w:eastAsia="宋体" w:cs="Times New Roman"/>
                      <w:color w:val="auto"/>
                      <w:sz w:val="21"/>
                      <w:lang w:eastAsia="zh-CN"/>
                    </w:rPr>
                    <w:t>5# 宝林镇项目边界西侧居民处</w:t>
                  </w:r>
                  <w:r>
                    <w:rPr>
                      <w:rFonts w:hint="default" w:ascii="Times New Roman" w:hAnsi="Times New Roman" w:eastAsia="宋体" w:cs="Times New Roman"/>
                      <w:color w:val="auto"/>
                      <w:sz w:val="21"/>
                      <w:lang w:eastAsia="zh-CN"/>
                    </w:rPr>
                    <w:fldChar w:fldCharType="end"/>
                  </w:r>
                  <w:r>
                    <w:rPr>
                      <w:rFonts w:hint="default" w:ascii="Times New Roman" w:hAnsi="Times New Roman" w:eastAsia="宋体" w:cs="Times New Roman"/>
                      <w:color w:val="auto"/>
                      <w:sz w:val="21"/>
                      <w:lang w:eastAsia="zh-CN"/>
                    </w:rPr>
                    <w:br w:type="page"/>
                  </w:r>
                </w:p>
              </w:tc>
              <w:tc>
                <w:tcPr>
                  <w:tcW w:w="683" w:type="pct"/>
                  <w:vMerge w:val="continue"/>
                  <w:tcBorders>
                    <w:tl2br w:val="nil"/>
                    <w:tr2bl w:val="nil"/>
                  </w:tcBorders>
                  <w:vAlign w:val="center"/>
                </w:tcPr>
                <w:p w14:paraId="0DCAFA56">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c>
                <w:tcPr>
                  <w:tcW w:w="1401" w:type="pct"/>
                  <w:tcBorders>
                    <w:tl2br w:val="nil"/>
                    <w:tr2bl w:val="nil"/>
                  </w:tcBorders>
                  <w:vAlign w:val="center"/>
                </w:tcPr>
                <w:p w14:paraId="12B503C2">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17:18-17:28（昼）</w:t>
                  </w:r>
                </w:p>
              </w:tc>
              <w:tc>
                <w:tcPr>
                  <w:tcW w:w="891" w:type="pct"/>
                  <w:tcBorders>
                    <w:tl2br w:val="nil"/>
                    <w:tr2bl w:val="nil"/>
                  </w:tcBorders>
                  <w:vAlign w:val="center"/>
                </w:tcPr>
                <w:p w14:paraId="2059D3C0">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53</w:t>
                  </w:r>
                </w:p>
              </w:tc>
              <w:tc>
                <w:tcPr>
                  <w:tcW w:w="802" w:type="pct"/>
                  <w:vMerge w:val="continue"/>
                  <w:tcBorders>
                    <w:tl2br w:val="nil"/>
                    <w:tr2bl w:val="nil"/>
                  </w:tcBorders>
                  <w:vAlign w:val="center"/>
                </w:tcPr>
                <w:p w14:paraId="678B3080">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r>
            <w:tr w14:paraId="3B6956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42" w:hRule="atLeast"/>
                <w:jc w:val="center"/>
              </w:trPr>
              <w:tc>
                <w:tcPr>
                  <w:tcW w:w="1221" w:type="pct"/>
                  <w:vMerge w:val="continue"/>
                  <w:tcBorders>
                    <w:tl2br w:val="nil"/>
                    <w:tr2bl w:val="nil"/>
                  </w:tcBorders>
                  <w:vAlign w:val="center"/>
                </w:tcPr>
                <w:p w14:paraId="7DEA1FA4">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c>
                <w:tcPr>
                  <w:tcW w:w="683" w:type="pct"/>
                  <w:vMerge w:val="continue"/>
                  <w:tcBorders>
                    <w:tl2br w:val="nil"/>
                    <w:tr2bl w:val="nil"/>
                  </w:tcBorders>
                  <w:vAlign w:val="center"/>
                </w:tcPr>
                <w:p w14:paraId="10E82BB7">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c>
                <w:tcPr>
                  <w:tcW w:w="1401" w:type="pct"/>
                  <w:tcBorders>
                    <w:tl2br w:val="nil"/>
                    <w:tr2bl w:val="nil"/>
                  </w:tcBorders>
                  <w:vAlign w:val="center"/>
                </w:tcPr>
                <w:p w14:paraId="63A8F383">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23:51-次日00:01（夜）</w:t>
                  </w:r>
                </w:p>
              </w:tc>
              <w:tc>
                <w:tcPr>
                  <w:tcW w:w="891" w:type="pct"/>
                  <w:tcBorders>
                    <w:tl2br w:val="nil"/>
                    <w:tr2bl w:val="nil"/>
                  </w:tcBorders>
                  <w:vAlign w:val="center"/>
                </w:tcPr>
                <w:p w14:paraId="0874DEF2">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41</w:t>
                  </w:r>
                </w:p>
              </w:tc>
              <w:tc>
                <w:tcPr>
                  <w:tcW w:w="802" w:type="pct"/>
                  <w:vMerge w:val="continue"/>
                  <w:tcBorders>
                    <w:tl2br w:val="nil"/>
                    <w:tr2bl w:val="nil"/>
                  </w:tcBorders>
                  <w:vAlign w:val="center"/>
                </w:tcPr>
                <w:p w14:paraId="78A07AF2">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r>
            <w:tr w14:paraId="4AB53C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42" w:hRule="atLeast"/>
                <w:jc w:val="center"/>
              </w:trPr>
              <w:tc>
                <w:tcPr>
                  <w:tcW w:w="1221" w:type="pct"/>
                  <w:vMerge w:val="restart"/>
                  <w:tcBorders>
                    <w:tl2br w:val="nil"/>
                    <w:tr2bl w:val="nil"/>
                  </w:tcBorders>
                  <w:vAlign w:val="center"/>
                </w:tcPr>
                <w:p w14:paraId="404F67A8">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fldChar w:fldCharType="begin"/>
                  </w:r>
                  <w:r>
                    <w:rPr>
                      <w:rFonts w:hint="default" w:ascii="Times New Roman" w:hAnsi="Times New Roman" w:eastAsia="宋体" w:cs="Times New Roman"/>
                      <w:color w:val="auto"/>
                      <w:sz w:val="21"/>
                      <w:lang w:eastAsia="zh-CN"/>
                    </w:rPr>
                    <w:instrText xml:space="preserve"> REF 噪声6 \h \* MERGEFORMAT</w:instrText>
                  </w:r>
                  <w:r>
                    <w:rPr>
                      <w:rFonts w:hint="default" w:ascii="Times New Roman" w:hAnsi="Times New Roman" w:eastAsia="宋体" w:cs="Times New Roman"/>
                      <w:color w:val="auto"/>
                      <w:sz w:val="21"/>
                      <w:lang w:eastAsia="zh-CN"/>
                    </w:rPr>
                    <w:fldChar w:fldCharType="separate"/>
                  </w:r>
                  <w:r>
                    <w:rPr>
                      <w:rFonts w:hint="default" w:ascii="Times New Roman" w:hAnsi="Times New Roman" w:eastAsia="宋体" w:cs="Times New Roman"/>
                      <w:color w:val="auto"/>
                      <w:sz w:val="21"/>
                      <w:lang w:eastAsia="zh-CN"/>
                    </w:rPr>
                    <w:t>6# 高寺镇项目边界东南侧居民处</w:t>
                  </w:r>
                  <w:r>
                    <w:rPr>
                      <w:rFonts w:hint="default" w:ascii="Times New Roman" w:hAnsi="Times New Roman" w:eastAsia="宋体" w:cs="Times New Roman"/>
                      <w:color w:val="auto"/>
                      <w:sz w:val="21"/>
                      <w:lang w:eastAsia="zh-CN"/>
                    </w:rPr>
                    <w:fldChar w:fldCharType="end"/>
                  </w:r>
                  <w:r>
                    <w:rPr>
                      <w:rFonts w:hint="default" w:ascii="Times New Roman" w:hAnsi="Times New Roman" w:eastAsia="宋体" w:cs="Times New Roman"/>
                      <w:color w:val="auto"/>
                      <w:sz w:val="21"/>
                      <w:lang w:eastAsia="zh-CN"/>
                    </w:rPr>
                    <w:br w:type="page"/>
                  </w:r>
                </w:p>
              </w:tc>
              <w:tc>
                <w:tcPr>
                  <w:tcW w:w="683" w:type="pct"/>
                  <w:vMerge w:val="continue"/>
                  <w:tcBorders>
                    <w:tl2br w:val="nil"/>
                    <w:tr2bl w:val="nil"/>
                  </w:tcBorders>
                  <w:vAlign w:val="center"/>
                </w:tcPr>
                <w:p w14:paraId="3F1E33A3">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c>
                <w:tcPr>
                  <w:tcW w:w="1401" w:type="pct"/>
                  <w:tcBorders>
                    <w:tl2br w:val="nil"/>
                    <w:tr2bl w:val="nil"/>
                  </w:tcBorders>
                  <w:vAlign w:val="center"/>
                </w:tcPr>
                <w:p w14:paraId="2E2A0DAF">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18:53-19:03（昼）</w:t>
                  </w:r>
                </w:p>
              </w:tc>
              <w:tc>
                <w:tcPr>
                  <w:tcW w:w="891" w:type="pct"/>
                  <w:tcBorders>
                    <w:tl2br w:val="nil"/>
                    <w:tr2bl w:val="nil"/>
                  </w:tcBorders>
                  <w:vAlign w:val="center"/>
                </w:tcPr>
                <w:p w14:paraId="7212C3EA">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49</w:t>
                  </w:r>
                </w:p>
              </w:tc>
              <w:tc>
                <w:tcPr>
                  <w:tcW w:w="802" w:type="pct"/>
                  <w:vMerge w:val="continue"/>
                  <w:tcBorders>
                    <w:tl2br w:val="nil"/>
                    <w:tr2bl w:val="nil"/>
                  </w:tcBorders>
                  <w:vAlign w:val="center"/>
                </w:tcPr>
                <w:p w14:paraId="51F55BB8">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r>
            <w:tr w14:paraId="614B58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42" w:hRule="atLeast"/>
                <w:jc w:val="center"/>
              </w:trPr>
              <w:tc>
                <w:tcPr>
                  <w:tcW w:w="1221" w:type="pct"/>
                  <w:vMerge w:val="continue"/>
                  <w:tcBorders>
                    <w:tl2br w:val="nil"/>
                    <w:tr2bl w:val="nil"/>
                  </w:tcBorders>
                  <w:vAlign w:val="center"/>
                </w:tcPr>
                <w:p w14:paraId="5A3B2C8B">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c>
                <w:tcPr>
                  <w:tcW w:w="683" w:type="pct"/>
                  <w:vMerge w:val="continue"/>
                  <w:tcBorders>
                    <w:tl2br w:val="nil"/>
                    <w:tr2bl w:val="nil"/>
                  </w:tcBorders>
                  <w:vAlign w:val="center"/>
                </w:tcPr>
                <w:p w14:paraId="01EAEDA0">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c>
                <w:tcPr>
                  <w:tcW w:w="1401" w:type="pct"/>
                  <w:tcBorders>
                    <w:tl2br w:val="nil"/>
                    <w:tr2bl w:val="nil"/>
                  </w:tcBorders>
                  <w:vAlign w:val="center"/>
                </w:tcPr>
                <w:p w14:paraId="2AE41107">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次日01:10-01:20（夜）</w:t>
                  </w:r>
                </w:p>
              </w:tc>
              <w:tc>
                <w:tcPr>
                  <w:tcW w:w="891" w:type="pct"/>
                  <w:tcBorders>
                    <w:tl2br w:val="nil"/>
                    <w:tr2bl w:val="nil"/>
                  </w:tcBorders>
                  <w:vAlign w:val="center"/>
                </w:tcPr>
                <w:p w14:paraId="1ED0A83D">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40</w:t>
                  </w:r>
                </w:p>
              </w:tc>
              <w:tc>
                <w:tcPr>
                  <w:tcW w:w="802" w:type="pct"/>
                  <w:vMerge w:val="continue"/>
                  <w:tcBorders>
                    <w:tl2br w:val="nil"/>
                    <w:tr2bl w:val="nil"/>
                  </w:tcBorders>
                  <w:vAlign w:val="center"/>
                </w:tcPr>
                <w:p w14:paraId="6A9C095E">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r>
            <w:tr w14:paraId="5381CD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42" w:hRule="atLeast"/>
                <w:jc w:val="center"/>
              </w:trPr>
              <w:tc>
                <w:tcPr>
                  <w:tcW w:w="1221" w:type="pct"/>
                  <w:vMerge w:val="restart"/>
                  <w:tcBorders>
                    <w:tl2br w:val="nil"/>
                    <w:tr2bl w:val="nil"/>
                  </w:tcBorders>
                  <w:vAlign w:val="center"/>
                </w:tcPr>
                <w:p w14:paraId="25DA86DB">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fldChar w:fldCharType="begin"/>
                  </w:r>
                  <w:r>
                    <w:rPr>
                      <w:rFonts w:hint="default" w:ascii="Times New Roman" w:hAnsi="Times New Roman" w:eastAsia="宋体" w:cs="Times New Roman"/>
                      <w:color w:val="auto"/>
                      <w:sz w:val="21"/>
                      <w:lang w:eastAsia="zh-CN"/>
                    </w:rPr>
                    <w:instrText xml:space="preserve"> REF 噪声7 \h \* MERGEFORMAT</w:instrText>
                  </w:r>
                  <w:r>
                    <w:rPr>
                      <w:rFonts w:hint="default" w:ascii="Times New Roman" w:hAnsi="Times New Roman" w:eastAsia="宋体" w:cs="Times New Roman"/>
                      <w:color w:val="auto"/>
                      <w:sz w:val="21"/>
                      <w:lang w:eastAsia="zh-CN"/>
                    </w:rPr>
                    <w:fldChar w:fldCharType="separate"/>
                  </w:r>
                  <w:r>
                    <w:rPr>
                      <w:rFonts w:hint="default" w:ascii="Times New Roman" w:hAnsi="Times New Roman" w:eastAsia="宋体" w:cs="Times New Roman"/>
                      <w:color w:val="auto"/>
                      <w:sz w:val="21"/>
                      <w:lang w:eastAsia="zh-CN"/>
                    </w:rPr>
                    <w:t>7# 天池街道项目边界东南侧乐至县公安局处</w:t>
                  </w:r>
                  <w:r>
                    <w:rPr>
                      <w:rFonts w:hint="default" w:ascii="Times New Roman" w:hAnsi="Times New Roman" w:eastAsia="宋体" w:cs="Times New Roman"/>
                      <w:color w:val="auto"/>
                      <w:sz w:val="21"/>
                      <w:lang w:eastAsia="zh-CN"/>
                    </w:rPr>
                    <w:fldChar w:fldCharType="end"/>
                  </w:r>
                  <w:r>
                    <w:rPr>
                      <w:rFonts w:hint="default" w:ascii="Times New Roman" w:hAnsi="Times New Roman" w:eastAsia="宋体" w:cs="Times New Roman"/>
                      <w:color w:val="auto"/>
                      <w:sz w:val="21"/>
                      <w:lang w:eastAsia="zh-CN"/>
                    </w:rPr>
                    <w:br w:type="page"/>
                  </w:r>
                </w:p>
              </w:tc>
              <w:tc>
                <w:tcPr>
                  <w:tcW w:w="683" w:type="pct"/>
                  <w:vMerge w:val="continue"/>
                  <w:tcBorders>
                    <w:tl2br w:val="nil"/>
                    <w:tr2bl w:val="nil"/>
                  </w:tcBorders>
                  <w:vAlign w:val="center"/>
                </w:tcPr>
                <w:p w14:paraId="3C8B3066">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c>
                <w:tcPr>
                  <w:tcW w:w="1401" w:type="pct"/>
                  <w:tcBorders>
                    <w:tl2br w:val="nil"/>
                    <w:tr2bl w:val="nil"/>
                  </w:tcBorders>
                  <w:vAlign w:val="center"/>
                </w:tcPr>
                <w:p w14:paraId="1DE2421F">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19:35-19:45（昼）</w:t>
                  </w:r>
                </w:p>
              </w:tc>
              <w:tc>
                <w:tcPr>
                  <w:tcW w:w="891" w:type="pct"/>
                  <w:tcBorders>
                    <w:tl2br w:val="nil"/>
                    <w:tr2bl w:val="nil"/>
                  </w:tcBorders>
                  <w:vAlign w:val="center"/>
                </w:tcPr>
                <w:p w14:paraId="60836A0C">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50</w:t>
                  </w:r>
                </w:p>
              </w:tc>
              <w:tc>
                <w:tcPr>
                  <w:tcW w:w="802" w:type="pct"/>
                  <w:vMerge w:val="continue"/>
                  <w:tcBorders>
                    <w:tl2br w:val="nil"/>
                    <w:tr2bl w:val="nil"/>
                  </w:tcBorders>
                  <w:vAlign w:val="center"/>
                </w:tcPr>
                <w:p w14:paraId="6AA7278C">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r>
            <w:tr w14:paraId="65A461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42" w:hRule="atLeast"/>
                <w:jc w:val="center"/>
              </w:trPr>
              <w:tc>
                <w:tcPr>
                  <w:tcW w:w="1221" w:type="pct"/>
                  <w:vMerge w:val="continue"/>
                  <w:tcBorders>
                    <w:tl2br w:val="nil"/>
                    <w:tr2bl w:val="nil"/>
                  </w:tcBorders>
                  <w:vAlign w:val="center"/>
                </w:tcPr>
                <w:p w14:paraId="55415D1D">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c>
                <w:tcPr>
                  <w:tcW w:w="683" w:type="pct"/>
                  <w:vMerge w:val="continue"/>
                  <w:tcBorders>
                    <w:tl2br w:val="nil"/>
                    <w:tr2bl w:val="nil"/>
                  </w:tcBorders>
                  <w:vAlign w:val="center"/>
                </w:tcPr>
                <w:p w14:paraId="7BC9B3E5">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c>
                <w:tcPr>
                  <w:tcW w:w="1401" w:type="pct"/>
                  <w:tcBorders>
                    <w:tl2br w:val="nil"/>
                    <w:tr2bl w:val="nil"/>
                  </w:tcBorders>
                  <w:vAlign w:val="center"/>
                </w:tcPr>
                <w:p w14:paraId="3D36B709">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次日01:41-01:51（夜）</w:t>
                  </w:r>
                </w:p>
              </w:tc>
              <w:tc>
                <w:tcPr>
                  <w:tcW w:w="891" w:type="pct"/>
                  <w:tcBorders>
                    <w:tl2br w:val="nil"/>
                    <w:tr2bl w:val="nil"/>
                  </w:tcBorders>
                  <w:vAlign w:val="center"/>
                </w:tcPr>
                <w:p w14:paraId="0A82353E">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44</w:t>
                  </w:r>
                </w:p>
              </w:tc>
              <w:tc>
                <w:tcPr>
                  <w:tcW w:w="802" w:type="pct"/>
                  <w:vMerge w:val="continue"/>
                  <w:tcBorders>
                    <w:tl2br w:val="nil"/>
                    <w:tr2bl w:val="nil"/>
                  </w:tcBorders>
                  <w:vAlign w:val="center"/>
                </w:tcPr>
                <w:p w14:paraId="17D99267">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r>
            <w:tr w14:paraId="5ED17D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42" w:hRule="atLeast"/>
                <w:jc w:val="center"/>
              </w:trPr>
              <w:tc>
                <w:tcPr>
                  <w:tcW w:w="1221" w:type="pct"/>
                  <w:vMerge w:val="restart"/>
                  <w:tcBorders>
                    <w:tl2br w:val="nil"/>
                    <w:tr2bl w:val="nil"/>
                  </w:tcBorders>
                  <w:vAlign w:val="center"/>
                </w:tcPr>
                <w:p w14:paraId="6D552330">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fldChar w:fldCharType="begin"/>
                  </w:r>
                  <w:r>
                    <w:rPr>
                      <w:rFonts w:hint="default" w:ascii="Times New Roman" w:hAnsi="Times New Roman" w:eastAsia="宋体" w:cs="Times New Roman"/>
                      <w:color w:val="auto"/>
                      <w:sz w:val="21"/>
                      <w:lang w:eastAsia="zh-CN"/>
                    </w:rPr>
                    <w:instrText xml:space="preserve"> REF 噪声1 \h \* MERGEFORMAT</w:instrText>
                  </w:r>
                  <w:r>
                    <w:rPr>
                      <w:rFonts w:hint="default" w:ascii="Times New Roman" w:hAnsi="Times New Roman" w:eastAsia="宋体" w:cs="Times New Roman"/>
                      <w:color w:val="auto"/>
                      <w:sz w:val="21"/>
                      <w:lang w:eastAsia="zh-CN"/>
                    </w:rPr>
                    <w:fldChar w:fldCharType="separate"/>
                  </w:r>
                  <w:r>
                    <w:rPr>
                      <w:rFonts w:hint="default" w:ascii="Times New Roman" w:hAnsi="Times New Roman" w:eastAsia="宋体" w:cs="Times New Roman"/>
                      <w:color w:val="auto"/>
                      <w:sz w:val="21"/>
                      <w:lang w:eastAsia="zh-CN"/>
                    </w:rPr>
                    <w:t>1# 良安镇项目边界东侧居民处</w:t>
                  </w:r>
                  <w:r>
                    <w:rPr>
                      <w:rFonts w:hint="default" w:ascii="Times New Roman" w:hAnsi="Times New Roman" w:eastAsia="宋体" w:cs="Times New Roman"/>
                      <w:color w:val="auto"/>
                      <w:sz w:val="21"/>
                      <w:lang w:eastAsia="zh-CN"/>
                    </w:rPr>
                    <w:fldChar w:fldCharType="end"/>
                  </w:r>
                  <w:r>
                    <w:rPr>
                      <w:rFonts w:hint="default" w:ascii="Times New Roman" w:hAnsi="Times New Roman" w:eastAsia="宋体" w:cs="Times New Roman"/>
                      <w:color w:val="auto"/>
                      <w:sz w:val="21"/>
                      <w:lang w:eastAsia="zh-CN"/>
                    </w:rPr>
                    <w:br w:type="page"/>
                  </w:r>
                </w:p>
              </w:tc>
              <w:tc>
                <w:tcPr>
                  <w:tcW w:w="683" w:type="pct"/>
                  <w:vMerge w:val="restart"/>
                  <w:tcBorders>
                    <w:tl2br w:val="nil"/>
                    <w:tr2bl w:val="nil"/>
                  </w:tcBorders>
                  <w:vAlign w:val="center"/>
                </w:tcPr>
                <w:p w14:paraId="79677AC0">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11月12日</w:t>
                  </w:r>
                </w:p>
              </w:tc>
              <w:tc>
                <w:tcPr>
                  <w:tcW w:w="1401" w:type="pct"/>
                  <w:tcBorders>
                    <w:tl2br w:val="nil"/>
                    <w:tr2bl w:val="nil"/>
                  </w:tcBorders>
                  <w:vAlign w:val="center"/>
                </w:tcPr>
                <w:p w14:paraId="28126D7F">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10:29-10:39（昼）</w:t>
                  </w:r>
                </w:p>
              </w:tc>
              <w:tc>
                <w:tcPr>
                  <w:tcW w:w="891" w:type="pct"/>
                  <w:tcBorders>
                    <w:tl2br w:val="nil"/>
                    <w:tr2bl w:val="nil"/>
                  </w:tcBorders>
                  <w:vAlign w:val="center"/>
                </w:tcPr>
                <w:p w14:paraId="232780BC">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51</w:t>
                  </w:r>
                </w:p>
              </w:tc>
              <w:tc>
                <w:tcPr>
                  <w:tcW w:w="802" w:type="pct"/>
                  <w:vMerge w:val="continue"/>
                  <w:tcBorders>
                    <w:tl2br w:val="nil"/>
                    <w:tr2bl w:val="nil"/>
                  </w:tcBorders>
                  <w:vAlign w:val="center"/>
                </w:tcPr>
                <w:p w14:paraId="3865E208">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r>
            <w:tr w14:paraId="5A04D0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42" w:hRule="atLeast"/>
                <w:jc w:val="center"/>
              </w:trPr>
              <w:tc>
                <w:tcPr>
                  <w:tcW w:w="1221" w:type="pct"/>
                  <w:vMerge w:val="continue"/>
                  <w:tcBorders>
                    <w:tl2br w:val="nil"/>
                    <w:tr2bl w:val="nil"/>
                  </w:tcBorders>
                  <w:vAlign w:val="center"/>
                </w:tcPr>
                <w:p w14:paraId="472AEED3">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c>
                <w:tcPr>
                  <w:tcW w:w="683" w:type="pct"/>
                  <w:vMerge w:val="continue"/>
                  <w:tcBorders>
                    <w:tl2br w:val="nil"/>
                    <w:tr2bl w:val="nil"/>
                  </w:tcBorders>
                  <w:vAlign w:val="center"/>
                </w:tcPr>
                <w:p w14:paraId="23ABC897">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c>
                <w:tcPr>
                  <w:tcW w:w="1401" w:type="pct"/>
                  <w:tcBorders>
                    <w:tl2br w:val="nil"/>
                    <w:tr2bl w:val="nil"/>
                  </w:tcBorders>
                  <w:vAlign w:val="center"/>
                </w:tcPr>
                <w:p w14:paraId="1DA4479D">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22:35-22:45（夜）</w:t>
                  </w:r>
                </w:p>
              </w:tc>
              <w:tc>
                <w:tcPr>
                  <w:tcW w:w="891" w:type="pct"/>
                  <w:tcBorders>
                    <w:tl2br w:val="nil"/>
                    <w:tr2bl w:val="nil"/>
                  </w:tcBorders>
                  <w:vAlign w:val="center"/>
                </w:tcPr>
                <w:p w14:paraId="5EC88283">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42</w:t>
                  </w:r>
                </w:p>
              </w:tc>
              <w:tc>
                <w:tcPr>
                  <w:tcW w:w="802" w:type="pct"/>
                  <w:vMerge w:val="continue"/>
                  <w:tcBorders>
                    <w:tl2br w:val="nil"/>
                    <w:tr2bl w:val="nil"/>
                  </w:tcBorders>
                  <w:vAlign w:val="center"/>
                </w:tcPr>
                <w:p w14:paraId="072CC155">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r>
            <w:tr w14:paraId="5E2292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42" w:hRule="atLeast"/>
                <w:jc w:val="center"/>
              </w:trPr>
              <w:tc>
                <w:tcPr>
                  <w:tcW w:w="1221" w:type="pct"/>
                  <w:vMerge w:val="restart"/>
                  <w:tcBorders>
                    <w:tl2br w:val="nil"/>
                    <w:tr2bl w:val="nil"/>
                  </w:tcBorders>
                  <w:vAlign w:val="center"/>
                </w:tcPr>
                <w:p w14:paraId="0345F20E">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fldChar w:fldCharType="begin"/>
                  </w:r>
                  <w:r>
                    <w:rPr>
                      <w:rFonts w:hint="default" w:ascii="Times New Roman" w:hAnsi="Times New Roman" w:eastAsia="宋体" w:cs="Times New Roman"/>
                      <w:color w:val="auto"/>
                      <w:sz w:val="21"/>
                      <w:lang w:eastAsia="zh-CN"/>
                    </w:rPr>
                    <w:instrText xml:space="preserve"> REF 噪声2 \h \* MERGEFORMAT</w:instrText>
                  </w:r>
                  <w:r>
                    <w:rPr>
                      <w:rFonts w:hint="default" w:ascii="Times New Roman" w:hAnsi="Times New Roman" w:eastAsia="宋体" w:cs="Times New Roman"/>
                      <w:color w:val="auto"/>
                      <w:sz w:val="21"/>
                      <w:lang w:eastAsia="zh-CN"/>
                    </w:rPr>
                    <w:fldChar w:fldCharType="separate"/>
                  </w:r>
                  <w:r>
                    <w:rPr>
                      <w:rFonts w:hint="default" w:ascii="Times New Roman" w:hAnsi="Times New Roman" w:eastAsia="宋体" w:cs="Times New Roman"/>
                      <w:color w:val="auto"/>
                      <w:sz w:val="21"/>
                      <w:lang w:eastAsia="zh-CN"/>
                    </w:rPr>
                    <w:t>2# 中和场镇项目边界东南侧中和场镇初级中学处</w:t>
                  </w:r>
                  <w:r>
                    <w:rPr>
                      <w:rFonts w:hint="default" w:ascii="Times New Roman" w:hAnsi="Times New Roman" w:eastAsia="宋体" w:cs="Times New Roman"/>
                      <w:color w:val="auto"/>
                      <w:sz w:val="21"/>
                      <w:lang w:eastAsia="zh-CN"/>
                    </w:rPr>
                    <w:fldChar w:fldCharType="end"/>
                  </w:r>
                  <w:r>
                    <w:rPr>
                      <w:rFonts w:hint="default" w:ascii="Times New Roman" w:hAnsi="Times New Roman" w:eastAsia="宋体" w:cs="Times New Roman"/>
                      <w:color w:val="auto"/>
                      <w:sz w:val="21"/>
                      <w:lang w:eastAsia="zh-CN"/>
                    </w:rPr>
                    <w:br w:type="page"/>
                  </w:r>
                </w:p>
              </w:tc>
              <w:tc>
                <w:tcPr>
                  <w:tcW w:w="683" w:type="pct"/>
                  <w:vMerge w:val="continue"/>
                  <w:tcBorders>
                    <w:tl2br w:val="nil"/>
                    <w:tr2bl w:val="nil"/>
                  </w:tcBorders>
                  <w:vAlign w:val="center"/>
                </w:tcPr>
                <w:p w14:paraId="608D990A">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c>
                <w:tcPr>
                  <w:tcW w:w="1401" w:type="pct"/>
                  <w:tcBorders>
                    <w:tl2br w:val="nil"/>
                    <w:tr2bl w:val="nil"/>
                  </w:tcBorders>
                  <w:vAlign w:val="center"/>
                </w:tcPr>
                <w:p w14:paraId="03678197">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11:20-11:30（昼）</w:t>
                  </w:r>
                </w:p>
              </w:tc>
              <w:tc>
                <w:tcPr>
                  <w:tcW w:w="891" w:type="pct"/>
                  <w:tcBorders>
                    <w:tl2br w:val="nil"/>
                    <w:tr2bl w:val="nil"/>
                  </w:tcBorders>
                  <w:vAlign w:val="center"/>
                </w:tcPr>
                <w:p w14:paraId="396DF9E5">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50</w:t>
                  </w:r>
                </w:p>
              </w:tc>
              <w:tc>
                <w:tcPr>
                  <w:tcW w:w="802" w:type="pct"/>
                  <w:vMerge w:val="continue"/>
                  <w:tcBorders>
                    <w:tl2br w:val="nil"/>
                    <w:tr2bl w:val="nil"/>
                  </w:tcBorders>
                  <w:vAlign w:val="center"/>
                </w:tcPr>
                <w:p w14:paraId="69DE2DB3">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r>
            <w:tr w14:paraId="46315A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42" w:hRule="atLeast"/>
                <w:jc w:val="center"/>
              </w:trPr>
              <w:tc>
                <w:tcPr>
                  <w:tcW w:w="1221" w:type="pct"/>
                  <w:vMerge w:val="continue"/>
                  <w:tcBorders>
                    <w:tl2br w:val="nil"/>
                    <w:tr2bl w:val="nil"/>
                  </w:tcBorders>
                  <w:vAlign w:val="center"/>
                </w:tcPr>
                <w:p w14:paraId="05CDF6FF">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c>
                <w:tcPr>
                  <w:tcW w:w="683" w:type="pct"/>
                  <w:vMerge w:val="continue"/>
                  <w:tcBorders>
                    <w:tl2br w:val="nil"/>
                    <w:tr2bl w:val="nil"/>
                  </w:tcBorders>
                  <w:vAlign w:val="center"/>
                </w:tcPr>
                <w:p w14:paraId="0D828876">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c>
                <w:tcPr>
                  <w:tcW w:w="1401" w:type="pct"/>
                  <w:tcBorders>
                    <w:tl2br w:val="nil"/>
                    <w:tr2bl w:val="nil"/>
                  </w:tcBorders>
                  <w:vAlign w:val="center"/>
                </w:tcPr>
                <w:p w14:paraId="002004EA">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23:25-23:35（夜）</w:t>
                  </w:r>
                </w:p>
              </w:tc>
              <w:tc>
                <w:tcPr>
                  <w:tcW w:w="891" w:type="pct"/>
                  <w:tcBorders>
                    <w:tl2br w:val="nil"/>
                    <w:tr2bl w:val="nil"/>
                  </w:tcBorders>
                  <w:vAlign w:val="center"/>
                </w:tcPr>
                <w:p w14:paraId="1C25B818">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41</w:t>
                  </w:r>
                </w:p>
              </w:tc>
              <w:tc>
                <w:tcPr>
                  <w:tcW w:w="802" w:type="pct"/>
                  <w:vMerge w:val="continue"/>
                  <w:tcBorders>
                    <w:tl2br w:val="nil"/>
                    <w:tr2bl w:val="nil"/>
                  </w:tcBorders>
                  <w:vAlign w:val="center"/>
                </w:tcPr>
                <w:p w14:paraId="3C1F7501">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r>
            <w:tr w14:paraId="092819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42" w:hRule="atLeast"/>
                <w:jc w:val="center"/>
              </w:trPr>
              <w:tc>
                <w:tcPr>
                  <w:tcW w:w="1221" w:type="pct"/>
                  <w:vMerge w:val="restart"/>
                  <w:tcBorders>
                    <w:tl2br w:val="nil"/>
                    <w:tr2bl w:val="nil"/>
                  </w:tcBorders>
                  <w:vAlign w:val="center"/>
                </w:tcPr>
                <w:p w14:paraId="4F0B04AF">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fldChar w:fldCharType="begin"/>
                  </w:r>
                  <w:r>
                    <w:rPr>
                      <w:rFonts w:hint="default" w:ascii="Times New Roman" w:hAnsi="Times New Roman" w:eastAsia="宋体" w:cs="Times New Roman"/>
                      <w:color w:val="auto"/>
                      <w:sz w:val="21"/>
                      <w:lang w:eastAsia="zh-CN"/>
                    </w:rPr>
                    <w:instrText xml:space="preserve"> REF 噪声3 \h \* MERGEFORMAT</w:instrText>
                  </w:r>
                  <w:r>
                    <w:rPr>
                      <w:rFonts w:hint="default" w:ascii="Times New Roman" w:hAnsi="Times New Roman" w:eastAsia="宋体" w:cs="Times New Roman"/>
                      <w:color w:val="auto"/>
                      <w:sz w:val="21"/>
                      <w:lang w:eastAsia="zh-CN"/>
                    </w:rPr>
                    <w:fldChar w:fldCharType="separate"/>
                  </w:r>
                  <w:r>
                    <w:rPr>
                      <w:rFonts w:hint="default" w:ascii="Times New Roman" w:hAnsi="Times New Roman" w:eastAsia="宋体" w:cs="Times New Roman"/>
                      <w:color w:val="auto"/>
                      <w:sz w:val="21"/>
                      <w:lang w:eastAsia="zh-CN"/>
                    </w:rPr>
                    <w:t>3# 大佛镇项目边界西侧幸福小区</w:t>
                  </w:r>
                  <w:r>
                    <w:rPr>
                      <w:rFonts w:hint="default" w:ascii="Times New Roman" w:hAnsi="Times New Roman" w:eastAsia="宋体" w:cs="Times New Roman"/>
                      <w:color w:val="auto"/>
                      <w:sz w:val="21"/>
                      <w:lang w:eastAsia="zh-CN"/>
                    </w:rPr>
                    <w:fldChar w:fldCharType="end"/>
                  </w:r>
                  <w:r>
                    <w:rPr>
                      <w:rFonts w:hint="default" w:ascii="Times New Roman" w:hAnsi="Times New Roman" w:eastAsia="宋体" w:cs="Times New Roman"/>
                      <w:color w:val="auto"/>
                      <w:sz w:val="21"/>
                      <w:lang w:eastAsia="zh-CN"/>
                    </w:rPr>
                    <w:br w:type="page"/>
                  </w:r>
                </w:p>
              </w:tc>
              <w:tc>
                <w:tcPr>
                  <w:tcW w:w="683" w:type="pct"/>
                  <w:vMerge w:val="continue"/>
                  <w:tcBorders>
                    <w:tl2br w:val="nil"/>
                    <w:tr2bl w:val="nil"/>
                  </w:tcBorders>
                  <w:vAlign w:val="center"/>
                </w:tcPr>
                <w:p w14:paraId="63A1F3D7">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c>
                <w:tcPr>
                  <w:tcW w:w="1401" w:type="pct"/>
                  <w:tcBorders>
                    <w:tl2br w:val="nil"/>
                    <w:tr2bl w:val="nil"/>
                  </w:tcBorders>
                  <w:vAlign w:val="center"/>
                </w:tcPr>
                <w:p w14:paraId="246272F3">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09:58-10:08（昼）</w:t>
                  </w:r>
                </w:p>
              </w:tc>
              <w:tc>
                <w:tcPr>
                  <w:tcW w:w="891" w:type="pct"/>
                  <w:tcBorders>
                    <w:tl2br w:val="nil"/>
                    <w:tr2bl w:val="nil"/>
                  </w:tcBorders>
                  <w:vAlign w:val="center"/>
                </w:tcPr>
                <w:p w14:paraId="2D219051">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53</w:t>
                  </w:r>
                </w:p>
              </w:tc>
              <w:tc>
                <w:tcPr>
                  <w:tcW w:w="802" w:type="pct"/>
                  <w:vMerge w:val="continue"/>
                  <w:tcBorders>
                    <w:tl2br w:val="nil"/>
                    <w:tr2bl w:val="nil"/>
                  </w:tcBorders>
                  <w:vAlign w:val="center"/>
                </w:tcPr>
                <w:p w14:paraId="753C961F">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r>
            <w:tr w14:paraId="1BBF58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42" w:hRule="atLeast"/>
                <w:jc w:val="center"/>
              </w:trPr>
              <w:tc>
                <w:tcPr>
                  <w:tcW w:w="1221" w:type="pct"/>
                  <w:vMerge w:val="continue"/>
                  <w:tcBorders>
                    <w:tl2br w:val="nil"/>
                    <w:tr2bl w:val="nil"/>
                  </w:tcBorders>
                  <w:vAlign w:val="center"/>
                </w:tcPr>
                <w:p w14:paraId="43C0BE71">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c>
                <w:tcPr>
                  <w:tcW w:w="683" w:type="pct"/>
                  <w:vMerge w:val="continue"/>
                  <w:tcBorders>
                    <w:tl2br w:val="nil"/>
                    <w:tr2bl w:val="nil"/>
                  </w:tcBorders>
                  <w:vAlign w:val="center"/>
                </w:tcPr>
                <w:p w14:paraId="7EA863F8">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c>
                <w:tcPr>
                  <w:tcW w:w="1401" w:type="pct"/>
                  <w:tcBorders>
                    <w:tl2br w:val="nil"/>
                    <w:tr2bl w:val="nil"/>
                  </w:tcBorders>
                  <w:vAlign w:val="center"/>
                </w:tcPr>
                <w:p w14:paraId="58B986A0">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22:06-22:16（夜）</w:t>
                  </w:r>
                </w:p>
              </w:tc>
              <w:tc>
                <w:tcPr>
                  <w:tcW w:w="891" w:type="pct"/>
                  <w:tcBorders>
                    <w:tl2br w:val="nil"/>
                    <w:tr2bl w:val="nil"/>
                  </w:tcBorders>
                  <w:vAlign w:val="center"/>
                </w:tcPr>
                <w:p w14:paraId="135C063E">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44</w:t>
                  </w:r>
                </w:p>
              </w:tc>
              <w:tc>
                <w:tcPr>
                  <w:tcW w:w="802" w:type="pct"/>
                  <w:vMerge w:val="continue"/>
                  <w:tcBorders>
                    <w:tl2br w:val="nil"/>
                    <w:tr2bl w:val="nil"/>
                  </w:tcBorders>
                  <w:vAlign w:val="center"/>
                </w:tcPr>
                <w:p w14:paraId="1265009F">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r>
            <w:tr w14:paraId="067BDF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42" w:hRule="atLeast"/>
                <w:jc w:val="center"/>
              </w:trPr>
              <w:tc>
                <w:tcPr>
                  <w:tcW w:w="1221" w:type="pct"/>
                  <w:vMerge w:val="restart"/>
                  <w:tcBorders>
                    <w:tl2br w:val="nil"/>
                    <w:tr2bl w:val="nil"/>
                  </w:tcBorders>
                  <w:vAlign w:val="center"/>
                </w:tcPr>
                <w:p w14:paraId="658DE1AF">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fldChar w:fldCharType="begin"/>
                  </w:r>
                  <w:r>
                    <w:rPr>
                      <w:rFonts w:hint="default" w:ascii="Times New Roman" w:hAnsi="Times New Roman" w:eastAsia="宋体" w:cs="Times New Roman"/>
                      <w:color w:val="auto"/>
                      <w:sz w:val="21"/>
                      <w:lang w:eastAsia="zh-CN"/>
                    </w:rPr>
                    <w:instrText xml:space="preserve"> REF 噪声4 \h \* MERGEFORMAT</w:instrText>
                  </w:r>
                  <w:r>
                    <w:rPr>
                      <w:rFonts w:hint="default" w:ascii="Times New Roman" w:hAnsi="Times New Roman" w:eastAsia="宋体" w:cs="Times New Roman"/>
                      <w:color w:val="auto"/>
                      <w:sz w:val="21"/>
                      <w:lang w:eastAsia="zh-CN"/>
                    </w:rPr>
                    <w:fldChar w:fldCharType="separate"/>
                  </w:r>
                  <w:r>
                    <w:rPr>
                      <w:rFonts w:hint="default" w:ascii="Times New Roman" w:hAnsi="Times New Roman" w:eastAsia="宋体" w:cs="Times New Roman"/>
                      <w:color w:val="auto"/>
                      <w:sz w:val="21"/>
                      <w:lang w:eastAsia="zh-CN"/>
                    </w:rPr>
                    <w:t>4# 劳动镇项目边界东侧居民处</w:t>
                  </w:r>
                  <w:r>
                    <w:rPr>
                      <w:rFonts w:hint="default" w:ascii="Times New Roman" w:hAnsi="Times New Roman" w:eastAsia="宋体" w:cs="Times New Roman"/>
                      <w:color w:val="auto"/>
                      <w:sz w:val="21"/>
                      <w:lang w:eastAsia="zh-CN"/>
                    </w:rPr>
                    <w:fldChar w:fldCharType="end"/>
                  </w:r>
                  <w:r>
                    <w:rPr>
                      <w:rFonts w:hint="default" w:ascii="Times New Roman" w:hAnsi="Times New Roman" w:eastAsia="宋体" w:cs="Times New Roman"/>
                      <w:color w:val="auto"/>
                      <w:sz w:val="21"/>
                      <w:lang w:eastAsia="zh-CN"/>
                    </w:rPr>
                    <w:br w:type="page"/>
                  </w:r>
                </w:p>
              </w:tc>
              <w:tc>
                <w:tcPr>
                  <w:tcW w:w="683" w:type="pct"/>
                  <w:vMerge w:val="continue"/>
                  <w:tcBorders>
                    <w:tl2br w:val="nil"/>
                    <w:tr2bl w:val="nil"/>
                  </w:tcBorders>
                  <w:vAlign w:val="center"/>
                </w:tcPr>
                <w:p w14:paraId="6033719C">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c>
                <w:tcPr>
                  <w:tcW w:w="1401" w:type="pct"/>
                  <w:tcBorders>
                    <w:tl2br w:val="nil"/>
                    <w:tr2bl w:val="nil"/>
                  </w:tcBorders>
                  <w:vAlign w:val="center"/>
                </w:tcPr>
                <w:p w14:paraId="5227662E">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12:33-12:43（昼）</w:t>
                  </w:r>
                </w:p>
              </w:tc>
              <w:tc>
                <w:tcPr>
                  <w:tcW w:w="891" w:type="pct"/>
                  <w:tcBorders>
                    <w:tl2br w:val="nil"/>
                    <w:tr2bl w:val="nil"/>
                  </w:tcBorders>
                  <w:vAlign w:val="center"/>
                </w:tcPr>
                <w:p w14:paraId="1B1422FF">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52</w:t>
                  </w:r>
                </w:p>
              </w:tc>
              <w:tc>
                <w:tcPr>
                  <w:tcW w:w="802" w:type="pct"/>
                  <w:vMerge w:val="continue"/>
                  <w:tcBorders>
                    <w:tl2br w:val="nil"/>
                    <w:tr2bl w:val="nil"/>
                  </w:tcBorders>
                  <w:vAlign w:val="center"/>
                </w:tcPr>
                <w:p w14:paraId="43FEFC75">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r>
            <w:tr w14:paraId="18E014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42" w:hRule="atLeast"/>
                <w:jc w:val="center"/>
              </w:trPr>
              <w:tc>
                <w:tcPr>
                  <w:tcW w:w="1221" w:type="pct"/>
                  <w:vMerge w:val="continue"/>
                  <w:tcBorders>
                    <w:tl2br w:val="nil"/>
                    <w:tr2bl w:val="nil"/>
                  </w:tcBorders>
                  <w:vAlign w:val="center"/>
                </w:tcPr>
                <w:p w14:paraId="4A1C605D">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c>
                <w:tcPr>
                  <w:tcW w:w="683" w:type="pct"/>
                  <w:vMerge w:val="continue"/>
                  <w:tcBorders>
                    <w:tl2br w:val="nil"/>
                    <w:tr2bl w:val="nil"/>
                  </w:tcBorders>
                  <w:vAlign w:val="center"/>
                </w:tcPr>
                <w:p w14:paraId="753EFBE8">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c>
                <w:tcPr>
                  <w:tcW w:w="1401" w:type="pct"/>
                  <w:tcBorders>
                    <w:tl2br w:val="nil"/>
                    <w:tr2bl w:val="nil"/>
                  </w:tcBorders>
                  <w:vAlign w:val="center"/>
                </w:tcPr>
                <w:p w14:paraId="4E1BD685">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次日00:42-00:52（夜）</w:t>
                  </w:r>
                </w:p>
              </w:tc>
              <w:tc>
                <w:tcPr>
                  <w:tcW w:w="891" w:type="pct"/>
                  <w:tcBorders>
                    <w:tl2br w:val="nil"/>
                    <w:tr2bl w:val="nil"/>
                  </w:tcBorders>
                  <w:vAlign w:val="center"/>
                </w:tcPr>
                <w:p w14:paraId="554B85CA">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39</w:t>
                  </w:r>
                </w:p>
              </w:tc>
              <w:tc>
                <w:tcPr>
                  <w:tcW w:w="802" w:type="pct"/>
                  <w:vMerge w:val="continue"/>
                  <w:tcBorders>
                    <w:tl2br w:val="nil"/>
                    <w:tr2bl w:val="nil"/>
                  </w:tcBorders>
                  <w:vAlign w:val="center"/>
                </w:tcPr>
                <w:p w14:paraId="1DA951FB">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r>
            <w:tr w14:paraId="6245E7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42" w:hRule="atLeast"/>
                <w:jc w:val="center"/>
              </w:trPr>
              <w:tc>
                <w:tcPr>
                  <w:tcW w:w="1221" w:type="pct"/>
                  <w:vMerge w:val="restart"/>
                  <w:tcBorders>
                    <w:tl2br w:val="nil"/>
                    <w:tr2bl w:val="nil"/>
                  </w:tcBorders>
                  <w:vAlign w:val="center"/>
                </w:tcPr>
                <w:p w14:paraId="33F454E0">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fldChar w:fldCharType="begin"/>
                  </w:r>
                  <w:r>
                    <w:rPr>
                      <w:rFonts w:hint="default" w:ascii="Times New Roman" w:hAnsi="Times New Roman" w:eastAsia="宋体" w:cs="Times New Roman"/>
                      <w:color w:val="auto"/>
                      <w:sz w:val="21"/>
                      <w:lang w:eastAsia="zh-CN"/>
                    </w:rPr>
                    <w:instrText xml:space="preserve"> REF 噪声5 \h \* MERGEFORMAT</w:instrText>
                  </w:r>
                  <w:r>
                    <w:rPr>
                      <w:rFonts w:hint="default" w:ascii="Times New Roman" w:hAnsi="Times New Roman" w:eastAsia="宋体" w:cs="Times New Roman"/>
                      <w:color w:val="auto"/>
                      <w:sz w:val="21"/>
                      <w:lang w:eastAsia="zh-CN"/>
                    </w:rPr>
                    <w:fldChar w:fldCharType="separate"/>
                  </w:r>
                  <w:r>
                    <w:rPr>
                      <w:rFonts w:hint="default" w:ascii="Times New Roman" w:hAnsi="Times New Roman" w:eastAsia="宋体" w:cs="Times New Roman"/>
                      <w:color w:val="auto"/>
                      <w:sz w:val="21"/>
                      <w:lang w:eastAsia="zh-CN"/>
                    </w:rPr>
                    <w:t>5# 宝林镇项目边界西侧居民处</w:t>
                  </w:r>
                  <w:r>
                    <w:rPr>
                      <w:rFonts w:hint="default" w:ascii="Times New Roman" w:hAnsi="Times New Roman" w:eastAsia="宋体" w:cs="Times New Roman"/>
                      <w:color w:val="auto"/>
                      <w:sz w:val="21"/>
                      <w:lang w:eastAsia="zh-CN"/>
                    </w:rPr>
                    <w:fldChar w:fldCharType="end"/>
                  </w:r>
                  <w:r>
                    <w:rPr>
                      <w:rFonts w:hint="default" w:ascii="Times New Roman" w:hAnsi="Times New Roman" w:eastAsia="宋体" w:cs="Times New Roman"/>
                      <w:color w:val="auto"/>
                      <w:sz w:val="21"/>
                      <w:lang w:eastAsia="zh-CN"/>
                    </w:rPr>
                    <w:br w:type="page"/>
                  </w:r>
                </w:p>
              </w:tc>
              <w:tc>
                <w:tcPr>
                  <w:tcW w:w="683" w:type="pct"/>
                  <w:vMerge w:val="continue"/>
                  <w:tcBorders>
                    <w:tl2br w:val="nil"/>
                    <w:tr2bl w:val="nil"/>
                  </w:tcBorders>
                  <w:vAlign w:val="center"/>
                </w:tcPr>
                <w:p w14:paraId="2A248AB4">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c>
                <w:tcPr>
                  <w:tcW w:w="1401" w:type="pct"/>
                  <w:tcBorders>
                    <w:tl2br w:val="nil"/>
                    <w:tr2bl w:val="nil"/>
                  </w:tcBorders>
                  <w:vAlign w:val="center"/>
                </w:tcPr>
                <w:p w14:paraId="26840F0A">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12:00-12:10（昼）</w:t>
                  </w:r>
                </w:p>
              </w:tc>
              <w:tc>
                <w:tcPr>
                  <w:tcW w:w="891" w:type="pct"/>
                  <w:tcBorders>
                    <w:tl2br w:val="nil"/>
                    <w:tr2bl w:val="nil"/>
                  </w:tcBorders>
                  <w:vAlign w:val="center"/>
                </w:tcPr>
                <w:p w14:paraId="581DF20A">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51</w:t>
                  </w:r>
                </w:p>
              </w:tc>
              <w:tc>
                <w:tcPr>
                  <w:tcW w:w="802" w:type="pct"/>
                  <w:vMerge w:val="continue"/>
                  <w:tcBorders>
                    <w:tl2br w:val="nil"/>
                    <w:tr2bl w:val="nil"/>
                  </w:tcBorders>
                  <w:vAlign w:val="center"/>
                </w:tcPr>
                <w:p w14:paraId="2354AFF3">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r>
            <w:tr w14:paraId="1E13A4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42" w:hRule="atLeast"/>
                <w:jc w:val="center"/>
              </w:trPr>
              <w:tc>
                <w:tcPr>
                  <w:tcW w:w="1221" w:type="pct"/>
                  <w:vMerge w:val="continue"/>
                  <w:tcBorders>
                    <w:tl2br w:val="nil"/>
                    <w:tr2bl w:val="nil"/>
                  </w:tcBorders>
                  <w:vAlign w:val="center"/>
                </w:tcPr>
                <w:p w14:paraId="3B7B82E9">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c>
                <w:tcPr>
                  <w:tcW w:w="683" w:type="pct"/>
                  <w:vMerge w:val="continue"/>
                  <w:tcBorders>
                    <w:tl2br w:val="nil"/>
                    <w:tr2bl w:val="nil"/>
                  </w:tcBorders>
                  <w:vAlign w:val="center"/>
                </w:tcPr>
                <w:p w14:paraId="7013D88D">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c>
                <w:tcPr>
                  <w:tcW w:w="1401" w:type="pct"/>
                  <w:tcBorders>
                    <w:tl2br w:val="nil"/>
                    <w:tr2bl w:val="nil"/>
                  </w:tcBorders>
                  <w:vAlign w:val="center"/>
                </w:tcPr>
                <w:p w14:paraId="1EC8A1A3">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次日00:04-00:14（夜）</w:t>
                  </w:r>
                </w:p>
              </w:tc>
              <w:tc>
                <w:tcPr>
                  <w:tcW w:w="891" w:type="pct"/>
                  <w:tcBorders>
                    <w:tl2br w:val="nil"/>
                    <w:tr2bl w:val="nil"/>
                  </w:tcBorders>
                  <w:vAlign w:val="center"/>
                </w:tcPr>
                <w:p w14:paraId="250AA003">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41</w:t>
                  </w:r>
                </w:p>
              </w:tc>
              <w:tc>
                <w:tcPr>
                  <w:tcW w:w="802" w:type="pct"/>
                  <w:vMerge w:val="continue"/>
                  <w:tcBorders>
                    <w:tl2br w:val="nil"/>
                    <w:tr2bl w:val="nil"/>
                  </w:tcBorders>
                  <w:vAlign w:val="center"/>
                </w:tcPr>
                <w:p w14:paraId="5E459B1C">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r>
            <w:tr w14:paraId="54C761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42" w:hRule="atLeast"/>
                <w:jc w:val="center"/>
              </w:trPr>
              <w:tc>
                <w:tcPr>
                  <w:tcW w:w="1221" w:type="pct"/>
                  <w:vMerge w:val="restart"/>
                  <w:tcBorders>
                    <w:tl2br w:val="nil"/>
                    <w:tr2bl w:val="nil"/>
                  </w:tcBorders>
                  <w:vAlign w:val="center"/>
                </w:tcPr>
                <w:p w14:paraId="138934AE">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fldChar w:fldCharType="begin"/>
                  </w:r>
                  <w:r>
                    <w:rPr>
                      <w:rFonts w:hint="default" w:ascii="Times New Roman" w:hAnsi="Times New Roman" w:eastAsia="宋体" w:cs="Times New Roman"/>
                      <w:color w:val="auto"/>
                      <w:sz w:val="21"/>
                      <w:lang w:eastAsia="zh-CN"/>
                    </w:rPr>
                    <w:instrText xml:space="preserve"> REF 噪声6 \h \* MERGEFORMAT</w:instrText>
                  </w:r>
                  <w:r>
                    <w:rPr>
                      <w:rFonts w:hint="default" w:ascii="Times New Roman" w:hAnsi="Times New Roman" w:eastAsia="宋体" w:cs="Times New Roman"/>
                      <w:color w:val="auto"/>
                      <w:sz w:val="21"/>
                      <w:lang w:eastAsia="zh-CN"/>
                    </w:rPr>
                    <w:fldChar w:fldCharType="separate"/>
                  </w:r>
                  <w:r>
                    <w:rPr>
                      <w:rFonts w:hint="default" w:ascii="Times New Roman" w:hAnsi="Times New Roman" w:eastAsia="宋体" w:cs="Times New Roman"/>
                      <w:color w:val="auto"/>
                      <w:sz w:val="21"/>
                      <w:lang w:eastAsia="zh-CN"/>
                    </w:rPr>
                    <w:t>6# 高寺镇项目边界东南侧居民处</w:t>
                  </w:r>
                  <w:r>
                    <w:rPr>
                      <w:rFonts w:hint="default" w:ascii="Times New Roman" w:hAnsi="Times New Roman" w:eastAsia="宋体" w:cs="Times New Roman"/>
                      <w:color w:val="auto"/>
                      <w:sz w:val="21"/>
                      <w:lang w:eastAsia="zh-CN"/>
                    </w:rPr>
                    <w:fldChar w:fldCharType="end"/>
                  </w:r>
                  <w:r>
                    <w:rPr>
                      <w:rFonts w:hint="default" w:ascii="Times New Roman" w:hAnsi="Times New Roman" w:eastAsia="宋体" w:cs="Times New Roman"/>
                      <w:color w:val="auto"/>
                      <w:sz w:val="21"/>
                      <w:lang w:eastAsia="zh-CN"/>
                    </w:rPr>
                    <w:br w:type="page"/>
                  </w:r>
                </w:p>
              </w:tc>
              <w:tc>
                <w:tcPr>
                  <w:tcW w:w="683" w:type="pct"/>
                  <w:vMerge w:val="continue"/>
                  <w:tcBorders>
                    <w:tl2br w:val="nil"/>
                    <w:tr2bl w:val="nil"/>
                  </w:tcBorders>
                  <w:vAlign w:val="center"/>
                </w:tcPr>
                <w:p w14:paraId="5BC219E4">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c>
                <w:tcPr>
                  <w:tcW w:w="1401" w:type="pct"/>
                  <w:tcBorders>
                    <w:tl2br w:val="nil"/>
                    <w:tr2bl w:val="nil"/>
                  </w:tcBorders>
                  <w:vAlign w:val="center"/>
                </w:tcPr>
                <w:p w14:paraId="748E6293">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13:40-13:50（昼）</w:t>
                  </w:r>
                </w:p>
              </w:tc>
              <w:tc>
                <w:tcPr>
                  <w:tcW w:w="891" w:type="pct"/>
                  <w:tcBorders>
                    <w:tl2br w:val="nil"/>
                    <w:tr2bl w:val="nil"/>
                  </w:tcBorders>
                  <w:vAlign w:val="center"/>
                </w:tcPr>
                <w:p w14:paraId="5D1AAD5F">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49</w:t>
                  </w:r>
                </w:p>
              </w:tc>
              <w:tc>
                <w:tcPr>
                  <w:tcW w:w="802" w:type="pct"/>
                  <w:vMerge w:val="continue"/>
                  <w:tcBorders>
                    <w:tl2br w:val="nil"/>
                    <w:tr2bl w:val="nil"/>
                  </w:tcBorders>
                  <w:vAlign w:val="center"/>
                </w:tcPr>
                <w:p w14:paraId="1272997C">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r>
            <w:tr w14:paraId="25FAB8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42" w:hRule="atLeast"/>
                <w:jc w:val="center"/>
              </w:trPr>
              <w:tc>
                <w:tcPr>
                  <w:tcW w:w="1221" w:type="pct"/>
                  <w:vMerge w:val="continue"/>
                  <w:tcBorders>
                    <w:tl2br w:val="nil"/>
                    <w:tr2bl w:val="nil"/>
                  </w:tcBorders>
                  <w:vAlign w:val="center"/>
                </w:tcPr>
                <w:p w14:paraId="64B18754">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c>
                <w:tcPr>
                  <w:tcW w:w="683" w:type="pct"/>
                  <w:vMerge w:val="continue"/>
                  <w:tcBorders>
                    <w:tl2br w:val="nil"/>
                    <w:tr2bl w:val="nil"/>
                  </w:tcBorders>
                  <w:vAlign w:val="center"/>
                </w:tcPr>
                <w:p w14:paraId="339BB7EE">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c>
                <w:tcPr>
                  <w:tcW w:w="1401" w:type="pct"/>
                  <w:tcBorders>
                    <w:tl2br w:val="nil"/>
                    <w:tr2bl w:val="nil"/>
                  </w:tcBorders>
                  <w:vAlign w:val="center"/>
                </w:tcPr>
                <w:p w14:paraId="07BB19D1">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次日01:37-01:47（夜）</w:t>
                  </w:r>
                </w:p>
              </w:tc>
              <w:tc>
                <w:tcPr>
                  <w:tcW w:w="891" w:type="pct"/>
                  <w:tcBorders>
                    <w:tl2br w:val="nil"/>
                    <w:tr2bl w:val="nil"/>
                  </w:tcBorders>
                  <w:vAlign w:val="center"/>
                </w:tcPr>
                <w:p w14:paraId="3B149C89">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42</w:t>
                  </w:r>
                </w:p>
              </w:tc>
              <w:tc>
                <w:tcPr>
                  <w:tcW w:w="802" w:type="pct"/>
                  <w:vMerge w:val="continue"/>
                  <w:tcBorders>
                    <w:tl2br w:val="nil"/>
                    <w:tr2bl w:val="nil"/>
                  </w:tcBorders>
                  <w:vAlign w:val="center"/>
                </w:tcPr>
                <w:p w14:paraId="26650E14">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r>
            <w:tr w14:paraId="7749B4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42" w:hRule="atLeast"/>
                <w:jc w:val="center"/>
              </w:trPr>
              <w:tc>
                <w:tcPr>
                  <w:tcW w:w="1221" w:type="pct"/>
                  <w:vMerge w:val="restart"/>
                  <w:tcBorders>
                    <w:tl2br w:val="nil"/>
                    <w:tr2bl w:val="nil"/>
                  </w:tcBorders>
                  <w:vAlign w:val="center"/>
                </w:tcPr>
                <w:p w14:paraId="31012757">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br w:type="page"/>
                  </w:r>
                  <w:r>
                    <w:rPr>
                      <w:rFonts w:hint="default" w:ascii="Times New Roman" w:hAnsi="Times New Roman" w:eastAsia="宋体" w:cs="Times New Roman"/>
                      <w:color w:val="auto"/>
                      <w:sz w:val="21"/>
                      <w:lang w:eastAsia="zh-CN"/>
                    </w:rPr>
                    <w:fldChar w:fldCharType="begin"/>
                  </w:r>
                  <w:r>
                    <w:rPr>
                      <w:rFonts w:hint="default" w:ascii="Times New Roman" w:hAnsi="Times New Roman" w:eastAsia="宋体" w:cs="Times New Roman"/>
                      <w:color w:val="auto"/>
                      <w:sz w:val="21"/>
                      <w:lang w:eastAsia="zh-CN"/>
                    </w:rPr>
                    <w:instrText xml:space="preserve"> REF 噪声7 \h \* MERGEFORMAT</w:instrText>
                  </w:r>
                  <w:r>
                    <w:rPr>
                      <w:rFonts w:hint="default" w:ascii="Times New Roman" w:hAnsi="Times New Roman" w:eastAsia="宋体" w:cs="Times New Roman"/>
                      <w:color w:val="auto"/>
                      <w:sz w:val="21"/>
                      <w:lang w:eastAsia="zh-CN"/>
                    </w:rPr>
                    <w:fldChar w:fldCharType="separate"/>
                  </w:r>
                  <w:r>
                    <w:rPr>
                      <w:rFonts w:hint="default" w:ascii="Times New Roman" w:hAnsi="Times New Roman" w:eastAsia="宋体" w:cs="Times New Roman"/>
                      <w:color w:val="auto"/>
                      <w:sz w:val="21"/>
                      <w:lang w:eastAsia="zh-CN"/>
                    </w:rPr>
                    <w:t>7# 天池街道项目边界东南侧乐至县公安局处</w:t>
                  </w:r>
                  <w:r>
                    <w:rPr>
                      <w:rFonts w:hint="default" w:ascii="Times New Roman" w:hAnsi="Times New Roman" w:eastAsia="宋体" w:cs="Times New Roman"/>
                      <w:color w:val="auto"/>
                      <w:sz w:val="21"/>
                      <w:lang w:eastAsia="zh-CN"/>
                    </w:rPr>
                    <w:fldChar w:fldCharType="end"/>
                  </w:r>
                  <w:r>
                    <w:rPr>
                      <w:rFonts w:hint="default" w:ascii="Times New Roman" w:hAnsi="Times New Roman" w:eastAsia="宋体" w:cs="Times New Roman"/>
                      <w:color w:val="auto"/>
                      <w:sz w:val="21"/>
                      <w:lang w:eastAsia="zh-CN"/>
                    </w:rPr>
                    <w:br w:type="page"/>
                  </w:r>
                </w:p>
              </w:tc>
              <w:tc>
                <w:tcPr>
                  <w:tcW w:w="683" w:type="pct"/>
                  <w:vMerge w:val="restart"/>
                  <w:tcBorders>
                    <w:tl2br w:val="nil"/>
                    <w:tr2bl w:val="nil"/>
                  </w:tcBorders>
                  <w:vAlign w:val="center"/>
                </w:tcPr>
                <w:p w14:paraId="3BCA61A1">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11月12日</w:t>
                  </w:r>
                </w:p>
              </w:tc>
              <w:tc>
                <w:tcPr>
                  <w:tcW w:w="1401" w:type="pct"/>
                  <w:tcBorders>
                    <w:tl2br w:val="nil"/>
                    <w:tr2bl w:val="nil"/>
                  </w:tcBorders>
                  <w:vAlign w:val="center"/>
                </w:tcPr>
                <w:p w14:paraId="0E748652">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14:19-14:29（昼）</w:t>
                  </w:r>
                </w:p>
              </w:tc>
              <w:tc>
                <w:tcPr>
                  <w:tcW w:w="891" w:type="pct"/>
                  <w:tcBorders>
                    <w:tl2br w:val="nil"/>
                    <w:tr2bl w:val="nil"/>
                  </w:tcBorders>
                  <w:vAlign w:val="center"/>
                </w:tcPr>
                <w:p w14:paraId="5929D4DA">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54</w:t>
                  </w:r>
                </w:p>
              </w:tc>
              <w:tc>
                <w:tcPr>
                  <w:tcW w:w="802" w:type="pct"/>
                  <w:vMerge w:val="restart"/>
                  <w:tcBorders>
                    <w:tl2br w:val="nil"/>
                    <w:tr2bl w:val="nil"/>
                  </w:tcBorders>
                  <w:vAlign w:val="center"/>
                </w:tcPr>
                <w:p w14:paraId="3620CDC3">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昼间≤60</w:t>
                  </w:r>
                </w:p>
                <w:p w14:paraId="75246951">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夜间≤50</w:t>
                  </w:r>
                </w:p>
              </w:tc>
            </w:tr>
            <w:tr w14:paraId="11985B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442" w:hRule="atLeast"/>
                <w:jc w:val="center"/>
              </w:trPr>
              <w:tc>
                <w:tcPr>
                  <w:tcW w:w="1221" w:type="pct"/>
                  <w:vMerge w:val="continue"/>
                  <w:tcBorders>
                    <w:tl2br w:val="nil"/>
                    <w:tr2bl w:val="nil"/>
                  </w:tcBorders>
                  <w:vAlign w:val="center"/>
                </w:tcPr>
                <w:p w14:paraId="634BC56A">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c>
                <w:tcPr>
                  <w:tcW w:w="683" w:type="pct"/>
                  <w:vMerge w:val="continue"/>
                  <w:tcBorders>
                    <w:tl2br w:val="nil"/>
                    <w:tr2bl w:val="nil"/>
                  </w:tcBorders>
                  <w:vAlign w:val="center"/>
                </w:tcPr>
                <w:p w14:paraId="2DC20195">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c>
                <w:tcPr>
                  <w:tcW w:w="1401" w:type="pct"/>
                  <w:tcBorders>
                    <w:tl2br w:val="nil"/>
                    <w:tr2bl w:val="nil"/>
                  </w:tcBorders>
                  <w:vAlign w:val="center"/>
                </w:tcPr>
                <w:p w14:paraId="36D97FED">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次日02:19-02:29（夜）</w:t>
                  </w:r>
                </w:p>
              </w:tc>
              <w:tc>
                <w:tcPr>
                  <w:tcW w:w="891" w:type="pct"/>
                  <w:tcBorders>
                    <w:tl2br w:val="nil"/>
                    <w:tr2bl w:val="nil"/>
                  </w:tcBorders>
                  <w:vAlign w:val="center"/>
                </w:tcPr>
                <w:p w14:paraId="565E28F6">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42</w:t>
                  </w:r>
                </w:p>
              </w:tc>
              <w:tc>
                <w:tcPr>
                  <w:tcW w:w="802" w:type="pct"/>
                  <w:vMerge w:val="continue"/>
                  <w:tcBorders>
                    <w:tl2br w:val="nil"/>
                    <w:tr2bl w:val="nil"/>
                  </w:tcBorders>
                  <w:vAlign w:val="center"/>
                </w:tcPr>
                <w:p w14:paraId="362191F7">
                  <w:pPr>
                    <w:pStyle w:val="46"/>
                    <w:widowControl w:val="0"/>
                    <w:kinsoku/>
                    <w:autoSpaceDE/>
                    <w:autoSpaceDN/>
                    <w:adjustRightInd/>
                    <w:snapToGrid/>
                    <w:jc w:val="center"/>
                    <w:textAlignment w:val="auto"/>
                    <w:rPr>
                      <w:rFonts w:hint="default" w:ascii="Times New Roman" w:hAnsi="Times New Roman" w:eastAsia="宋体" w:cs="Times New Roman"/>
                      <w:color w:val="auto"/>
                      <w:sz w:val="21"/>
                      <w:lang w:eastAsia="zh-CN"/>
                    </w:rPr>
                  </w:pPr>
                </w:p>
              </w:tc>
            </w:tr>
          </w:tbl>
          <w:p w14:paraId="16FEBD6E">
            <w:pPr>
              <w:spacing w:line="360" w:lineRule="auto"/>
              <w:ind w:firstLine="594"/>
              <w:rPr>
                <w:rFonts w:hint="default" w:ascii="Times New Roman" w:hAnsi="Times New Roman" w:eastAsia="宋体" w:cs="Times New Roman"/>
                <w:color w:val="auto"/>
                <w:sz w:val="24"/>
              </w:rPr>
            </w:pPr>
          </w:p>
          <w:p w14:paraId="34C0ABC8">
            <w:pPr>
              <w:spacing w:line="360" w:lineRule="auto"/>
              <w:ind w:firstLine="594"/>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由监测结果可知，区域内各点位昼、夜间噪声均满足《声环境质量标准》（GB3096-2008）中2类标准限值的规定。</w:t>
            </w:r>
          </w:p>
          <w:p w14:paraId="213B8046">
            <w:pPr>
              <w:spacing w:line="360" w:lineRule="auto"/>
              <w:ind w:firstLine="594"/>
              <w:rPr>
                <w:rFonts w:hint="default" w:ascii="Times New Roman" w:hAnsi="Times New Roman" w:eastAsia="宋体" w:cs="Times New Roman"/>
                <w:color w:val="auto"/>
                <w:sz w:val="24"/>
              </w:rPr>
            </w:pPr>
          </w:p>
          <w:p w14:paraId="5E1F5686">
            <w:pPr>
              <w:spacing w:line="360" w:lineRule="auto"/>
              <w:ind w:firstLine="594"/>
              <w:rPr>
                <w:rFonts w:hint="default" w:ascii="Times New Roman" w:hAnsi="Times New Roman" w:eastAsia="宋体" w:cs="Times New Roman"/>
                <w:color w:val="auto"/>
                <w:sz w:val="24"/>
              </w:rPr>
            </w:pPr>
          </w:p>
          <w:p w14:paraId="0625E1F3">
            <w:pPr>
              <w:spacing w:line="360" w:lineRule="auto"/>
              <w:ind w:firstLine="594"/>
              <w:rPr>
                <w:rFonts w:hint="default" w:ascii="Times New Roman" w:hAnsi="Times New Roman" w:eastAsia="宋体" w:cs="Times New Roman"/>
                <w:color w:val="auto"/>
                <w:sz w:val="24"/>
              </w:rPr>
            </w:pPr>
          </w:p>
          <w:p w14:paraId="530DC9C9">
            <w:pPr>
              <w:spacing w:line="360" w:lineRule="auto"/>
              <w:ind w:firstLine="594"/>
              <w:rPr>
                <w:rFonts w:hint="default" w:ascii="Times New Roman" w:hAnsi="Times New Roman" w:eastAsia="宋体" w:cs="Times New Roman"/>
                <w:color w:val="auto"/>
                <w:sz w:val="24"/>
              </w:rPr>
            </w:pPr>
          </w:p>
          <w:p w14:paraId="19D40D18">
            <w:pPr>
              <w:spacing w:line="360" w:lineRule="auto"/>
              <w:ind w:firstLine="594"/>
              <w:rPr>
                <w:rFonts w:hint="default" w:ascii="Times New Roman" w:hAnsi="Times New Roman" w:eastAsia="宋体" w:cs="Times New Roman"/>
                <w:color w:val="auto"/>
                <w:sz w:val="24"/>
              </w:rPr>
            </w:pPr>
          </w:p>
          <w:p w14:paraId="74235E31">
            <w:pPr>
              <w:spacing w:line="360" w:lineRule="auto"/>
              <w:rPr>
                <w:rFonts w:hint="default" w:ascii="Times New Roman" w:hAnsi="Times New Roman" w:eastAsia="宋体" w:cs="Times New Roman"/>
                <w:color w:val="auto"/>
                <w:sz w:val="24"/>
              </w:rPr>
            </w:pPr>
          </w:p>
          <w:p w14:paraId="5B7B0C52">
            <w:pPr>
              <w:spacing w:line="360" w:lineRule="auto"/>
              <w:rPr>
                <w:rFonts w:hint="default" w:ascii="Times New Roman" w:hAnsi="Times New Roman" w:eastAsia="宋体" w:cs="Times New Roman"/>
                <w:color w:val="auto"/>
                <w:sz w:val="24"/>
              </w:rPr>
            </w:pPr>
          </w:p>
          <w:p w14:paraId="48554261">
            <w:pPr>
              <w:pStyle w:val="2"/>
              <w:rPr>
                <w:rFonts w:hint="default" w:ascii="Times New Roman" w:hAnsi="Times New Roman" w:eastAsia="宋体" w:cs="Times New Roman"/>
                <w:color w:val="auto"/>
                <w:sz w:val="24"/>
              </w:rPr>
            </w:pPr>
          </w:p>
          <w:p w14:paraId="1130241B">
            <w:pPr>
              <w:pStyle w:val="2"/>
              <w:rPr>
                <w:rFonts w:hint="default" w:ascii="Times New Roman" w:hAnsi="Times New Roman" w:eastAsia="宋体" w:cs="Times New Roman"/>
                <w:color w:val="auto"/>
                <w:sz w:val="24"/>
              </w:rPr>
            </w:pPr>
          </w:p>
          <w:p w14:paraId="1B4532F6">
            <w:pPr>
              <w:pStyle w:val="2"/>
              <w:rPr>
                <w:rFonts w:hint="default" w:ascii="Times New Roman" w:hAnsi="Times New Roman" w:eastAsia="宋体" w:cs="Times New Roman"/>
                <w:color w:val="auto"/>
                <w:sz w:val="24"/>
              </w:rPr>
            </w:pPr>
          </w:p>
          <w:p w14:paraId="72E6380E">
            <w:pPr>
              <w:pStyle w:val="2"/>
              <w:rPr>
                <w:rFonts w:hint="default" w:ascii="Times New Roman" w:hAnsi="Times New Roman" w:eastAsia="宋体" w:cs="Times New Roman"/>
                <w:color w:val="auto"/>
                <w:sz w:val="24"/>
              </w:rPr>
            </w:pPr>
          </w:p>
          <w:p w14:paraId="57F6C765">
            <w:pPr>
              <w:pStyle w:val="2"/>
              <w:rPr>
                <w:rFonts w:hint="default" w:ascii="Times New Roman" w:hAnsi="Times New Roman" w:eastAsia="宋体" w:cs="Times New Roman"/>
                <w:color w:val="auto"/>
                <w:sz w:val="24"/>
              </w:rPr>
            </w:pPr>
          </w:p>
          <w:p w14:paraId="40D301EB">
            <w:pPr>
              <w:pStyle w:val="2"/>
              <w:rPr>
                <w:rFonts w:hint="default" w:ascii="Times New Roman" w:hAnsi="Times New Roman" w:eastAsia="宋体" w:cs="Times New Roman"/>
                <w:color w:val="auto"/>
                <w:sz w:val="24"/>
              </w:rPr>
            </w:pPr>
          </w:p>
          <w:p w14:paraId="18B9A69F">
            <w:pPr>
              <w:spacing w:line="360" w:lineRule="auto"/>
              <w:rPr>
                <w:rFonts w:hint="default" w:ascii="Times New Roman" w:hAnsi="Times New Roman" w:eastAsia="宋体" w:cs="Times New Roman"/>
                <w:color w:val="auto"/>
                <w:sz w:val="24"/>
              </w:rPr>
            </w:pPr>
          </w:p>
          <w:p w14:paraId="084A4130">
            <w:pPr>
              <w:spacing w:line="360" w:lineRule="auto"/>
              <w:ind w:firstLine="594"/>
              <w:rPr>
                <w:rFonts w:hint="default" w:ascii="Times New Roman" w:hAnsi="Times New Roman" w:eastAsia="宋体" w:cs="Times New Roman"/>
                <w:color w:val="auto"/>
                <w:sz w:val="24"/>
              </w:rPr>
            </w:pPr>
          </w:p>
          <w:p w14:paraId="732EAB7C">
            <w:pPr>
              <w:spacing w:line="360" w:lineRule="auto"/>
              <w:ind w:firstLine="594"/>
              <w:rPr>
                <w:rFonts w:hint="default" w:ascii="Times New Roman" w:hAnsi="Times New Roman" w:eastAsia="宋体" w:cs="Times New Roman"/>
                <w:color w:val="auto"/>
                <w:sz w:val="24"/>
              </w:rPr>
            </w:pPr>
          </w:p>
          <w:p w14:paraId="2E252ED1">
            <w:pPr>
              <w:spacing w:line="360" w:lineRule="auto"/>
              <w:ind w:firstLine="594"/>
              <w:rPr>
                <w:rFonts w:hint="default" w:ascii="Times New Roman" w:hAnsi="Times New Roman" w:eastAsia="宋体" w:cs="Times New Roman"/>
                <w:color w:val="auto"/>
                <w:sz w:val="24"/>
                <w:szCs w:val="24"/>
              </w:rPr>
            </w:pPr>
          </w:p>
        </w:tc>
      </w:tr>
    </w:tbl>
    <w:p w14:paraId="03637D7F">
      <w:pPr>
        <w:rPr>
          <w:rFonts w:hint="default" w:ascii="Times New Roman" w:hAnsi="Times New Roman" w:eastAsia="宋体" w:cs="Times New Roman"/>
          <w:color w:val="auto"/>
        </w:rPr>
      </w:pPr>
    </w:p>
    <w:p w14:paraId="48A2BB23">
      <w:pPr>
        <w:rPr>
          <w:rFonts w:hint="default" w:ascii="Times New Roman" w:hAnsi="Times New Roman" w:eastAsia="宋体" w:cs="Times New Roman"/>
          <w:color w:val="auto"/>
        </w:rPr>
        <w:sectPr>
          <w:pgSz w:w="11906" w:h="16839"/>
          <w:pgMar w:top="1431" w:right="1687" w:bottom="1179" w:left="1687" w:header="0" w:footer="1001" w:gutter="0"/>
          <w:cols w:space="720" w:num="1"/>
        </w:sectPr>
      </w:pPr>
    </w:p>
    <w:p w14:paraId="2020E747">
      <w:pPr>
        <w:spacing w:line="91" w:lineRule="auto"/>
        <w:rPr>
          <w:rFonts w:hint="default" w:ascii="Times New Roman" w:hAnsi="Times New Roman" w:eastAsia="宋体" w:cs="Times New Roman"/>
          <w:color w:val="auto"/>
          <w:sz w:val="2"/>
        </w:rPr>
      </w:pPr>
    </w:p>
    <w:p w14:paraId="1A869AC6">
      <w:pPr>
        <w:spacing w:line="91" w:lineRule="auto"/>
        <w:rPr>
          <w:rFonts w:hint="default" w:ascii="Times New Roman" w:hAnsi="Times New Roman" w:eastAsia="宋体" w:cs="Times New Roman"/>
          <w:color w:val="auto"/>
          <w:sz w:val="2"/>
        </w:rPr>
      </w:pPr>
    </w:p>
    <w:p w14:paraId="518C8C96">
      <w:pPr>
        <w:spacing w:line="91" w:lineRule="auto"/>
        <w:rPr>
          <w:rFonts w:hint="default" w:ascii="Times New Roman" w:hAnsi="Times New Roman" w:eastAsia="宋体" w:cs="Times New Roman"/>
          <w:color w:val="auto"/>
          <w:sz w:val="2"/>
        </w:rPr>
      </w:pPr>
    </w:p>
    <w:tbl>
      <w:tblPr>
        <w:tblStyle w:val="43"/>
        <w:tblW w:w="8787"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476"/>
        <w:gridCol w:w="8311"/>
      </w:tblGrid>
      <w:tr w14:paraId="478AAB9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77" w:hRule="atLeast"/>
          <w:jc w:val="center"/>
        </w:trPr>
        <w:tc>
          <w:tcPr>
            <w:tcW w:w="476" w:type="dxa"/>
            <w:textDirection w:val="tbRlV"/>
            <w:vAlign w:val="center"/>
          </w:tcPr>
          <w:p w14:paraId="52AC3FE4">
            <w:pPr>
              <w:spacing w:before="109" w:line="180" w:lineRule="auto"/>
              <w:ind w:firstLine="41"/>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1"/>
                <w:sz w:val="24"/>
                <w:szCs w:val="24"/>
              </w:rPr>
              <w:t>与项目有关的原有环境污染和生态破坏</w:t>
            </w:r>
            <w:r>
              <w:rPr>
                <w:rFonts w:hint="default" w:ascii="Times New Roman" w:hAnsi="Times New Roman" w:eastAsia="宋体" w:cs="Times New Roman"/>
                <w:color w:val="auto"/>
                <w:spacing w:val="-1"/>
                <w:position w:val="1"/>
                <w:sz w:val="24"/>
                <w:szCs w:val="24"/>
              </w:rPr>
              <w:t>问</w:t>
            </w:r>
            <w:r>
              <w:rPr>
                <w:rFonts w:hint="default" w:ascii="Times New Roman" w:hAnsi="Times New Roman" w:eastAsia="宋体" w:cs="Times New Roman"/>
                <w:color w:val="auto"/>
                <w:spacing w:val="-1"/>
                <w:sz w:val="24"/>
                <w:szCs w:val="24"/>
              </w:rPr>
              <w:t>题</w:t>
            </w:r>
          </w:p>
        </w:tc>
        <w:tc>
          <w:tcPr>
            <w:tcW w:w="8311" w:type="dxa"/>
            <w:vAlign w:val="center"/>
          </w:tcPr>
          <w:p w14:paraId="083523BA">
            <w:pPr>
              <w:spacing w:before="3" w:line="360" w:lineRule="auto"/>
              <w:ind w:left="113" w:right="106" w:firstLine="486"/>
              <w:jc w:val="both"/>
              <w:rPr>
                <w:rFonts w:hint="default" w:ascii="Times New Roman" w:hAnsi="Times New Roman" w:eastAsia="宋体" w:cs="Times New Roman"/>
                <w:color w:val="auto"/>
                <w:sz w:val="24"/>
                <w:szCs w:val="24"/>
                <w:lang w:val="en-US" w:eastAsia="zh-CN"/>
              </w:rPr>
            </w:pPr>
            <w:bookmarkStart w:id="28" w:name="_Toc356551542"/>
            <w:bookmarkStart w:id="29" w:name="_Toc16223"/>
            <w:bookmarkStart w:id="30" w:name="_Toc30825"/>
            <w:bookmarkStart w:id="31" w:name="_Toc24807"/>
            <w:bookmarkStart w:id="32" w:name="_Toc22118"/>
            <w:bookmarkStart w:id="33" w:name="_Toc19805"/>
            <w:bookmarkStart w:id="34" w:name="_Toc8400"/>
            <w:bookmarkStart w:id="35" w:name="_Toc338401254"/>
            <w:r>
              <w:rPr>
                <w:rFonts w:hint="default" w:ascii="Times New Roman" w:hAnsi="Times New Roman" w:eastAsia="宋体" w:cs="Times New Roman"/>
                <w:color w:val="auto"/>
                <w:sz w:val="24"/>
                <w:szCs w:val="24"/>
                <w:lang w:val="en-US" w:eastAsia="zh-CN"/>
              </w:rPr>
              <w:t>（1）土壤调查</w:t>
            </w:r>
            <w:bookmarkEnd w:id="28"/>
            <w:bookmarkEnd w:id="29"/>
            <w:bookmarkEnd w:id="30"/>
            <w:bookmarkEnd w:id="31"/>
            <w:bookmarkEnd w:id="32"/>
            <w:bookmarkEnd w:id="33"/>
            <w:bookmarkEnd w:id="34"/>
            <w:bookmarkEnd w:id="35"/>
          </w:p>
          <w:p w14:paraId="5410A886">
            <w:pPr>
              <w:spacing w:before="3" w:line="360" w:lineRule="auto"/>
              <w:ind w:left="113" w:right="106" w:firstLine="486"/>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根据项目区土壤为中性紫色土，壤质，土壤厚度在25~70cm之间，普遍为40~50cm，部分地块土层瘠薄；土壤PH值在7.0~7.6之间，属于中性偏弱碱性；外业调查共采集12份土壤样品进行检测，根据实验室测定数据，PH值在7.38~7.47之前，土壤全磷（TP）含量在0.56~0.68g/kg之间，全钾（TK）含量在8.05~10.26g/kg之间，全氮（TN）含量在0.92~1.48g/kg之间。</w:t>
            </w:r>
          </w:p>
          <w:p w14:paraId="6711051E">
            <w:pPr>
              <w:spacing w:before="3" w:line="360" w:lineRule="auto"/>
              <w:ind w:left="113" w:right="106" w:firstLine="486"/>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（2）黄柏集约人工林栽培</w:t>
            </w:r>
          </w:p>
          <w:p w14:paraId="13BAFDA4">
            <w:pPr>
              <w:spacing w:before="3" w:line="360" w:lineRule="auto"/>
              <w:ind w:left="113" w:right="106" w:firstLine="486"/>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本项目共调查集约人工林栽培小班632个，面积共7628.4亩。</w:t>
            </w:r>
          </w:p>
          <w:p w14:paraId="1987C21A">
            <w:pPr>
              <w:spacing w:before="3" w:line="360" w:lineRule="auto"/>
              <w:ind w:left="113" w:right="106" w:firstLine="486"/>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按地类分：采伐迹地1372.1亩；灌木林地5598.4亩；宜林地122.8亩；竹林地535.1亩。</w:t>
            </w:r>
          </w:p>
          <w:p w14:paraId="341179CE">
            <w:pPr>
              <w:spacing w:before="3" w:line="360" w:lineRule="auto"/>
              <w:ind w:left="113" w:right="106" w:firstLine="486"/>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按地权分：均为集体。</w:t>
            </w:r>
          </w:p>
          <w:p w14:paraId="541F9282">
            <w:pPr>
              <w:spacing w:before="3" w:line="360" w:lineRule="auto"/>
              <w:ind w:left="113" w:right="106" w:firstLine="486"/>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按林权分：均为个人。</w:t>
            </w:r>
          </w:p>
          <w:p w14:paraId="0A1B42D1">
            <w:pPr>
              <w:spacing w:before="3" w:line="360" w:lineRule="auto"/>
              <w:ind w:left="113" w:right="106" w:firstLine="486"/>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按森林类别分：均为商品林。</w:t>
            </w:r>
          </w:p>
          <w:p w14:paraId="2621B964">
            <w:pPr>
              <w:spacing w:before="3" w:line="360" w:lineRule="auto"/>
              <w:ind w:left="113" w:right="106" w:firstLine="486"/>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按行政区划分：天池镇902.6亩；中和场镇455.3亩；良安镇3421.0亩；劳动镇554.1亩；大佛镇2295.4亩。</w:t>
            </w:r>
          </w:p>
          <w:p w14:paraId="5CCF58D8">
            <w:pPr>
              <w:spacing w:before="3" w:line="360" w:lineRule="auto"/>
              <w:ind w:left="113" w:right="106" w:firstLine="486"/>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集约人工林栽培地块地权均为集体，林权为个人，土壤厚度在40~70cm之间，立地条件较好，大部分小班现状为灌木林地和采伐迹地，小部分为宜林地和竹林地。</w:t>
            </w:r>
          </w:p>
          <w:p w14:paraId="1E837222">
            <w:pPr>
              <w:spacing w:before="3" w:line="360" w:lineRule="auto"/>
              <w:ind w:left="113" w:right="106" w:firstLine="486"/>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（3）现有林改培</w:t>
            </w:r>
          </w:p>
          <w:p w14:paraId="5C428431">
            <w:pPr>
              <w:spacing w:before="3" w:line="360" w:lineRule="auto"/>
              <w:ind w:left="113" w:right="106" w:firstLine="486"/>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现有林改培地块涉及高寺镇、劳动镇、天池镇、中天镇。本项目共调查现有林改培小班796个，现有林改培面积共5081.6亩。</w:t>
            </w:r>
          </w:p>
          <w:p w14:paraId="7E6E4AF9">
            <w:pPr>
              <w:spacing w:before="3" w:line="360" w:lineRule="auto"/>
              <w:ind w:left="113" w:right="106" w:firstLine="486"/>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按地类分：均为乔木林地。</w:t>
            </w:r>
          </w:p>
          <w:p w14:paraId="35D7F1E3">
            <w:pPr>
              <w:spacing w:before="3" w:line="360" w:lineRule="auto"/>
              <w:ind w:left="113" w:right="106" w:firstLine="486"/>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按地权分：均为集体。</w:t>
            </w:r>
          </w:p>
          <w:p w14:paraId="07CBDE32">
            <w:pPr>
              <w:spacing w:before="3" w:line="360" w:lineRule="auto"/>
              <w:ind w:left="113" w:right="106" w:firstLine="486"/>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按林权分：均为个人。</w:t>
            </w:r>
          </w:p>
          <w:p w14:paraId="7A2049F1">
            <w:pPr>
              <w:spacing w:before="3" w:line="360" w:lineRule="auto"/>
              <w:ind w:left="113" w:right="106" w:firstLine="486"/>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按森林类别分：均为商品林。</w:t>
            </w:r>
          </w:p>
          <w:p w14:paraId="0C9D2F42">
            <w:pPr>
              <w:spacing w:before="3" w:line="360" w:lineRule="auto"/>
              <w:ind w:left="113" w:right="106" w:firstLine="486"/>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按郁闭度分：郁闭度为0.7中郁闭度林分地块面积118.9亩；郁闭度为0.8的高郁闭度林分地块面积4638.5亩；郁闭度为0.9的高郁闭度林分地块面积324.2亩。</w:t>
            </w:r>
          </w:p>
          <w:p w14:paraId="47D0C31B">
            <w:pPr>
              <w:spacing w:before="3" w:line="360" w:lineRule="auto"/>
              <w:ind w:left="113" w:right="106" w:firstLine="486"/>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按起源分：均为人工。</w:t>
            </w:r>
          </w:p>
          <w:p w14:paraId="60417A97">
            <w:pPr>
              <w:spacing w:before="3" w:line="360" w:lineRule="auto"/>
              <w:ind w:left="113" w:right="106" w:firstLine="486"/>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按行政区划分：高寺镇2369.8亩、劳动镇470.0亩、天池镇2101.7亩、中天镇140.1亩。</w:t>
            </w:r>
          </w:p>
          <w:p w14:paraId="3D6BE6AF">
            <w:pPr>
              <w:spacing w:before="3" w:line="360" w:lineRule="auto"/>
              <w:ind w:left="113" w:right="106" w:firstLine="486"/>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现有林改培共调查标准地187个。</w:t>
            </w:r>
          </w:p>
          <w:p w14:paraId="2CDA22B6">
            <w:pPr>
              <w:spacing w:before="3" w:line="360" w:lineRule="auto"/>
              <w:ind w:left="113" w:right="106" w:firstLine="486"/>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按郁闭度分：高郁闭度179个；中郁闭度8个。</w:t>
            </w:r>
          </w:p>
          <w:p w14:paraId="76B23EEE">
            <w:pPr>
              <w:spacing w:before="3" w:line="360" w:lineRule="auto"/>
              <w:ind w:left="113" w:right="106" w:firstLine="486"/>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按龄组分：中龄林174个；近熟林13个。</w:t>
            </w:r>
          </w:p>
          <w:p w14:paraId="48B562DA">
            <w:pPr>
              <w:spacing w:before="3" w:line="360" w:lineRule="auto"/>
              <w:ind w:left="113" w:right="106" w:firstLine="486"/>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按优势树种分：柏木纯林20个；柏木和其他树种混交林167。</w:t>
            </w:r>
          </w:p>
          <w:p w14:paraId="5BDBFD61">
            <w:pPr>
              <w:spacing w:before="3" w:line="360" w:lineRule="auto"/>
              <w:ind w:left="113" w:right="106" w:firstLine="486"/>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现有林改培小班的地类均为乔木林地，起源为人工，地权为集体，林权为个人，林龄在25~47年之间，平均胸径在11.2~18.2cm之间，大部分小班优势树种为柏木，青冈、软阔、女贞少量分布，总体占比不高，改培小班内林木生长状况较差。</w:t>
            </w:r>
          </w:p>
          <w:p w14:paraId="6ECBB8C4">
            <w:pPr>
              <w:spacing w:before="3" w:line="360" w:lineRule="auto"/>
              <w:ind w:left="113" w:right="106" w:firstLine="486"/>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灌木以悬钩子、黄荆、荚蒾、马桑、铁仔为主，灌木覆盖度多数较低，灌木盖度50%以上的小班占9.5%；草本以禾草、苔草为主，其次为蕨类和芭茅，草本盖度较高，盖度小于50%的小班占45.2%。植被总盖度均在90%以上。</w:t>
            </w:r>
          </w:p>
          <w:p w14:paraId="4B1AB3EA">
            <w:pPr>
              <w:spacing w:before="3" w:line="360" w:lineRule="auto"/>
              <w:ind w:left="113" w:right="106" w:firstLine="486"/>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（4）中幼林抚育</w:t>
            </w:r>
          </w:p>
          <w:p w14:paraId="099E89C4">
            <w:pPr>
              <w:spacing w:before="3" w:line="360" w:lineRule="auto"/>
              <w:ind w:left="113" w:right="106" w:firstLine="486"/>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中幼林抚育地块涉及宝林镇、大佛镇、高寺镇、劳动镇。本项目共调查中幼林抚育小班3394个，中幼林抚育面积共39791.2亩。</w:t>
            </w:r>
          </w:p>
          <w:p w14:paraId="6F736A7D">
            <w:pPr>
              <w:spacing w:before="3" w:line="360" w:lineRule="auto"/>
              <w:ind w:left="113" w:right="106" w:firstLine="486"/>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按地类分：均为乔木林地。</w:t>
            </w:r>
          </w:p>
          <w:p w14:paraId="2BD289E4">
            <w:pPr>
              <w:spacing w:before="3" w:line="360" w:lineRule="auto"/>
              <w:ind w:left="113" w:right="106" w:firstLine="486"/>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按地权分：均为集体。</w:t>
            </w:r>
          </w:p>
          <w:p w14:paraId="70470686">
            <w:pPr>
              <w:spacing w:before="3" w:line="360" w:lineRule="auto"/>
              <w:ind w:left="113" w:right="106" w:firstLine="486"/>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按林权分：均为个人。</w:t>
            </w:r>
          </w:p>
          <w:p w14:paraId="2BE1F870">
            <w:pPr>
              <w:spacing w:before="3" w:line="360" w:lineRule="auto"/>
              <w:ind w:left="113" w:right="106" w:firstLine="486"/>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按森林类别分：均为商品林。</w:t>
            </w:r>
          </w:p>
          <w:p w14:paraId="734C9E51">
            <w:pPr>
              <w:spacing w:before="3" w:line="360" w:lineRule="auto"/>
              <w:ind w:left="113" w:right="106" w:firstLine="486"/>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按郁闭度分：郁闭度为0.8的高郁闭度林分地块38522.8亩；郁闭度为0.9的高郁闭度林分地块1268.4亩。</w:t>
            </w:r>
          </w:p>
          <w:p w14:paraId="45CF3272">
            <w:pPr>
              <w:spacing w:before="3" w:line="360" w:lineRule="auto"/>
              <w:ind w:left="113" w:right="106" w:firstLine="486"/>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按起源分：均为人工。</w:t>
            </w:r>
          </w:p>
          <w:p w14:paraId="6F13F2BE">
            <w:pPr>
              <w:spacing w:before="3" w:line="360" w:lineRule="auto"/>
              <w:ind w:left="113" w:right="106" w:firstLine="486"/>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按行政区划分：宝林镇8750.1亩、大佛镇7549.7亩、高寺镇16577.4亩、劳动镇6914.0亩。</w:t>
            </w:r>
          </w:p>
          <w:p w14:paraId="522A5A7D">
            <w:pPr>
              <w:spacing w:before="3" w:line="360" w:lineRule="auto"/>
              <w:ind w:left="113" w:right="106" w:firstLine="486"/>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中幼林抚育共完成标准地560个。</w:t>
            </w:r>
          </w:p>
          <w:p w14:paraId="7FD78B0D">
            <w:pPr>
              <w:spacing w:before="3" w:line="360" w:lineRule="auto"/>
              <w:ind w:left="113" w:right="106" w:firstLine="486"/>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按郁闭度分：560个全为高郁闭度。</w:t>
            </w:r>
          </w:p>
          <w:p w14:paraId="1C2294E9">
            <w:pPr>
              <w:spacing w:before="3" w:line="360" w:lineRule="auto"/>
              <w:ind w:left="113" w:right="106" w:firstLine="486"/>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按龄组分：；560个全为中龄林。</w:t>
            </w:r>
          </w:p>
          <w:p w14:paraId="3F78AF08">
            <w:pPr>
              <w:spacing w:before="3" w:line="360" w:lineRule="auto"/>
              <w:ind w:left="113" w:right="106" w:firstLine="486"/>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按优势树种分：柏木纯林40个；柏木和其他树种混交林520个。</w:t>
            </w:r>
          </w:p>
          <w:p w14:paraId="23B5D3BB">
            <w:pPr>
              <w:spacing w:before="3" w:line="360" w:lineRule="auto"/>
              <w:ind w:left="113" w:right="106" w:firstLine="486"/>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中幼林抚育小班的地类均为乔木林地，起源为人工，地权为集体，林权为个人，林龄在22~40年之间，平均胸径在5.5~20.2cm之间，大部分小班优势树种为柏木，其次为软阔、青冈，中幼林抚育小班内林分结构简单，密度过大，柏木生长缓慢。</w:t>
            </w:r>
          </w:p>
          <w:p w14:paraId="25D748DF">
            <w:pPr>
              <w:spacing w:before="3" w:line="360" w:lineRule="auto"/>
              <w:ind w:left="113" w:right="106" w:firstLine="486"/>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灌木以悬钩子、黄荆、荚蒾、马桑、铁仔为主，灌木覆盖度多数较低，灌木盖度50%以上的小班仅占8.5%；草本以禾草、苔草为主，其次为蕨类和芭茅，草本盖度较高，盖度小于50%的小班占26.1%。植被总盖度均在90%以上。</w:t>
            </w:r>
          </w:p>
          <w:p w14:paraId="2B7985C4">
            <w:pPr>
              <w:spacing w:before="3" w:line="360" w:lineRule="auto"/>
              <w:ind w:left="113" w:right="106" w:firstLine="486"/>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（5）林业产业建设</w:t>
            </w:r>
          </w:p>
          <w:p w14:paraId="111135E2">
            <w:pPr>
              <w:spacing w:before="3" w:line="360" w:lineRule="auto"/>
              <w:ind w:left="113" w:right="106" w:firstLine="486"/>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林业产业建设涉及特色经济林、珍稀林木、林下中药材、林下花卉、林下种菌。</w:t>
            </w:r>
          </w:p>
          <w:p w14:paraId="12F64A2D">
            <w:pPr>
              <w:spacing w:before="3" w:line="360" w:lineRule="auto"/>
              <w:ind w:left="113" w:right="106" w:firstLine="486"/>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特色经济林共372个小班，建设面积3000.0亩，为灌木林地和其他园地区域，集中在高寺镇鼓楼村、金光村、来龙村、梨子湾村、凉水社区、模范村、天鹅村、香泉社区和永安社区，坡度≤5度，海拔400-450米，土壤为紫色土，土层厚度40-45厘米。</w:t>
            </w:r>
          </w:p>
          <w:p w14:paraId="53ABE049">
            <w:pPr>
              <w:spacing w:before="3" w:line="360" w:lineRule="auto"/>
              <w:ind w:left="113" w:right="106" w:firstLine="486"/>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珍稀林木集约栽培共173个小班，建设面积2081.0亩，为灌木林地和其他园地区域，集中在高寺镇集中在高寺镇简乐桥村、清水村、石堰村、万寿村和燕子村。</w:t>
            </w:r>
          </w:p>
          <w:p w14:paraId="598DA7E4">
            <w:pPr>
              <w:spacing w:before="3" w:line="360" w:lineRule="auto"/>
              <w:ind w:left="113" w:right="106" w:firstLine="486"/>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林下中药材共122个小班，建设面积1035.9亩，建设区域为珍稀林木林下，集中在高寺镇简乐桥村、清水村、石堰村、万寿村和燕子村。</w:t>
            </w:r>
          </w:p>
          <w:p w14:paraId="5F9D5A23">
            <w:pPr>
              <w:spacing w:before="3" w:line="360" w:lineRule="auto"/>
              <w:ind w:left="113" w:right="106" w:firstLine="486"/>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林下花卉共6个小班，建设面积205.0亩，建设区域为特色经济林林下，全部集中在高寺镇来龙村。</w:t>
            </w:r>
          </w:p>
          <w:p w14:paraId="28E42E89">
            <w:pPr>
              <w:spacing w:before="3" w:line="360" w:lineRule="auto"/>
              <w:ind w:left="113" w:right="106" w:firstLine="486"/>
              <w:jc w:val="both"/>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林下种菌共36个小班，建设面积500.0亩，权属为集体，地类为灌木林地。现地植被以蕨类和禾草为主，集中在高寺镇孝义村和永安社区。</w:t>
            </w:r>
          </w:p>
          <w:p w14:paraId="2B204A81">
            <w:pPr>
              <w:spacing w:before="3" w:line="360" w:lineRule="auto"/>
              <w:ind w:left="113" w:right="106" w:firstLine="486"/>
              <w:jc w:val="both"/>
              <w:rPr>
                <w:rFonts w:hint="default" w:ascii="Times New Roman" w:hAnsi="Times New Roman" w:eastAsia="宋体" w:cs="Times New Roman"/>
                <w:color w:val="auto"/>
              </w:rPr>
            </w:pPr>
            <w:r>
              <w:rPr>
                <w:rFonts w:hint="default" w:ascii="Times New Roman" w:hAnsi="Times New Roman" w:eastAsia="宋体" w:cs="Times New Roman"/>
                <w:color w:val="auto"/>
                <w:sz w:val="24"/>
                <w:szCs w:val="24"/>
              </w:rPr>
              <w:t>本项目为新建项目，项目所在地为建设用地、林地，未涉及工业用地，对本项目不产生遗留影响。项目不占用基本农田，不存在移民搬迁安置问题，因此不存在与本项目有关的原有污染情况和主要环境问题。</w:t>
            </w:r>
          </w:p>
        </w:tc>
      </w:tr>
      <w:tr w14:paraId="272E835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42" w:hRule="atLeast"/>
          <w:jc w:val="center"/>
        </w:trPr>
        <w:tc>
          <w:tcPr>
            <w:tcW w:w="476" w:type="dxa"/>
            <w:tcBorders>
              <w:bottom w:val="single" w:color="auto" w:sz="4" w:space="0"/>
            </w:tcBorders>
            <w:textDirection w:val="tbRlV"/>
            <w:vAlign w:val="center"/>
          </w:tcPr>
          <w:p w14:paraId="02259ECC">
            <w:pPr>
              <w:spacing w:before="108" w:line="180" w:lineRule="auto"/>
              <w:ind w:firstLine="3236"/>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1"/>
                <w:sz w:val="24"/>
                <w:szCs w:val="24"/>
              </w:rPr>
              <w:t>生态环境保护</w:t>
            </w:r>
            <w:r>
              <w:rPr>
                <w:rFonts w:hint="default" w:ascii="Times New Roman" w:hAnsi="Times New Roman" w:eastAsia="宋体" w:cs="Times New Roman"/>
                <w:color w:val="auto"/>
                <w:spacing w:val="-1"/>
                <w:position w:val="2"/>
                <w:sz w:val="24"/>
                <w:szCs w:val="24"/>
              </w:rPr>
              <w:t>目</w:t>
            </w:r>
            <w:r>
              <w:rPr>
                <w:rFonts w:hint="default" w:ascii="Times New Roman" w:hAnsi="Times New Roman" w:eastAsia="宋体" w:cs="Times New Roman"/>
                <w:color w:val="auto"/>
                <w:spacing w:val="-1"/>
                <w:sz w:val="24"/>
                <w:szCs w:val="24"/>
              </w:rPr>
              <w:t>标</w:t>
            </w:r>
          </w:p>
        </w:tc>
        <w:tc>
          <w:tcPr>
            <w:tcW w:w="8311" w:type="dxa"/>
            <w:tcBorders>
              <w:bottom w:val="single" w:color="auto" w:sz="4" w:space="0"/>
            </w:tcBorders>
            <w:vAlign w:val="center"/>
          </w:tcPr>
          <w:p w14:paraId="0646E57D">
            <w:pPr>
              <w:spacing w:before="3" w:line="360" w:lineRule="auto"/>
              <w:ind w:left="113" w:right="106" w:firstLine="486"/>
              <w:jc w:val="both"/>
              <w:outlineLvl w:val="1"/>
              <w:rPr>
                <w:rFonts w:hint="default" w:ascii="Times New Roman" w:hAnsi="Times New Roman" w:eastAsia="宋体" w:cs="Times New Roman"/>
                <w:b/>
                <w:bCs/>
                <w:color w:val="auto"/>
                <w:sz w:val="28"/>
                <w:szCs w:val="28"/>
              </w:rPr>
            </w:pPr>
            <w:bookmarkStart w:id="36" w:name="_Toc21023"/>
            <w:r>
              <w:rPr>
                <w:rFonts w:hint="default" w:ascii="Times New Roman" w:hAnsi="Times New Roman" w:eastAsia="宋体" w:cs="Times New Roman"/>
                <w:b/>
                <w:bCs/>
                <w:color w:val="auto"/>
                <w:sz w:val="28"/>
                <w:szCs w:val="28"/>
              </w:rPr>
              <w:t>二、生态环境保护目标</w:t>
            </w:r>
            <w:bookmarkEnd w:id="36"/>
          </w:p>
          <w:p w14:paraId="0CAFEFE1">
            <w:pPr>
              <w:spacing w:before="3" w:line="360" w:lineRule="auto"/>
              <w:ind w:left="113" w:right="106" w:firstLine="486"/>
              <w:jc w:val="both"/>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1、环境评价范围</w:t>
            </w:r>
          </w:p>
          <w:p w14:paraId="21A9ADD2">
            <w:pPr>
              <w:spacing w:before="3" w:line="360" w:lineRule="auto"/>
              <w:ind w:left="113" w:right="106" w:firstLine="486"/>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项目所在地不涉及自然保护区、风景名胜区和文物古迹等环境敏感目标。项目涉及湖泊无珍贵、濒危的水生野生动物，不涉及重要湿地、珍稀濒危野生动植物天然集中分布区域。</w:t>
            </w:r>
          </w:p>
          <w:p w14:paraId="19247247">
            <w:pPr>
              <w:spacing w:before="3" w:line="360" w:lineRule="auto"/>
              <w:ind w:left="113" w:right="106" w:firstLine="486"/>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因此本项目环境保护目标为项目周围居民。</w:t>
            </w:r>
          </w:p>
          <w:p w14:paraId="22555948">
            <w:pPr>
              <w:spacing w:before="3" w:line="360" w:lineRule="auto"/>
              <w:ind w:left="113" w:right="106" w:firstLine="486"/>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（1）大气环境：保护目标为项目所在区域的大气环境质量，应达到《环境空气质量标准》（GB3095-2012）中二级标准要求。本次大气环境影响评价范围为项目边界向外500m。</w:t>
            </w:r>
          </w:p>
          <w:p w14:paraId="137322CE">
            <w:pPr>
              <w:spacing w:before="3" w:line="360" w:lineRule="auto"/>
              <w:ind w:left="113" w:right="106" w:firstLine="486"/>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（2）地表水环境：项目地表水为沱江支流，执行《地表水环境质量标准》（GB3838-2002）Ⅲ类水域标准,不因本项目建设而受到污染，其水体功能不被破坏。</w:t>
            </w:r>
          </w:p>
          <w:p w14:paraId="7B53F684">
            <w:pPr>
              <w:spacing w:before="3" w:line="360" w:lineRule="auto"/>
              <w:ind w:left="113" w:right="106" w:firstLine="486"/>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（3）声环境：项目所在区域声环境质量应达到国家《声环境质量标准》（GB3096-2008）中2 类标准要求。本次声环境影响评价范围为项目边界向外50m作为声环境影响评价范围。</w:t>
            </w:r>
          </w:p>
          <w:p w14:paraId="163B7353">
            <w:pPr>
              <w:spacing w:before="3" w:line="360" w:lineRule="auto"/>
              <w:ind w:left="113" w:right="106" w:firstLine="486"/>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（4）固体废物：项目产生的固体废物能得到妥善处置，不造成二次污染。</w:t>
            </w:r>
          </w:p>
          <w:p w14:paraId="25740B8E">
            <w:pPr>
              <w:spacing w:before="3" w:line="360" w:lineRule="auto"/>
              <w:ind w:right="106" w:firstLine="480" w:firstLineChars="20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5）生态环境及水土流失：本项目所在区域内主要为森林态系统，本项目通过人工林集约栽培、中幼林改培和抚育及补植补造等措施，营造的珍稀树种和大径级用材林等优质高效多功能森林，有助于森林生态系统的增加及完整。区内无大型野生动物及珍稀植物，无特殊文物保护单位。因此，区域生态系统敏感程度低。项目区域生态环境不因本工程的实施受到较大影响，不会导致水土流失加剧。</w:t>
            </w:r>
          </w:p>
          <w:p w14:paraId="386D29AB">
            <w:pPr>
              <w:spacing w:before="3" w:line="360" w:lineRule="auto"/>
              <w:ind w:left="113" w:right="106" w:firstLine="486"/>
              <w:jc w:val="both"/>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2、主要保护目标</w:t>
            </w:r>
          </w:p>
          <w:p w14:paraId="4C2FF5BF">
            <w:pPr>
              <w:spacing w:before="3" w:line="360" w:lineRule="auto"/>
              <w:ind w:left="113" w:right="106" w:firstLine="486"/>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（1）生态环境保护目标</w:t>
            </w:r>
          </w:p>
          <w:p w14:paraId="58B0BA66">
            <w:pPr>
              <w:spacing w:before="3" w:line="360" w:lineRule="auto"/>
              <w:ind w:left="113" w:right="106" w:firstLine="486"/>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由于项目周边主要为农用地、林地，因此陆生生态评价范围为占地范围。水生生物评价范围为项目占地范围内的湖泊、水库。</w:t>
            </w:r>
          </w:p>
          <w:p w14:paraId="7CB2E25B">
            <w:pPr>
              <w:spacing w:before="3" w:line="360" w:lineRule="auto"/>
              <w:ind w:left="113" w:right="106" w:firstLine="486"/>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（2）水环境保护目标</w:t>
            </w:r>
          </w:p>
          <w:p w14:paraId="2E55D403">
            <w:pPr>
              <w:spacing w:before="3" w:line="360" w:lineRule="auto"/>
              <w:ind w:left="113" w:right="106" w:firstLine="486"/>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本项目地表水体为项目用地范围内</w:t>
            </w:r>
            <w:r>
              <w:rPr>
                <w:rFonts w:hint="eastAsia" w:ascii="Times New Roman" w:hAnsi="Times New Roman" w:eastAsia="宋体" w:cs="Times New Roman"/>
                <w:color w:val="auto"/>
                <w:sz w:val="24"/>
                <w:szCs w:val="24"/>
                <w:lang w:val="en-US" w:eastAsia="zh-CN"/>
              </w:rPr>
              <w:t>水库、河流</w:t>
            </w:r>
            <w:r>
              <w:rPr>
                <w:rFonts w:hint="default" w:ascii="Times New Roman" w:hAnsi="Times New Roman" w:eastAsia="宋体" w:cs="Times New Roman"/>
                <w:color w:val="auto"/>
                <w:sz w:val="24"/>
                <w:szCs w:val="24"/>
              </w:rPr>
              <w:t>，其主要水</w:t>
            </w:r>
            <w:r>
              <w:rPr>
                <w:rFonts w:hint="eastAsia" w:ascii="Times New Roman" w:hAnsi="Times New Roman" w:eastAsia="宋体" w:cs="Times New Roman"/>
                <w:color w:val="auto"/>
                <w:sz w:val="24"/>
                <w:szCs w:val="24"/>
                <w:lang w:val="en-US" w:eastAsia="zh-CN"/>
              </w:rPr>
              <w:t>体</w:t>
            </w:r>
            <w:r>
              <w:rPr>
                <w:rFonts w:hint="default" w:ascii="Times New Roman" w:hAnsi="Times New Roman" w:eastAsia="宋体" w:cs="Times New Roman"/>
                <w:color w:val="auto"/>
                <w:sz w:val="24"/>
                <w:szCs w:val="24"/>
              </w:rPr>
              <w:t>功能为灌溉、防洪，无饮用水源保护区。</w:t>
            </w:r>
          </w:p>
          <w:p w14:paraId="450916AD">
            <w:pPr>
              <w:spacing w:before="3" w:line="360" w:lineRule="auto"/>
              <w:ind w:left="113" w:right="106" w:firstLine="486"/>
              <w:jc w:val="both"/>
              <w:rPr>
                <w:rFonts w:hint="default" w:ascii="Times New Roman" w:hAnsi="Times New Roman" w:eastAsia="宋体" w:cs="Times New Roman"/>
                <w:b/>
                <w:color w:val="auto"/>
              </w:rPr>
            </w:pPr>
            <w:r>
              <w:rPr>
                <w:rFonts w:hint="default" w:ascii="Times New Roman" w:hAnsi="Times New Roman" w:eastAsia="宋体" w:cs="Times New Roman"/>
                <w:color w:val="auto"/>
                <w:sz w:val="24"/>
                <w:szCs w:val="24"/>
              </w:rPr>
              <w:t>项目地表水保护目标见下表：</w:t>
            </w:r>
          </w:p>
          <w:p w14:paraId="3530796F">
            <w:pPr>
              <w:tabs>
                <w:tab w:val="left" w:pos="920"/>
              </w:tabs>
              <w:spacing w:before="159"/>
              <w:ind w:left="166"/>
              <w:jc w:val="center"/>
              <w:rPr>
                <w:rFonts w:hint="default" w:ascii="Times New Roman" w:hAnsi="Times New Roman" w:eastAsia="宋体" w:cs="Times New Roman"/>
                <w:b/>
                <w:color w:val="auto"/>
              </w:rPr>
            </w:pPr>
            <w:r>
              <w:rPr>
                <w:rFonts w:hint="default" w:ascii="Times New Roman" w:hAnsi="Times New Roman" w:eastAsia="宋体" w:cs="Times New Roman"/>
                <w:b/>
                <w:color w:val="auto"/>
              </w:rPr>
              <w:t>表3-</w:t>
            </w:r>
            <w:r>
              <w:rPr>
                <w:rFonts w:hint="default" w:ascii="Times New Roman" w:hAnsi="Times New Roman" w:eastAsia="宋体" w:cs="Times New Roman"/>
                <w:b/>
                <w:color w:val="auto"/>
                <w:lang w:val="en-US" w:eastAsia="zh-CN"/>
              </w:rPr>
              <w:t>15</w:t>
            </w:r>
            <w:r>
              <w:rPr>
                <w:rFonts w:hint="default" w:ascii="Times New Roman" w:hAnsi="Times New Roman" w:eastAsia="宋体" w:cs="Times New Roman"/>
                <w:b/>
                <w:color w:val="auto"/>
              </w:rPr>
              <w:t xml:space="preserve"> 地表水环境及其他主要环境保护目标一览表</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4"/>
              <w:gridCol w:w="669"/>
              <w:gridCol w:w="760"/>
              <w:gridCol w:w="2595"/>
              <w:gridCol w:w="1547"/>
              <w:gridCol w:w="2157"/>
            </w:tblGrid>
            <w:tr w14:paraId="0E141A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5" w:hRule="atLeast"/>
                <w:jc w:val="center"/>
              </w:trPr>
              <w:tc>
                <w:tcPr>
                  <w:tcW w:w="340" w:type="pct"/>
                  <w:vAlign w:val="center"/>
                </w:tcPr>
                <w:p w14:paraId="045CC02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类别</w:t>
                  </w:r>
                </w:p>
              </w:tc>
              <w:tc>
                <w:tcPr>
                  <w:tcW w:w="403" w:type="pct"/>
                  <w:vAlign w:val="center"/>
                </w:tcPr>
                <w:p w14:paraId="695B251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保护对象</w:t>
                  </w:r>
                </w:p>
              </w:tc>
              <w:tc>
                <w:tcPr>
                  <w:tcW w:w="458" w:type="pct"/>
                  <w:vAlign w:val="center"/>
                </w:tcPr>
                <w:p w14:paraId="78C8F911">
                  <w:pPr>
                    <w:spacing w:before="31" w:after="31"/>
                    <w:jc w:val="center"/>
                    <w:rPr>
                      <w:rFonts w:hint="default" w:ascii="Times New Roman" w:hAnsi="Times New Roman" w:eastAsia="宋体" w:cs="Times New Roman"/>
                      <w:color w:val="auto"/>
                    </w:rPr>
                  </w:pPr>
                  <w:r>
                    <w:rPr>
                      <w:rFonts w:hint="default" w:ascii="Times New Roman" w:hAnsi="Times New Roman" w:eastAsia="宋体" w:cs="Times New Roman"/>
                      <w:color w:val="auto"/>
                    </w:rPr>
                    <w:t>相对方位</w:t>
                  </w:r>
                </w:p>
              </w:tc>
              <w:tc>
                <w:tcPr>
                  <w:tcW w:w="1564" w:type="pct"/>
                  <w:vAlign w:val="center"/>
                </w:tcPr>
                <w:p w14:paraId="23C0FC0F">
                  <w:pPr>
                    <w:spacing w:before="31" w:after="31"/>
                    <w:jc w:val="center"/>
                    <w:rPr>
                      <w:rFonts w:hint="default" w:ascii="Times New Roman" w:hAnsi="Times New Roman" w:eastAsia="宋体" w:cs="Times New Roman"/>
                      <w:color w:val="auto"/>
                    </w:rPr>
                  </w:pPr>
                  <w:r>
                    <w:rPr>
                      <w:rFonts w:hint="default" w:ascii="Times New Roman" w:hAnsi="Times New Roman" w:eastAsia="宋体" w:cs="Times New Roman"/>
                      <w:color w:val="auto"/>
                    </w:rPr>
                    <w:t>相对距离</w:t>
                  </w:r>
                </w:p>
              </w:tc>
              <w:tc>
                <w:tcPr>
                  <w:tcW w:w="932" w:type="pct"/>
                  <w:vAlign w:val="center"/>
                </w:tcPr>
                <w:p w14:paraId="1D371548">
                  <w:pPr>
                    <w:spacing w:before="31" w:after="31"/>
                    <w:jc w:val="center"/>
                    <w:rPr>
                      <w:rFonts w:hint="default" w:ascii="Times New Roman" w:hAnsi="Times New Roman" w:eastAsia="宋体" w:cs="Times New Roman"/>
                      <w:color w:val="auto"/>
                    </w:rPr>
                  </w:pPr>
                  <w:r>
                    <w:rPr>
                      <w:rFonts w:hint="default" w:ascii="Times New Roman" w:hAnsi="Times New Roman" w:eastAsia="宋体" w:cs="Times New Roman"/>
                      <w:color w:val="auto"/>
                    </w:rPr>
                    <w:t>水体功能</w:t>
                  </w:r>
                </w:p>
              </w:tc>
              <w:tc>
                <w:tcPr>
                  <w:tcW w:w="1300" w:type="pct"/>
                  <w:vAlign w:val="center"/>
                </w:tcPr>
                <w:p w14:paraId="4A8DF7B4">
                  <w:pPr>
                    <w:jc w:val="center"/>
                    <w:rPr>
                      <w:rFonts w:hint="default" w:ascii="Times New Roman" w:hAnsi="Times New Roman" w:eastAsia="宋体" w:cs="Times New Roman"/>
                      <w:color w:val="auto"/>
                    </w:rPr>
                  </w:pPr>
                  <w:r>
                    <w:rPr>
                      <w:rFonts w:hint="default" w:ascii="Times New Roman" w:hAnsi="Times New Roman" w:eastAsia="宋体" w:cs="Times New Roman"/>
                      <w:bCs/>
                      <w:color w:val="auto"/>
                    </w:rPr>
                    <w:t>环境功能区</w:t>
                  </w:r>
                </w:p>
              </w:tc>
            </w:tr>
            <w:tr w14:paraId="1C9CFF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7" w:hRule="atLeast"/>
                <w:jc w:val="center"/>
              </w:trPr>
              <w:tc>
                <w:tcPr>
                  <w:tcW w:w="340" w:type="pct"/>
                  <w:vMerge w:val="restart"/>
                  <w:vAlign w:val="center"/>
                </w:tcPr>
                <w:p w14:paraId="0ED3F62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地表水保护目标</w:t>
                  </w:r>
                </w:p>
              </w:tc>
              <w:tc>
                <w:tcPr>
                  <w:tcW w:w="403" w:type="pct"/>
                  <w:vAlign w:val="center"/>
                </w:tcPr>
                <w:p w14:paraId="7302CC2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友谊水库</w:t>
                  </w:r>
                </w:p>
              </w:tc>
              <w:tc>
                <w:tcPr>
                  <w:tcW w:w="458" w:type="pct"/>
                  <w:vAlign w:val="center"/>
                </w:tcPr>
                <w:p w14:paraId="04AA6A9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西北侧</w:t>
                  </w:r>
                </w:p>
              </w:tc>
              <w:tc>
                <w:tcPr>
                  <w:tcW w:w="1564" w:type="pct"/>
                  <w:vAlign w:val="center"/>
                </w:tcPr>
                <w:p w14:paraId="14F1045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距离项目（中幼林抚育）最近距离300m</w:t>
                  </w:r>
                </w:p>
              </w:tc>
              <w:tc>
                <w:tcPr>
                  <w:tcW w:w="932" w:type="pct"/>
                  <w:vAlign w:val="center"/>
                </w:tcPr>
                <w:p w14:paraId="4043FB5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灌溉</w:t>
                  </w:r>
                  <w:r>
                    <w:rPr>
                      <w:rFonts w:hint="eastAsia" w:ascii="Times New Roman" w:hAnsi="Times New Roman" w:eastAsia="宋体" w:cs="Times New Roman"/>
                      <w:color w:val="auto"/>
                      <w:lang w:eastAsia="zh-CN"/>
                    </w:rPr>
                    <w:t>、</w:t>
                  </w:r>
                  <w:r>
                    <w:rPr>
                      <w:rFonts w:hint="default" w:ascii="Times New Roman" w:hAnsi="Times New Roman" w:eastAsia="宋体" w:cs="Times New Roman"/>
                      <w:color w:val="auto"/>
                    </w:rPr>
                    <w:t>防洪</w:t>
                  </w:r>
                </w:p>
              </w:tc>
              <w:tc>
                <w:tcPr>
                  <w:tcW w:w="1300" w:type="pct"/>
                  <w:vAlign w:val="center"/>
                </w:tcPr>
                <w:p w14:paraId="604E046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《地表水环境 质量标准》（GB3838-2002）III类</w:t>
                  </w:r>
                </w:p>
              </w:tc>
            </w:tr>
            <w:tr w14:paraId="787624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7" w:hRule="atLeast"/>
                <w:jc w:val="center"/>
              </w:trPr>
              <w:tc>
                <w:tcPr>
                  <w:tcW w:w="340" w:type="pct"/>
                  <w:vMerge w:val="continue"/>
                  <w:vAlign w:val="center"/>
                </w:tcPr>
                <w:p w14:paraId="2C68C67F">
                  <w:pPr>
                    <w:jc w:val="center"/>
                    <w:rPr>
                      <w:rFonts w:hint="default" w:ascii="Times New Roman" w:hAnsi="Times New Roman" w:eastAsia="宋体" w:cs="Times New Roman"/>
                      <w:color w:val="auto"/>
                    </w:rPr>
                  </w:pPr>
                </w:p>
              </w:tc>
              <w:tc>
                <w:tcPr>
                  <w:tcW w:w="403" w:type="pct"/>
                  <w:vAlign w:val="center"/>
                </w:tcPr>
                <w:p w14:paraId="645977FA">
                  <w:pPr>
                    <w:jc w:val="center"/>
                    <w:rPr>
                      <w:rFonts w:hint="default" w:ascii="Times New Roman" w:hAnsi="Times New Roman" w:eastAsia="宋体" w:cs="Times New Roman"/>
                      <w:color w:val="auto"/>
                      <w:spacing w:val="-11"/>
                    </w:rPr>
                  </w:pPr>
                  <w:r>
                    <w:rPr>
                      <w:rFonts w:hint="default" w:ascii="Times New Roman" w:hAnsi="Times New Roman" w:eastAsia="宋体" w:cs="Times New Roman"/>
                      <w:color w:val="auto"/>
                      <w:spacing w:val="-11"/>
                    </w:rPr>
                    <w:t>玉和沟水库</w:t>
                  </w:r>
                </w:p>
              </w:tc>
              <w:tc>
                <w:tcPr>
                  <w:tcW w:w="458" w:type="pct"/>
                  <w:vAlign w:val="center"/>
                </w:tcPr>
                <w:p w14:paraId="10A2470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1564" w:type="pct"/>
                  <w:vAlign w:val="center"/>
                </w:tcPr>
                <w:p w14:paraId="5AB5B8D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距离项目（中幼林抚育）最近距离310m</w:t>
                  </w:r>
                </w:p>
              </w:tc>
              <w:tc>
                <w:tcPr>
                  <w:tcW w:w="932" w:type="pct"/>
                  <w:vAlign w:val="center"/>
                </w:tcPr>
                <w:p w14:paraId="1F423BA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灌溉</w:t>
                  </w:r>
                  <w:r>
                    <w:rPr>
                      <w:rFonts w:hint="eastAsia" w:ascii="Times New Roman" w:hAnsi="Times New Roman" w:eastAsia="宋体" w:cs="Times New Roman"/>
                      <w:color w:val="auto"/>
                      <w:lang w:eastAsia="zh-CN"/>
                    </w:rPr>
                    <w:t>、</w:t>
                  </w:r>
                  <w:r>
                    <w:rPr>
                      <w:rFonts w:hint="default" w:ascii="Times New Roman" w:hAnsi="Times New Roman" w:eastAsia="宋体" w:cs="Times New Roman"/>
                      <w:color w:val="auto"/>
                    </w:rPr>
                    <w:t>防洪</w:t>
                  </w:r>
                </w:p>
              </w:tc>
              <w:tc>
                <w:tcPr>
                  <w:tcW w:w="1300" w:type="pct"/>
                  <w:vAlign w:val="center"/>
                </w:tcPr>
                <w:p w14:paraId="7678F0C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《地表水环境 质量标准》（GB3838-2002）III类</w:t>
                  </w:r>
                </w:p>
              </w:tc>
            </w:tr>
            <w:tr w14:paraId="269A9B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1" w:hRule="atLeast"/>
                <w:jc w:val="center"/>
              </w:trPr>
              <w:tc>
                <w:tcPr>
                  <w:tcW w:w="340" w:type="pct"/>
                  <w:vMerge w:val="continue"/>
                  <w:vAlign w:val="center"/>
                </w:tcPr>
                <w:p w14:paraId="359BD03A">
                  <w:pPr>
                    <w:pStyle w:val="50"/>
                    <w:spacing w:line="240" w:lineRule="auto"/>
                    <w:rPr>
                      <w:rFonts w:hint="default" w:ascii="Times New Roman" w:hAnsi="Times New Roman" w:eastAsia="宋体" w:cs="Times New Roman"/>
                      <w:color w:val="auto"/>
                      <w:spacing w:val="-11"/>
                    </w:rPr>
                  </w:pPr>
                </w:p>
              </w:tc>
              <w:tc>
                <w:tcPr>
                  <w:tcW w:w="403" w:type="pct"/>
                  <w:vAlign w:val="center"/>
                </w:tcPr>
                <w:p w14:paraId="24018CA3">
                  <w:pPr>
                    <w:pStyle w:val="50"/>
                    <w:spacing w:line="240" w:lineRule="auto"/>
                    <w:rPr>
                      <w:rFonts w:hint="default" w:ascii="Times New Roman" w:hAnsi="Times New Roman" w:eastAsia="宋体" w:cs="Times New Roman"/>
                      <w:color w:val="auto"/>
                      <w:spacing w:val="-11"/>
                    </w:rPr>
                  </w:pPr>
                  <w:r>
                    <w:rPr>
                      <w:rFonts w:hint="default" w:ascii="Times New Roman" w:hAnsi="Times New Roman" w:eastAsia="宋体" w:cs="Times New Roman"/>
                      <w:color w:val="auto"/>
                      <w:spacing w:val="-11"/>
                    </w:rPr>
                    <w:t>万古桥水库</w:t>
                  </w:r>
                </w:p>
              </w:tc>
              <w:tc>
                <w:tcPr>
                  <w:tcW w:w="458" w:type="pct"/>
                  <w:vAlign w:val="center"/>
                </w:tcPr>
                <w:p w14:paraId="5FDBFC3B">
                  <w:pPr>
                    <w:jc w:val="center"/>
                    <w:rPr>
                      <w:rFonts w:hint="default" w:ascii="Times New Roman" w:hAnsi="Times New Roman" w:eastAsia="宋体" w:cs="Times New Roman"/>
                      <w:color w:val="auto"/>
                      <w:spacing w:val="-11"/>
                    </w:rPr>
                  </w:pPr>
                  <w:r>
                    <w:rPr>
                      <w:rFonts w:hint="default" w:ascii="Times New Roman" w:hAnsi="Times New Roman" w:eastAsia="宋体" w:cs="Times New Roman"/>
                      <w:color w:val="auto"/>
                    </w:rPr>
                    <w:t>西南侧</w:t>
                  </w:r>
                </w:p>
              </w:tc>
              <w:tc>
                <w:tcPr>
                  <w:tcW w:w="1564" w:type="pct"/>
                  <w:vAlign w:val="center"/>
                </w:tcPr>
                <w:p w14:paraId="233936B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距离项目（中幼林抚育）最近距离250m</w:t>
                  </w:r>
                </w:p>
              </w:tc>
              <w:tc>
                <w:tcPr>
                  <w:tcW w:w="932" w:type="pct"/>
                  <w:vAlign w:val="center"/>
                </w:tcPr>
                <w:p w14:paraId="3D90B29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灌溉</w:t>
                  </w:r>
                  <w:r>
                    <w:rPr>
                      <w:rFonts w:hint="eastAsia" w:ascii="Times New Roman" w:hAnsi="Times New Roman" w:eastAsia="宋体" w:cs="Times New Roman"/>
                      <w:color w:val="auto"/>
                      <w:lang w:eastAsia="zh-CN"/>
                    </w:rPr>
                    <w:t>、</w:t>
                  </w:r>
                  <w:r>
                    <w:rPr>
                      <w:rFonts w:hint="default" w:ascii="Times New Roman" w:hAnsi="Times New Roman" w:eastAsia="宋体" w:cs="Times New Roman"/>
                      <w:color w:val="auto"/>
                    </w:rPr>
                    <w:t>防洪</w:t>
                  </w:r>
                </w:p>
              </w:tc>
              <w:tc>
                <w:tcPr>
                  <w:tcW w:w="1300" w:type="pct"/>
                  <w:vAlign w:val="center"/>
                </w:tcPr>
                <w:p w14:paraId="57A5B1D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《地表水环境 质量标准》（GB3838-2002）III类</w:t>
                  </w:r>
                </w:p>
              </w:tc>
            </w:tr>
            <w:tr w14:paraId="2EAEA2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1" w:hRule="atLeast"/>
                <w:jc w:val="center"/>
              </w:trPr>
              <w:tc>
                <w:tcPr>
                  <w:tcW w:w="340" w:type="pct"/>
                  <w:vMerge w:val="continue"/>
                  <w:vAlign w:val="center"/>
                </w:tcPr>
                <w:p w14:paraId="216CC9D0">
                  <w:pPr>
                    <w:pStyle w:val="50"/>
                    <w:spacing w:line="240" w:lineRule="auto"/>
                    <w:rPr>
                      <w:rFonts w:hint="default" w:ascii="Times New Roman" w:hAnsi="Times New Roman" w:eastAsia="宋体" w:cs="Times New Roman"/>
                      <w:color w:val="auto"/>
                      <w:spacing w:val="-11"/>
                    </w:rPr>
                  </w:pPr>
                </w:p>
              </w:tc>
              <w:tc>
                <w:tcPr>
                  <w:tcW w:w="403" w:type="pct"/>
                  <w:vAlign w:val="center"/>
                </w:tcPr>
                <w:p w14:paraId="7578CA83">
                  <w:pPr>
                    <w:pStyle w:val="50"/>
                    <w:spacing w:line="240" w:lineRule="auto"/>
                    <w:rPr>
                      <w:rFonts w:hint="default" w:ascii="Times New Roman" w:hAnsi="Times New Roman" w:eastAsia="宋体" w:cs="Times New Roman"/>
                      <w:color w:val="auto"/>
                      <w:spacing w:val="-11"/>
                    </w:rPr>
                  </w:pPr>
                  <w:r>
                    <w:rPr>
                      <w:rFonts w:hint="default" w:ascii="Times New Roman" w:hAnsi="Times New Roman" w:eastAsia="宋体" w:cs="Times New Roman"/>
                      <w:color w:val="auto"/>
                      <w:spacing w:val="-11"/>
                    </w:rPr>
                    <w:t>东禅寺水库</w:t>
                  </w:r>
                </w:p>
              </w:tc>
              <w:tc>
                <w:tcPr>
                  <w:tcW w:w="458" w:type="pct"/>
                  <w:vAlign w:val="center"/>
                </w:tcPr>
                <w:p w14:paraId="2AF0B915">
                  <w:pPr>
                    <w:jc w:val="center"/>
                    <w:rPr>
                      <w:rFonts w:hint="default" w:ascii="Times New Roman" w:hAnsi="Times New Roman" w:eastAsia="宋体" w:cs="Times New Roman"/>
                      <w:color w:val="auto"/>
                      <w:spacing w:val="-11"/>
                    </w:rPr>
                  </w:pPr>
                  <w:r>
                    <w:rPr>
                      <w:rFonts w:hint="default" w:ascii="Times New Roman" w:hAnsi="Times New Roman" w:eastAsia="宋体" w:cs="Times New Roman"/>
                      <w:color w:val="auto"/>
                    </w:rPr>
                    <w:t>西侧</w:t>
                  </w:r>
                </w:p>
              </w:tc>
              <w:tc>
                <w:tcPr>
                  <w:tcW w:w="1564" w:type="pct"/>
                  <w:vAlign w:val="center"/>
                </w:tcPr>
                <w:p w14:paraId="1F41968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距离项目（中幼林抚育）最近距离320m</w:t>
                  </w:r>
                </w:p>
              </w:tc>
              <w:tc>
                <w:tcPr>
                  <w:tcW w:w="932" w:type="pct"/>
                  <w:vAlign w:val="center"/>
                </w:tcPr>
                <w:p w14:paraId="010B2AB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灌溉</w:t>
                  </w:r>
                  <w:r>
                    <w:rPr>
                      <w:rFonts w:hint="eastAsia" w:ascii="Times New Roman" w:hAnsi="Times New Roman" w:eastAsia="宋体" w:cs="Times New Roman"/>
                      <w:color w:val="auto"/>
                      <w:lang w:eastAsia="zh-CN"/>
                    </w:rPr>
                    <w:t>、</w:t>
                  </w:r>
                  <w:r>
                    <w:rPr>
                      <w:rFonts w:hint="default" w:ascii="Times New Roman" w:hAnsi="Times New Roman" w:eastAsia="宋体" w:cs="Times New Roman"/>
                      <w:color w:val="auto"/>
                    </w:rPr>
                    <w:t>防洪</w:t>
                  </w:r>
                </w:p>
              </w:tc>
              <w:tc>
                <w:tcPr>
                  <w:tcW w:w="1300" w:type="pct"/>
                  <w:vAlign w:val="center"/>
                </w:tcPr>
                <w:p w14:paraId="451DB47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《地表水环境 质量标准》（GB3838-2002）III类</w:t>
                  </w:r>
                </w:p>
              </w:tc>
            </w:tr>
            <w:tr w14:paraId="53E8A5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1" w:hRule="atLeast"/>
                <w:jc w:val="center"/>
              </w:trPr>
              <w:tc>
                <w:tcPr>
                  <w:tcW w:w="340" w:type="pct"/>
                  <w:vMerge w:val="continue"/>
                  <w:vAlign w:val="center"/>
                </w:tcPr>
                <w:p w14:paraId="1CAAE4FD">
                  <w:pPr>
                    <w:pStyle w:val="50"/>
                    <w:spacing w:line="240" w:lineRule="auto"/>
                    <w:rPr>
                      <w:rFonts w:hint="default" w:ascii="Times New Roman" w:hAnsi="Times New Roman" w:eastAsia="宋体" w:cs="Times New Roman"/>
                      <w:color w:val="auto"/>
                      <w:spacing w:val="-11"/>
                    </w:rPr>
                  </w:pPr>
                </w:p>
              </w:tc>
              <w:tc>
                <w:tcPr>
                  <w:tcW w:w="403" w:type="pct"/>
                  <w:vAlign w:val="center"/>
                </w:tcPr>
                <w:p w14:paraId="4FE16AC5">
                  <w:pPr>
                    <w:pStyle w:val="50"/>
                    <w:spacing w:line="240" w:lineRule="auto"/>
                    <w:rPr>
                      <w:rFonts w:hint="default" w:ascii="Times New Roman" w:hAnsi="Times New Roman" w:eastAsia="宋体" w:cs="Times New Roman"/>
                      <w:color w:val="auto"/>
                      <w:spacing w:val="-11"/>
                    </w:rPr>
                  </w:pPr>
                  <w:r>
                    <w:rPr>
                      <w:rFonts w:hint="default" w:ascii="Times New Roman" w:hAnsi="Times New Roman" w:eastAsia="宋体" w:cs="Times New Roman"/>
                      <w:color w:val="auto"/>
                      <w:spacing w:val="-11"/>
                    </w:rPr>
                    <w:t>倒挂金钩水库</w:t>
                  </w:r>
                </w:p>
              </w:tc>
              <w:tc>
                <w:tcPr>
                  <w:tcW w:w="458" w:type="pct"/>
                  <w:vAlign w:val="center"/>
                </w:tcPr>
                <w:p w14:paraId="0B3C803B">
                  <w:pPr>
                    <w:jc w:val="center"/>
                    <w:rPr>
                      <w:rFonts w:hint="default" w:ascii="Times New Roman" w:hAnsi="Times New Roman" w:eastAsia="宋体" w:cs="Times New Roman"/>
                      <w:color w:val="auto"/>
                      <w:spacing w:val="-11"/>
                    </w:rPr>
                  </w:pPr>
                  <w:r>
                    <w:rPr>
                      <w:rFonts w:hint="default" w:ascii="Times New Roman" w:hAnsi="Times New Roman" w:eastAsia="宋体" w:cs="Times New Roman"/>
                      <w:color w:val="auto"/>
                    </w:rPr>
                    <w:t>东南侧</w:t>
                  </w:r>
                </w:p>
              </w:tc>
              <w:tc>
                <w:tcPr>
                  <w:tcW w:w="1564" w:type="pct"/>
                  <w:vAlign w:val="center"/>
                </w:tcPr>
                <w:p w14:paraId="6F51D34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距离项目（中幼林抚育）最近距离329m</w:t>
                  </w:r>
                </w:p>
              </w:tc>
              <w:tc>
                <w:tcPr>
                  <w:tcW w:w="932" w:type="pct"/>
                  <w:vAlign w:val="center"/>
                </w:tcPr>
                <w:p w14:paraId="03D9806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灌溉</w:t>
                  </w:r>
                  <w:r>
                    <w:rPr>
                      <w:rFonts w:hint="eastAsia" w:ascii="Times New Roman" w:hAnsi="Times New Roman" w:eastAsia="宋体" w:cs="Times New Roman"/>
                      <w:color w:val="auto"/>
                      <w:lang w:eastAsia="zh-CN"/>
                    </w:rPr>
                    <w:t>、</w:t>
                  </w:r>
                  <w:r>
                    <w:rPr>
                      <w:rFonts w:hint="default" w:ascii="Times New Roman" w:hAnsi="Times New Roman" w:eastAsia="宋体" w:cs="Times New Roman"/>
                      <w:color w:val="auto"/>
                    </w:rPr>
                    <w:t>防洪</w:t>
                  </w:r>
                </w:p>
              </w:tc>
              <w:tc>
                <w:tcPr>
                  <w:tcW w:w="1300" w:type="pct"/>
                  <w:vAlign w:val="center"/>
                </w:tcPr>
                <w:p w14:paraId="1104438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《地表水环境 质量标准》（GB3838-2002）III类</w:t>
                  </w:r>
                </w:p>
              </w:tc>
            </w:tr>
            <w:tr w14:paraId="46E46C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1" w:hRule="atLeast"/>
                <w:jc w:val="center"/>
              </w:trPr>
              <w:tc>
                <w:tcPr>
                  <w:tcW w:w="340" w:type="pct"/>
                  <w:vMerge w:val="continue"/>
                  <w:vAlign w:val="center"/>
                </w:tcPr>
                <w:p w14:paraId="219FC126">
                  <w:pPr>
                    <w:pStyle w:val="50"/>
                    <w:spacing w:line="240" w:lineRule="auto"/>
                    <w:rPr>
                      <w:rFonts w:hint="default" w:ascii="Times New Roman" w:hAnsi="Times New Roman" w:eastAsia="宋体" w:cs="Times New Roman"/>
                      <w:color w:val="auto"/>
                      <w:spacing w:val="-11"/>
                    </w:rPr>
                  </w:pPr>
                </w:p>
              </w:tc>
              <w:tc>
                <w:tcPr>
                  <w:tcW w:w="403" w:type="pct"/>
                  <w:vAlign w:val="center"/>
                </w:tcPr>
                <w:p w14:paraId="315FDBC2">
                  <w:pPr>
                    <w:pStyle w:val="50"/>
                    <w:spacing w:line="240" w:lineRule="auto"/>
                    <w:rPr>
                      <w:rFonts w:hint="default" w:ascii="Times New Roman" w:hAnsi="Times New Roman" w:eastAsia="宋体" w:cs="Times New Roman"/>
                      <w:color w:val="auto"/>
                      <w:spacing w:val="-11"/>
                    </w:rPr>
                  </w:pPr>
                  <w:r>
                    <w:rPr>
                      <w:rFonts w:hint="default" w:ascii="Times New Roman" w:hAnsi="Times New Roman" w:eastAsia="宋体" w:cs="Times New Roman"/>
                      <w:color w:val="auto"/>
                      <w:spacing w:val="-11"/>
                    </w:rPr>
                    <w:t>蔡家湾水库</w:t>
                  </w:r>
                </w:p>
              </w:tc>
              <w:tc>
                <w:tcPr>
                  <w:tcW w:w="458" w:type="pct"/>
                  <w:vAlign w:val="center"/>
                </w:tcPr>
                <w:p w14:paraId="7BD83DA1">
                  <w:pPr>
                    <w:jc w:val="center"/>
                    <w:rPr>
                      <w:rFonts w:hint="default" w:ascii="Times New Roman" w:hAnsi="Times New Roman" w:eastAsia="宋体" w:cs="Times New Roman"/>
                      <w:color w:val="auto"/>
                      <w:spacing w:val="-11"/>
                    </w:rPr>
                  </w:pPr>
                  <w:r>
                    <w:rPr>
                      <w:rFonts w:hint="default" w:ascii="Times New Roman" w:hAnsi="Times New Roman" w:eastAsia="宋体" w:cs="Times New Roman"/>
                      <w:color w:val="auto"/>
                    </w:rPr>
                    <w:t>西南侧</w:t>
                  </w:r>
                </w:p>
              </w:tc>
              <w:tc>
                <w:tcPr>
                  <w:tcW w:w="1564" w:type="pct"/>
                  <w:vAlign w:val="center"/>
                </w:tcPr>
                <w:p w14:paraId="5F434D5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距离项目（中幼林抚育）最近距离324m</w:t>
                  </w:r>
                </w:p>
              </w:tc>
              <w:tc>
                <w:tcPr>
                  <w:tcW w:w="932" w:type="pct"/>
                  <w:vAlign w:val="center"/>
                </w:tcPr>
                <w:p w14:paraId="74279EC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灌溉</w:t>
                  </w:r>
                  <w:r>
                    <w:rPr>
                      <w:rFonts w:hint="eastAsia" w:ascii="Times New Roman" w:hAnsi="Times New Roman" w:eastAsia="宋体" w:cs="Times New Roman"/>
                      <w:color w:val="auto"/>
                      <w:lang w:eastAsia="zh-CN"/>
                    </w:rPr>
                    <w:t>、</w:t>
                  </w:r>
                  <w:r>
                    <w:rPr>
                      <w:rFonts w:hint="default" w:ascii="Times New Roman" w:hAnsi="Times New Roman" w:eastAsia="宋体" w:cs="Times New Roman"/>
                      <w:color w:val="auto"/>
                    </w:rPr>
                    <w:t>防洪</w:t>
                  </w:r>
                </w:p>
              </w:tc>
              <w:tc>
                <w:tcPr>
                  <w:tcW w:w="1300" w:type="pct"/>
                  <w:vAlign w:val="center"/>
                </w:tcPr>
                <w:p w14:paraId="3743E76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《地表水环境 质量标准》（GB3838-2002）III类</w:t>
                  </w:r>
                </w:p>
              </w:tc>
            </w:tr>
            <w:tr w14:paraId="1D1B1B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1" w:hRule="atLeast"/>
                <w:jc w:val="center"/>
              </w:trPr>
              <w:tc>
                <w:tcPr>
                  <w:tcW w:w="340" w:type="pct"/>
                  <w:vMerge w:val="continue"/>
                  <w:vAlign w:val="center"/>
                </w:tcPr>
                <w:p w14:paraId="4BEC569A">
                  <w:pPr>
                    <w:pStyle w:val="50"/>
                    <w:spacing w:line="240" w:lineRule="auto"/>
                    <w:rPr>
                      <w:rFonts w:hint="default" w:ascii="Times New Roman" w:hAnsi="Times New Roman" w:eastAsia="宋体" w:cs="Times New Roman"/>
                      <w:color w:val="auto"/>
                      <w:spacing w:val="-11"/>
                    </w:rPr>
                  </w:pPr>
                </w:p>
              </w:tc>
              <w:tc>
                <w:tcPr>
                  <w:tcW w:w="403" w:type="pct"/>
                  <w:vAlign w:val="center"/>
                </w:tcPr>
                <w:p w14:paraId="72C94543">
                  <w:pPr>
                    <w:pStyle w:val="50"/>
                    <w:spacing w:line="240" w:lineRule="auto"/>
                    <w:rPr>
                      <w:rFonts w:hint="default" w:ascii="Times New Roman" w:hAnsi="Times New Roman" w:eastAsia="宋体" w:cs="Times New Roman"/>
                      <w:color w:val="auto"/>
                      <w:spacing w:val="-11"/>
                    </w:rPr>
                  </w:pPr>
                  <w:r>
                    <w:rPr>
                      <w:rFonts w:hint="default" w:ascii="Times New Roman" w:hAnsi="Times New Roman" w:eastAsia="宋体" w:cs="Times New Roman"/>
                      <w:color w:val="auto"/>
                      <w:spacing w:val="-11"/>
                    </w:rPr>
                    <w:t>盐井函水库</w:t>
                  </w:r>
                </w:p>
              </w:tc>
              <w:tc>
                <w:tcPr>
                  <w:tcW w:w="458" w:type="pct"/>
                  <w:vAlign w:val="center"/>
                </w:tcPr>
                <w:p w14:paraId="26D9190E">
                  <w:pPr>
                    <w:jc w:val="center"/>
                    <w:rPr>
                      <w:rFonts w:hint="default" w:ascii="Times New Roman" w:hAnsi="Times New Roman" w:eastAsia="宋体" w:cs="Times New Roman"/>
                      <w:color w:val="auto"/>
                      <w:spacing w:val="-11"/>
                    </w:rPr>
                  </w:pPr>
                  <w:r>
                    <w:rPr>
                      <w:rFonts w:hint="default" w:ascii="Times New Roman" w:hAnsi="Times New Roman" w:eastAsia="宋体" w:cs="Times New Roman"/>
                      <w:color w:val="auto"/>
                    </w:rPr>
                    <w:t>西南</w:t>
                  </w:r>
                </w:p>
              </w:tc>
              <w:tc>
                <w:tcPr>
                  <w:tcW w:w="1564" w:type="pct"/>
                  <w:vAlign w:val="center"/>
                </w:tcPr>
                <w:p w14:paraId="773181A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距离项目（中幼林抚育）最近距离351m</w:t>
                  </w:r>
                </w:p>
              </w:tc>
              <w:tc>
                <w:tcPr>
                  <w:tcW w:w="932" w:type="pct"/>
                  <w:vAlign w:val="center"/>
                </w:tcPr>
                <w:p w14:paraId="0DD1CE9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灌溉</w:t>
                  </w:r>
                  <w:r>
                    <w:rPr>
                      <w:rFonts w:hint="eastAsia" w:ascii="Times New Roman" w:hAnsi="Times New Roman" w:eastAsia="宋体" w:cs="Times New Roman"/>
                      <w:color w:val="auto"/>
                      <w:lang w:eastAsia="zh-CN"/>
                    </w:rPr>
                    <w:t>、</w:t>
                  </w:r>
                  <w:r>
                    <w:rPr>
                      <w:rFonts w:hint="default" w:ascii="Times New Roman" w:hAnsi="Times New Roman" w:eastAsia="宋体" w:cs="Times New Roman"/>
                      <w:color w:val="auto"/>
                    </w:rPr>
                    <w:t>防洪</w:t>
                  </w:r>
                </w:p>
              </w:tc>
              <w:tc>
                <w:tcPr>
                  <w:tcW w:w="1300" w:type="pct"/>
                  <w:vAlign w:val="center"/>
                </w:tcPr>
                <w:p w14:paraId="3AAFE57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《地表水环境 质量标准》（GB3838-2002）III类</w:t>
                  </w:r>
                </w:p>
              </w:tc>
            </w:tr>
            <w:tr w14:paraId="11DFD1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40" w:type="pct"/>
                  <w:vMerge w:val="continue"/>
                  <w:vAlign w:val="center"/>
                </w:tcPr>
                <w:p w14:paraId="5CA60196">
                  <w:pPr>
                    <w:pStyle w:val="50"/>
                    <w:spacing w:line="240" w:lineRule="auto"/>
                    <w:rPr>
                      <w:rFonts w:hint="default" w:ascii="Times New Roman" w:hAnsi="Times New Roman" w:eastAsia="宋体" w:cs="Times New Roman"/>
                      <w:color w:val="auto"/>
                      <w:spacing w:val="-11"/>
                    </w:rPr>
                  </w:pPr>
                </w:p>
              </w:tc>
              <w:tc>
                <w:tcPr>
                  <w:tcW w:w="403" w:type="pct"/>
                  <w:vAlign w:val="center"/>
                </w:tcPr>
                <w:p w14:paraId="0708644A">
                  <w:pPr>
                    <w:pStyle w:val="50"/>
                    <w:spacing w:line="240" w:lineRule="auto"/>
                    <w:rPr>
                      <w:rFonts w:hint="default" w:ascii="Times New Roman" w:hAnsi="Times New Roman" w:eastAsia="宋体" w:cs="Times New Roman"/>
                      <w:color w:val="auto"/>
                      <w:spacing w:val="-11"/>
                    </w:rPr>
                  </w:pPr>
                  <w:r>
                    <w:rPr>
                      <w:rFonts w:hint="default" w:ascii="Times New Roman" w:hAnsi="Times New Roman" w:eastAsia="宋体" w:cs="Times New Roman"/>
                      <w:color w:val="auto"/>
                      <w:spacing w:val="-11"/>
                    </w:rPr>
                    <w:t>索溪河</w:t>
                  </w:r>
                </w:p>
              </w:tc>
              <w:tc>
                <w:tcPr>
                  <w:tcW w:w="458" w:type="pct"/>
                  <w:vAlign w:val="center"/>
                </w:tcPr>
                <w:p w14:paraId="4B9D0430">
                  <w:pPr>
                    <w:jc w:val="center"/>
                    <w:rPr>
                      <w:rFonts w:hint="default" w:ascii="Times New Roman" w:hAnsi="Times New Roman" w:eastAsia="宋体" w:cs="Times New Roman"/>
                      <w:color w:val="auto"/>
                      <w:spacing w:val="-11"/>
                    </w:rPr>
                  </w:pPr>
                  <w:r>
                    <w:rPr>
                      <w:rFonts w:hint="default" w:ascii="Times New Roman" w:hAnsi="Times New Roman" w:eastAsia="宋体" w:cs="Times New Roman"/>
                      <w:color w:val="auto"/>
                    </w:rPr>
                    <w:t>西侧</w:t>
                  </w:r>
                </w:p>
              </w:tc>
              <w:tc>
                <w:tcPr>
                  <w:tcW w:w="1564" w:type="pct"/>
                  <w:vAlign w:val="center"/>
                </w:tcPr>
                <w:p w14:paraId="1352BDC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距离项目（中幼林抚育）最近距离254m</w:t>
                  </w:r>
                </w:p>
              </w:tc>
              <w:tc>
                <w:tcPr>
                  <w:tcW w:w="932" w:type="pct"/>
                  <w:vAlign w:val="center"/>
                </w:tcPr>
                <w:p w14:paraId="0F20544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灌溉</w:t>
                  </w:r>
                  <w:r>
                    <w:rPr>
                      <w:rFonts w:hint="eastAsia" w:ascii="Times New Roman" w:hAnsi="Times New Roman" w:eastAsia="宋体" w:cs="Times New Roman"/>
                      <w:color w:val="auto"/>
                      <w:lang w:eastAsia="zh-CN"/>
                    </w:rPr>
                    <w:t>、</w:t>
                  </w:r>
                  <w:r>
                    <w:rPr>
                      <w:rFonts w:hint="default" w:ascii="Times New Roman" w:hAnsi="Times New Roman" w:eastAsia="宋体" w:cs="Times New Roman"/>
                      <w:color w:val="auto"/>
                    </w:rPr>
                    <w:t>防洪</w:t>
                  </w:r>
                </w:p>
              </w:tc>
              <w:tc>
                <w:tcPr>
                  <w:tcW w:w="1300" w:type="pct"/>
                  <w:vAlign w:val="center"/>
                </w:tcPr>
                <w:p w14:paraId="0BEEA0F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《地表水环境 质量标准》（GB3838-2002）III类</w:t>
                  </w:r>
                </w:p>
              </w:tc>
            </w:tr>
            <w:tr w14:paraId="284C49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1" w:hRule="atLeast"/>
                <w:jc w:val="center"/>
              </w:trPr>
              <w:tc>
                <w:tcPr>
                  <w:tcW w:w="340" w:type="pct"/>
                  <w:vMerge w:val="continue"/>
                  <w:vAlign w:val="center"/>
                </w:tcPr>
                <w:p w14:paraId="1AD6F512">
                  <w:pPr>
                    <w:pStyle w:val="50"/>
                    <w:spacing w:line="240" w:lineRule="auto"/>
                    <w:rPr>
                      <w:rFonts w:hint="default" w:ascii="Times New Roman" w:hAnsi="Times New Roman" w:eastAsia="宋体" w:cs="Times New Roman"/>
                      <w:color w:val="auto"/>
                      <w:spacing w:val="-11"/>
                    </w:rPr>
                  </w:pPr>
                </w:p>
              </w:tc>
              <w:tc>
                <w:tcPr>
                  <w:tcW w:w="403" w:type="pct"/>
                  <w:vAlign w:val="center"/>
                </w:tcPr>
                <w:p w14:paraId="3E17AC5C">
                  <w:pPr>
                    <w:pStyle w:val="50"/>
                    <w:spacing w:line="240" w:lineRule="auto"/>
                    <w:rPr>
                      <w:rFonts w:hint="default" w:ascii="Times New Roman" w:hAnsi="Times New Roman" w:eastAsia="宋体" w:cs="Times New Roman"/>
                      <w:color w:val="auto"/>
                      <w:spacing w:val="-11"/>
                    </w:rPr>
                  </w:pPr>
                  <w:r>
                    <w:rPr>
                      <w:rFonts w:hint="default" w:ascii="Times New Roman" w:hAnsi="Times New Roman" w:eastAsia="宋体" w:cs="Times New Roman"/>
                      <w:color w:val="auto"/>
                      <w:spacing w:val="-11"/>
                    </w:rPr>
                    <w:t>桂花湾水库</w:t>
                  </w:r>
                </w:p>
              </w:tc>
              <w:tc>
                <w:tcPr>
                  <w:tcW w:w="458" w:type="pct"/>
                  <w:vAlign w:val="center"/>
                </w:tcPr>
                <w:p w14:paraId="01A8B15A">
                  <w:pPr>
                    <w:jc w:val="center"/>
                    <w:rPr>
                      <w:rFonts w:hint="default" w:ascii="Times New Roman" w:hAnsi="Times New Roman" w:eastAsia="宋体" w:cs="Times New Roman"/>
                      <w:color w:val="auto"/>
                      <w:spacing w:val="-11"/>
                    </w:rPr>
                  </w:pPr>
                  <w:r>
                    <w:rPr>
                      <w:rFonts w:hint="default" w:ascii="Times New Roman" w:hAnsi="Times New Roman" w:eastAsia="宋体" w:cs="Times New Roman"/>
                      <w:color w:val="auto"/>
                    </w:rPr>
                    <w:t>西南侧</w:t>
                  </w:r>
                </w:p>
              </w:tc>
              <w:tc>
                <w:tcPr>
                  <w:tcW w:w="1564" w:type="pct"/>
                  <w:vAlign w:val="center"/>
                </w:tcPr>
                <w:p w14:paraId="7F044F1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距离项目（中幼林抚育）最近距离221m</w:t>
                  </w:r>
                </w:p>
              </w:tc>
              <w:tc>
                <w:tcPr>
                  <w:tcW w:w="932" w:type="pct"/>
                  <w:vAlign w:val="center"/>
                </w:tcPr>
                <w:p w14:paraId="7C47E93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灌溉</w:t>
                  </w:r>
                  <w:r>
                    <w:rPr>
                      <w:rFonts w:hint="eastAsia" w:ascii="Times New Roman" w:hAnsi="Times New Roman" w:eastAsia="宋体" w:cs="Times New Roman"/>
                      <w:color w:val="auto"/>
                      <w:lang w:eastAsia="zh-CN"/>
                    </w:rPr>
                    <w:t>、</w:t>
                  </w:r>
                  <w:r>
                    <w:rPr>
                      <w:rFonts w:hint="default" w:ascii="Times New Roman" w:hAnsi="Times New Roman" w:eastAsia="宋体" w:cs="Times New Roman"/>
                      <w:color w:val="auto"/>
                    </w:rPr>
                    <w:t>防洪</w:t>
                  </w:r>
                </w:p>
              </w:tc>
              <w:tc>
                <w:tcPr>
                  <w:tcW w:w="1300" w:type="pct"/>
                  <w:vAlign w:val="center"/>
                </w:tcPr>
                <w:p w14:paraId="310005E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《地表水环境 质量标准》（GB3838-2002）III类</w:t>
                  </w:r>
                </w:p>
              </w:tc>
            </w:tr>
            <w:tr w14:paraId="2CA0A9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1" w:hRule="atLeast"/>
                <w:jc w:val="center"/>
              </w:trPr>
              <w:tc>
                <w:tcPr>
                  <w:tcW w:w="340" w:type="pct"/>
                  <w:vMerge w:val="continue"/>
                  <w:vAlign w:val="center"/>
                </w:tcPr>
                <w:p w14:paraId="6C097558">
                  <w:pPr>
                    <w:pStyle w:val="50"/>
                    <w:spacing w:line="240" w:lineRule="auto"/>
                    <w:rPr>
                      <w:rFonts w:hint="default" w:ascii="Times New Roman" w:hAnsi="Times New Roman" w:eastAsia="宋体" w:cs="Times New Roman"/>
                      <w:color w:val="auto"/>
                      <w:spacing w:val="-11"/>
                    </w:rPr>
                  </w:pPr>
                </w:p>
              </w:tc>
              <w:tc>
                <w:tcPr>
                  <w:tcW w:w="403" w:type="pct"/>
                  <w:vAlign w:val="center"/>
                </w:tcPr>
                <w:p w14:paraId="0102AEE1">
                  <w:pPr>
                    <w:pStyle w:val="50"/>
                    <w:spacing w:line="240" w:lineRule="auto"/>
                    <w:rPr>
                      <w:rFonts w:hint="default" w:ascii="Times New Roman" w:hAnsi="Times New Roman" w:eastAsia="宋体" w:cs="Times New Roman"/>
                      <w:color w:val="auto"/>
                      <w:spacing w:val="-11"/>
                    </w:rPr>
                  </w:pPr>
                  <w:r>
                    <w:rPr>
                      <w:rFonts w:hint="default" w:ascii="Times New Roman" w:hAnsi="Times New Roman" w:eastAsia="宋体" w:cs="Times New Roman"/>
                      <w:color w:val="auto"/>
                      <w:spacing w:val="-11"/>
                    </w:rPr>
                    <w:t>大庆水库</w:t>
                  </w:r>
                </w:p>
              </w:tc>
              <w:tc>
                <w:tcPr>
                  <w:tcW w:w="458" w:type="pct"/>
                  <w:vAlign w:val="center"/>
                </w:tcPr>
                <w:p w14:paraId="78C4BFDF">
                  <w:pPr>
                    <w:jc w:val="center"/>
                    <w:rPr>
                      <w:rFonts w:hint="default" w:ascii="Times New Roman" w:hAnsi="Times New Roman" w:eastAsia="宋体" w:cs="Times New Roman"/>
                      <w:color w:val="auto"/>
                      <w:spacing w:val="-11"/>
                    </w:rPr>
                  </w:pPr>
                  <w:r>
                    <w:rPr>
                      <w:rFonts w:hint="default" w:ascii="Times New Roman" w:hAnsi="Times New Roman" w:eastAsia="宋体" w:cs="Times New Roman"/>
                      <w:color w:val="auto"/>
                    </w:rPr>
                    <w:t>西侧</w:t>
                  </w:r>
                </w:p>
              </w:tc>
              <w:tc>
                <w:tcPr>
                  <w:tcW w:w="1564" w:type="pct"/>
                  <w:vAlign w:val="center"/>
                </w:tcPr>
                <w:p w14:paraId="07BABF5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距离项目（中幼林抚育）最近距离235m</w:t>
                  </w:r>
                </w:p>
              </w:tc>
              <w:tc>
                <w:tcPr>
                  <w:tcW w:w="932" w:type="pct"/>
                  <w:vAlign w:val="center"/>
                </w:tcPr>
                <w:p w14:paraId="32AD53D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灌溉</w:t>
                  </w:r>
                  <w:r>
                    <w:rPr>
                      <w:rFonts w:hint="eastAsia" w:ascii="Times New Roman" w:hAnsi="Times New Roman" w:eastAsia="宋体" w:cs="Times New Roman"/>
                      <w:color w:val="auto"/>
                      <w:lang w:eastAsia="zh-CN"/>
                    </w:rPr>
                    <w:t>、</w:t>
                  </w:r>
                  <w:r>
                    <w:rPr>
                      <w:rFonts w:hint="default" w:ascii="Times New Roman" w:hAnsi="Times New Roman" w:eastAsia="宋体" w:cs="Times New Roman"/>
                      <w:color w:val="auto"/>
                    </w:rPr>
                    <w:t>防洪</w:t>
                  </w:r>
                </w:p>
              </w:tc>
              <w:tc>
                <w:tcPr>
                  <w:tcW w:w="1300" w:type="pct"/>
                  <w:vAlign w:val="center"/>
                </w:tcPr>
                <w:p w14:paraId="073F5FA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《地表水环境 质量标准》（GB3838-2002）III类</w:t>
                  </w:r>
                </w:p>
              </w:tc>
            </w:tr>
            <w:tr w14:paraId="0A51E0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1" w:hRule="atLeast"/>
                <w:jc w:val="center"/>
              </w:trPr>
              <w:tc>
                <w:tcPr>
                  <w:tcW w:w="340" w:type="pct"/>
                  <w:vMerge w:val="continue"/>
                  <w:vAlign w:val="center"/>
                </w:tcPr>
                <w:p w14:paraId="43372378">
                  <w:pPr>
                    <w:pStyle w:val="50"/>
                    <w:spacing w:line="240" w:lineRule="auto"/>
                    <w:rPr>
                      <w:rFonts w:hint="default" w:ascii="Times New Roman" w:hAnsi="Times New Roman" w:eastAsia="宋体" w:cs="Times New Roman"/>
                      <w:color w:val="auto"/>
                      <w:spacing w:val="-11"/>
                    </w:rPr>
                  </w:pPr>
                </w:p>
              </w:tc>
              <w:tc>
                <w:tcPr>
                  <w:tcW w:w="403" w:type="pct"/>
                  <w:vAlign w:val="center"/>
                </w:tcPr>
                <w:p w14:paraId="64AB726D">
                  <w:pPr>
                    <w:pStyle w:val="50"/>
                    <w:spacing w:line="240" w:lineRule="auto"/>
                    <w:rPr>
                      <w:rFonts w:hint="default" w:ascii="Times New Roman" w:hAnsi="Times New Roman" w:eastAsia="宋体" w:cs="Times New Roman"/>
                      <w:color w:val="auto"/>
                      <w:spacing w:val="-11"/>
                    </w:rPr>
                  </w:pPr>
                  <w:r>
                    <w:rPr>
                      <w:rFonts w:hint="default" w:ascii="Times New Roman" w:hAnsi="Times New Roman" w:eastAsia="宋体" w:cs="Times New Roman"/>
                      <w:color w:val="auto"/>
                      <w:spacing w:val="-11"/>
                    </w:rPr>
                    <w:t>一碗水水库</w:t>
                  </w:r>
                </w:p>
              </w:tc>
              <w:tc>
                <w:tcPr>
                  <w:tcW w:w="458" w:type="pct"/>
                  <w:vAlign w:val="center"/>
                </w:tcPr>
                <w:p w14:paraId="02E6B566">
                  <w:pPr>
                    <w:jc w:val="center"/>
                    <w:rPr>
                      <w:rFonts w:hint="default" w:ascii="Times New Roman" w:hAnsi="Times New Roman" w:eastAsia="宋体" w:cs="Times New Roman"/>
                      <w:color w:val="auto"/>
                      <w:spacing w:val="-11"/>
                    </w:rPr>
                  </w:pPr>
                  <w:r>
                    <w:rPr>
                      <w:rFonts w:hint="default" w:ascii="Times New Roman" w:hAnsi="Times New Roman" w:eastAsia="宋体" w:cs="Times New Roman"/>
                      <w:color w:val="auto"/>
                    </w:rPr>
                    <w:t>东南侧</w:t>
                  </w:r>
                </w:p>
              </w:tc>
              <w:tc>
                <w:tcPr>
                  <w:tcW w:w="1564" w:type="pct"/>
                  <w:vAlign w:val="center"/>
                </w:tcPr>
                <w:p w14:paraId="03F87DB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距离项目（中幼林抚育）最近距离361m</w:t>
                  </w:r>
                </w:p>
              </w:tc>
              <w:tc>
                <w:tcPr>
                  <w:tcW w:w="932" w:type="pct"/>
                  <w:vAlign w:val="center"/>
                </w:tcPr>
                <w:p w14:paraId="334643D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灌溉</w:t>
                  </w:r>
                  <w:r>
                    <w:rPr>
                      <w:rFonts w:hint="eastAsia" w:ascii="Times New Roman" w:hAnsi="Times New Roman" w:eastAsia="宋体" w:cs="Times New Roman"/>
                      <w:color w:val="auto"/>
                      <w:lang w:eastAsia="zh-CN"/>
                    </w:rPr>
                    <w:t>、</w:t>
                  </w:r>
                  <w:r>
                    <w:rPr>
                      <w:rFonts w:hint="default" w:ascii="Times New Roman" w:hAnsi="Times New Roman" w:eastAsia="宋体" w:cs="Times New Roman"/>
                      <w:color w:val="auto"/>
                    </w:rPr>
                    <w:t>防洪</w:t>
                  </w:r>
                </w:p>
              </w:tc>
              <w:tc>
                <w:tcPr>
                  <w:tcW w:w="1300" w:type="pct"/>
                  <w:vAlign w:val="center"/>
                </w:tcPr>
                <w:p w14:paraId="3BE2987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《地表水环境 质量标准》（GB3838-2002）III类</w:t>
                  </w:r>
                </w:p>
              </w:tc>
            </w:tr>
            <w:tr w14:paraId="53FBFB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1" w:hRule="atLeast"/>
                <w:jc w:val="center"/>
              </w:trPr>
              <w:tc>
                <w:tcPr>
                  <w:tcW w:w="340" w:type="pct"/>
                  <w:vMerge w:val="continue"/>
                  <w:vAlign w:val="center"/>
                </w:tcPr>
                <w:p w14:paraId="6010112B">
                  <w:pPr>
                    <w:pStyle w:val="50"/>
                    <w:spacing w:line="240" w:lineRule="auto"/>
                    <w:rPr>
                      <w:rFonts w:hint="default" w:ascii="Times New Roman" w:hAnsi="Times New Roman" w:eastAsia="宋体" w:cs="Times New Roman"/>
                      <w:color w:val="auto"/>
                      <w:spacing w:val="-11"/>
                    </w:rPr>
                  </w:pPr>
                </w:p>
              </w:tc>
              <w:tc>
                <w:tcPr>
                  <w:tcW w:w="403" w:type="pct"/>
                  <w:vAlign w:val="center"/>
                </w:tcPr>
                <w:p w14:paraId="311BFF53">
                  <w:pPr>
                    <w:pStyle w:val="50"/>
                    <w:spacing w:line="240" w:lineRule="auto"/>
                    <w:rPr>
                      <w:rFonts w:hint="default" w:ascii="Times New Roman" w:hAnsi="Times New Roman" w:eastAsia="宋体" w:cs="Times New Roman"/>
                      <w:color w:val="auto"/>
                      <w:spacing w:val="-11"/>
                    </w:rPr>
                  </w:pPr>
                  <w:r>
                    <w:rPr>
                      <w:rFonts w:hint="default" w:ascii="Times New Roman" w:hAnsi="Times New Roman" w:eastAsia="宋体" w:cs="Times New Roman"/>
                      <w:color w:val="auto"/>
                      <w:spacing w:val="-11"/>
                    </w:rPr>
                    <w:t>丰收水库</w:t>
                  </w:r>
                </w:p>
              </w:tc>
              <w:tc>
                <w:tcPr>
                  <w:tcW w:w="458" w:type="pct"/>
                  <w:vAlign w:val="center"/>
                </w:tcPr>
                <w:p w14:paraId="1A82BC56">
                  <w:pPr>
                    <w:jc w:val="center"/>
                    <w:rPr>
                      <w:rFonts w:hint="default" w:ascii="Times New Roman" w:hAnsi="Times New Roman" w:eastAsia="宋体" w:cs="Times New Roman"/>
                      <w:color w:val="auto"/>
                      <w:spacing w:val="-11"/>
                    </w:rPr>
                  </w:pPr>
                  <w:r>
                    <w:rPr>
                      <w:rFonts w:hint="default" w:ascii="Times New Roman" w:hAnsi="Times New Roman" w:eastAsia="宋体" w:cs="Times New Roman"/>
                      <w:color w:val="auto"/>
                    </w:rPr>
                    <w:t>西南侧</w:t>
                  </w:r>
                </w:p>
              </w:tc>
              <w:tc>
                <w:tcPr>
                  <w:tcW w:w="1564" w:type="pct"/>
                  <w:vAlign w:val="center"/>
                </w:tcPr>
                <w:p w14:paraId="1524732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距离项目（中幼林抚育）最近距离352m</w:t>
                  </w:r>
                </w:p>
              </w:tc>
              <w:tc>
                <w:tcPr>
                  <w:tcW w:w="932" w:type="pct"/>
                  <w:vAlign w:val="center"/>
                </w:tcPr>
                <w:p w14:paraId="4F76BB7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灌溉</w:t>
                  </w:r>
                  <w:r>
                    <w:rPr>
                      <w:rFonts w:hint="eastAsia" w:ascii="Times New Roman" w:hAnsi="Times New Roman" w:eastAsia="宋体" w:cs="Times New Roman"/>
                      <w:color w:val="auto"/>
                      <w:lang w:eastAsia="zh-CN"/>
                    </w:rPr>
                    <w:t>、</w:t>
                  </w:r>
                  <w:r>
                    <w:rPr>
                      <w:rFonts w:hint="default" w:ascii="Times New Roman" w:hAnsi="Times New Roman" w:eastAsia="宋体" w:cs="Times New Roman"/>
                      <w:color w:val="auto"/>
                    </w:rPr>
                    <w:t>防洪</w:t>
                  </w:r>
                </w:p>
              </w:tc>
              <w:tc>
                <w:tcPr>
                  <w:tcW w:w="1300" w:type="pct"/>
                  <w:vAlign w:val="center"/>
                </w:tcPr>
                <w:p w14:paraId="2D27257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《地表水环境 质量标准》（GB3838-2002）III类</w:t>
                  </w:r>
                </w:p>
              </w:tc>
            </w:tr>
            <w:tr w14:paraId="22F5DB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1" w:hRule="atLeast"/>
                <w:jc w:val="center"/>
              </w:trPr>
              <w:tc>
                <w:tcPr>
                  <w:tcW w:w="340" w:type="pct"/>
                  <w:vMerge w:val="continue"/>
                  <w:vAlign w:val="center"/>
                </w:tcPr>
                <w:p w14:paraId="6FFD7C97">
                  <w:pPr>
                    <w:pStyle w:val="50"/>
                    <w:spacing w:line="240" w:lineRule="auto"/>
                    <w:rPr>
                      <w:rFonts w:hint="default" w:ascii="Times New Roman" w:hAnsi="Times New Roman" w:eastAsia="宋体" w:cs="Times New Roman"/>
                      <w:color w:val="auto"/>
                      <w:spacing w:val="-11"/>
                    </w:rPr>
                  </w:pPr>
                </w:p>
              </w:tc>
              <w:tc>
                <w:tcPr>
                  <w:tcW w:w="403" w:type="pct"/>
                  <w:vAlign w:val="center"/>
                </w:tcPr>
                <w:p w14:paraId="1486AD27">
                  <w:pPr>
                    <w:pStyle w:val="50"/>
                    <w:spacing w:line="240" w:lineRule="auto"/>
                    <w:rPr>
                      <w:rFonts w:hint="default" w:ascii="Times New Roman" w:hAnsi="Times New Roman" w:eastAsia="宋体" w:cs="Times New Roman"/>
                      <w:color w:val="auto"/>
                      <w:spacing w:val="-11"/>
                    </w:rPr>
                  </w:pPr>
                  <w:r>
                    <w:rPr>
                      <w:rFonts w:hint="default" w:ascii="Times New Roman" w:hAnsi="Times New Roman" w:eastAsia="宋体" w:cs="Times New Roman"/>
                      <w:color w:val="auto"/>
                      <w:spacing w:val="-11"/>
                    </w:rPr>
                    <w:t>汪家水库</w:t>
                  </w:r>
                </w:p>
              </w:tc>
              <w:tc>
                <w:tcPr>
                  <w:tcW w:w="458" w:type="pct"/>
                  <w:vAlign w:val="center"/>
                </w:tcPr>
                <w:p w14:paraId="71268CAE">
                  <w:pPr>
                    <w:jc w:val="center"/>
                    <w:rPr>
                      <w:rFonts w:hint="default" w:ascii="Times New Roman" w:hAnsi="Times New Roman" w:eastAsia="宋体" w:cs="Times New Roman"/>
                      <w:color w:val="auto"/>
                      <w:spacing w:val="-11"/>
                    </w:rPr>
                  </w:pPr>
                  <w:r>
                    <w:rPr>
                      <w:rFonts w:hint="default" w:ascii="Times New Roman" w:hAnsi="Times New Roman" w:eastAsia="宋体" w:cs="Times New Roman"/>
                      <w:color w:val="auto"/>
                    </w:rPr>
                    <w:t>西南</w:t>
                  </w:r>
                </w:p>
              </w:tc>
              <w:tc>
                <w:tcPr>
                  <w:tcW w:w="1564" w:type="pct"/>
                  <w:vAlign w:val="center"/>
                </w:tcPr>
                <w:p w14:paraId="79A7FE5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距离项目（中幼林抚育）最近距离323m</w:t>
                  </w:r>
                </w:p>
              </w:tc>
              <w:tc>
                <w:tcPr>
                  <w:tcW w:w="932" w:type="pct"/>
                  <w:vAlign w:val="center"/>
                </w:tcPr>
                <w:p w14:paraId="7544050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灌溉</w:t>
                  </w:r>
                  <w:r>
                    <w:rPr>
                      <w:rFonts w:hint="eastAsia" w:ascii="Times New Roman" w:hAnsi="Times New Roman" w:eastAsia="宋体" w:cs="Times New Roman"/>
                      <w:color w:val="auto"/>
                      <w:lang w:eastAsia="zh-CN"/>
                    </w:rPr>
                    <w:t>、</w:t>
                  </w:r>
                  <w:r>
                    <w:rPr>
                      <w:rFonts w:hint="default" w:ascii="Times New Roman" w:hAnsi="Times New Roman" w:eastAsia="宋体" w:cs="Times New Roman"/>
                      <w:color w:val="auto"/>
                    </w:rPr>
                    <w:t>防洪</w:t>
                  </w:r>
                </w:p>
              </w:tc>
              <w:tc>
                <w:tcPr>
                  <w:tcW w:w="1300" w:type="pct"/>
                  <w:vAlign w:val="center"/>
                </w:tcPr>
                <w:p w14:paraId="26C8E75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《地表水环境 质量标准》（GB3838-2002）III类</w:t>
                  </w:r>
                </w:p>
              </w:tc>
            </w:tr>
            <w:tr w14:paraId="50EB4A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1" w:hRule="atLeast"/>
                <w:jc w:val="center"/>
              </w:trPr>
              <w:tc>
                <w:tcPr>
                  <w:tcW w:w="340" w:type="pct"/>
                  <w:vMerge w:val="continue"/>
                  <w:vAlign w:val="center"/>
                </w:tcPr>
                <w:p w14:paraId="544F814C">
                  <w:pPr>
                    <w:pStyle w:val="50"/>
                    <w:spacing w:line="240" w:lineRule="auto"/>
                    <w:rPr>
                      <w:rFonts w:hint="default" w:ascii="Times New Roman" w:hAnsi="Times New Roman" w:eastAsia="宋体" w:cs="Times New Roman"/>
                      <w:color w:val="auto"/>
                      <w:spacing w:val="-11"/>
                    </w:rPr>
                  </w:pPr>
                </w:p>
              </w:tc>
              <w:tc>
                <w:tcPr>
                  <w:tcW w:w="403" w:type="pct"/>
                  <w:vAlign w:val="center"/>
                </w:tcPr>
                <w:p w14:paraId="5EFF833F">
                  <w:pPr>
                    <w:pStyle w:val="50"/>
                    <w:spacing w:line="240" w:lineRule="auto"/>
                    <w:rPr>
                      <w:rFonts w:hint="default" w:ascii="Times New Roman" w:hAnsi="Times New Roman" w:eastAsia="宋体" w:cs="Times New Roman"/>
                      <w:color w:val="auto"/>
                      <w:spacing w:val="-11"/>
                    </w:rPr>
                  </w:pPr>
                  <w:r>
                    <w:rPr>
                      <w:rFonts w:hint="default" w:ascii="Times New Roman" w:hAnsi="Times New Roman" w:eastAsia="宋体" w:cs="Times New Roman"/>
                      <w:color w:val="auto"/>
                      <w:spacing w:val="-11"/>
                    </w:rPr>
                    <w:t>新团水库</w:t>
                  </w:r>
                </w:p>
              </w:tc>
              <w:tc>
                <w:tcPr>
                  <w:tcW w:w="458" w:type="pct"/>
                  <w:vAlign w:val="center"/>
                </w:tcPr>
                <w:p w14:paraId="5AF3F896">
                  <w:pPr>
                    <w:jc w:val="center"/>
                    <w:rPr>
                      <w:rFonts w:hint="default" w:ascii="Times New Roman" w:hAnsi="Times New Roman" w:eastAsia="宋体" w:cs="Times New Roman"/>
                      <w:color w:val="auto"/>
                      <w:spacing w:val="-11"/>
                    </w:rPr>
                  </w:pPr>
                  <w:r>
                    <w:rPr>
                      <w:rFonts w:hint="default" w:ascii="Times New Roman" w:hAnsi="Times New Roman" w:eastAsia="宋体" w:cs="Times New Roman"/>
                      <w:color w:val="auto"/>
                    </w:rPr>
                    <w:t>西北侧</w:t>
                  </w:r>
                </w:p>
              </w:tc>
              <w:tc>
                <w:tcPr>
                  <w:tcW w:w="1564" w:type="pct"/>
                  <w:vAlign w:val="center"/>
                </w:tcPr>
                <w:p w14:paraId="26CBF4F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距离项目（中幼林抚育）最近距离314m</w:t>
                  </w:r>
                </w:p>
              </w:tc>
              <w:tc>
                <w:tcPr>
                  <w:tcW w:w="932" w:type="pct"/>
                  <w:vAlign w:val="center"/>
                </w:tcPr>
                <w:p w14:paraId="4A00B1C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灌溉</w:t>
                  </w:r>
                  <w:r>
                    <w:rPr>
                      <w:rFonts w:hint="eastAsia" w:ascii="Times New Roman" w:hAnsi="Times New Roman" w:eastAsia="宋体" w:cs="Times New Roman"/>
                      <w:color w:val="auto"/>
                      <w:lang w:eastAsia="zh-CN"/>
                    </w:rPr>
                    <w:t>、</w:t>
                  </w:r>
                  <w:r>
                    <w:rPr>
                      <w:rFonts w:hint="default" w:ascii="Times New Roman" w:hAnsi="Times New Roman" w:eastAsia="宋体" w:cs="Times New Roman"/>
                      <w:color w:val="auto"/>
                    </w:rPr>
                    <w:t>防洪</w:t>
                  </w:r>
                </w:p>
              </w:tc>
              <w:tc>
                <w:tcPr>
                  <w:tcW w:w="1300" w:type="pct"/>
                  <w:vAlign w:val="center"/>
                </w:tcPr>
                <w:p w14:paraId="07776A6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《地表水环境 质量标准》（GB3838-2002）III类</w:t>
                  </w:r>
                </w:p>
              </w:tc>
            </w:tr>
            <w:tr w14:paraId="66CA24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340" w:type="pct"/>
                  <w:vMerge w:val="continue"/>
                  <w:vAlign w:val="center"/>
                </w:tcPr>
                <w:p w14:paraId="4FB3B5B0">
                  <w:pPr>
                    <w:pStyle w:val="50"/>
                    <w:spacing w:line="240" w:lineRule="auto"/>
                    <w:rPr>
                      <w:rFonts w:hint="default" w:ascii="Times New Roman" w:hAnsi="Times New Roman" w:eastAsia="宋体" w:cs="Times New Roman"/>
                      <w:color w:val="auto"/>
                      <w:spacing w:val="-11"/>
                    </w:rPr>
                  </w:pPr>
                </w:p>
              </w:tc>
              <w:tc>
                <w:tcPr>
                  <w:tcW w:w="403" w:type="pct"/>
                  <w:vAlign w:val="center"/>
                </w:tcPr>
                <w:p w14:paraId="6B3C6BAD">
                  <w:pPr>
                    <w:pStyle w:val="50"/>
                    <w:spacing w:line="240" w:lineRule="auto"/>
                    <w:rPr>
                      <w:rFonts w:hint="default" w:ascii="Times New Roman" w:hAnsi="Times New Roman" w:eastAsia="宋体" w:cs="Times New Roman"/>
                      <w:color w:val="auto"/>
                      <w:spacing w:val="-11"/>
                    </w:rPr>
                  </w:pPr>
                  <w:r>
                    <w:rPr>
                      <w:rFonts w:hint="default" w:ascii="Times New Roman" w:hAnsi="Times New Roman" w:eastAsia="宋体" w:cs="Times New Roman"/>
                      <w:color w:val="auto"/>
                      <w:spacing w:val="-11"/>
                    </w:rPr>
                    <w:t>毗河</w:t>
                  </w:r>
                </w:p>
              </w:tc>
              <w:tc>
                <w:tcPr>
                  <w:tcW w:w="458" w:type="pct"/>
                  <w:vAlign w:val="center"/>
                </w:tcPr>
                <w:p w14:paraId="43BFBBD0">
                  <w:pPr>
                    <w:jc w:val="center"/>
                    <w:rPr>
                      <w:rFonts w:hint="default" w:ascii="Times New Roman" w:hAnsi="Times New Roman" w:eastAsia="宋体" w:cs="Times New Roman"/>
                      <w:color w:val="auto"/>
                      <w:spacing w:val="-11"/>
                    </w:rPr>
                  </w:pPr>
                  <w:r>
                    <w:rPr>
                      <w:rFonts w:hint="default" w:ascii="Times New Roman" w:hAnsi="Times New Roman" w:eastAsia="宋体" w:cs="Times New Roman"/>
                      <w:color w:val="auto"/>
                    </w:rPr>
                    <w:t>西侧</w:t>
                  </w:r>
                </w:p>
              </w:tc>
              <w:tc>
                <w:tcPr>
                  <w:tcW w:w="1564" w:type="pct"/>
                  <w:vAlign w:val="center"/>
                </w:tcPr>
                <w:p w14:paraId="7A430FD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距离项目（中幼林抚育）最近距离330m</w:t>
                  </w:r>
                </w:p>
              </w:tc>
              <w:tc>
                <w:tcPr>
                  <w:tcW w:w="932" w:type="pct"/>
                  <w:vAlign w:val="center"/>
                </w:tcPr>
                <w:p w14:paraId="7EACF8C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灌溉</w:t>
                  </w:r>
                  <w:r>
                    <w:rPr>
                      <w:rFonts w:hint="eastAsia" w:ascii="Times New Roman" w:hAnsi="Times New Roman" w:eastAsia="宋体" w:cs="Times New Roman"/>
                      <w:color w:val="auto"/>
                      <w:lang w:eastAsia="zh-CN"/>
                    </w:rPr>
                    <w:t>、</w:t>
                  </w:r>
                  <w:r>
                    <w:rPr>
                      <w:rFonts w:hint="default" w:ascii="Times New Roman" w:hAnsi="Times New Roman" w:eastAsia="宋体" w:cs="Times New Roman"/>
                      <w:color w:val="auto"/>
                    </w:rPr>
                    <w:t>防洪</w:t>
                  </w:r>
                </w:p>
              </w:tc>
              <w:tc>
                <w:tcPr>
                  <w:tcW w:w="1300" w:type="pct"/>
                  <w:vAlign w:val="center"/>
                </w:tcPr>
                <w:p w14:paraId="454C56F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《地表水环境 质量标准》（GB3838-2002）III类</w:t>
                  </w:r>
                </w:p>
              </w:tc>
            </w:tr>
          </w:tbl>
          <w:p w14:paraId="15A7F1CA">
            <w:pPr>
              <w:spacing w:before="3" w:line="360" w:lineRule="auto"/>
              <w:ind w:left="113" w:right="106" w:firstLine="486"/>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（3）声环境保护目标</w:t>
            </w:r>
          </w:p>
          <w:p w14:paraId="4618A125">
            <w:pPr>
              <w:spacing w:before="3" w:line="360" w:lineRule="auto"/>
              <w:ind w:left="113" w:right="106" w:firstLine="486"/>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项目声环境保护目标见下表：</w:t>
            </w:r>
          </w:p>
          <w:p w14:paraId="65E4DAA2">
            <w:pPr>
              <w:tabs>
                <w:tab w:val="left" w:pos="920"/>
              </w:tabs>
              <w:spacing w:before="159"/>
              <w:ind w:left="166"/>
              <w:jc w:val="center"/>
              <w:rPr>
                <w:rFonts w:hint="default" w:ascii="Times New Roman" w:hAnsi="Times New Roman" w:eastAsia="宋体" w:cs="Times New Roman"/>
                <w:b/>
                <w:color w:val="auto"/>
              </w:rPr>
            </w:pPr>
            <w:r>
              <w:rPr>
                <w:rFonts w:hint="default" w:ascii="Times New Roman" w:hAnsi="Times New Roman" w:eastAsia="宋体" w:cs="Times New Roman"/>
                <w:b/>
                <w:color w:val="auto"/>
              </w:rPr>
              <w:t>表3-</w:t>
            </w:r>
            <w:r>
              <w:rPr>
                <w:rFonts w:hint="default" w:ascii="Times New Roman" w:hAnsi="Times New Roman" w:eastAsia="宋体" w:cs="Times New Roman"/>
                <w:b/>
                <w:color w:val="auto"/>
                <w:lang w:val="en-US" w:eastAsia="zh-CN"/>
              </w:rPr>
              <w:t>16</w:t>
            </w:r>
            <w:r>
              <w:rPr>
                <w:rFonts w:hint="default" w:ascii="Times New Roman" w:hAnsi="Times New Roman" w:eastAsia="宋体" w:cs="Times New Roman"/>
                <w:b/>
                <w:color w:val="auto"/>
              </w:rPr>
              <w:t xml:space="preserve">  项目声环境主要环境保护目标一览表</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1303"/>
              <w:gridCol w:w="1214"/>
              <w:gridCol w:w="626"/>
              <w:gridCol w:w="449"/>
              <w:gridCol w:w="752"/>
              <w:gridCol w:w="499"/>
              <w:gridCol w:w="836"/>
              <w:gridCol w:w="2190"/>
            </w:tblGrid>
            <w:tr w14:paraId="54404D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restart"/>
                  <w:vAlign w:val="center"/>
                </w:tcPr>
                <w:p w14:paraId="11D515AB">
                  <w:pPr>
                    <w:spacing w:before="31" w:after="31"/>
                    <w:jc w:val="center"/>
                    <w:rPr>
                      <w:rFonts w:hint="default" w:ascii="Times New Roman" w:hAnsi="Times New Roman" w:eastAsia="宋体" w:cs="Times New Roman"/>
                      <w:bCs/>
                      <w:color w:val="auto"/>
                    </w:rPr>
                  </w:pPr>
                  <w:r>
                    <w:rPr>
                      <w:rFonts w:hint="default" w:ascii="Times New Roman" w:hAnsi="Times New Roman" w:eastAsia="宋体" w:cs="Times New Roman"/>
                      <w:bCs/>
                      <w:color w:val="auto"/>
                    </w:rPr>
                    <w:t>名称</w:t>
                  </w:r>
                </w:p>
              </w:tc>
              <w:tc>
                <w:tcPr>
                  <w:tcW w:w="1517" w:type="pct"/>
                  <w:gridSpan w:val="2"/>
                  <w:vAlign w:val="center"/>
                </w:tcPr>
                <w:p w14:paraId="38A7019D">
                  <w:pPr>
                    <w:spacing w:before="31" w:after="31"/>
                    <w:jc w:val="center"/>
                    <w:rPr>
                      <w:rFonts w:hint="default" w:ascii="Times New Roman" w:hAnsi="Times New Roman" w:eastAsia="宋体" w:cs="Times New Roman"/>
                      <w:bCs/>
                      <w:color w:val="auto"/>
                    </w:rPr>
                  </w:pPr>
                  <w:r>
                    <w:rPr>
                      <w:rFonts w:hint="default" w:ascii="Times New Roman" w:hAnsi="Times New Roman" w:eastAsia="宋体" w:cs="Times New Roman"/>
                      <w:bCs/>
                      <w:color w:val="auto"/>
                    </w:rPr>
                    <w:t>坐标</w:t>
                  </w:r>
                </w:p>
              </w:tc>
              <w:tc>
                <w:tcPr>
                  <w:tcW w:w="378" w:type="pct"/>
                  <w:vMerge w:val="restart"/>
                  <w:vAlign w:val="center"/>
                </w:tcPr>
                <w:p w14:paraId="14D78ED3">
                  <w:pPr>
                    <w:spacing w:before="31" w:after="31"/>
                    <w:jc w:val="center"/>
                    <w:rPr>
                      <w:rFonts w:hint="default" w:ascii="Times New Roman" w:hAnsi="Times New Roman" w:eastAsia="宋体" w:cs="Times New Roman"/>
                      <w:bCs/>
                      <w:color w:val="auto"/>
                    </w:rPr>
                  </w:pPr>
                  <w:r>
                    <w:rPr>
                      <w:rFonts w:hint="default" w:ascii="Times New Roman" w:hAnsi="Times New Roman" w:eastAsia="宋体" w:cs="Times New Roman"/>
                      <w:bCs/>
                      <w:color w:val="auto"/>
                    </w:rPr>
                    <w:t>项目编号</w:t>
                  </w:r>
                </w:p>
              </w:tc>
              <w:tc>
                <w:tcPr>
                  <w:tcW w:w="271" w:type="pct"/>
                  <w:vMerge w:val="restart"/>
                  <w:vAlign w:val="center"/>
                </w:tcPr>
                <w:p w14:paraId="178DC767">
                  <w:pPr>
                    <w:spacing w:before="31" w:after="31"/>
                    <w:jc w:val="center"/>
                    <w:rPr>
                      <w:rFonts w:hint="default" w:ascii="Times New Roman" w:hAnsi="Times New Roman" w:eastAsia="宋体" w:cs="Times New Roman"/>
                      <w:bCs/>
                      <w:color w:val="auto"/>
                    </w:rPr>
                  </w:pPr>
                  <w:r>
                    <w:rPr>
                      <w:rFonts w:hint="default" w:ascii="Times New Roman" w:hAnsi="Times New Roman" w:eastAsia="宋体" w:cs="Times New Roman"/>
                      <w:bCs/>
                      <w:color w:val="auto"/>
                    </w:rPr>
                    <w:t>保护</w:t>
                  </w:r>
                </w:p>
                <w:p w14:paraId="0881E884">
                  <w:pPr>
                    <w:spacing w:before="31" w:after="31"/>
                    <w:jc w:val="center"/>
                    <w:rPr>
                      <w:rFonts w:hint="default" w:ascii="Times New Roman" w:hAnsi="Times New Roman" w:eastAsia="宋体" w:cs="Times New Roman"/>
                      <w:bCs/>
                      <w:color w:val="auto"/>
                    </w:rPr>
                  </w:pPr>
                  <w:r>
                    <w:rPr>
                      <w:rFonts w:hint="default" w:ascii="Times New Roman" w:hAnsi="Times New Roman" w:eastAsia="宋体" w:cs="Times New Roman"/>
                      <w:bCs/>
                      <w:color w:val="auto"/>
                    </w:rPr>
                    <w:t>对象</w:t>
                  </w:r>
                </w:p>
              </w:tc>
              <w:tc>
                <w:tcPr>
                  <w:tcW w:w="453" w:type="pct"/>
                  <w:vMerge w:val="restart"/>
                  <w:vAlign w:val="center"/>
                </w:tcPr>
                <w:p w14:paraId="6FF5D3F0">
                  <w:pPr>
                    <w:spacing w:before="31" w:after="31"/>
                    <w:jc w:val="center"/>
                    <w:rPr>
                      <w:rFonts w:hint="default" w:ascii="Times New Roman" w:hAnsi="Times New Roman" w:eastAsia="宋体" w:cs="Times New Roman"/>
                      <w:bCs/>
                      <w:color w:val="auto"/>
                    </w:rPr>
                  </w:pPr>
                  <w:r>
                    <w:rPr>
                      <w:rFonts w:hint="default" w:ascii="Times New Roman" w:hAnsi="Times New Roman" w:eastAsia="宋体" w:cs="Times New Roman"/>
                      <w:bCs/>
                      <w:color w:val="auto"/>
                    </w:rPr>
                    <w:t>保护内容</w:t>
                  </w:r>
                </w:p>
              </w:tc>
              <w:tc>
                <w:tcPr>
                  <w:tcW w:w="301" w:type="pct"/>
                  <w:vMerge w:val="restart"/>
                  <w:vAlign w:val="center"/>
                </w:tcPr>
                <w:p w14:paraId="1B2E5C22">
                  <w:pPr>
                    <w:spacing w:before="31" w:after="31"/>
                    <w:jc w:val="center"/>
                    <w:rPr>
                      <w:rFonts w:hint="default" w:ascii="Times New Roman" w:hAnsi="Times New Roman" w:eastAsia="宋体" w:cs="Times New Roman"/>
                      <w:color w:val="auto"/>
                    </w:rPr>
                  </w:pPr>
                  <w:r>
                    <w:rPr>
                      <w:rFonts w:hint="default" w:ascii="Times New Roman" w:hAnsi="Times New Roman" w:eastAsia="宋体" w:cs="Times New Roman"/>
                      <w:bCs/>
                      <w:color w:val="auto"/>
                    </w:rPr>
                    <w:t>相对</w:t>
                  </w:r>
                </w:p>
                <w:p w14:paraId="215F73CA">
                  <w:pPr>
                    <w:spacing w:before="31" w:after="31"/>
                    <w:jc w:val="center"/>
                    <w:rPr>
                      <w:rFonts w:hint="default" w:ascii="Times New Roman" w:hAnsi="Times New Roman" w:eastAsia="宋体" w:cs="Times New Roman"/>
                      <w:bCs/>
                      <w:color w:val="auto"/>
                    </w:rPr>
                  </w:pPr>
                  <w:r>
                    <w:rPr>
                      <w:rFonts w:hint="default" w:ascii="Times New Roman" w:hAnsi="Times New Roman" w:eastAsia="宋体" w:cs="Times New Roman"/>
                      <w:bCs/>
                      <w:color w:val="auto"/>
                    </w:rPr>
                    <w:t>方位</w:t>
                  </w:r>
                </w:p>
              </w:tc>
              <w:tc>
                <w:tcPr>
                  <w:tcW w:w="504" w:type="pct"/>
                  <w:vMerge w:val="restart"/>
                  <w:vAlign w:val="center"/>
                </w:tcPr>
                <w:p w14:paraId="6921672A">
                  <w:pPr>
                    <w:spacing w:before="31" w:after="31"/>
                    <w:jc w:val="center"/>
                    <w:rPr>
                      <w:rFonts w:hint="default" w:ascii="Times New Roman" w:hAnsi="Times New Roman" w:eastAsia="宋体" w:cs="Times New Roman"/>
                      <w:bCs/>
                      <w:color w:val="auto"/>
                    </w:rPr>
                  </w:pPr>
                  <w:r>
                    <w:rPr>
                      <w:rFonts w:hint="default" w:ascii="Times New Roman" w:hAnsi="Times New Roman" w:eastAsia="宋体" w:cs="Times New Roman"/>
                      <w:bCs/>
                      <w:color w:val="auto"/>
                    </w:rPr>
                    <w:t>相对距离</w:t>
                  </w:r>
                </w:p>
                <w:p w14:paraId="1E4CF058">
                  <w:pPr>
                    <w:spacing w:before="31" w:after="31"/>
                    <w:jc w:val="center"/>
                    <w:rPr>
                      <w:rFonts w:hint="default" w:ascii="Times New Roman" w:hAnsi="Times New Roman" w:eastAsia="宋体" w:cs="Times New Roman"/>
                      <w:bCs/>
                      <w:color w:val="auto"/>
                    </w:rPr>
                  </w:pPr>
                  <w:r>
                    <w:rPr>
                      <w:rFonts w:hint="default" w:ascii="Times New Roman" w:hAnsi="Times New Roman" w:eastAsia="宋体" w:cs="Times New Roman"/>
                      <w:bCs/>
                      <w:color w:val="auto"/>
                    </w:rPr>
                    <w:t>（m）</w:t>
                  </w:r>
                </w:p>
              </w:tc>
              <w:tc>
                <w:tcPr>
                  <w:tcW w:w="1314" w:type="pct"/>
                  <w:vMerge w:val="restart"/>
                  <w:vAlign w:val="center"/>
                </w:tcPr>
                <w:p w14:paraId="5BF1837A">
                  <w:pPr>
                    <w:spacing w:before="31" w:after="31"/>
                    <w:jc w:val="center"/>
                    <w:rPr>
                      <w:rFonts w:hint="default" w:ascii="Times New Roman" w:hAnsi="Times New Roman" w:eastAsia="宋体" w:cs="Times New Roman"/>
                      <w:bCs/>
                      <w:color w:val="auto"/>
                    </w:rPr>
                  </w:pPr>
                  <w:r>
                    <w:rPr>
                      <w:rFonts w:hint="default" w:ascii="Times New Roman" w:hAnsi="Times New Roman" w:eastAsia="宋体" w:cs="Times New Roman"/>
                      <w:bCs/>
                      <w:color w:val="auto"/>
                    </w:rPr>
                    <w:t>环境功能区</w:t>
                  </w:r>
                </w:p>
              </w:tc>
            </w:tr>
            <w:tr w14:paraId="372D1D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6EC760C2">
                  <w:pPr>
                    <w:spacing w:before="31" w:after="31"/>
                    <w:jc w:val="center"/>
                    <w:rPr>
                      <w:rFonts w:hint="default" w:ascii="Times New Roman" w:hAnsi="Times New Roman" w:eastAsia="宋体" w:cs="Times New Roman"/>
                      <w:b/>
                      <w:color w:val="auto"/>
                    </w:rPr>
                  </w:pPr>
                </w:p>
              </w:tc>
              <w:tc>
                <w:tcPr>
                  <w:tcW w:w="786" w:type="pct"/>
                  <w:vAlign w:val="center"/>
                </w:tcPr>
                <w:p w14:paraId="2459B058">
                  <w:pPr>
                    <w:spacing w:before="31" w:after="31"/>
                    <w:jc w:val="center"/>
                    <w:rPr>
                      <w:rFonts w:hint="default" w:ascii="Times New Roman" w:hAnsi="Times New Roman" w:eastAsia="宋体" w:cs="Times New Roman"/>
                      <w:bCs/>
                      <w:color w:val="auto"/>
                    </w:rPr>
                  </w:pPr>
                  <w:r>
                    <w:rPr>
                      <w:rFonts w:hint="default" w:ascii="Times New Roman" w:hAnsi="Times New Roman" w:eastAsia="宋体" w:cs="Times New Roman"/>
                      <w:bCs/>
                      <w:color w:val="auto"/>
                    </w:rPr>
                    <w:t>经度</w:t>
                  </w:r>
                </w:p>
              </w:tc>
              <w:tc>
                <w:tcPr>
                  <w:tcW w:w="731" w:type="pct"/>
                  <w:vAlign w:val="center"/>
                </w:tcPr>
                <w:p w14:paraId="32BF98EA">
                  <w:pPr>
                    <w:spacing w:before="31" w:after="31"/>
                    <w:jc w:val="center"/>
                    <w:rPr>
                      <w:rFonts w:hint="default" w:ascii="Times New Roman" w:hAnsi="Times New Roman" w:eastAsia="宋体" w:cs="Times New Roman"/>
                      <w:bCs/>
                      <w:color w:val="auto"/>
                    </w:rPr>
                  </w:pPr>
                  <w:r>
                    <w:rPr>
                      <w:rFonts w:hint="default" w:ascii="Times New Roman" w:hAnsi="Times New Roman" w:eastAsia="宋体" w:cs="Times New Roman"/>
                      <w:bCs/>
                      <w:color w:val="auto"/>
                    </w:rPr>
                    <w:t>纬度</w:t>
                  </w:r>
                </w:p>
              </w:tc>
              <w:tc>
                <w:tcPr>
                  <w:tcW w:w="378" w:type="pct"/>
                  <w:vMerge w:val="continue"/>
                  <w:vAlign w:val="center"/>
                </w:tcPr>
                <w:p w14:paraId="6CB8F060">
                  <w:pPr>
                    <w:spacing w:before="31" w:after="31"/>
                    <w:jc w:val="center"/>
                    <w:rPr>
                      <w:rFonts w:hint="default" w:ascii="Times New Roman" w:hAnsi="Times New Roman" w:eastAsia="宋体" w:cs="Times New Roman"/>
                      <w:b/>
                      <w:color w:val="auto"/>
                    </w:rPr>
                  </w:pPr>
                </w:p>
              </w:tc>
              <w:tc>
                <w:tcPr>
                  <w:tcW w:w="271" w:type="pct"/>
                  <w:vMerge w:val="continue"/>
                  <w:vAlign w:val="center"/>
                </w:tcPr>
                <w:p w14:paraId="73F1BBA1">
                  <w:pPr>
                    <w:spacing w:before="31" w:after="31"/>
                    <w:jc w:val="center"/>
                    <w:rPr>
                      <w:rFonts w:hint="default" w:ascii="Times New Roman" w:hAnsi="Times New Roman" w:eastAsia="宋体" w:cs="Times New Roman"/>
                      <w:b/>
                      <w:color w:val="auto"/>
                    </w:rPr>
                  </w:pPr>
                </w:p>
              </w:tc>
              <w:tc>
                <w:tcPr>
                  <w:tcW w:w="453" w:type="pct"/>
                  <w:vMerge w:val="continue"/>
                  <w:vAlign w:val="center"/>
                </w:tcPr>
                <w:p w14:paraId="4EB95AC1">
                  <w:pPr>
                    <w:spacing w:before="31" w:after="31"/>
                    <w:jc w:val="center"/>
                    <w:rPr>
                      <w:rFonts w:hint="default" w:ascii="Times New Roman" w:hAnsi="Times New Roman" w:eastAsia="宋体" w:cs="Times New Roman"/>
                      <w:b/>
                      <w:color w:val="auto"/>
                    </w:rPr>
                  </w:pPr>
                </w:p>
              </w:tc>
              <w:tc>
                <w:tcPr>
                  <w:tcW w:w="301" w:type="pct"/>
                  <w:vMerge w:val="continue"/>
                  <w:vAlign w:val="center"/>
                </w:tcPr>
                <w:p w14:paraId="56BA151F">
                  <w:pPr>
                    <w:spacing w:before="31" w:after="31"/>
                    <w:jc w:val="center"/>
                    <w:rPr>
                      <w:rFonts w:hint="default" w:ascii="Times New Roman" w:hAnsi="Times New Roman" w:eastAsia="宋体" w:cs="Times New Roman"/>
                      <w:b/>
                      <w:color w:val="auto"/>
                    </w:rPr>
                  </w:pPr>
                </w:p>
              </w:tc>
              <w:tc>
                <w:tcPr>
                  <w:tcW w:w="504" w:type="pct"/>
                  <w:vMerge w:val="continue"/>
                  <w:vAlign w:val="center"/>
                </w:tcPr>
                <w:p w14:paraId="6D45E3B6">
                  <w:pPr>
                    <w:spacing w:before="31" w:after="31"/>
                    <w:jc w:val="center"/>
                    <w:rPr>
                      <w:rFonts w:hint="default" w:ascii="Times New Roman" w:hAnsi="Times New Roman" w:eastAsia="宋体" w:cs="Times New Roman"/>
                      <w:b/>
                      <w:color w:val="auto"/>
                    </w:rPr>
                  </w:pPr>
                </w:p>
              </w:tc>
              <w:tc>
                <w:tcPr>
                  <w:tcW w:w="1314" w:type="pct"/>
                  <w:vMerge w:val="continue"/>
                  <w:vAlign w:val="center"/>
                </w:tcPr>
                <w:p w14:paraId="09031286">
                  <w:pPr>
                    <w:spacing w:before="31" w:after="31"/>
                    <w:jc w:val="center"/>
                    <w:rPr>
                      <w:rFonts w:hint="default" w:ascii="Times New Roman" w:hAnsi="Times New Roman" w:eastAsia="宋体" w:cs="Times New Roman"/>
                      <w:b/>
                      <w:color w:val="auto"/>
                    </w:rPr>
                  </w:pPr>
                </w:p>
              </w:tc>
            </w:tr>
            <w:tr w14:paraId="0DFDF7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000" w:type="pct"/>
                  <w:gridSpan w:val="9"/>
                  <w:vAlign w:val="center"/>
                </w:tcPr>
                <w:p w14:paraId="0E5BC99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良安镇</w:t>
                  </w:r>
                </w:p>
              </w:tc>
            </w:tr>
            <w:tr w14:paraId="2DDCCC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Align w:val="center"/>
                </w:tcPr>
                <w:p w14:paraId="2CFA0B1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声环境</w:t>
                  </w:r>
                </w:p>
              </w:tc>
              <w:tc>
                <w:tcPr>
                  <w:tcW w:w="786" w:type="pct"/>
                  <w:vAlign w:val="center"/>
                </w:tcPr>
                <w:p w14:paraId="24EC5D1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104.935676</w:t>
                  </w:r>
                </w:p>
              </w:tc>
              <w:tc>
                <w:tcPr>
                  <w:tcW w:w="731" w:type="pct"/>
                  <w:vAlign w:val="center"/>
                </w:tcPr>
                <w:p w14:paraId="7C1A28A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30.521730</w:t>
                  </w:r>
                </w:p>
              </w:tc>
              <w:tc>
                <w:tcPr>
                  <w:tcW w:w="378" w:type="pct"/>
                  <w:vAlign w:val="center"/>
                </w:tcPr>
                <w:p w14:paraId="68E954E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8#</w:t>
                  </w:r>
                </w:p>
              </w:tc>
              <w:tc>
                <w:tcPr>
                  <w:tcW w:w="271" w:type="pct"/>
                  <w:vAlign w:val="center"/>
                </w:tcPr>
                <w:p w14:paraId="6B0DEAD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453" w:type="pct"/>
                  <w:vAlign w:val="center"/>
                </w:tcPr>
                <w:p w14:paraId="4DE414C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27户农户</w:t>
                  </w:r>
                </w:p>
              </w:tc>
              <w:tc>
                <w:tcPr>
                  <w:tcW w:w="301" w:type="pct"/>
                  <w:vAlign w:val="center"/>
                </w:tcPr>
                <w:p w14:paraId="4E63C0E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东南侧</w:t>
                  </w:r>
                </w:p>
              </w:tc>
              <w:tc>
                <w:tcPr>
                  <w:tcW w:w="504" w:type="pct"/>
                  <w:vAlign w:val="center"/>
                </w:tcPr>
                <w:p w14:paraId="3BDBD220">
                  <w:pPr>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rPr>
                    <w:t>47-</w:t>
                  </w:r>
                  <w:r>
                    <w:rPr>
                      <w:rFonts w:hint="eastAsia" w:ascii="Times New Roman" w:hAnsi="Times New Roman" w:eastAsia="宋体" w:cs="Times New Roman"/>
                      <w:color w:val="auto"/>
                      <w:lang w:val="en-US" w:eastAsia="zh-CN"/>
                    </w:rPr>
                    <w:t>50</w:t>
                  </w:r>
                </w:p>
              </w:tc>
              <w:tc>
                <w:tcPr>
                  <w:tcW w:w="1314" w:type="pct"/>
                  <w:vAlign w:val="center"/>
                </w:tcPr>
                <w:p w14:paraId="4C5D0F7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《声环境质量标准》（3095-2008）中2类标准</w:t>
                  </w:r>
                </w:p>
              </w:tc>
            </w:tr>
            <w:tr w14:paraId="67F3A3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000" w:type="pct"/>
                  <w:gridSpan w:val="9"/>
                  <w:vAlign w:val="center"/>
                </w:tcPr>
                <w:p w14:paraId="0E9FF81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中和场镇</w:t>
                  </w:r>
                </w:p>
              </w:tc>
            </w:tr>
            <w:tr w14:paraId="705FC7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Align w:val="center"/>
                </w:tcPr>
                <w:p w14:paraId="714AAFF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声环境</w:t>
                  </w:r>
                </w:p>
              </w:tc>
              <w:tc>
                <w:tcPr>
                  <w:tcW w:w="786" w:type="pct"/>
                  <w:vAlign w:val="center"/>
                </w:tcPr>
                <w:p w14:paraId="4420AE4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104.906665</w:t>
                  </w:r>
                </w:p>
              </w:tc>
              <w:tc>
                <w:tcPr>
                  <w:tcW w:w="731" w:type="pct"/>
                  <w:vAlign w:val="center"/>
                </w:tcPr>
                <w:p w14:paraId="60A644E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30.519327</w:t>
                  </w:r>
                </w:p>
              </w:tc>
              <w:tc>
                <w:tcPr>
                  <w:tcW w:w="378" w:type="pct"/>
                  <w:vAlign w:val="center"/>
                </w:tcPr>
                <w:p w14:paraId="0C998E4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5#</w:t>
                  </w:r>
                </w:p>
              </w:tc>
              <w:tc>
                <w:tcPr>
                  <w:tcW w:w="271" w:type="pct"/>
                  <w:vAlign w:val="center"/>
                </w:tcPr>
                <w:p w14:paraId="0BA84EB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453" w:type="pct"/>
                  <w:vAlign w:val="center"/>
                </w:tcPr>
                <w:p w14:paraId="1CDA057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41户农户</w:t>
                  </w:r>
                </w:p>
              </w:tc>
              <w:tc>
                <w:tcPr>
                  <w:tcW w:w="301" w:type="pct"/>
                  <w:vAlign w:val="center"/>
                </w:tcPr>
                <w:p w14:paraId="27A0F5D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东南侧</w:t>
                  </w:r>
                </w:p>
              </w:tc>
              <w:tc>
                <w:tcPr>
                  <w:tcW w:w="504" w:type="pct"/>
                  <w:vAlign w:val="center"/>
                </w:tcPr>
                <w:p w14:paraId="58BA38D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43-50</w:t>
                  </w:r>
                </w:p>
              </w:tc>
              <w:tc>
                <w:tcPr>
                  <w:tcW w:w="1314" w:type="pct"/>
                  <w:vAlign w:val="center"/>
                </w:tcPr>
                <w:p w14:paraId="5347E87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《声环境质量标准》（3095-2008）中2类标准</w:t>
                  </w:r>
                </w:p>
              </w:tc>
            </w:tr>
            <w:tr w14:paraId="39AFFA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000" w:type="pct"/>
                  <w:gridSpan w:val="9"/>
                  <w:vAlign w:val="center"/>
                </w:tcPr>
                <w:p w14:paraId="174DD22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大佛镇</w:t>
                  </w:r>
                </w:p>
              </w:tc>
            </w:tr>
            <w:tr w14:paraId="55A37E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Align w:val="center"/>
                </w:tcPr>
                <w:p w14:paraId="682608B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声环境</w:t>
                  </w:r>
                </w:p>
              </w:tc>
              <w:tc>
                <w:tcPr>
                  <w:tcW w:w="786" w:type="pct"/>
                  <w:vAlign w:val="center"/>
                </w:tcPr>
                <w:p w14:paraId="4FBB04B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104.892549</w:t>
                  </w:r>
                </w:p>
              </w:tc>
              <w:tc>
                <w:tcPr>
                  <w:tcW w:w="731" w:type="pct"/>
                  <w:vAlign w:val="center"/>
                </w:tcPr>
                <w:p w14:paraId="37C1C01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30.448352</w:t>
                  </w:r>
                </w:p>
              </w:tc>
              <w:tc>
                <w:tcPr>
                  <w:tcW w:w="378" w:type="pct"/>
                  <w:vAlign w:val="center"/>
                </w:tcPr>
                <w:p w14:paraId="17505C7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6#</w:t>
                  </w:r>
                </w:p>
              </w:tc>
              <w:tc>
                <w:tcPr>
                  <w:tcW w:w="271" w:type="pct"/>
                  <w:vAlign w:val="center"/>
                </w:tcPr>
                <w:p w14:paraId="1AC74DE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453" w:type="pct"/>
                  <w:vAlign w:val="center"/>
                </w:tcPr>
                <w:p w14:paraId="15F0E99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33户农户</w:t>
                  </w:r>
                </w:p>
              </w:tc>
              <w:tc>
                <w:tcPr>
                  <w:tcW w:w="301" w:type="pct"/>
                  <w:vAlign w:val="center"/>
                </w:tcPr>
                <w:p w14:paraId="015132D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04" w:type="pct"/>
                  <w:vAlign w:val="center"/>
                </w:tcPr>
                <w:p w14:paraId="0261670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39-50</w:t>
                  </w:r>
                </w:p>
              </w:tc>
              <w:tc>
                <w:tcPr>
                  <w:tcW w:w="1314" w:type="pct"/>
                  <w:vAlign w:val="center"/>
                </w:tcPr>
                <w:p w14:paraId="49757B2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《声环境质量标准》（3095-2008）中2类标准</w:t>
                  </w:r>
                </w:p>
              </w:tc>
            </w:tr>
            <w:tr w14:paraId="6C2BE3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000" w:type="pct"/>
                  <w:gridSpan w:val="9"/>
                  <w:vAlign w:val="center"/>
                </w:tcPr>
                <w:p w14:paraId="45DBA51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劳动镇</w:t>
                  </w:r>
                </w:p>
              </w:tc>
            </w:tr>
            <w:tr w14:paraId="4AD953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Align w:val="center"/>
                </w:tcPr>
                <w:p w14:paraId="5809DA5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声环境</w:t>
                  </w:r>
                </w:p>
              </w:tc>
              <w:tc>
                <w:tcPr>
                  <w:tcW w:w="786" w:type="pct"/>
                  <w:vAlign w:val="center"/>
                </w:tcPr>
                <w:p w14:paraId="55B7AE1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104.975496</w:t>
                  </w:r>
                </w:p>
              </w:tc>
              <w:tc>
                <w:tcPr>
                  <w:tcW w:w="731" w:type="pct"/>
                  <w:vAlign w:val="center"/>
                </w:tcPr>
                <w:p w14:paraId="2FB304D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30.406668</w:t>
                  </w:r>
                </w:p>
              </w:tc>
              <w:tc>
                <w:tcPr>
                  <w:tcW w:w="378" w:type="pct"/>
                  <w:vAlign w:val="center"/>
                </w:tcPr>
                <w:p w14:paraId="61FF265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w:t>
                  </w:r>
                </w:p>
              </w:tc>
              <w:tc>
                <w:tcPr>
                  <w:tcW w:w="271" w:type="pct"/>
                  <w:vAlign w:val="center"/>
                </w:tcPr>
                <w:p w14:paraId="11854EA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453" w:type="pct"/>
                  <w:vAlign w:val="center"/>
                </w:tcPr>
                <w:p w14:paraId="00BF3AF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13户农户</w:t>
                  </w:r>
                </w:p>
              </w:tc>
              <w:tc>
                <w:tcPr>
                  <w:tcW w:w="301" w:type="pct"/>
                  <w:vAlign w:val="center"/>
                </w:tcPr>
                <w:p w14:paraId="7690063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西南侧</w:t>
                  </w:r>
                </w:p>
              </w:tc>
              <w:tc>
                <w:tcPr>
                  <w:tcW w:w="504" w:type="pct"/>
                  <w:vAlign w:val="center"/>
                </w:tcPr>
                <w:p w14:paraId="2506ABC1">
                  <w:pPr>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rPr>
                    <w:t>38-</w:t>
                  </w:r>
                  <w:r>
                    <w:rPr>
                      <w:rFonts w:hint="eastAsia" w:ascii="Times New Roman" w:hAnsi="Times New Roman" w:eastAsia="宋体" w:cs="Times New Roman"/>
                      <w:color w:val="auto"/>
                      <w:lang w:val="en-US" w:eastAsia="zh-CN"/>
                    </w:rPr>
                    <w:t>50</w:t>
                  </w:r>
                </w:p>
              </w:tc>
              <w:tc>
                <w:tcPr>
                  <w:tcW w:w="1314" w:type="pct"/>
                  <w:vAlign w:val="center"/>
                </w:tcPr>
                <w:p w14:paraId="6261DB6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《声环境质量标准》（3095-2008）中2类标准</w:t>
                  </w:r>
                </w:p>
              </w:tc>
            </w:tr>
            <w:tr w14:paraId="682E17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000" w:type="pct"/>
                  <w:gridSpan w:val="9"/>
                  <w:vAlign w:val="center"/>
                </w:tcPr>
                <w:p w14:paraId="2611DEE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宝林镇</w:t>
                  </w:r>
                </w:p>
              </w:tc>
            </w:tr>
            <w:tr w14:paraId="46E40C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Align w:val="center"/>
                </w:tcPr>
                <w:p w14:paraId="2146E93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声环境</w:t>
                  </w:r>
                </w:p>
              </w:tc>
              <w:tc>
                <w:tcPr>
                  <w:tcW w:w="786" w:type="pct"/>
                  <w:vAlign w:val="center"/>
                </w:tcPr>
                <w:p w14:paraId="1461911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105.057882</w:t>
                  </w:r>
                </w:p>
              </w:tc>
              <w:tc>
                <w:tcPr>
                  <w:tcW w:w="731" w:type="pct"/>
                  <w:vAlign w:val="center"/>
                </w:tcPr>
                <w:p w14:paraId="506862F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30.385317</w:t>
                  </w:r>
                </w:p>
              </w:tc>
              <w:tc>
                <w:tcPr>
                  <w:tcW w:w="378" w:type="pct"/>
                  <w:vAlign w:val="center"/>
                </w:tcPr>
                <w:p w14:paraId="4167102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27#</w:t>
                  </w:r>
                </w:p>
              </w:tc>
              <w:tc>
                <w:tcPr>
                  <w:tcW w:w="271" w:type="pct"/>
                  <w:vAlign w:val="center"/>
                </w:tcPr>
                <w:p w14:paraId="33900CA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453" w:type="pct"/>
                  <w:vAlign w:val="center"/>
                </w:tcPr>
                <w:p w14:paraId="0078ADC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51户农户</w:t>
                  </w:r>
                </w:p>
              </w:tc>
              <w:tc>
                <w:tcPr>
                  <w:tcW w:w="301" w:type="pct"/>
                  <w:vAlign w:val="center"/>
                </w:tcPr>
                <w:p w14:paraId="7BD4657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西南侧</w:t>
                  </w:r>
                </w:p>
              </w:tc>
              <w:tc>
                <w:tcPr>
                  <w:tcW w:w="504" w:type="pct"/>
                  <w:vAlign w:val="center"/>
                </w:tcPr>
                <w:p w14:paraId="1A42528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41-50</w:t>
                  </w:r>
                </w:p>
              </w:tc>
              <w:tc>
                <w:tcPr>
                  <w:tcW w:w="1314" w:type="pct"/>
                  <w:vAlign w:val="center"/>
                </w:tcPr>
                <w:p w14:paraId="6E4E71A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《声环境质量标准》（3095-2008）中2类标准</w:t>
                  </w:r>
                </w:p>
              </w:tc>
            </w:tr>
            <w:tr w14:paraId="1FCC92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000" w:type="pct"/>
                  <w:gridSpan w:val="9"/>
                  <w:vAlign w:val="center"/>
                </w:tcPr>
                <w:p w14:paraId="6D8640D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高寺镇</w:t>
                  </w:r>
                </w:p>
              </w:tc>
            </w:tr>
            <w:tr w14:paraId="4F09B3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Align w:val="center"/>
                </w:tcPr>
                <w:p w14:paraId="4D09A33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声环境</w:t>
                  </w:r>
                </w:p>
              </w:tc>
              <w:tc>
                <w:tcPr>
                  <w:tcW w:w="786" w:type="pct"/>
                  <w:vAlign w:val="center"/>
                </w:tcPr>
                <w:p w14:paraId="1829D83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104.859661</w:t>
                  </w:r>
                </w:p>
              </w:tc>
              <w:tc>
                <w:tcPr>
                  <w:tcW w:w="731" w:type="pct"/>
                  <w:vAlign w:val="center"/>
                </w:tcPr>
                <w:p w14:paraId="3FCE73D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104.859661</w:t>
                  </w:r>
                </w:p>
              </w:tc>
              <w:tc>
                <w:tcPr>
                  <w:tcW w:w="378" w:type="pct"/>
                  <w:vAlign w:val="center"/>
                </w:tcPr>
                <w:p w14:paraId="051E873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18#</w:t>
                  </w:r>
                </w:p>
              </w:tc>
              <w:tc>
                <w:tcPr>
                  <w:tcW w:w="271" w:type="pct"/>
                  <w:vAlign w:val="center"/>
                </w:tcPr>
                <w:p w14:paraId="29840AB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453" w:type="pct"/>
                  <w:vAlign w:val="center"/>
                </w:tcPr>
                <w:p w14:paraId="1CCC70F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2户农户</w:t>
                  </w:r>
                </w:p>
              </w:tc>
              <w:tc>
                <w:tcPr>
                  <w:tcW w:w="301" w:type="pct"/>
                  <w:vAlign w:val="center"/>
                </w:tcPr>
                <w:p w14:paraId="77689E3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北侧</w:t>
                  </w:r>
                </w:p>
              </w:tc>
              <w:tc>
                <w:tcPr>
                  <w:tcW w:w="504" w:type="pct"/>
                  <w:vAlign w:val="center"/>
                </w:tcPr>
                <w:p w14:paraId="44B158E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32-50</w:t>
                  </w:r>
                </w:p>
              </w:tc>
              <w:tc>
                <w:tcPr>
                  <w:tcW w:w="1314" w:type="pct"/>
                  <w:vAlign w:val="center"/>
                </w:tcPr>
                <w:p w14:paraId="6FBE231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《声环境质量标准》（3095-2008）中2类标准</w:t>
                  </w:r>
                </w:p>
              </w:tc>
            </w:tr>
            <w:tr w14:paraId="549393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000" w:type="pct"/>
                  <w:gridSpan w:val="9"/>
                  <w:vAlign w:val="center"/>
                </w:tcPr>
                <w:p w14:paraId="6CC188C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天池镇</w:t>
                  </w:r>
                </w:p>
              </w:tc>
            </w:tr>
            <w:tr w14:paraId="15536C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Align w:val="center"/>
                </w:tcPr>
                <w:p w14:paraId="2C8FBE8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声环境</w:t>
                  </w:r>
                </w:p>
              </w:tc>
              <w:tc>
                <w:tcPr>
                  <w:tcW w:w="786" w:type="pct"/>
                  <w:vAlign w:val="center"/>
                </w:tcPr>
                <w:p w14:paraId="735D30E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105.016693</w:t>
                  </w:r>
                </w:p>
              </w:tc>
              <w:tc>
                <w:tcPr>
                  <w:tcW w:w="731" w:type="pct"/>
                  <w:vAlign w:val="center"/>
                </w:tcPr>
                <w:p w14:paraId="336162E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30.287447</w:t>
                  </w:r>
                </w:p>
              </w:tc>
              <w:tc>
                <w:tcPr>
                  <w:tcW w:w="378" w:type="pct"/>
                  <w:vAlign w:val="center"/>
                </w:tcPr>
                <w:p w14:paraId="2A700B2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w:t>
                  </w:r>
                </w:p>
              </w:tc>
              <w:tc>
                <w:tcPr>
                  <w:tcW w:w="271" w:type="pct"/>
                  <w:vAlign w:val="center"/>
                </w:tcPr>
                <w:p w14:paraId="14DC280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453" w:type="pct"/>
                  <w:vAlign w:val="center"/>
                </w:tcPr>
                <w:p w14:paraId="79AE997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乐至县居民聚居点</w:t>
                  </w:r>
                </w:p>
              </w:tc>
              <w:tc>
                <w:tcPr>
                  <w:tcW w:w="301" w:type="pct"/>
                  <w:vAlign w:val="center"/>
                </w:tcPr>
                <w:p w14:paraId="231EA82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04" w:type="pct"/>
                  <w:vAlign w:val="center"/>
                </w:tcPr>
                <w:p w14:paraId="046F955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45-50</w:t>
                  </w:r>
                </w:p>
              </w:tc>
              <w:tc>
                <w:tcPr>
                  <w:tcW w:w="1314" w:type="pct"/>
                  <w:vAlign w:val="center"/>
                </w:tcPr>
                <w:p w14:paraId="3D77740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《声环境质量标准》（3095-2008）中2类标准</w:t>
                  </w:r>
                </w:p>
              </w:tc>
            </w:tr>
          </w:tbl>
          <w:p w14:paraId="249421E7">
            <w:pPr>
              <w:spacing w:before="3" w:line="360" w:lineRule="auto"/>
              <w:ind w:left="113" w:right="106" w:firstLine="486"/>
              <w:jc w:val="both"/>
              <w:rPr>
                <w:rFonts w:hint="default" w:ascii="Times New Roman" w:hAnsi="Times New Roman" w:eastAsia="宋体" w:cs="Times New Roman"/>
                <w:color w:val="auto"/>
                <w:sz w:val="24"/>
                <w:szCs w:val="24"/>
              </w:rPr>
            </w:pPr>
          </w:p>
          <w:p w14:paraId="2E4E5A24">
            <w:pPr>
              <w:spacing w:before="3" w:line="360" w:lineRule="auto"/>
              <w:ind w:left="113" w:right="106" w:firstLine="486"/>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（4）环境空气保护目标</w:t>
            </w:r>
          </w:p>
          <w:p w14:paraId="350961CF">
            <w:pPr>
              <w:spacing w:before="3" w:line="360" w:lineRule="auto"/>
              <w:ind w:left="113" w:right="106" w:firstLine="486"/>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项目环境空气保护目标见下表：</w:t>
            </w:r>
          </w:p>
          <w:p w14:paraId="6F30F0D9">
            <w:pPr>
              <w:tabs>
                <w:tab w:val="left" w:pos="920"/>
              </w:tabs>
              <w:spacing w:before="159"/>
              <w:ind w:left="166"/>
              <w:jc w:val="center"/>
              <w:rPr>
                <w:rFonts w:hint="default" w:ascii="Times New Roman" w:hAnsi="Times New Roman" w:eastAsia="宋体" w:cs="Times New Roman"/>
                <w:b/>
                <w:color w:val="auto"/>
              </w:rPr>
            </w:pPr>
            <w:r>
              <w:rPr>
                <w:rFonts w:hint="default" w:ascii="Times New Roman" w:hAnsi="Times New Roman" w:eastAsia="宋体" w:cs="Times New Roman"/>
                <w:b/>
                <w:color w:val="auto"/>
              </w:rPr>
              <w:t>表3-</w:t>
            </w:r>
            <w:r>
              <w:rPr>
                <w:rFonts w:hint="default" w:ascii="Times New Roman" w:hAnsi="Times New Roman" w:eastAsia="宋体" w:cs="Times New Roman"/>
                <w:b/>
                <w:color w:val="auto"/>
                <w:lang w:val="en-US" w:eastAsia="zh-CN"/>
              </w:rPr>
              <w:t>17</w:t>
            </w:r>
            <w:r>
              <w:rPr>
                <w:rFonts w:hint="default" w:ascii="Times New Roman" w:hAnsi="Times New Roman" w:eastAsia="宋体" w:cs="Times New Roman"/>
                <w:b/>
                <w:color w:val="auto"/>
              </w:rPr>
              <w:t xml:space="preserve">  项目环境空气主要环境保护目标一览表</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1319"/>
              <w:gridCol w:w="1319"/>
              <w:gridCol w:w="741"/>
              <w:gridCol w:w="431"/>
              <w:gridCol w:w="1213"/>
              <w:gridCol w:w="672"/>
              <w:gridCol w:w="965"/>
              <w:gridCol w:w="1209"/>
            </w:tblGrid>
            <w:tr w14:paraId="78F8F2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restart"/>
                  <w:vAlign w:val="center"/>
                </w:tcPr>
                <w:p w14:paraId="476204EC">
                  <w:pPr>
                    <w:spacing w:before="31" w:after="31"/>
                    <w:jc w:val="center"/>
                    <w:rPr>
                      <w:rFonts w:hint="default" w:ascii="Times New Roman" w:hAnsi="Times New Roman" w:eastAsia="宋体" w:cs="Times New Roman"/>
                      <w:bCs/>
                      <w:color w:val="auto"/>
                    </w:rPr>
                  </w:pPr>
                  <w:r>
                    <w:rPr>
                      <w:rFonts w:hint="default" w:ascii="Times New Roman" w:hAnsi="Times New Roman" w:eastAsia="宋体" w:cs="Times New Roman"/>
                      <w:bCs/>
                      <w:color w:val="auto"/>
                    </w:rPr>
                    <w:t>名称</w:t>
                  </w:r>
                </w:p>
              </w:tc>
              <w:tc>
                <w:tcPr>
                  <w:tcW w:w="1050" w:type="pct"/>
                  <w:gridSpan w:val="2"/>
                  <w:vAlign w:val="center"/>
                </w:tcPr>
                <w:p w14:paraId="53188594">
                  <w:pPr>
                    <w:spacing w:before="31" w:after="31"/>
                    <w:jc w:val="center"/>
                    <w:rPr>
                      <w:rFonts w:hint="default" w:ascii="Times New Roman" w:hAnsi="Times New Roman" w:eastAsia="宋体" w:cs="Times New Roman"/>
                      <w:bCs/>
                      <w:color w:val="auto"/>
                    </w:rPr>
                  </w:pPr>
                  <w:r>
                    <w:rPr>
                      <w:rFonts w:hint="default" w:ascii="Times New Roman" w:hAnsi="Times New Roman" w:eastAsia="宋体" w:cs="Times New Roman"/>
                      <w:bCs/>
                      <w:color w:val="auto"/>
                    </w:rPr>
                    <w:t>坐标</w:t>
                  </w:r>
                </w:p>
              </w:tc>
              <w:tc>
                <w:tcPr>
                  <w:tcW w:w="474" w:type="pct"/>
                  <w:vMerge w:val="restart"/>
                  <w:vAlign w:val="center"/>
                </w:tcPr>
                <w:p w14:paraId="52ED4449">
                  <w:pPr>
                    <w:spacing w:before="31" w:after="31"/>
                    <w:jc w:val="center"/>
                    <w:rPr>
                      <w:rFonts w:hint="default" w:ascii="Times New Roman" w:hAnsi="Times New Roman" w:eastAsia="宋体" w:cs="Times New Roman"/>
                      <w:bCs/>
                      <w:color w:val="auto"/>
                    </w:rPr>
                  </w:pPr>
                  <w:r>
                    <w:rPr>
                      <w:rFonts w:hint="default" w:ascii="Times New Roman" w:hAnsi="Times New Roman" w:eastAsia="宋体" w:cs="Times New Roman"/>
                      <w:bCs/>
                      <w:color w:val="auto"/>
                    </w:rPr>
                    <w:t>项目编号</w:t>
                  </w:r>
                </w:p>
              </w:tc>
              <w:tc>
                <w:tcPr>
                  <w:tcW w:w="470" w:type="pct"/>
                  <w:vMerge w:val="restart"/>
                  <w:vAlign w:val="center"/>
                </w:tcPr>
                <w:p w14:paraId="3F509E59">
                  <w:pPr>
                    <w:spacing w:before="31" w:after="31"/>
                    <w:jc w:val="center"/>
                    <w:rPr>
                      <w:rFonts w:hint="default" w:ascii="Times New Roman" w:hAnsi="Times New Roman" w:eastAsia="宋体" w:cs="Times New Roman"/>
                      <w:bCs/>
                      <w:color w:val="auto"/>
                    </w:rPr>
                  </w:pPr>
                  <w:r>
                    <w:rPr>
                      <w:rFonts w:hint="default" w:ascii="Times New Roman" w:hAnsi="Times New Roman" w:eastAsia="宋体" w:cs="Times New Roman"/>
                      <w:bCs/>
                      <w:color w:val="auto"/>
                    </w:rPr>
                    <w:t>保护</w:t>
                  </w:r>
                </w:p>
                <w:p w14:paraId="120B43F4">
                  <w:pPr>
                    <w:spacing w:before="31" w:after="31"/>
                    <w:jc w:val="center"/>
                    <w:rPr>
                      <w:rFonts w:hint="default" w:ascii="Times New Roman" w:hAnsi="Times New Roman" w:eastAsia="宋体" w:cs="Times New Roman"/>
                      <w:bCs/>
                      <w:color w:val="auto"/>
                    </w:rPr>
                  </w:pPr>
                  <w:r>
                    <w:rPr>
                      <w:rFonts w:hint="default" w:ascii="Times New Roman" w:hAnsi="Times New Roman" w:eastAsia="宋体" w:cs="Times New Roman"/>
                      <w:bCs/>
                      <w:color w:val="auto"/>
                    </w:rPr>
                    <w:t>对象</w:t>
                  </w:r>
                </w:p>
              </w:tc>
              <w:tc>
                <w:tcPr>
                  <w:tcW w:w="878" w:type="pct"/>
                  <w:vMerge w:val="restart"/>
                  <w:vAlign w:val="center"/>
                </w:tcPr>
                <w:p w14:paraId="01449E4E">
                  <w:pPr>
                    <w:spacing w:before="31" w:after="31"/>
                    <w:jc w:val="center"/>
                    <w:rPr>
                      <w:rFonts w:hint="default" w:ascii="Times New Roman" w:hAnsi="Times New Roman" w:eastAsia="宋体" w:cs="Times New Roman"/>
                      <w:bCs/>
                      <w:color w:val="auto"/>
                    </w:rPr>
                  </w:pPr>
                  <w:r>
                    <w:rPr>
                      <w:rFonts w:hint="default" w:ascii="Times New Roman" w:hAnsi="Times New Roman" w:eastAsia="宋体" w:cs="Times New Roman"/>
                      <w:bCs/>
                      <w:color w:val="auto"/>
                    </w:rPr>
                    <w:t>保护内容</w:t>
                  </w:r>
                </w:p>
              </w:tc>
              <w:tc>
                <w:tcPr>
                  <w:tcW w:w="552" w:type="pct"/>
                  <w:vMerge w:val="restart"/>
                  <w:vAlign w:val="center"/>
                </w:tcPr>
                <w:p w14:paraId="49335C88">
                  <w:pPr>
                    <w:spacing w:before="31" w:after="31"/>
                    <w:jc w:val="center"/>
                    <w:rPr>
                      <w:rFonts w:hint="default" w:ascii="Times New Roman" w:hAnsi="Times New Roman" w:eastAsia="宋体" w:cs="Times New Roman"/>
                      <w:color w:val="auto"/>
                    </w:rPr>
                  </w:pPr>
                  <w:r>
                    <w:rPr>
                      <w:rFonts w:hint="default" w:ascii="Times New Roman" w:hAnsi="Times New Roman" w:eastAsia="宋体" w:cs="Times New Roman"/>
                      <w:bCs/>
                      <w:color w:val="auto"/>
                    </w:rPr>
                    <w:t>相对</w:t>
                  </w:r>
                </w:p>
                <w:p w14:paraId="094C1F69">
                  <w:pPr>
                    <w:spacing w:before="31" w:after="31"/>
                    <w:jc w:val="center"/>
                    <w:rPr>
                      <w:rFonts w:hint="default" w:ascii="Times New Roman" w:hAnsi="Times New Roman" w:eastAsia="宋体" w:cs="Times New Roman"/>
                      <w:bCs/>
                      <w:color w:val="auto"/>
                    </w:rPr>
                  </w:pPr>
                  <w:r>
                    <w:rPr>
                      <w:rFonts w:hint="default" w:ascii="Times New Roman" w:hAnsi="Times New Roman" w:eastAsia="宋体" w:cs="Times New Roman"/>
                      <w:bCs/>
                      <w:color w:val="auto"/>
                    </w:rPr>
                    <w:t>方位</w:t>
                  </w:r>
                </w:p>
              </w:tc>
              <w:tc>
                <w:tcPr>
                  <w:tcW w:w="582" w:type="pct"/>
                  <w:vMerge w:val="restart"/>
                  <w:vAlign w:val="center"/>
                </w:tcPr>
                <w:p w14:paraId="20B12F5D">
                  <w:pPr>
                    <w:spacing w:before="31" w:after="31"/>
                    <w:jc w:val="center"/>
                    <w:rPr>
                      <w:rFonts w:hint="default" w:ascii="Times New Roman" w:hAnsi="Times New Roman" w:eastAsia="宋体" w:cs="Times New Roman"/>
                      <w:bCs/>
                      <w:color w:val="auto"/>
                    </w:rPr>
                  </w:pPr>
                  <w:r>
                    <w:rPr>
                      <w:rFonts w:hint="default" w:ascii="Times New Roman" w:hAnsi="Times New Roman" w:eastAsia="宋体" w:cs="Times New Roman"/>
                      <w:bCs/>
                      <w:color w:val="auto"/>
                    </w:rPr>
                    <w:t>相对距离</w:t>
                  </w:r>
                </w:p>
                <w:p w14:paraId="5422C286">
                  <w:pPr>
                    <w:spacing w:before="31" w:after="31"/>
                    <w:jc w:val="center"/>
                    <w:rPr>
                      <w:rFonts w:hint="default" w:ascii="Times New Roman" w:hAnsi="Times New Roman" w:eastAsia="宋体" w:cs="Times New Roman"/>
                      <w:bCs/>
                      <w:color w:val="auto"/>
                    </w:rPr>
                  </w:pPr>
                  <w:r>
                    <w:rPr>
                      <w:rFonts w:hint="default" w:ascii="Times New Roman" w:hAnsi="Times New Roman" w:eastAsia="宋体" w:cs="Times New Roman"/>
                      <w:bCs/>
                      <w:color w:val="auto"/>
                    </w:rPr>
                    <w:t>（m）</w:t>
                  </w:r>
                </w:p>
              </w:tc>
              <w:tc>
                <w:tcPr>
                  <w:tcW w:w="735" w:type="pct"/>
                  <w:vMerge w:val="restart"/>
                  <w:vAlign w:val="center"/>
                </w:tcPr>
                <w:p w14:paraId="62D47F38">
                  <w:pPr>
                    <w:spacing w:before="31" w:after="31"/>
                    <w:jc w:val="center"/>
                    <w:rPr>
                      <w:rFonts w:hint="default" w:ascii="Times New Roman" w:hAnsi="Times New Roman" w:eastAsia="宋体" w:cs="Times New Roman"/>
                      <w:bCs/>
                      <w:color w:val="auto"/>
                    </w:rPr>
                  </w:pPr>
                  <w:r>
                    <w:rPr>
                      <w:rFonts w:hint="default" w:ascii="Times New Roman" w:hAnsi="Times New Roman" w:eastAsia="宋体" w:cs="Times New Roman"/>
                      <w:bCs/>
                      <w:color w:val="auto"/>
                    </w:rPr>
                    <w:t>环境功能区</w:t>
                  </w:r>
                </w:p>
              </w:tc>
            </w:tr>
            <w:tr w14:paraId="248C87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549DECC2">
                  <w:pPr>
                    <w:spacing w:before="31" w:after="31"/>
                    <w:jc w:val="center"/>
                    <w:rPr>
                      <w:rFonts w:hint="default" w:ascii="Times New Roman" w:hAnsi="Times New Roman" w:eastAsia="宋体" w:cs="Times New Roman"/>
                      <w:b/>
                      <w:color w:val="auto"/>
                    </w:rPr>
                  </w:pPr>
                </w:p>
              </w:tc>
              <w:tc>
                <w:tcPr>
                  <w:tcW w:w="558" w:type="pct"/>
                  <w:vAlign w:val="center"/>
                </w:tcPr>
                <w:p w14:paraId="7E6BD859">
                  <w:pPr>
                    <w:spacing w:before="31" w:after="31"/>
                    <w:jc w:val="center"/>
                    <w:rPr>
                      <w:rFonts w:hint="default" w:ascii="Times New Roman" w:hAnsi="Times New Roman" w:eastAsia="宋体" w:cs="Times New Roman"/>
                      <w:bCs/>
                      <w:color w:val="auto"/>
                    </w:rPr>
                  </w:pPr>
                  <w:r>
                    <w:rPr>
                      <w:rFonts w:hint="default" w:ascii="Times New Roman" w:hAnsi="Times New Roman" w:eastAsia="宋体" w:cs="Times New Roman"/>
                      <w:bCs/>
                      <w:color w:val="auto"/>
                    </w:rPr>
                    <w:t>经度</w:t>
                  </w:r>
                </w:p>
              </w:tc>
              <w:tc>
                <w:tcPr>
                  <w:tcW w:w="491" w:type="pct"/>
                  <w:vAlign w:val="center"/>
                </w:tcPr>
                <w:p w14:paraId="7B5FE3BD">
                  <w:pPr>
                    <w:spacing w:before="31" w:after="31"/>
                    <w:jc w:val="center"/>
                    <w:rPr>
                      <w:rFonts w:hint="default" w:ascii="Times New Roman" w:hAnsi="Times New Roman" w:eastAsia="宋体" w:cs="Times New Roman"/>
                      <w:bCs/>
                      <w:color w:val="auto"/>
                    </w:rPr>
                  </w:pPr>
                  <w:r>
                    <w:rPr>
                      <w:rFonts w:hint="default" w:ascii="Times New Roman" w:hAnsi="Times New Roman" w:eastAsia="宋体" w:cs="Times New Roman"/>
                      <w:bCs/>
                      <w:color w:val="auto"/>
                    </w:rPr>
                    <w:t>纬度</w:t>
                  </w:r>
                </w:p>
              </w:tc>
              <w:tc>
                <w:tcPr>
                  <w:tcW w:w="474" w:type="pct"/>
                  <w:vMerge w:val="continue"/>
                  <w:vAlign w:val="center"/>
                </w:tcPr>
                <w:p w14:paraId="0A6E4ECD">
                  <w:pPr>
                    <w:spacing w:before="31" w:after="31"/>
                    <w:jc w:val="center"/>
                    <w:rPr>
                      <w:rFonts w:hint="default" w:ascii="Times New Roman" w:hAnsi="Times New Roman" w:eastAsia="宋体" w:cs="Times New Roman"/>
                      <w:b/>
                      <w:color w:val="auto"/>
                    </w:rPr>
                  </w:pPr>
                </w:p>
              </w:tc>
              <w:tc>
                <w:tcPr>
                  <w:tcW w:w="470" w:type="pct"/>
                  <w:vMerge w:val="continue"/>
                  <w:vAlign w:val="center"/>
                </w:tcPr>
                <w:p w14:paraId="530B1997">
                  <w:pPr>
                    <w:spacing w:before="31" w:after="31"/>
                    <w:jc w:val="center"/>
                    <w:rPr>
                      <w:rFonts w:hint="default" w:ascii="Times New Roman" w:hAnsi="Times New Roman" w:eastAsia="宋体" w:cs="Times New Roman"/>
                      <w:b/>
                      <w:color w:val="auto"/>
                    </w:rPr>
                  </w:pPr>
                </w:p>
              </w:tc>
              <w:tc>
                <w:tcPr>
                  <w:tcW w:w="878" w:type="pct"/>
                  <w:vMerge w:val="continue"/>
                  <w:vAlign w:val="center"/>
                </w:tcPr>
                <w:p w14:paraId="2394CA26">
                  <w:pPr>
                    <w:spacing w:before="31" w:after="31"/>
                    <w:jc w:val="center"/>
                    <w:rPr>
                      <w:rFonts w:hint="default" w:ascii="Times New Roman" w:hAnsi="Times New Roman" w:eastAsia="宋体" w:cs="Times New Roman"/>
                      <w:b/>
                      <w:color w:val="auto"/>
                    </w:rPr>
                  </w:pPr>
                </w:p>
              </w:tc>
              <w:tc>
                <w:tcPr>
                  <w:tcW w:w="552" w:type="pct"/>
                  <w:vMerge w:val="continue"/>
                  <w:vAlign w:val="center"/>
                </w:tcPr>
                <w:p w14:paraId="242D4721">
                  <w:pPr>
                    <w:spacing w:before="31" w:after="31"/>
                    <w:jc w:val="center"/>
                    <w:rPr>
                      <w:rFonts w:hint="default" w:ascii="Times New Roman" w:hAnsi="Times New Roman" w:eastAsia="宋体" w:cs="Times New Roman"/>
                      <w:b/>
                      <w:color w:val="auto"/>
                    </w:rPr>
                  </w:pPr>
                </w:p>
              </w:tc>
              <w:tc>
                <w:tcPr>
                  <w:tcW w:w="582" w:type="pct"/>
                  <w:vMerge w:val="continue"/>
                  <w:vAlign w:val="center"/>
                </w:tcPr>
                <w:p w14:paraId="282533EF">
                  <w:pPr>
                    <w:spacing w:before="31" w:after="31"/>
                    <w:jc w:val="center"/>
                    <w:rPr>
                      <w:rFonts w:hint="default" w:ascii="Times New Roman" w:hAnsi="Times New Roman" w:eastAsia="宋体" w:cs="Times New Roman"/>
                      <w:b/>
                      <w:color w:val="auto"/>
                    </w:rPr>
                  </w:pPr>
                </w:p>
              </w:tc>
              <w:tc>
                <w:tcPr>
                  <w:tcW w:w="735" w:type="pct"/>
                  <w:vMerge w:val="continue"/>
                  <w:vAlign w:val="center"/>
                </w:tcPr>
                <w:p w14:paraId="35B8DD20">
                  <w:pPr>
                    <w:spacing w:before="31" w:after="31"/>
                    <w:jc w:val="center"/>
                    <w:rPr>
                      <w:rFonts w:hint="default" w:ascii="Times New Roman" w:hAnsi="Times New Roman" w:eastAsia="宋体" w:cs="Times New Roman"/>
                      <w:b/>
                      <w:color w:val="auto"/>
                    </w:rPr>
                  </w:pPr>
                </w:p>
              </w:tc>
            </w:tr>
            <w:tr w14:paraId="0DC520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000" w:type="pct"/>
                  <w:gridSpan w:val="9"/>
                  <w:vAlign w:val="center"/>
                </w:tcPr>
                <w:p w14:paraId="6385452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金顺镇</w:t>
                  </w:r>
                </w:p>
              </w:tc>
            </w:tr>
            <w:tr w14:paraId="3535E3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restart"/>
                  <w:vAlign w:val="center"/>
                </w:tcPr>
                <w:p w14:paraId="2FAF9B8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大气环境</w:t>
                  </w:r>
                </w:p>
              </w:tc>
              <w:tc>
                <w:tcPr>
                  <w:tcW w:w="558" w:type="pct"/>
                  <w:vMerge w:val="restart"/>
                  <w:vAlign w:val="center"/>
                </w:tcPr>
                <w:p w14:paraId="3E4FBAA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104.904554</w:t>
                  </w:r>
                </w:p>
              </w:tc>
              <w:tc>
                <w:tcPr>
                  <w:tcW w:w="491" w:type="pct"/>
                  <w:vMerge w:val="restart"/>
                  <w:vAlign w:val="center"/>
                </w:tcPr>
                <w:p w14:paraId="2A6FD3E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30.590130</w:t>
                  </w:r>
                </w:p>
              </w:tc>
              <w:tc>
                <w:tcPr>
                  <w:tcW w:w="474" w:type="pct"/>
                  <w:vMerge w:val="restart"/>
                  <w:vAlign w:val="center"/>
                </w:tcPr>
                <w:p w14:paraId="405EFFC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w:t>
                  </w:r>
                </w:p>
              </w:tc>
              <w:tc>
                <w:tcPr>
                  <w:tcW w:w="470" w:type="pct"/>
                  <w:vAlign w:val="center"/>
                </w:tcPr>
                <w:p w14:paraId="77F4855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187F550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7户农户</w:t>
                  </w:r>
                </w:p>
              </w:tc>
              <w:tc>
                <w:tcPr>
                  <w:tcW w:w="552" w:type="pct"/>
                  <w:vAlign w:val="center"/>
                </w:tcPr>
                <w:p w14:paraId="29F3D18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104CDB3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350-500</w:t>
                  </w:r>
                </w:p>
              </w:tc>
              <w:tc>
                <w:tcPr>
                  <w:tcW w:w="735" w:type="pct"/>
                  <w:vMerge w:val="restart"/>
                  <w:vAlign w:val="center"/>
                </w:tcPr>
                <w:p w14:paraId="043E006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《环境空气质量标准》（GB3095-2012）中二级标准</w:t>
                  </w:r>
                </w:p>
              </w:tc>
            </w:tr>
            <w:tr w14:paraId="20333C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0FD101AE">
                  <w:pPr>
                    <w:jc w:val="center"/>
                    <w:rPr>
                      <w:rFonts w:hint="default" w:ascii="Times New Roman" w:hAnsi="Times New Roman" w:eastAsia="宋体" w:cs="Times New Roman"/>
                      <w:color w:val="auto"/>
                    </w:rPr>
                  </w:pPr>
                </w:p>
              </w:tc>
              <w:tc>
                <w:tcPr>
                  <w:tcW w:w="558" w:type="pct"/>
                  <w:vMerge w:val="continue"/>
                  <w:vAlign w:val="center"/>
                </w:tcPr>
                <w:p w14:paraId="0B726E29">
                  <w:pPr>
                    <w:jc w:val="center"/>
                    <w:rPr>
                      <w:rFonts w:hint="default" w:ascii="Times New Roman" w:hAnsi="Times New Roman" w:eastAsia="宋体" w:cs="Times New Roman"/>
                      <w:color w:val="auto"/>
                    </w:rPr>
                  </w:pPr>
                </w:p>
              </w:tc>
              <w:tc>
                <w:tcPr>
                  <w:tcW w:w="491" w:type="pct"/>
                  <w:vMerge w:val="continue"/>
                  <w:vAlign w:val="center"/>
                </w:tcPr>
                <w:p w14:paraId="4AD8FAB7">
                  <w:pPr>
                    <w:jc w:val="center"/>
                    <w:rPr>
                      <w:rFonts w:hint="default" w:ascii="Times New Roman" w:hAnsi="Times New Roman" w:eastAsia="宋体" w:cs="Times New Roman"/>
                      <w:color w:val="auto"/>
                    </w:rPr>
                  </w:pPr>
                </w:p>
              </w:tc>
              <w:tc>
                <w:tcPr>
                  <w:tcW w:w="474" w:type="pct"/>
                  <w:vMerge w:val="continue"/>
                  <w:vAlign w:val="center"/>
                </w:tcPr>
                <w:p w14:paraId="2D65FE22">
                  <w:pPr>
                    <w:jc w:val="center"/>
                    <w:rPr>
                      <w:rFonts w:hint="default" w:ascii="Times New Roman" w:hAnsi="Times New Roman" w:eastAsia="宋体" w:cs="Times New Roman"/>
                      <w:color w:val="auto"/>
                    </w:rPr>
                  </w:pPr>
                </w:p>
              </w:tc>
              <w:tc>
                <w:tcPr>
                  <w:tcW w:w="470" w:type="pct"/>
                  <w:vAlign w:val="center"/>
                </w:tcPr>
                <w:p w14:paraId="27D6F00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4C792DF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10户农户</w:t>
                  </w:r>
                </w:p>
              </w:tc>
              <w:tc>
                <w:tcPr>
                  <w:tcW w:w="552" w:type="pct"/>
                  <w:vAlign w:val="center"/>
                </w:tcPr>
                <w:p w14:paraId="3DB52E5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东南侧</w:t>
                  </w:r>
                </w:p>
              </w:tc>
              <w:tc>
                <w:tcPr>
                  <w:tcW w:w="582" w:type="pct"/>
                  <w:vAlign w:val="center"/>
                </w:tcPr>
                <w:p w14:paraId="489AC46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277-413</w:t>
                  </w:r>
                </w:p>
              </w:tc>
              <w:tc>
                <w:tcPr>
                  <w:tcW w:w="735" w:type="pct"/>
                  <w:vMerge w:val="continue"/>
                  <w:vAlign w:val="center"/>
                </w:tcPr>
                <w:p w14:paraId="5D718A06">
                  <w:pPr>
                    <w:jc w:val="center"/>
                    <w:rPr>
                      <w:rFonts w:hint="default" w:ascii="Times New Roman" w:hAnsi="Times New Roman" w:eastAsia="宋体" w:cs="Times New Roman"/>
                      <w:color w:val="auto"/>
                    </w:rPr>
                  </w:pPr>
                </w:p>
              </w:tc>
            </w:tr>
            <w:tr w14:paraId="1F0139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78A40086">
                  <w:pPr>
                    <w:jc w:val="center"/>
                    <w:rPr>
                      <w:rFonts w:hint="default" w:ascii="Times New Roman" w:hAnsi="Times New Roman" w:eastAsia="宋体" w:cs="Times New Roman"/>
                      <w:color w:val="auto"/>
                    </w:rPr>
                  </w:pPr>
                </w:p>
              </w:tc>
              <w:tc>
                <w:tcPr>
                  <w:tcW w:w="558" w:type="pct"/>
                  <w:vMerge w:val="continue"/>
                  <w:vAlign w:val="center"/>
                </w:tcPr>
                <w:p w14:paraId="3232EDEE">
                  <w:pPr>
                    <w:jc w:val="center"/>
                    <w:rPr>
                      <w:rFonts w:hint="default" w:ascii="Times New Roman" w:hAnsi="Times New Roman" w:eastAsia="宋体" w:cs="Times New Roman"/>
                      <w:color w:val="auto"/>
                    </w:rPr>
                  </w:pPr>
                </w:p>
              </w:tc>
              <w:tc>
                <w:tcPr>
                  <w:tcW w:w="491" w:type="pct"/>
                  <w:vMerge w:val="continue"/>
                  <w:vAlign w:val="center"/>
                </w:tcPr>
                <w:p w14:paraId="3FCC9ED5">
                  <w:pPr>
                    <w:jc w:val="center"/>
                    <w:rPr>
                      <w:rFonts w:hint="default" w:ascii="Times New Roman" w:hAnsi="Times New Roman" w:eastAsia="宋体" w:cs="Times New Roman"/>
                      <w:color w:val="auto"/>
                    </w:rPr>
                  </w:pPr>
                </w:p>
              </w:tc>
              <w:tc>
                <w:tcPr>
                  <w:tcW w:w="474" w:type="pct"/>
                  <w:vMerge w:val="continue"/>
                  <w:vAlign w:val="center"/>
                </w:tcPr>
                <w:p w14:paraId="3CF46D27">
                  <w:pPr>
                    <w:jc w:val="center"/>
                    <w:rPr>
                      <w:rFonts w:hint="default" w:ascii="Times New Roman" w:hAnsi="Times New Roman" w:eastAsia="宋体" w:cs="Times New Roman"/>
                      <w:color w:val="auto"/>
                    </w:rPr>
                  </w:pPr>
                </w:p>
              </w:tc>
              <w:tc>
                <w:tcPr>
                  <w:tcW w:w="470" w:type="pct"/>
                  <w:vAlign w:val="center"/>
                </w:tcPr>
                <w:p w14:paraId="6CAEC65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75E1BDE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11户农户</w:t>
                  </w:r>
                </w:p>
              </w:tc>
              <w:tc>
                <w:tcPr>
                  <w:tcW w:w="552" w:type="pct"/>
                  <w:vAlign w:val="center"/>
                </w:tcPr>
                <w:p w14:paraId="57FDECB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东南侧</w:t>
                  </w:r>
                </w:p>
              </w:tc>
              <w:tc>
                <w:tcPr>
                  <w:tcW w:w="582" w:type="pct"/>
                  <w:vAlign w:val="center"/>
                </w:tcPr>
                <w:p w14:paraId="6B0D8E3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463-500</w:t>
                  </w:r>
                </w:p>
              </w:tc>
              <w:tc>
                <w:tcPr>
                  <w:tcW w:w="735" w:type="pct"/>
                  <w:vMerge w:val="continue"/>
                  <w:vAlign w:val="center"/>
                </w:tcPr>
                <w:p w14:paraId="0F9F4F23">
                  <w:pPr>
                    <w:jc w:val="center"/>
                    <w:rPr>
                      <w:rFonts w:hint="default" w:ascii="Times New Roman" w:hAnsi="Times New Roman" w:eastAsia="宋体" w:cs="Times New Roman"/>
                      <w:color w:val="auto"/>
                    </w:rPr>
                  </w:pPr>
                </w:p>
              </w:tc>
            </w:tr>
            <w:tr w14:paraId="74299D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256" w:type="pct"/>
                  <w:vMerge w:val="continue"/>
                  <w:vAlign w:val="center"/>
                </w:tcPr>
                <w:p w14:paraId="043A91EA">
                  <w:pPr>
                    <w:jc w:val="center"/>
                    <w:rPr>
                      <w:rFonts w:hint="default" w:ascii="Times New Roman" w:hAnsi="Times New Roman" w:eastAsia="宋体" w:cs="Times New Roman"/>
                      <w:color w:val="auto"/>
                    </w:rPr>
                  </w:pPr>
                </w:p>
              </w:tc>
              <w:tc>
                <w:tcPr>
                  <w:tcW w:w="558" w:type="pct"/>
                  <w:vMerge w:val="continue"/>
                  <w:vAlign w:val="center"/>
                </w:tcPr>
                <w:p w14:paraId="70E7EE84">
                  <w:pPr>
                    <w:jc w:val="center"/>
                    <w:rPr>
                      <w:rFonts w:hint="default" w:ascii="Times New Roman" w:hAnsi="Times New Roman" w:eastAsia="宋体" w:cs="Times New Roman"/>
                      <w:color w:val="auto"/>
                    </w:rPr>
                  </w:pPr>
                </w:p>
              </w:tc>
              <w:tc>
                <w:tcPr>
                  <w:tcW w:w="491" w:type="pct"/>
                  <w:vMerge w:val="continue"/>
                  <w:vAlign w:val="center"/>
                </w:tcPr>
                <w:p w14:paraId="74EC2E93">
                  <w:pPr>
                    <w:jc w:val="center"/>
                    <w:rPr>
                      <w:rFonts w:hint="default" w:ascii="Times New Roman" w:hAnsi="Times New Roman" w:eastAsia="宋体" w:cs="Times New Roman"/>
                      <w:color w:val="auto"/>
                    </w:rPr>
                  </w:pPr>
                </w:p>
              </w:tc>
              <w:tc>
                <w:tcPr>
                  <w:tcW w:w="474" w:type="pct"/>
                  <w:vMerge w:val="continue"/>
                  <w:vAlign w:val="center"/>
                </w:tcPr>
                <w:p w14:paraId="1D2F4A9E">
                  <w:pPr>
                    <w:jc w:val="center"/>
                    <w:rPr>
                      <w:rFonts w:hint="default" w:ascii="Times New Roman" w:hAnsi="Times New Roman" w:eastAsia="宋体" w:cs="Times New Roman"/>
                      <w:color w:val="auto"/>
                    </w:rPr>
                  </w:pPr>
                </w:p>
              </w:tc>
              <w:tc>
                <w:tcPr>
                  <w:tcW w:w="470" w:type="pct"/>
                  <w:vAlign w:val="center"/>
                </w:tcPr>
                <w:p w14:paraId="53CBCAB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561D6D7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9户农户</w:t>
                  </w:r>
                </w:p>
              </w:tc>
              <w:tc>
                <w:tcPr>
                  <w:tcW w:w="552" w:type="pct"/>
                  <w:vAlign w:val="center"/>
                </w:tcPr>
                <w:p w14:paraId="1EE677C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西南侧</w:t>
                  </w:r>
                </w:p>
              </w:tc>
              <w:tc>
                <w:tcPr>
                  <w:tcW w:w="582" w:type="pct"/>
                  <w:vAlign w:val="center"/>
                </w:tcPr>
                <w:p w14:paraId="5529C23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390-500</w:t>
                  </w:r>
                </w:p>
              </w:tc>
              <w:tc>
                <w:tcPr>
                  <w:tcW w:w="735" w:type="pct"/>
                  <w:vMerge w:val="continue"/>
                  <w:vAlign w:val="center"/>
                </w:tcPr>
                <w:p w14:paraId="59F5384E">
                  <w:pPr>
                    <w:jc w:val="center"/>
                    <w:rPr>
                      <w:rFonts w:hint="default" w:ascii="Times New Roman" w:hAnsi="Times New Roman" w:eastAsia="宋体" w:cs="Times New Roman"/>
                      <w:color w:val="auto"/>
                    </w:rPr>
                  </w:pPr>
                </w:p>
              </w:tc>
            </w:tr>
            <w:tr w14:paraId="0EE2DE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21B60DE3">
                  <w:pPr>
                    <w:jc w:val="center"/>
                    <w:rPr>
                      <w:rFonts w:hint="default" w:ascii="Times New Roman" w:hAnsi="Times New Roman" w:eastAsia="宋体" w:cs="Times New Roman"/>
                      <w:color w:val="auto"/>
                    </w:rPr>
                  </w:pPr>
                </w:p>
              </w:tc>
              <w:tc>
                <w:tcPr>
                  <w:tcW w:w="558" w:type="pct"/>
                  <w:vMerge w:val="restart"/>
                  <w:vAlign w:val="center"/>
                </w:tcPr>
                <w:p w14:paraId="37877D5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104.882409</w:t>
                  </w:r>
                </w:p>
              </w:tc>
              <w:tc>
                <w:tcPr>
                  <w:tcW w:w="491" w:type="pct"/>
                  <w:vMerge w:val="restart"/>
                  <w:vAlign w:val="center"/>
                </w:tcPr>
                <w:p w14:paraId="763E4AE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30.583006</w:t>
                  </w:r>
                </w:p>
              </w:tc>
              <w:tc>
                <w:tcPr>
                  <w:tcW w:w="474" w:type="pct"/>
                  <w:vMerge w:val="restart"/>
                  <w:vAlign w:val="center"/>
                </w:tcPr>
                <w:p w14:paraId="1B95842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w:t>
                  </w:r>
                </w:p>
              </w:tc>
              <w:tc>
                <w:tcPr>
                  <w:tcW w:w="470" w:type="pct"/>
                  <w:vAlign w:val="center"/>
                </w:tcPr>
                <w:p w14:paraId="2367C43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67BEAE0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11户农户</w:t>
                  </w:r>
                </w:p>
              </w:tc>
              <w:tc>
                <w:tcPr>
                  <w:tcW w:w="552" w:type="pct"/>
                  <w:vAlign w:val="center"/>
                </w:tcPr>
                <w:p w14:paraId="43F8F3C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东北侧</w:t>
                  </w:r>
                </w:p>
              </w:tc>
              <w:tc>
                <w:tcPr>
                  <w:tcW w:w="582" w:type="pct"/>
                  <w:vAlign w:val="center"/>
                </w:tcPr>
                <w:p w14:paraId="33FDCE0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392-500</w:t>
                  </w:r>
                </w:p>
              </w:tc>
              <w:tc>
                <w:tcPr>
                  <w:tcW w:w="735" w:type="pct"/>
                  <w:vMerge w:val="continue"/>
                  <w:vAlign w:val="center"/>
                </w:tcPr>
                <w:p w14:paraId="04816B75">
                  <w:pPr>
                    <w:jc w:val="center"/>
                    <w:rPr>
                      <w:rFonts w:hint="default" w:ascii="Times New Roman" w:hAnsi="Times New Roman" w:eastAsia="宋体" w:cs="Times New Roman"/>
                      <w:color w:val="auto"/>
                    </w:rPr>
                  </w:pPr>
                </w:p>
              </w:tc>
            </w:tr>
            <w:tr w14:paraId="0114F2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784094B2">
                  <w:pPr>
                    <w:jc w:val="center"/>
                    <w:rPr>
                      <w:rFonts w:hint="default" w:ascii="Times New Roman" w:hAnsi="Times New Roman" w:eastAsia="宋体" w:cs="Times New Roman"/>
                      <w:color w:val="auto"/>
                    </w:rPr>
                  </w:pPr>
                </w:p>
              </w:tc>
              <w:tc>
                <w:tcPr>
                  <w:tcW w:w="558" w:type="pct"/>
                  <w:vMerge w:val="continue"/>
                  <w:vAlign w:val="center"/>
                </w:tcPr>
                <w:p w14:paraId="26305269">
                  <w:pPr>
                    <w:jc w:val="center"/>
                    <w:rPr>
                      <w:rFonts w:hint="default" w:ascii="Times New Roman" w:hAnsi="Times New Roman" w:eastAsia="宋体" w:cs="Times New Roman"/>
                      <w:color w:val="auto"/>
                    </w:rPr>
                  </w:pPr>
                </w:p>
              </w:tc>
              <w:tc>
                <w:tcPr>
                  <w:tcW w:w="491" w:type="pct"/>
                  <w:vMerge w:val="continue"/>
                  <w:vAlign w:val="center"/>
                </w:tcPr>
                <w:p w14:paraId="38BFFEDC">
                  <w:pPr>
                    <w:jc w:val="center"/>
                    <w:rPr>
                      <w:rFonts w:hint="default" w:ascii="Times New Roman" w:hAnsi="Times New Roman" w:eastAsia="宋体" w:cs="Times New Roman"/>
                      <w:color w:val="auto"/>
                    </w:rPr>
                  </w:pPr>
                </w:p>
              </w:tc>
              <w:tc>
                <w:tcPr>
                  <w:tcW w:w="474" w:type="pct"/>
                  <w:vMerge w:val="continue"/>
                  <w:vAlign w:val="center"/>
                </w:tcPr>
                <w:p w14:paraId="29EB0D0B">
                  <w:pPr>
                    <w:jc w:val="center"/>
                    <w:rPr>
                      <w:rFonts w:hint="default" w:ascii="Times New Roman" w:hAnsi="Times New Roman" w:eastAsia="宋体" w:cs="Times New Roman"/>
                      <w:color w:val="auto"/>
                    </w:rPr>
                  </w:pPr>
                </w:p>
              </w:tc>
              <w:tc>
                <w:tcPr>
                  <w:tcW w:w="470" w:type="pct"/>
                  <w:vAlign w:val="center"/>
                </w:tcPr>
                <w:p w14:paraId="45B0E47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24DA477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6户农户</w:t>
                  </w:r>
                </w:p>
              </w:tc>
              <w:tc>
                <w:tcPr>
                  <w:tcW w:w="552" w:type="pct"/>
                  <w:vAlign w:val="center"/>
                </w:tcPr>
                <w:p w14:paraId="0CC67A9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2CC28F4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212-347</w:t>
                  </w:r>
                </w:p>
              </w:tc>
              <w:tc>
                <w:tcPr>
                  <w:tcW w:w="735" w:type="pct"/>
                  <w:vMerge w:val="continue"/>
                  <w:vAlign w:val="center"/>
                </w:tcPr>
                <w:p w14:paraId="2184EEE4">
                  <w:pPr>
                    <w:jc w:val="center"/>
                    <w:rPr>
                      <w:rFonts w:hint="default" w:ascii="Times New Roman" w:hAnsi="Times New Roman" w:eastAsia="宋体" w:cs="Times New Roman"/>
                      <w:color w:val="auto"/>
                    </w:rPr>
                  </w:pPr>
                </w:p>
              </w:tc>
            </w:tr>
            <w:tr w14:paraId="435257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71580921">
                  <w:pPr>
                    <w:jc w:val="center"/>
                    <w:rPr>
                      <w:rFonts w:hint="default" w:ascii="Times New Roman" w:hAnsi="Times New Roman" w:eastAsia="宋体" w:cs="Times New Roman"/>
                      <w:color w:val="auto"/>
                    </w:rPr>
                  </w:pPr>
                </w:p>
              </w:tc>
              <w:tc>
                <w:tcPr>
                  <w:tcW w:w="558" w:type="pct"/>
                  <w:vMerge w:val="continue"/>
                  <w:vAlign w:val="center"/>
                </w:tcPr>
                <w:p w14:paraId="6884E86D">
                  <w:pPr>
                    <w:jc w:val="center"/>
                    <w:rPr>
                      <w:rFonts w:hint="default" w:ascii="Times New Roman" w:hAnsi="Times New Roman" w:eastAsia="宋体" w:cs="Times New Roman"/>
                      <w:color w:val="auto"/>
                    </w:rPr>
                  </w:pPr>
                </w:p>
              </w:tc>
              <w:tc>
                <w:tcPr>
                  <w:tcW w:w="491" w:type="pct"/>
                  <w:vMerge w:val="continue"/>
                  <w:vAlign w:val="center"/>
                </w:tcPr>
                <w:p w14:paraId="2DA20A58">
                  <w:pPr>
                    <w:jc w:val="center"/>
                    <w:rPr>
                      <w:rFonts w:hint="default" w:ascii="Times New Roman" w:hAnsi="Times New Roman" w:eastAsia="宋体" w:cs="Times New Roman"/>
                      <w:color w:val="auto"/>
                    </w:rPr>
                  </w:pPr>
                </w:p>
              </w:tc>
              <w:tc>
                <w:tcPr>
                  <w:tcW w:w="474" w:type="pct"/>
                  <w:vMerge w:val="continue"/>
                  <w:vAlign w:val="center"/>
                </w:tcPr>
                <w:p w14:paraId="0FB92DC0">
                  <w:pPr>
                    <w:jc w:val="center"/>
                    <w:rPr>
                      <w:rFonts w:hint="default" w:ascii="Times New Roman" w:hAnsi="Times New Roman" w:eastAsia="宋体" w:cs="Times New Roman"/>
                      <w:color w:val="auto"/>
                    </w:rPr>
                  </w:pPr>
                </w:p>
              </w:tc>
              <w:tc>
                <w:tcPr>
                  <w:tcW w:w="470" w:type="pct"/>
                  <w:vAlign w:val="center"/>
                </w:tcPr>
                <w:p w14:paraId="6A46F5C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32E3294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5户农户</w:t>
                  </w:r>
                </w:p>
              </w:tc>
              <w:tc>
                <w:tcPr>
                  <w:tcW w:w="552" w:type="pct"/>
                  <w:vAlign w:val="center"/>
                </w:tcPr>
                <w:p w14:paraId="12AE06D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东南侧</w:t>
                  </w:r>
                </w:p>
              </w:tc>
              <w:tc>
                <w:tcPr>
                  <w:tcW w:w="582" w:type="pct"/>
                  <w:vAlign w:val="center"/>
                </w:tcPr>
                <w:p w14:paraId="3E5EA5E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413-500</w:t>
                  </w:r>
                </w:p>
              </w:tc>
              <w:tc>
                <w:tcPr>
                  <w:tcW w:w="735" w:type="pct"/>
                  <w:vMerge w:val="continue"/>
                  <w:vAlign w:val="center"/>
                </w:tcPr>
                <w:p w14:paraId="6336725D">
                  <w:pPr>
                    <w:jc w:val="center"/>
                    <w:rPr>
                      <w:rFonts w:hint="default" w:ascii="Times New Roman" w:hAnsi="Times New Roman" w:eastAsia="宋体" w:cs="Times New Roman"/>
                      <w:color w:val="auto"/>
                    </w:rPr>
                  </w:pPr>
                </w:p>
              </w:tc>
            </w:tr>
            <w:tr w14:paraId="0F9A7B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35189768">
                  <w:pPr>
                    <w:jc w:val="center"/>
                    <w:rPr>
                      <w:rFonts w:hint="default" w:ascii="Times New Roman" w:hAnsi="Times New Roman" w:eastAsia="宋体" w:cs="Times New Roman"/>
                      <w:color w:val="auto"/>
                    </w:rPr>
                  </w:pPr>
                </w:p>
              </w:tc>
              <w:tc>
                <w:tcPr>
                  <w:tcW w:w="558" w:type="pct"/>
                  <w:vMerge w:val="continue"/>
                  <w:vAlign w:val="center"/>
                </w:tcPr>
                <w:p w14:paraId="13315309">
                  <w:pPr>
                    <w:jc w:val="center"/>
                    <w:rPr>
                      <w:rFonts w:hint="default" w:ascii="Times New Roman" w:hAnsi="Times New Roman" w:eastAsia="宋体" w:cs="Times New Roman"/>
                      <w:color w:val="auto"/>
                    </w:rPr>
                  </w:pPr>
                </w:p>
              </w:tc>
              <w:tc>
                <w:tcPr>
                  <w:tcW w:w="491" w:type="pct"/>
                  <w:vMerge w:val="continue"/>
                  <w:vAlign w:val="center"/>
                </w:tcPr>
                <w:p w14:paraId="620C0E1F">
                  <w:pPr>
                    <w:jc w:val="center"/>
                    <w:rPr>
                      <w:rFonts w:hint="default" w:ascii="Times New Roman" w:hAnsi="Times New Roman" w:eastAsia="宋体" w:cs="Times New Roman"/>
                      <w:color w:val="auto"/>
                    </w:rPr>
                  </w:pPr>
                </w:p>
              </w:tc>
              <w:tc>
                <w:tcPr>
                  <w:tcW w:w="474" w:type="pct"/>
                  <w:vMerge w:val="continue"/>
                  <w:vAlign w:val="center"/>
                </w:tcPr>
                <w:p w14:paraId="4C085ACE">
                  <w:pPr>
                    <w:jc w:val="center"/>
                    <w:rPr>
                      <w:rFonts w:hint="default" w:ascii="Times New Roman" w:hAnsi="Times New Roman" w:eastAsia="宋体" w:cs="Times New Roman"/>
                      <w:color w:val="auto"/>
                    </w:rPr>
                  </w:pPr>
                </w:p>
              </w:tc>
              <w:tc>
                <w:tcPr>
                  <w:tcW w:w="470" w:type="pct"/>
                  <w:vAlign w:val="center"/>
                </w:tcPr>
                <w:p w14:paraId="2FDAB89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074AA04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11户农户</w:t>
                  </w:r>
                </w:p>
              </w:tc>
              <w:tc>
                <w:tcPr>
                  <w:tcW w:w="552" w:type="pct"/>
                  <w:vAlign w:val="center"/>
                </w:tcPr>
                <w:p w14:paraId="42BF5BE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南侧</w:t>
                  </w:r>
                </w:p>
              </w:tc>
              <w:tc>
                <w:tcPr>
                  <w:tcW w:w="582" w:type="pct"/>
                  <w:vAlign w:val="center"/>
                </w:tcPr>
                <w:p w14:paraId="1C11024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450-500</w:t>
                  </w:r>
                </w:p>
              </w:tc>
              <w:tc>
                <w:tcPr>
                  <w:tcW w:w="735" w:type="pct"/>
                  <w:vMerge w:val="continue"/>
                  <w:vAlign w:val="center"/>
                </w:tcPr>
                <w:p w14:paraId="69869B31">
                  <w:pPr>
                    <w:jc w:val="center"/>
                    <w:rPr>
                      <w:rFonts w:hint="default" w:ascii="Times New Roman" w:hAnsi="Times New Roman" w:eastAsia="宋体" w:cs="Times New Roman"/>
                      <w:color w:val="auto"/>
                    </w:rPr>
                  </w:pPr>
                </w:p>
              </w:tc>
            </w:tr>
            <w:tr w14:paraId="5A2D25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024DE21C">
                  <w:pPr>
                    <w:jc w:val="center"/>
                    <w:rPr>
                      <w:rFonts w:hint="default" w:ascii="Times New Roman" w:hAnsi="Times New Roman" w:eastAsia="宋体" w:cs="Times New Roman"/>
                      <w:color w:val="auto"/>
                    </w:rPr>
                  </w:pPr>
                </w:p>
              </w:tc>
              <w:tc>
                <w:tcPr>
                  <w:tcW w:w="558" w:type="pct"/>
                  <w:vMerge w:val="continue"/>
                  <w:vAlign w:val="center"/>
                </w:tcPr>
                <w:p w14:paraId="6654A306">
                  <w:pPr>
                    <w:jc w:val="center"/>
                    <w:rPr>
                      <w:rFonts w:hint="default" w:ascii="Times New Roman" w:hAnsi="Times New Roman" w:eastAsia="宋体" w:cs="Times New Roman"/>
                      <w:color w:val="auto"/>
                    </w:rPr>
                  </w:pPr>
                </w:p>
              </w:tc>
              <w:tc>
                <w:tcPr>
                  <w:tcW w:w="491" w:type="pct"/>
                  <w:vMerge w:val="continue"/>
                  <w:vAlign w:val="center"/>
                </w:tcPr>
                <w:p w14:paraId="3C733635">
                  <w:pPr>
                    <w:jc w:val="center"/>
                    <w:rPr>
                      <w:rFonts w:hint="default" w:ascii="Times New Roman" w:hAnsi="Times New Roman" w:eastAsia="宋体" w:cs="Times New Roman"/>
                      <w:color w:val="auto"/>
                    </w:rPr>
                  </w:pPr>
                </w:p>
              </w:tc>
              <w:tc>
                <w:tcPr>
                  <w:tcW w:w="474" w:type="pct"/>
                  <w:vMerge w:val="continue"/>
                  <w:vAlign w:val="center"/>
                </w:tcPr>
                <w:p w14:paraId="747F4A98">
                  <w:pPr>
                    <w:jc w:val="center"/>
                    <w:rPr>
                      <w:rFonts w:hint="default" w:ascii="Times New Roman" w:hAnsi="Times New Roman" w:eastAsia="宋体" w:cs="Times New Roman"/>
                      <w:color w:val="auto"/>
                    </w:rPr>
                  </w:pPr>
                </w:p>
              </w:tc>
              <w:tc>
                <w:tcPr>
                  <w:tcW w:w="470" w:type="pct"/>
                  <w:vAlign w:val="center"/>
                </w:tcPr>
                <w:p w14:paraId="388738C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35E0AED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15户农户</w:t>
                  </w:r>
                </w:p>
              </w:tc>
              <w:tc>
                <w:tcPr>
                  <w:tcW w:w="552" w:type="pct"/>
                  <w:vAlign w:val="center"/>
                </w:tcPr>
                <w:p w14:paraId="64E9A86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0FE1E1C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281-500</w:t>
                  </w:r>
                </w:p>
              </w:tc>
              <w:tc>
                <w:tcPr>
                  <w:tcW w:w="735" w:type="pct"/>
                  <w:vMerge w:val="continue"/>
                  <w:vAlign w:val="center"/>
                </w:tcPr>
                <w:p w14:paraId="1B41C3F3">
                  <w:pPr>
                    <w:jc w:val="center"/>
                    <w:rPr>
                      <w:rFonts w:hint="default" w:ascii="Times New Roman" w:hAnsi="Times New Roman" w:eastAsia="宋体" w:cs="Times New Roman"/>
                      <w:color w:val="auto"/>
                    </w:rPr>
                  </w:pPr>
                </w:p>
              </w:tc>
            </w:tr>
            <w:tr w14:paraId="3F1231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48E13D88">
                  <w:pPr>
                    <w:jc w:val="center"/>
                    <w:rPr>
                      <w:rFonts w:hint="default" w:ascii="Times New Roman" w:hAnsi="Times New Roman" w:eastAsia="宋体" w:cs="Times New Roman"/>
                      <w:color w:val="auto"/>
                    </w:rPr>
                  </w:pPr>
                </w:p>
              </w:tc>
              <w:tc>
                <w:tcPr>
                  <w:tcW w:w="558" w:type="pct"/>
                  <w:vMerge w:val="restart"/>
                  <w:vAlign w:val="center"/>
                </w:tcPr>
                <w:p w14:paraId="597C60D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104.889061</w:t>
                  </w:r>
                </w:p>
              </w:tc>
              <w:tc>
                <w:tcPr>
                  <w:tcW w:w="491" w:type="pct"/>
                  <w:vMerge w:val="restart"/>
                  <w:vAlign w:val="center"/>
                </w:tcPr>
                <w:p w14:paraId="7BF8858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30.575023</w:t>
                  </w:r>
                </w:p>
              </w:tc>
              <w:tc>
                <w:tcPr>
                  <w:tcW w:w="474" w:type="pct"/>
                  <w:vMerge w:val="restart"/>
                  <w:vAlign w:val="center"/>
                </w:tcPr>
                <w:p w14:paraId="6A9DE86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w:t>
                  </w:r>
                </w:p>
              </w:tc>
              <w:tc>
                <w:tcPr>
                  <w:tcW w:w="470" w:type="pct"/>
                  <w:vAlign w:val="center"/>
                </w:tcPr>
                <w:p w14:paraId="185411B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001B53A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15户农户</w:t>
                  </w:r>
                </w:p>
              </w:tc>
              <w:tc>
                <w:tcPr>
                  <w:tcW w:w="552" w:type="pct"/>
                  <w:vAlign w:val="center"/>
                </w:tcPr>
                <w:p w14:paraId="7D46C6F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东北侧</w:t>
                  </w:r>
                </w:p>
              </w:tc>
              <w:tc>
                <w:tcPr>
                  <w:tcW w:w="582" w:type="pct"/>
                  <w:vAlign w:val="center"/>
                </w:tcPr>
                <w:p w14:paraId="7A66C3F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335-500</w:t>
                  </w:r>
                </w:p>
              </w:tc>
              <w:tc>
                <w:tcPr>
                  <w:tcW w:w="735" w:type="pct"/>
                  <w:vMerge w:val="continue"/>
                  <w:vAlign w:val="center"/>
                </w:tcPr>
                <w:p w14:paraId="653F1D74">
                  <w:pPr>
                    <w:jc w:val="center"/>
                    <w:rPr>
                      <w:rFonts w:hint="default" w:ascii="Times New Roman" w:hAnsi="Times New Roman" w:eastAsia="宋体" w:cs="Times New Roman"/>
                      <w:color w:val="auto"/>
                    </w:rPr>
                  </w:pPr>
                </w:p>
              </w:tc>
            </w:tr>
            <w:tr w14:paraId="63EE72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36AF1E99">
                  <w:pPr>
                    <w:jc w:val="center"/>
                    <w:rPr>
                      <w:rFonts w:hint="default" w:ascii="Times New Roman" w:hAnsi="Times New Roman" w:eastAsia="宋体" w:cs="Times New Roman"/>
                      <w:color w:val="auto"/>
                    </w:rPr>
                  </w:pPr>
                </w:p>
              </w:tc>
              <w:tc>
                <w:tcPr>
                  <w:tcW w:w="558" w:type="pct"/>
                  <w:vMerge w:val="continue"/>
                  <w:vAlign w:val="center"/>
                </w:tcPr>
                <w:p w14:paraId="58DCE56E">
                  <w:pPr>
                    <w:jc w:val="center"/>
                    <w:rPr>
                      <w:rFonts w:hint="default" w:ascii="Times New Roman" w:hAnsi="Times New Roman" w:eastAsia="宋体" w:cs="Times New Roman"/>
                      <w:color w:val="auto"/>
                    </w:rPr>
                  </w:pPr>
                </w:p>
              </w:tc>
              <w:tc>
                <w:tcPr>
                  <w:tcW w:w="491" w:type="pct"/>
                  <w:vMerge w:val="continue"/>
                  <w:vAlign w:val="center"/>
                </w:tcPr>
                <w:p w14:paraId="0B643B1B">
                  <w:pPr>
                    <w:jc w:val="center"/>
                    <w:rPr>
                      <w:rFonts w:hint="default" w:ascii="Times New Roman" w:hAnsi="Times New Roman" w:eastAsia="宋体" w:cs="Times New Roman"/>
                      <w:color w:val="auto"/>
                    </w:rPr>
                  </w:pPr>
                </w:p>
              </w:tc>
              <w:tc>
                <w:tcPr>
                  <w:tcW w:w="474" w:type="pct"/>
                  <w:vMerge w:val="continue"/>
                  <w:vAlign w:val="center"/>
                </w:tcPr>
                <w:p w14:paraId="2233C16A">
                  <w:pPr>
                    <w:jc w:val="center"/>
                    <w:rPr>
                      <w:rFonts w:hint="default" w:ascii="Times New Roman" w:hAnsi="Times New Roman" w:eastAsia="宋体" w:cs="Times New Roman"/>
                      <w:color w:val="auto"/>
                    </w:rPr>
                  </w:pPr>
                </w:p>
              </w:tc>
              <w:tc>
                <w:tcPr>
                  <w:tcW w:w="470" w:type="pct"/>
                  <w:vAlign w:val="center"/>
                </w:tcPr>
                <w:p w14:paraId="347F7AE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4355309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11户农户</w:t>
                  </w:r>
                </w:p>
              </w:tc>
              <w:tc>
                <w:tcPr>
                  <w:tcW w:w="552" w:type="pct"/>
                  <w:vAlign w:val="center"/>
                </w:tcPr>
                <w:p w14:paraId="1C6F13C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东南侧</w:t>
                  </w:r>
                </w:p>
              </w:tc>
              <w:tc>
                <w:tcPr>
                  <w:tcW w:w="582" w:type="pct"/>
                  <w:vAlign w:val="center"/>
                </w:tcPr>
                <w:p w14:paraId="4FA34C3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346-500</w:t>
                  </w:r>
                </w:p>
              </w:tc>
              <w:tc>
                <w:tcPr>
                  <w:tcW w:w="735" w:type="pct"/>
                  <w:vMerge w:val="continue"/>
                  <w:vAlign w:val="center"/>
                </w:tcPr>
                <w:p w14:paraId="037DEF5D">
                  <w:pPr>
                    <w:jc w:val="center"/>
                    <w:rPr>
                      <w:rFonts w:hint="default" w:ascii="Times New Roman" w:hAnsi="Times New Roman" w:eastAsia="宋体" w:cs="Times New Roman"/>
                      <w:color w:val="auto"/>
                    </w:rPr>
                  </w:pPr>
                </w:p>
              </w:tc>
            </w:tr>
            <w:tr w14:paraId="6D94CD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01A48E25">
                  <w:pPr>
                    <w:jc w:val="center"/>
                    <w:rPr>
                      <w:rFonts w:hint="default" w:ascii="Times New Roman" w:hAnsi="Times New Roman" w:eastAsia="宋体" w:cs="Times New Roman"/>
                      <w:color w:val="auto"/>
                    </w:rPr>
                  </w:pPr>
                </w:p>
              </w:tc>
              <w:tc>
                <w:tcPr>
                  <w:tcW w:w="558" w:type="pct"/>
                  <w:vMerge w:val="continue"/>
                  <w:vAlign w:val="center"/>
                </w:tcPr>
                <w:p w14:paraId="0FED8681">
                  <w:pPr>
                    <w:jc w:val="center"/>
                    <w:rPr>
                      <w:rFonts w:hint="default" w:ascii="Times New Roman" w:hAnsi="Times New Roman" w:eastAsia="宋体" w:cs="Times New Roman"/>
                      <w:color w:val="auto"/>
                    </w:rPr>
                  </w:pPr>
                </w:p>
              </w:tc>
              <w:tc>
                <w:tcPr>
                  <w:tcW w:w="491" w:type="pct"/>
                  <w:vMerge w:val="continue"/>
                  <w:vAlign w:val="center"/>
                </w:tcPr>
                <w:p w14:paraId="5F01752E">
                  <w:pPr>
                    <w:jc w:val="center"/>
                    <w:rPr>
                      <w:rFonts w:hint="default" w:ascii="Times New Roman" w:hAnsi="Times New Roman" w:eastAsia="宋体" w:cs="Times New Roman"/>
                      <w:color w:val="auto"/>
                    </w:rPr>
                  </w:pPr>
                </w:p>
              </w:tc>
              <w:tc>
                <w:tcPr>
                  <w:tcW w:w="474" w:type="pct"/>
                  <w:vMerge w:val="continue"/>
                  <w:vAlign w:val="center"/>
                </w:tcPr>
                <w:p w14:paraId="789D18DB">
                  <w:pPr>
                    <w:jc w:val="center"/>
                    <w:rPr>
                      <w:rFonts w:hint="default" w:ascii="Times New Roman" w:hAnsi="Times New Roman" w:eastAsia="宋体" w:cs="Times New Roman"/>
                      <w:color w:val="auto"/>
                    </w:rPr>
                  </w:pPr>
                </w:p>
              </w:tc>
              <w:tc>
                <w:tcPr>
                  <w:tcW w:w="470" w:type="pct"/>
                  <w:vAlign w:val="center"/>
                </w:tcPr>
                <w:p w14:paraId="789E53E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27AB6DC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7户农户</w:t>
                  </w:r>
                </w:p>
              </w:tc>
              <w:tc>
                <w:tcPr>
                  <w:tcW w:w="552" w:type="pct"/>
                  <w:vAlign w:val="center"/>
                </w:tcPr>
                <w:p w14:paraId="5EE9303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西南侧</w:t>
                  </w:r>
                </w:p>
              </w:tc>
              <w:tc>
                <w:tcPr>
                  <w:tcW w:w="582" w:type="pct"/>
                  <w:vAlign w:val="center"/>
                </w:tcPr>
                <w:p w14:paraId="6644A24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362-500</w:t>
                  </w:r>
                </w:p>
              </w:tc>
              <w:tc>
                <w:tcPr>
                  <w:tcW w:w="735" w:type="pct"/>
                  <w:vMerge w:val="continue"/>
                  <w:vAlign w:val="center"/>
                </w:tcPr>
                <w:p w14:paraId="09BCC140">
                  <w:pPr>
                    <w:jc w:val="center"/>
                    <w:rPr>
                      <w:rFonts w:hint="default" w:ascii="Times New Roman" w:hAnsi="Times New Roman" w:eastAsia="宋体" w:cs="Times New Roman"/>
                      <w:color w:val="auto"/>
                    </w:rPr>
                  </w:pPr>
                </w:p>
              </w:tc>
            </w:tr>
            <w:tr w14:paraId="489AC0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79A5C3B0">
                  <w:pPr>
                    <w:jc w:val="center"/>
                    <w:rPr>
                      <w:rFonts w:hint="default" w:ascii="Times New Roman" w:hAnsi="Times New Roman" w:eastAsia="宋体" w:cs="Times New Roman"/>
                      <w:color w:val="auto"/>
                    </w:rPr>
                  </w:pPr>
                </w:p>
              </w:tc>
              <w:tc>
                <w:tcPr>
                  <w:tcW w:w="558" w:type="pct"/>
                  <w:vMerge w:val="restart"/>
                  <w:vAlign w:val="center"/>
                </w:tcPr>
                <w:p w14:paraId="2AF0D6A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104.886873</w:t>
                  </w:r>
                </w:p>
              </w:tc>
              <w:tc>
                <w:tcPr>
                  <w:tcW w:w="491" w:type="pct"/>
                  <w:vMerge w:val="restart"/>
                  <w:vAlign w:val="center"/>
                </w:tcPr>
                <w:p w14:paraId="10D4F0C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30.570560</w:t>
                  </w:r>
                </w:p>
              </w:tc>
              <w:tc>
                <w:tcPr>
                  <w:tcW w:w="474" w:type="pct"/>
                  <w:vMerge w:val="restart"/>
                  <w:vAlign w:val="center"/>
                </w:tcPr>
                <w:p w14:paraId="1A9D6DF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4#</w:t>
                  </w:r>
                </w:p>
              </w:tc>
              <w:tc>
                <w:tcPr>
                  <w:tcW w:w="470" w:type="pct"/>
                  <w:vAlign w:val="center"/>
                </w:tcPr>
                <w:p w14:paraId="79BD47A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1BC01A8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5户农户</w:t>
                  </w:r>
                </w:p>
              </w:tc>
              <w:tc>
                <w:tcPr>
                  <w:tcW w:w="552" w:type="pct"/>
                  <w:vAlign w:val="center"/>
                </w:tcPr>
                <w:p w14:paraId="1CF4638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3E65828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149-209</w:t>
                  </w:r>
                </w:p>
              </w:tc>
              <w:tc>
                <w:tcPr>
                  <w:tcW w:w="735" w:type="pct"/>
                  <w:vMerge w:val="continue"/>
                  <w:vAlign w:val="center"/>
                </w:tcPr>
                <w:p w14:paraId="4FA4925D">
                  <w:pPr>
                    <w:jc w:val="center"/>
                    <w:rPr>
                      <w:rFonts w:hint="default" w:ascii="Times New Roman" w:hAnsi="Times New Roman" w:eastAsia="宋体" w:cs="Times New Roman"/>
                      <w:color w:val="auto"/>
                    </w:rPr>
                  </w:pPr>
                </w:p>
              </w:tc>
            </w:tr>
            <w:tr w14:paraId="631A7E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256" w:type="pct"/>
                  <w:vMerge w:val="continue"/>
                  <w:vAlign w:val="center"/>
                </w:tcPr>
                <w:p w14:paraId="3CE72479">
                  <w:pPr>
                    <w:jc w:val="center"/>
                    <w:rPr>
                      <w:rFonts w:hint="default" w:ascii="Times New Roman" w:hAnsi="Times New Roman" w:eastAsia="宋体" w:cs="Times New Roman"/>
                      <w:color w:val="auto"/>
                    </w:rPr>
                  </w:pPr>
                </w:p>
              </w:tc>
              <w:tc>
                <w:tcPr>
                  <w:tcW w:w="558" w:type="pct"/>
                  <w:vMerge w:val="continue"/>
                  <w:vAlign w:val="center"/>
                </w:tcPr>
                <w:p w14:paraId="7BC19585">
                  <w:pPr>
                    <w:jc w:val="center"/>
                    <w:rPr>
                      <w:rFonts w:hint="default" w:ascii="Times New Roman" w:hAnsi="Times New Roman" w:eastAsia="宋体" w:cs="Times New Roman"/>
                      <w:color w:val="auto"/>
                    </w:rPr>
                  </w:pPr>
                </w:p>
              </w:tc>
              <w:tc>
                <w:tcPr>
                  <w:tcW w:w="491" w:type="pct"/>
                  <w:vMerge w:val="continue"/>
                  <w:vAlign w:val="center"/>
                </w:tcPr>
                <w:p w14:paraId="586981C4">
                  <w:pPr>
                    <w:jc w:val="center"/>
                    <w:rPr>
                      <w:rFonts w:hint="default" w:ascii="Times New Roman" w:hAnsi="Times New Roman" w:eastAsia="宋体" w:cs="Times New Roman"/>
                      <w:color w:val="auto"/>
                    </w:rPr>
                  </w:pPr>
                </w:p>
              </w:tc>
              <w:tc>
                <w:tcPr>
                  <w:tcW w:w="474" w:type="pct"/>
                  <w:vMerge w:val="continue"/>
                  <w:vAlign w:val="center"/>
                </w:tcPr>
                <w:p w14:paraId="0D184F82">
                  <w:pPr>
                    <w:jc w:val="center"/>
                    <w:rPr>
                      <w:rFonts w:hint="default" w:ascii="Times New Roman" w:hAnsi="Times New Roman" w:eastAsia="宋体" w:cs="Times New Roman"/>
                      <w:color w:val="auto"/>
                    </w:rPr>
                  </w:pPr>
                </w:p>
              </w:tc>
              <w:tc>
                <w:tcPr>
                  <w:tcW w:w="470" w:type="pct"/>
                  <w:vAlign w:val="center"/>
                </w:tcPr>
                <w:p w14:paraId="43D3983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20E9360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7户农户</w:t>
                  </w:r>
                </w:p>
              </w:tc>
              <w:tc>
                <w:tcPr>
                  <w:tcW w:w="552" w:type="pct"/>
                  <w:vAlign w:val="center"/>
                </w:tcPr>
                <w:p w14:paraId="3D1AE6C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5D99B35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60-144</w:t>
                  </w:r>
                </w:p>
              </w:tc>
              <w:tc>
                <w:tcPr>
                  <w:tcW w:w="735" w:type="pct"/>
                  <w:vMerge w:val="continue"/>
                  <w:vAlign w:val="center"/>
                </w:tcPr>
                <w:p w14:paraId="11B3EFAD">
                  <w:pPr>
                    <w:jc w:val="center"/>
                    <w:rPr>
                      <w:rFonts w:hint="default" w:ascii="Times New Roman" w:hAnsi="Times New Roman" w:eastAsia="宋体" w:cs="Times New Roman"/>
                      <w:color w:val="auto"/>
                    </w:rPr>
                  </w:pPr>
                </w:p>
              </w:tc>
            </w:tr>
            <w:tr w14:paraId="012EF0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241B4EAD">
                  <w:pPr>
                    <w:jc w:val="center"/>
                    <w:rPr>
                      <w:rFonts w:hint="default" w:ascii="Times New Roman" w:hAnsi="Times New Roman" w:eastAsia="宋体" w:cs="Times New Roman"/>
                      <w:color w:val="auto"/>
                    </w:rPr>
                  </w:pPr>
                </w:p>
              </w:tc>
              <w:tc>
                <w:tcPr>
                  <w:tcW w:w="558" w:type="pct"/>
                  <w:vMerge w:val="continue"/>
                  <w:vAlign w:val="center"/>
                </w:tcPr>
                <w:p w14:paraId="16E08B09">
                  <w:pPr>
                    <w:jc w:val="center"/>
                    <w:rPr>
                      <w:rFonts w:hint="default" w:ascii="Times New Roman" w:hAnsi="Times New Roman" w:eastAsia="宋体" w:cs="Times New Roman"/>
                      <w:color w:val="auto"/>
                    </w:rPr>
                  </w:pPr>
                </w:p>
              </w:tc>
              <w:tc>
                <w:tcPr>
                  <w:tcW w:w="491" w:type="pct"/>
                  <w:vMerge w:val="continue"/>
                  <w:vAlign w:val="center"/>
                </w:tcPr>
                <w:p w14:paraId="7D072D6E">
                  <w:pPr>
                    <w:jc w:val="center"/>
                    <w:rPr>
                      <w:rFonts w:hint="default" w:ascii="Times New Roman" w:hAnsi="Times New Roman" w:eastAsia="宋体" w:cs="Times New Roman"/>
                      <w:color w:val="auto"/>
                    </w:rPr>
                  </w:pPr>
                </w:p>
              </w:tc>
              <w:tc>
                <w:tcPr>
                  <w:tcW w:w="474" w:type="pct"/>
                  <w:vMerge w:val="continue"/>
                  <w:vAlign w:val="center"/>
                </w:tcPr>
                <w:p w14:paraId="7650B29F">
                  <w:pPr>
                    <w:jc w:val="center"/>
                    <w:rPr>
                      <w:rFonts w:hint="default" w:ascii="Times New Roman" w:hAnsi="Times New Roman" w:eastAsia="宋体" w:cs="Times New Roman"/>
                      <w:color w:val="auto"/>
                    </w:rPr>
                  </w:pPr>
                </w:p>
              </w:tc>
              <w:tc>
                <w:tcPr>
                  <w:tcW w:w="470" w:type="pct"/>
                  <w:vAlign w:val="center"/>
                </w:tcPr>
                <w:p w14:paraId="519E9F9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30C320A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11户农户</w:t>
                  </w:r>
                </w:p>
              </w:tc>
              <w:tc>
                <w:tcPr>
                  <w:tcW w:w="552" w:type="pct"/>
                  <w:vAlign w:val="center"/>
                </w:tcPr>
                <w:p w14:paraId="7ECE14E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南侧</w:t>
                  </w:r>
                </w:p>
              </w:tc>
              <w:tc>
                <w:tcPr>
                  <w:tcW w:w="582" w:type="pct"/>
                  <w:vAlign w:val="center"/>
                </w:tcPr>
                <w:p w14:paraId="452D12A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274-500</w:t>
                  </w:r>
                </w:p>
              </w:tc>
              <w:tc>
                <w:tcPr>
                  <w:tcW w:w="735" w:type="pct"/>
                  <w:vMerge w:val="continue"/>
                  <w:vAlign w:val="center"/>
                </w:tcPr>
                <w:p w14:paraId="4BB58604">
                  <w:pPr>
                    <w:jc w:val="center"/>
                    <w:rPr>
                      <w:rFonts w:hint="default" w:ascii="Times New Roman" w:hAnsi="Times New Roman" w:eastAsia="宋体" w:cs="Times New Roman"/>
                      <w:color w:val="auto"/>
                    </w:rPr>
                  </w:pPr>
                </w:p>
              </w:tc>
            </w:tr>
            <w:tr w14:paraId="3D2EC0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256" w:type="pct"/>
                  <w:vMerge w:val="continue"/>
                  <w:vAlign w:val="center"/>
                </w:tcPr>
                <w:p w14:paraId="5DC7BB00">
                  <w:pPr>
                    <w:jc w:val="center"/>
                    <w:rPr>
                      <w:rFonts w:hint="default" w:ascii="Times New Roman" w:hAnsi="Times New Roman" w:eastAsia="宋体" w:cs="Times New Roman"/>
                      <w:color w:val="auto"/>
                    </w:rPr>
                  </w:pPr>
                </w:p>
              </w:tc>
              <w:tc>
                <w:tcPr>
                  <w:tcW w:w="558" w:type="pct"/>
                  <w:vMerge w:val="continue"/>
                  <w:vAlign w:val="center"/>
                </w:tcPr>
                <w:p w14:paraId="309A5205">
                  <w:pPr>
                    <w:jc w:val="center"/>
                    <w:rPr>
                      <w:rFonts w:hint="default" w:ascii="Times New Roman" w:hAnsi="Times New Roman" w:eastAsia="宋体" w:cs="Times New Roman"/>
                      <w:color w:val="auto"/>
                    </w:rPr>
                  </w:pPr>
                </w:p>
              </w:tc>
              <w:tc>
                <w:tcPr>
                  <w:tcW w:w="491" w:type="pct"/>
                  <w:vMerge w:val="continue"/>
                  <w:vAlign w:val="center"/>
                </w:tcPr>
                <w:p w14:paraId="196CE64A">
                  <w:pPr>
                    <w:jc w:val="center"/>
                    <w:rPr>
                      <w:rFonts w:hint="default" w:ascii="Times New Roman" w:hAnsi="Times New Roman" w:eastAsia="宋体" w:cs="Times New Roman"/>
                      <w:color w:val="auto"/>
                    </w:rPr>
                  </w:pPr>
                </w:p>
              </w:tc>
              <w:tc>
                <w:tcPr>
                  <w:tcW w:w="474" w:type="pct"/>
                  <w:vMerge w:val="continue"/>
                  <w:vAlign w:val="center"/>
                </w:tcPr>
                <w:p w14:paraId="7F97D421">
                  <w:pPr>
                    <w:jc w:val="center"/>
                    <w:rPr>
                      <w:rFonts w:hint="default" w:ascii="Times New Roman" w:hAnsi="Times New Roman" w:eastAsia="宋体" w:cs="Times New Roman"/>
                      <w:color w:val="auto"/>
                    </w:rPr>
                  </w:pPr>
                </w:p>
              </w:tc>
              <w:tc>
                <w:tcPr>
                  <w:tcW w:w="470" w:type="pct"/>
                  <w:vAlign w:val="center"/>
                </w:tcPr>
                <w:p w14:paraId="61E5FF7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057B1DE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21户农户</w:t>
                  </w:r>
                </w:p>
              </w:tc>
              <w:tc>
                <w:tcPr>
                  <w:tcW w:w="552" w:type="pct"/>
                  <w:vAlign w:val="center"/>
                </w:tcPr>
                <w:p w14:paraId="057B65C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西南侧</w:t>
                  </w:r>
                </w:p>
              </w:tc>
              <w:tc>
                <w:tcPr>
                  <w:tcW w:w="582" w:type="pct"/>
                  <w:vAlign w:val="center"/>
                </w:tcPr>
                <w:p w14:paraId="684B68F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181-385</w:t>
                  </w:r>
                </w:p>
              </w:tc>
              <w:tc>
                <w:tcPr>
                  <w:tcW w:w="735" w:type="pct"/>
                  <w:vMerge w:val="continue"/>
                  <w:vAlign w:val="center"/>
                </w:tcPr>
                <w:p w14:paraId="611ED166">
                  <w:pPr>
                    <w:jc w:val="center"/>
                    <w:rPr>
                      <w:rFonts w:hint="default" w:ascii="Times New Roman" w:hAnsi="Times New Roman" w:eastAsia="宋体" w:cs="Times New Roman"/>
                      <w:color w:val="auto"/>
                    </w:rPr>
                  </w:pPr>
                </w:p>
              </w:tc>
            </w:tr>
            <w:tr w14:paraId="444E0B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3A2A7EF1">
                  <w:pPr>
                    <w:jc w:val="center"/>
                    <w:rPr>
                      <w:rFonts w:hint="default" w:ascii="Times New Roman" w:hAnsi="Times New Roman" w:eastAsia="宋体" w:cs="Times New Roman"/>
                      <w:color w:val="auto"/>
                    </w:rPr>
                  </w:pPr>
                </w:p>
              </w:tc>
              <w:tc>
                <w:tcPr>
                  <w:tcW w:w="558" w:type="pct"/>
                  <w:vMerge w:val="continue"/>
                  <w:vAlign w:val="center"/>
                </w:tcPr>
                <w:p w14:paraId="7D1ADDF3">
                  <w:pPr>
                    <w:jc w:val="center"/>
                    <w:rPr>
                      <w:rFonts w:hint="default" w:ascii="Times New Roman" w:hAnsi="Times New Roman" w:eastAsia="宋体" w:cs="Times New Roman"/>
                      <w:color w:val="auto"/>
                    </w:rPr>
                  </w:pPr>
                </w:p>
              </w:tc>
              <w:tc>
                <w:tcPr>
                  <w:tcW w:w="491" w:type="pct"/>
                  <w:vMerge w:val="continue"/>
                  <w:vAlign w:val="center"/>
                </w:tcPr>
                <w:p w14:paraId="53D2F3F3">
                  <w:pPr>
                    <w:jc w:val="center"/>
                    <w:rPr>
                      <w:rFonts w:hint="default" w:ascii="Times New Roman" w:hAnsi="Times New Roman" w:eastAsia="宋体" w:cs="Times New Roman"/>
                      <w:color w:val="auto"/>
                    </w:rPr>
                  </w:pPr>
                </w:p>
              </w:tc>
              <w:tc>
                <w:tcPr>
                  <w:tcW w:w="474" w:type="pct"/>
                  <w:vMerge w:val="continue"/>
                  <w:vAlign w:val="center"/>
                </w:tcPr>
                <w:p w14:paraId="33E937E3">
                  <w:pPr>
                    <w:jc w:val="center"/>
                    <w:rPr>
                      <w:rFonts w:hint="default" w:ascii="Times New Roman" w:hAnsi="Times New Roman" w:eastAsia="宋体" w:cs="Times New Roman"/>
                      <w:color w:val="auto"/>
                    </w:rPr>
                  </w:pPr>
                </w:p>
              </w:tc>
              <w:tc>
                <w:tcPr>
                  <w:tcW w:w="470" w:type="pct"/>
                  <w:vAlign w:val="center"/>
                </w:tcPr>
                <w:p w14:paraId="77D5765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027E641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17户农户</w:t>
                  </w:r>
                </w:p>
              </w:tc>
              <w:tc>
                <w:tcPr>
                  <w:tcW w:w="552" w:type="pct"/>
                  <w:vAlign w:val="center"/>
                </w:tcPr>
                <w:p w14:paraId="2DE6030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西北侧</w:t>
                  </w:r>
                </w:p>
              </w:tc>
              <w:tc>
                <w:tcPr>
                  <w:tcW w:w="582" w:type="pct"/>
                  <w:vAlign w:val="center"/>
                </w:tcPr>
                <w:p w14:paraId="3CF9C6A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341-500</w:t>
                  </w:r>
                </w:p>
              </w:tc>
              <w:tc>
                <w:tcPr>
                  <w:tcW w:w="735" w:type="pct"/>
                  <w:vMerge w:val="continue"/>
                  <w:vAlign w:val="center"/>
                </w:tcPr>
                <w:p w14:paraId="508EF682">
                  <w:pPr>
                    <w:jc w:val="center"/>
                    <w:rPr>
                      <w:rFonts w:hint="default" w:ascii="Times New Roman" w:hAnsi="Times New Roman" w:eastAsia="宋体" w:cs="Times New Roman"/>
                      <w:color w:val="auto"/>
                    </w:rPr>
                  </w:pPr>
                </w:p>
              </w:tc>
            </w:tr>
            <w:tr w14:paraId="2AEB7F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7BF86CC1">
                  <w:pPr>
                    <w:jc w:val="center"/>
                    <w:rPr>
                      <w:rFonts w:hint="default" w:ascii="Times New Roman" w:hAnsi="Times New Roman" w:eastAsia="宋体" w:cs="Times New Roman"/>
                      <w:color w:val="auto"/>
                    </w:rPr>
                  </w:pPr>
                </w:p>
              </w:tc>
              <w:tc>
                <w:tcPr>
                  <w:tcW w:w="558" w:type="pct"/>
                  <w:vMerge w:val="restart"/>
                  <w:vAlign w:val="center"/>
                </w:tcPr>
                <w:p w14:paraId="37F0339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104.877217</w:t>
                  </w:r>
                </w:p>
              </w:tc>
              <w:tc>
                <w:tcPr>
                  <w:tcW w:w="491" w:type="pct"/>
                  <w:vMerge w:val="restart"/>
                  <w:vAlign w:val="center"/>
                </w:tcPr>
                <w:p w14:paraId="411E9BA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30.5708611</w:t>
                  </w:r>
                </w:p>
              </w:tc>
              <w:tc>
                <w:tcPr>
                  <w:tcW w:w="474" w:type="pct"/>
                  <w:vMerge w:val="restart"/>
                  <w:vAlign w:val="center"/>
                </w:tcPr>
                <w:p w14:paraId="5676926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5#</w:t>
                  </w:r>
                </w:p>
              </w:tc>
              <w:tc>
                <w:tcPr>
                  <w:tcW w:w="470" w:type="pct"/>
                  <w:vAlign w:val="center"/>
                </w:tcPr>
                <w:p w14:paraId="4C7D5BB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6A5870C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15户农户</w:t>
                  </w:r>
                </w:p>
              </w:tc>
              <w:tc>
                <w:tcPr>
                  <w:tcW w:w="552" w:type="pct"/>
                  <w:vAlign w:val="center"/>
                </w:tcPr>
                <w:p w14:paraId="1682099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东南侧</w:t>
                  </w:r>
                </w:p>
              </w:tc>
              <w:tc>
                <w:tcPr>
                  <w:tcW w:w="582" w:type="pct"/>
                  <w:vAlign w:val="center"/>
                </w:tcPr>
                <w:p w14:paraId="544A76F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279-461</w:t>
                  </w:r>
                </w:p>
              </w:tc>
              <w:tc>
                <w:tcPr>
                  <w:tcW w:w="735" w:type="pct"/>
                  <w:vMerge w:val="continue"/>
                  <w:vAlign w:val="center"/>
                </w:tcPr>
                <w:p w14:paraId="492F8B99">
                  <w:pPr>
                    <w:jc w:val="center"/>
                    <w:rPr>
                      <w:rFonts w:hint="default" w:ascii="Times New Roman" w:hAnsi="Times New Roman" w:eastAsia="宋体" w:cs="Times New Roman"/>
                      <w:color w:val="auto"/>
                    </w:rPr>
                  </w:pPr>
                </w:p>
              </w:tc>
            </w:tr>
            <w:tr w14:paraId="4E62BD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1D66DF7F">
                  <w:pPr>
                    <w:jc w:val="center"/>
                    <w:rPr>
                      <w:rFonts w:hint="default" w:ascii="Times New Roman" w:hAnsi="Times New Roman" w:eastAsia="宋体" w:cs="Times New Roman"/>
                      <w:color w:val="auto"/>
                    </w:rPr>
                  </w:pPr>
                </w:p>
              </w:tc>
              <w:tc>
                <w:tcPr>
                  <w:tcW w:w="558" w:type="pct"/>
                  <w:vMerge w:val="continue"/>
                  <w:vAlign w:val="center"/>
                </w:tcPr>
                <w:p w14:paraId="6429258B">
                  <w:pPr>
                    <w:jc w:val="center"/>
                    <w:rPr>
                      <w:rFonts w:hint="default" w:ascii="Times New Roman" w:hAnsi="Times New Roman" w:eastAsia="宋体" w:cs="Times New Roman"/>
                      <w:color w:val="auto"/>
                    </w:rPr>
                  </w:pPr>
                </w:p>
              </w:tc>
              <w:tc>
                <w:tcPr>
                  <w:tcW w:w="491" w:type="pct"/>
                  <w:vMerge w:val="continue"/>
                  <w:vAlign w:val="center"/>
                </w:tcPr>
                <w:p w14:paraId="017BF171">
                  <w:pPr>
                    <w:jc w:val="center"/>
                    <w:rPr>
                      <w:rFonts w:hint="default" w:ascii="Times New Roman" w:hAnsi="Times New Roman" w:eastAsia="宋体" w:cs="Times New Roman"/>
                      <w:color w:val="auto"/>
                    </w:rPr>
                  </w:pPr>
                </w:p>
              </w:tc>
              <w:tc>
                <w:tcPr>
                  <w:tcW w:w="474" w:type="pct"/>
                  <w:vMerge w:val="continue"/>
                  <w:vAlign w:val="center"/>
                </w:tcPr>
                <w:p w14:paraId="14E134C3">
                  <w:pPr>
                    <w:jc w:val="center"/>
                    <w:rPr>
                      <w:rFonts w:hint="default" w:ascii="Times New Roman" w:hAnsi="Times New Roman" w:eastAsia="宋体" w:cs="Times New Roman"/>
                      <w:color w:val="auto"/>
                    </w:rPr>
                  </w:pPr>
                </w:p>
              </w:tc>
              <w:tc>
                <w:tcPr>
                  <w:tcW w:w="470" w:type="pct"/>
                  <w:vAlign w:val="center"/>
                </w:tcPr>
                <w:p w14:paraId="3CA4496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5CF9D10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27户农户</w:t>
                  </w:r>
                </w:p>
              </w:tc>
              <w:tc>
                <w:tcPr>
                  <w:tcW w:w="552" w:type="pct"/>
                  <w:vAlign w:val="center"/>
                </w:tcPr>
                <w:p w14:paraId="6593738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6BEC546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62-343</w:t>
                  </w:r>
                </w:p>
              </w:tc>
              <w:tc>
                <w:tcPr>
                  <w:tcW w:w="735" w:type="pct"/>
                  <w:vMerge w:val="continue"/>
                  <w:vAlign w:val="center"/>
                </w:tcPr>
                <w:p w14:paraId="3D43B100">
                  <w:pPr>
                    <w:jc w:val="center"/>
                    <w:rPr>
                      <w:rFonts w:hint="default" w:ascii="Times New Roman" w:hAnsi="Times New Roman" w:eastAsia="宋体" w:cs="Times New Roman"/>
                      <w:color w:val="auto"/>
                    </w:rPr>
                  </w:pPr>
                </w:p>
              </w:tc>
            </w:tr>
            <w:tr w14:paraId="09EBB6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27F63408">
                  <w:pPr>
                    <w:jc w:val="center"/>
                    <w:rPr>
                      <w:rFonts w:hint="default" w:ascii="Times New Roman" w:hAnsi="Times New Roman" w:eastAsia="宋体" w:cs="Times New Roman"/>
                      <w:color w:val="auto"/>
                    </w:rPr>
                  </w:pPr>
                </w:p>
              </w:tc>
              <w:tc>
                <w:tcPr>
                  <w:tcW w:w="558" w:type="pct"/>
                  <w:vMerge w:val="restart"/>
                  <w:vAlign w:val="center"/>
                </w:tcPr>
                <w:p w14:paraId="2B051DB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104.892280</w:t>
                  </w:r>
                </w:p>
              </w:tc>
              <w:tc>
                <w:tcPr>
                  <w:tcW w:w="491" w:type="pct"/>
                  <w:vMerge w:val="restart"/>
                  <w:vAlign w:val="center"/>
                </w:tcPr>
                <w:p w14:paraId="521AB67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30.576096</w:t>
                  </w:r>
                </w:p>
              </w:tc>
              <w:tc>
                <w:tcPr>
                  <w:tcW w:w="474" w:type="pct"/>
                  <w:vMerge w:val="restart"/>
                  <w:vAlign w:val="center"/>
                </w:tcPr>
                <w:p w14:paraId="045EC77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6#</w:t>
                  </w:r>
                </w:p>
              </w:tc>
              <w:tc>
                <w:tcPr>
                  <w:tcW w:w="470" w:type="pct"/>
                  <w:vAlign w:val="center"/>
                </w:tcPr>
                <w:p w14:paraId="42199E8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18B5136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23户农户</w:t>
                  </w:r>
                </w:p>
              </w:tc>
              <w:tc>
                <w:tcPr>
                  <w:tcW w:w="552" w:type="pct"/>
                  <w:vAlign w:val="center"/>
                </w:tcPr>
                <w:p w14:paraId="4AEADC9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0E1DD05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111-442</w:t>
                  </w:r>
                </w:p>
              </w:tc>
              <w:tc>
                <w:tcPr>
                  <w:tcW w:w="735" w:type="pct"/>
                  <w:vMerge w:val="continue"/>
                  <w:vAlign w:val="center"/>
                </w:tcPr>
                <w:p w14:paraId="34480AAD">
                  <w:pPr>
                    <w:jc w:val="center"/>
                    <w:rPr>
                      <w:rFonts w:hint="default" w:ascii="Times New Roman" w:hAnsi="Times New Roman" w:eastAsia="宋体" w:cs="Times New Roman"/>
                      <w:color w:val="auto"/>
                    </w:rPr>
                  </w:pPr>
                </w:p>
              </w:tc>
            </w:tr>
            <w:tr w14:paraId="7466F4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256" w:type="pct"/>
                  <w:vMerge w:val="continue"/>
                  <w:vAlign w:val="center"/>
                </w:tcPr>
                <w:p w14:paraId="176DF83E">
                  <w:pPr>
                    <w:jc w:val="center"/>
                    <w:rPr>
                      <w:rFonts w:hint="default" w:ascii="Times New Roman" w:hAnsi="Times New Roman" w:eastAsia="宋体" w:cs="Times New Roman"/>
                      <w:color w:val="auto"/>
                    </w:rPr>
                  </w:pPr>
                </w:p>
              </w:tc>
              <w:tc>
                <w:tcPr>
                  <w:tcW w:w="558" w:type="pct"/>
                  <w:vMerge w:val="continue"/>
                  <w:vAlign w:val="center"/>
                </w:tcPr>
                <w:p w14:paraId="02E566D2">
                  <w:pPr>
                    <w:jc w:val="center"/>
                    <w:rPr>
                      <w:rFonts w:hint="default" w:ascii="Times New Roman" w:hAnsi="Times New Roman" w:eastAsia="宋体" w:cs="Times New Roman"/>
                      <w:color w:val="auto"/>
                    </w:rPr>
                  </w:pPr>
                </w:p>
              </w:tc>
              <w:tc>
                <w:tcPr>
                  <w:tcW w:w="491" w:type="pct"/>
                  <w:vMerge w:val="continue"/>
                  <w:vAlign w:val="center"/>
                </w:tcPr>
                <w:p w14:paraId="2A4058C9">
                  <w:pPr>
                    <w:jc w:val="center"/>
                    <w:rPr>
                      <w:rFonts w:hint="default" w:ascii="Times New Roman" w:hAnsi="Times New Roman" w:eastAsia="宋体" w:cs="Times New Roman"/>
                      <w:color w:val="auto"/>
                    </w:rPr>
                  </w:pPr>
                </w:p>
              </w:tc>
              <w:tc>
                <w:tcPr>
                  <w:tcW w:w="474" w:type="pct"/>
                  <w:vMerge w:val="continue"/>
                  <w:vAlign w:val="center"/>
                </w:tcPr>
                <w:p w14:paraId="78B35CB4">
                  <w:pPr>
                    <w:jc w:val="center"/>
                    <w:rPr>
                      <w:rFonts w:hint="default" w:ascii="Times New Roman" w:hAnsi="Times New Roman" w:eastAsia="宋体" w:cs="Times New Roman"/>
                      <w:color w:val="auto"/>
                    </w:rPr>
                  </w:pPr>
                </w:p>
              </w:tc>
              <w:tc>
                <w:tcPr>
                  <w:tcW w:w="470" w:type="pct"/>
                  <w:vAlign w:val="center"/>
                </w:tcPr>
                <w:p w14:paraId="6E57469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134AB68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18户农户</w:t>
                  </w:r>
                </w:p>
              </w:tc>
              <w:tc>
                <w:tcPr>
                  <w:tcW w:w="552" w:type="pct"/>
                  <w:vAlign w:val="center"/>
                </w:tcPr>
                <w:p w14:paraId="13B27C2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79A4655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224-432</w:t>
                  </w:r>
                </w:p>
              </w:tc>
              <w:tc>
                <w:tcPr>
                  <w:tcW w:w="735" w:type="pct"/>
                  <w:vMerge w:val="continue"/>
                  <w:vAlign w:val="center"/>
                </w:tcPr>
                <w:p w14:paraId="07729E13">
                  <w:pPr>
                    <w:jc w:val="center"/>
                    <w:rPr>
                      <w:rFonts w:hint="default" w:ascii="Times New Roman" w:hAnsi="Times New Roman" w:eastAsia="宋体" w:cs="Times New Roman"/>
                      <w:color w:val="auto"/>
                    </w:rPr>
                  </w:pPr>
                </w:p>
              </w:tc>
            </w:tr>
            <w:tr w14:paraId="488542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5AD26CB1">
                  <w:pPr>
                    <w:jc w:val="center"/>
                    <w:rPr>
                      <w:rFonts w:hint="default" w:ascii="Times New Roman" w:hAnsi="Times New Roman" w:eastAsia="宋体" w:cs="Times New Roman"/>
                      <w:color w:val="auto"/>
                    </w:rPr>
                  </w:pPr>
                </w:p>
              </w:tc>
              <w:tc>
                <w:tcPr>
                  <w:tcW w:w="558" w:type="pct"/>
                  <w:vMerge w:val="restart"/>
                  <w:vAlign w:val="center"/>
                </w:tcPr>
                <w:p w14:paraId="6D2D41E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104.905197</w:t>
                  </w:r>
                </w:p>
              </w:tc>
              <w:tc>
                <w:tcPr>
                  <w:tcW w:w="491" w:type="pct"/>
                  <w:vMerge w:val="restart"/>
                  <w:vAlign w:val="center"/>
                </w:tcPr>
                <w:p w14:paraId="6C72F8B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30.579100</w:t>
                  </w:r>
                </w:p>
              </w:tc>
              <w:tc>
                <w:tcPr>
                  <w:tcW w:w="474" w:type="pct"/>
                  <w:vMerge w:val="restart"/>
                  <w:vAlign w:val="center"/>
                </w:tcPr>
                <w:p w14:paraId="0AC2881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7#</w:t>
                  </w:r>
                </w:p>
              </w:tc>
              <w:tc>
                <w:tcPr>
                  <w:tcW w:w="470" w:type="pct"/>
                  <w:vAlign w:val="center"/>
                </w:tcPr>
                <w:p w14:paraId="2B91253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60E0526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20户农户</w:t>
                  </w:r>
                </w:p>
              </w:tc>
              <w:tc>
                <w:tcPr>
                  <w:tcW w:w="552" w:type="pct"/>
                  <w:vAlign w:val="center"/>
                </w:tcPr>
                <w:p w14:paraId="09A8E64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0134D60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337-500</w:t>
                  </w:r>
                </w:p>
              </w:tc>
              <w:tc>
                <w:tcPr>
                  <w:tcW w:w="735" w:type="pct"/>
                  <w:vMerge w:val="continue"/>
                  <w:vAlign w:val="center"/>
                </w:tcPr>
                <w:p w14:paraId="23BD7B56">
                  <w:pPr>
                    <w:jc w:val="center"/>
                    <w:rPr>
                      <w:rFonts w:hint="default" w:ascii="Times New Roman" w:hAnsi="Times New Roman" w:eastAsia="宋体" w:cs="Times New Roman"/>
                      <w:color w:val="auto"/>
                    </w:rPr>
                  </w:pPr>
                </w:p>
              </w:tc>
            </w:tr>
            <w:tr w14:paraId="7E9486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622E5351">
                  <w:pPr>
                    <w:jc w:val="center"/>
                    <w:rPr>
                      <w:rFonts w:hint="default" w:ascii="Times New Roman" w:hAnsi="Times New Roman" w:eastAsia="宋体" w:cs="Times New Roman"/>
                      <w:color w:val="auto"/>
                    </w:rPr>
                  </w:pPr>
                </w:p>
              </w:tc>
              <w:tc>
                <w:tcPr>
                  <w:tcW w:w="558" w:type="pct"/>
                  <w:vMerge w:val="continue"/>
                  <w:vAlign w:val="center"/>
                </w:tcPr>
                <w:p w14:paraId="25F7DBBB">
                  <w:pPr>
                    <w:jc w:val="center"/>
                    <w:rPr>
                      <w:rFonts w:hint="default" w:ascii="Times New Roman" w:hAnsi="Times New Roman" w:eastAsia="宋体" w:cs="Times New Roman"/>
                      <w:color w:val="auto"/>
                    </w:rPr>
                  </w:pPr>
                </w:p>
              </w:tc>
              <w:tc>
                <w:tcPr>
                  <w:tcW w:w="491" w:type="pct"/>
                  <w:vMerge w:val="continue"/>
                  <w:vAlign w:val="center"/>
                </w:tcPr>
                <w:p w14:paraId="498457D1">
                  <w:pPr>
                    <w:jc w:val="center"/>
                    <w:rPr>
                      <w:rFonts w:hint="default" w:ascii="Times New Roman" w:hAnsi="Times New Roman" w:eastAsia="宋体" w:cs="Times New Roman"/>
                      <w:color w:val="auto"/>
                    </w:rPr>
                  </w:pPr>
                </w:p>
              </w:tc>
              <w:tc>
                <w:tcPr>
                  <w:tcW w:w="474" w:type="pct"/>
                  <w:vMerge w:val="continue"/>
                  <w:vAlign w:val="center"/>
                </w:tcPr>
                <w:p w14:paraId="70EE7079">
                  <w:pPr>
                    <w:jc w:val="center"/>
                    <w:rPr>
                      <w:rFonts w:hint="default" w:ascii="Times New Roman" w:hAnsi="Times New Roman" w:eastAsia="宋体" w:cs="Times New Roman"/>
                      <w:color w:val="auto"/>
                    </w:rPr>
                  </w:pPr>
                </w:p>
              </w:tc>
              <w:tc>
                <w:tcPr>
                  <w:tcW w:w="470" w:type="pct"/>
                  <w:vAlign w:val="center"/>
                </w:tcPr>
                <w:p w14:paraId="13EFF83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0BC937B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13户农户</w:t>
                  </w:r>
                </w:p>
              </w:tc>
              <w:tc>
                <w:tcPr>
                  <w:tcW w:w="552" w:type="pct"/>
                  <w:vAlign w:val="center"/>
                </w:tcPr>
                <w:p w14:paraId="3DB6689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1BAD258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77-305</w:t>
                  </w:r>
                </w:p>
              </w:tc>
              <w:tc>
                <w:tcPr>
                  <w:tcW w:w="735" w:type="pct"/>
                  <w:vMerge w:val="continue"/>
                  <w:vAlign w:val="center"/>
                </w:tcPr>
                <w:p w14:paraId="2E35404F">
                  <w:pPr>
                    <w:jc w:val="center"/>
                    <w:rPr>
                      <w:rFonts w:hint="default" w:ascii="Times New Roman" w:hAnsi="Times New Roman" w:eastAsia="宋体" w:cs="Times New Roman"/>
                      <w:color w:val="auto"/>
                    </w:rPr>
                  </w:pPr>
                </w:p>
              </w:tc>
            </w:tr>
            <w:tr w14:paraId="0E98F1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130357FE">
                  <w:pPr>
                    <w:jc w:val="center"/>
                    <w:rPr>
                      <w:rFonts w:hint="default" w:ascii="Times New Roman" w:hAnsi="Times New Roman" w:eastAsia="宋体" w:cs="Times New Roman"/>
                      <w:color w:val="auto"/>
                    </w:rPr>
                  </w:pPr>
                </w:p>
              </w:tc>
              <w:tc>
                <w:tcPr>
                  <w:tcW w:w="558" w:type="pct"/>
                  <w:vMerge w:val="restart"/>
                  <w:vAlign w:val="center"/>
                </w:tcPr>
                <w:p w14:paraId="042D1C5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104.904</w:t>
                  </w:r>
                </w:p>
              </w:tc>
              <w:tc>
                <w:tcPr>
                  <w:tcW w:w="491" w:type="pct"/>
                  <w:vMerge w:val="restart"/>
                  <w:vAlign w:val="center"/>
                </w:tcPr>
                <w:p w14:paraId="107E25D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30.590</w:t>
                  </w:r>
                </w:p>
              </w:tc>
              <w:tc>
                <w:tcPr>
                  <w:tcW w:w="474" w:type="pct"/>
                  <w:vMerge w:val="restart"/>
                  <w:vAlign w:val="center"/>
                </w:tcPr>
                <w:p w14:paraId="246924C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8#</w:t>
                  </w:r>
                </w:p>
              </w:tc>
              <w:tc>
                <w:tcPr>
                  <w:tcW w:w="470" w:type="pct"/>
                  <w:vAlign w:val="center"/>
                </w:tcPr>
                <w:p w14:paraId="345BB85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20B0F21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23户农户</w:t>
                  </w:r>
                </w:p>
              </w:tc>
              <w:tc>
                <w:tcPr>
                  <w:tcW w:w="552" w:type="pct"/>
                  <w:vAlign w:val="center"/>
                </w:tcPr>
                <w:p w14:paraId="37E22B5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北侧</w:t>
                  </w:r>
                </w:p>
              </w:tc>
              <w:tc>
                <w:tcPr>
                  <w:tcW w:w="582" w:type="pct"/>
                  <w:vAlign w:val="center"/>
                </w:tcPr>
                <w:p w14:paraId="4B9FD98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245-500</w:t>
                  </w:r>
                </w:p>
              </w:tc>
              <w:tc>
                <w:tcPr>
                  <w:tcW w:w="735" w:type="pct"/>
                  <w:vMerge w:val="continue"/>
                  <w:vAlign w:val="center"/>
                </w:tcPr>
                <w:p w14:paraId="11E5C724">
                  <w:pPr>
                    <w:jc w:val="center"/>
                    <w:rPr>
                      <w:rFonts w:hint="default" w:ascii="Times New Roman" w:hAnsi="Times New Roman" w:eastAsia="宋体" w:cs="Times New Roman"/>
                      <w:color w:val="auto"/>
                    </w:rPr>
                  </w:pPr>
                </w:p>
              </w:tc>
            </w:tr>
            <w:tr w14:paraId="2ADA32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285CE9B4">
                  <w:pPr>
                    <w:jc w:val="center"/>
                    <w:rPr>
                      <w:rFonts w:hint="default" w:ascii="Times New Roman" w:hAnsi="Times New Roman" w:eastAsia="宋体" w:cs="Times New Roman"/>
                      <w:color w:val="auto"/>
                    </w:rPr>
                  </w:pPr>
                </w:p>
              </w:tc>
              <w:tc>
                <w:tcPr>
                  <w:tcW w:w="558" w:type="pct"/>
                  <w:vMerge w:val="continue"/>
                  <w:vAlign w:val="center"/>
                </w:tcPr>
                <w:p w14:paraId="3130F2BC">
                  <w:pPr>
                    <w:jc w:val="center"/>
                    <w:rPr>
                      <w:rFonts w:hint="default" w:ascii="Times New Roman" w:hAnsi="Times New Roman" w:eastAsia="宋体" w:cs="Times New Roman"/>
                      <w:color w:val="auto"/>
                    </w:rPr>
                  </w:pPr>
                </w:p>
              </w:tc>
              <w:tc>
                <w:tcPr>
                  <w:tcW w:w="491" w:type="pct"/>
                  <w:vMerge w:val="continue"/>
                  <w:vAlign w:val="center"/>
                </w:tcPr>
                <w:p w14:paraId="541BBB85">
                  <w:pPr>
                    <w:jc w:val="center"/>
                    <w:rPr>
                      <w:rFonts w:hint="default" w:ascii="Times New Roman" w:hAnsi="Times New Roman" w:eastAsia="宋体" w:cs="Times New Roman"/>
                      <w:color w:val="auto"/>
                    </w:rPr>
                  </w:pPr>
                </w:p>
              </w:tc>
              <w:tc>
                <w:tcPr>
                  <w:tcW w:w="474" w:type="pct"/>
                  <w:vMerge w:val="continue"/>
                  <w:vAlign w:val="center"/>
                </w:tcPr>
                <w:p w14:paraId="53F0D46C">
                  <w:pPr>
                    <w:jc w:val="center"/>
                    <w:rPr>
                      <w:rFonts w:hint="default" w:ascii="Times New Roman" w:hAnsi="Times New Roman" w:eastAsia="宋体" w:cs="Times New Roman"/>
                      <w:color w:val="auto"/>
                    </w:rPr>
                  </w:pPr>
                </w:p>
              </w:tc>
              <w:tc>
                <w:tcPr>
                  <w:tcW w:w="470" w:type="pct"/>
                  <w:vAlign w:val="center"/>
                </w:tcPr>
                <w:p w14:paraId="6039C59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5D5B83A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7户农户</w:t>
                  </w:r>
                </w:p>
              </w:tc>
              <w:tc>
                <w:tcPr>
                  <w:tcW w:w="552" w:type="pct"/>
                  <w:vAlign w:val="center"/>
                </w:tcPr>
                <w:p w14:paraId="2206BBE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南侧</w:t>
                  </w:r>
                </w:p>
              </w:tc>
              <w:tc>
                <w:tcPr>
                  <w:tcW w:w="582" w:type="pct"/>
                  <w:vAlign w:val="center"/>
                </w:tcPr>
                <w:p w14:paraId="268AF0F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351-425</w:t>
                  </w:r>
                </w:p>
              </w:tc>
              <w:tc>
                <w:tcPr>
                  <w:tcW w:w="735" w:type="pct"/>
                  <w:vMerge w:val="continue"/>
                  <w:vAlign w:val="center"/>
                </w:tcPr>
                <w:p w14:paraId="2312A682">
                  <w:pPr>
                    <w:jc w:val="center"/>
                    <w:rPr>
                      <w:rFonts w:hint="default" w:ascii="Times New Roman" w:hAnsi="Times New Roman" w:eastAsia="宋体" w:cs="Times New Roman"/>
                      <w:color w:val="auto"/>
                    </w:rPr>
                  </w:pPr>
                </w:p>
              </w:tc>
            </w:tr>
            <w:tr w14:paraId="24EB1A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353B9546">
                  <w:pPr>
                    <w:jc w:val="center"/>
                    <w:rPr>
                      <w:rFonts w:hint="default" w:ascii="Times New Roman" w:hAnsi="Times New Roman" w:eastAsia="宋体" w:cs="Times New Roman"/>
                      <w:color w:val="auto"/>
                    </w:rPr>
                  </w:pPr>
                </w:p>
              </w:tc>
              <w:tc>
                <w:tcPr>
                  <w:tcW w:w="558" w:type="pct"/>
                  <w:vMerge w:val="restart"/>
                  <w:vAlign w:val="center"/>
                </w:tcPr>
                <w:p w14:paraId="0813C86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104.911849</w:t>
                  </w:r>
                </w:p>
              </w:tc>
              <w:tc>
                <w:tcPr>
                  <w:tcW w:w="491" w:type="pct"/>
                  <w:vMerge w:val="restart"/>
                  <w:vAlign w:val="center"/>
                </w:tcPr>
                <w:p w14:paraId="4916D49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30.574809</w:t>
                  </w:r>
                </w:p>
              </w:tc>
              <w:tc>
                <w:tcPr>
                  <w:tcW w:w="474" w:type="pct"/>
                  <w:vMerge w:val="restart"/>
                  <w:vAlign w:val="center"/>
                </w:tcPr>
                <w:p w14:paraId="2E6772B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9#</w:t>
                  </w:r>
                </w:p>
              </w:tc>
              <w:tc>
                <w:tcPr>
                  <w:tcW w:w="470" w:type="pct"/>
                  <w:vAlign w:val="center"/>
                </w:tcPr>
                <w:p w14:paraId="4055288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1434F94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13户农户</w:t>
                  </w:r>
                </w:p>
              </w:tc>
              <w:tc>
                <w:tcPr>
                  <w:tcW w:w="552" w:type="pct"/>
                  <w:vAlign w:val="center"/>
                </w:tcPr>
                <w:p w14:paraId="59FA9F7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35DB901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378-500</w:t>
                  </w:r>
                </w:p>
              </w:tc>
              <w:tc>
                <w:tcPr>
                  <w:tcW w:w="735" w:type="pct"/>
                  <w:vMerge w:val="continue"/>
                  <w:vAlign w:val="center"/>
                </w:tcPr>
                <w:p w14:paraId="4D17C514">
                  <w:pPr>
                    <w:jc w:val="center"/>
                    <w:rPr>
                      <w:rFonts w:hint="default" w:ascii="Times New Roman" w:hAnsi="Times New Roman" w:eastAsia="宋体" w:cs="Times New Roman"/>
                      <w:color w:val="auto"/>
                    </w:rPr>
                  </w:pPr>
                </w:p>
              </w:tc>
            </w:tr>
            <w:tr w14:paraId="13DD57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1E5E3F60">
                  <w:pPr>
                    <w:jc w:val="center"/>
                    <w:rPr>
                      <w:rFonts w:hint="default" w:ascii="Times New Roman" w:hAnsi="Times New Roman" w:eastAsia="宋体" w:cs="Times New Roman"/>
                      <w:color w:val="auto"/>
                    </w:rPr>
                  </w:pPr>
                </w:p>
              </w:tc>
              <w:tc>
                <w:tcPr>
                  <w:tcW w:w="558" w:type="pct"/>
                  <w:vMerge w:val="continue"/>
                  <w:vAlign w:val="center"/>
                </w:tcPr>
                <w:p w14:paraId="35C4FAF8">
                  <w:pPr>
                    <w:jc w:val="center"/>
                    <w:rPr>
                      <w:rFonts w:hint="default" w:ascii="Times New Roman" w:hAnsi="Times New Roman" w:eastAsia="宋体" w:cs="Times New Roman"/>
                      <w:color w:val="auto"/>
                    </w:rPr>
                  </w:pPr>
                </w:p>
              </w:tc>
              <w:tc>
                <w:tcPr>
                  <w:tcW w:w="491" w:type="pct"/>
                  <w:vMerge w:val="continue"/>
                  <w:vAlign w:val="center"/>
                </w:tcPr>
                <w:p w14:paraId="1C0C3A4A">
                  <w:pPr>
                    <w:jc w:val="center"/>
                    <w:rPr>
                      <w:rFonts w:hint="default" w:ascii="Times New Roman" w:hAnsi="Times New Roman" w:eastAsia="宋体" w:cs="Times New Roman"/>
                      <w:color w:val="auto"/>
                    </w:rPr>
                  </w:pPr>
                </w:p>
              </w:tc>
              <w:tc>
                <w:tcPr>
                  <w:tcW w:w="474" w:type="pct"/>
                  <w:vMerge w:val="continue"/>
                  <w:vAlign w:val="center"/>
                </w:tcPr>
                <w:p w14:paraId="116CBB28">
                  <w:pPr>
                    <w:jc w:val="center"/>
                    <w:rPr>
                      <w:rFonts w:hint="default" w:ascii="Times New Roman" w:hAnsi="Times New Roman" w:eastAsia="宋体" w:cs="Times New Roman"/>
                      <w:color w:val="auto"/>
                    </w:rPr>
                  </w:pPr>
                </w:p>
              </w:tc>
              <w:tc>
                <w:tcPr>
                  <w:tcW w:w="470" w:type="pct"/>
                  <w:vAlign w:val="center"/>
                </w:tcPr>
                <w:p w14:paraId="465CE62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124A2F4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16户农户</w:t>
                  </w:r>
                </w:p>
              </w:tc>
              <w:tc>
                <w:tcPr>
                  <w:tcW w:w="552" w:type="pct"/>
                  <w:vAlign w:val="center"/>
                </w:tcPr>
                <w:p w14:paraId="1F428BC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14433F8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390-500</w:t>
                  </w:r>
                </w:p>
              </w:tc>
              <w:tc>
                <w:tcPr>
                  <w:tcW w:w="735" w:type="pct"/>
                  <w:vMerge w:val="continue"/>
                  <w:vAlign w:val="center"/>
                </w:tcPr>
                <w:p w14:paraId="2FEF67AF">
                  <w:pPr>
                    <w:jc w:val="center"/>
                    <w:rPr>
                      <w:rFonts w:hint="default" w:ascii="Times New Roman" w:hAnsi="Times New Roman" w:eastAsia="宋体" w:cs="Times New Roman"/>
                      <w:color w:val="auto"/>
                    </w:rPr>
                  </w:pPr>
                </w:p>
              </w:tc>
            </w:tr>
            <w:tr w14:paraId="76E2FA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48906C94">
                  <w:pPr>
                    <w:jc w:val="center"/>
                    <w:rPr>
                      <w:rFonts w:hint="default" w:ascii="Times New Roman" w:hAnsi="Times New Roman" w:eastAsia="宋体" w:cs="Times New Roman"/>
                      <w:color w:val="auto"/>
                    </w:rPr>
                  </w:pPr>
                </w:p>
              </w:tc>
              <w:tc>
                <w:tcPr>
                  <w:tcW w:w="558" w:type="pct"/>
                  <w:vMerge w:val="restart"/>
                  <w:vAlign w:val="center"/>
                </w:tcPr>
                <w:p w14:paraId="3BD53DA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104.915883</w:t>
                  </w:r>
                </w:p>
              </w:tc>
              <w:tc>
                <w:tcPr>
                  <w:tcW w:w="491" w:type="pct"/>
                  <w:vMerge w:val="restart"/>
                  <w:vAlign w:val="center"/>
                </w:tcPr>
                <w:p w14:paraId="05B9A65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30.575195</w:t>
                  </w:r>
                </w:p>
              </w:tc>
              <w:tc>
                <w:tcPr>
                  <w:tcW w:w="474" w:type="pct"/>
                  <w:vMerge w:val="restart"/>
                  <w:vAlign w:val="center"/>
                </w:tcPr>
                <w:p w14:paraId="6EDCC4B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w:t>
                  </w:r>
                </w:p>
              </w:tc>
              <w:tc>
                <w:tcPr>
                  <w:tcW w:w="470" w:type="pct"/>
                  <w:vAlign w:val="center"/>
                </w:tcPr>
                <w:p w14:paraId="24AF9D8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681ACFD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7户农户</w:t>
                  </w:r>
                </w:p>
              </w:tc>
              <w:tc>
                <w:tcPr>
                  <w:tcW w:w="552" w:type="pct"/>
                  <w:vAlign w:val="center"/>
                </w:tcPr>
                <w:p w14:paraId="4952A6D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东北侧</w:t>
                  </w:r>
                </w:p>
              </w:tc>
              <w:tc>
                <w:tcPr>
                  <w:tcW w:w="582" w:type="pct"/>
                  <w:vAlign w:val="center"/>
                </w:tcPr>
                <w:p w14:paraId="631D9BA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104-347</w:t>
                  </w:r>
                </w:p>
              </w:tc>
              <w:tc>
                <w:tcPr>
                  <w:tcW w:w="735" w:type="pct"/>
                  <w:vMerge w:val="continue"/>
                  <w:vAlign w:val="center"/>
                </w:tcPr>
                <w:p w14:paraId="1292CC80">
                  <w:pPr>
                    <w:jc w:val="center"/>
                    <w:rPr>
                      <w:rFonts w:hint="default" w:ascii="Times New Roman" w:hAnsi="Times New Roman" w:eastAsia="宋体" w:cs="Times New Roman"/>
                      <w:color w:val="auto"/>
                    </w:rPr>
                  </w:pPr>
                </w:p>
              </w:tc>
            </w:tr>
            <w:tr w14:paraId="5B6B4E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59987B69">
                  <w:pPr>
                    <w:jc w:val="center"/>
                    <w:rPr>
                      <w:rFonts w:hint="default" w:ascii="Times New Roman" w:hAnsi="Times New Roman" w:eastAsia="宋体" w:cs="Times New Roman"/>
                      <w:color w:val="auto"/>
                    </w:rPr>
                  </w:pPr>
                </w:p>
              </w:tc>
              <w:tc>
                <w:tcPr>
                  <w:tcW w:w="558" w:type="pct"/>
                  <w:vMerge w:val="continue"/>
                  <w:vAlign w:val="center"/>
                </w:tcPr>
                <w:p w14:paraId="7B3E22B5">
                  <w:pPr>
                    <w:jc w:val="center"/>
                    <w:rPr>
                      <w:rFonts w:hint="default" w:ascii="Times New Roman" w:hAnsi="Times New Roman" w:eastAsia="宋体" w:cs="Times New Roman"/>
                      <w:color w:val="auto"/>
                    </w:rPr>
                  </w:pPr>
                </w:p>
              </w:tc>
              <w:tc>
                <w:tcPr>
                  <w:tcW w:w="491" w:type="pct"/>
                  <w:vMerge w:val="continue"/>
                  <w:vAlign w:val="center"/>
                </w:tcPr>
                <w:p w14:paraId="77793130">
                  <w:pPr>
                    <w:jc w:val="center"/>
                    <w:rPr>
                      <w:rFonts w:hint="default" w:ascii="Times New Roman" w:hAnsi="Times New Roman" w:eastAsia="宋体" w:cs="Times New Roman"/>
                      <w:color w:val="auto"/>
                    </w:rPr>
                  </w:pPr>
                </w:p>
              </w:tc>
              <w:tc>
                <w:tcPr>
                  <w:tcW w:w="474" w:type="pct"/>
                  <w:vMerge w:val="continue"/>
                  <w:vAlign w:val="center"/>
                </w:tcPr>
                <w:p w14:paraId="57F2A387">
                  <w:pPr>
                    <w:jc w:val="center"/>
                    <w:rPr>
                      <w:rFonts w:hint="default" w:ascii="Times New Roman" w:hAnsi="Times New Roman" w:eastAsia="宋体" w:cs="Times New Roman"/>
                      <w:color w:val="auto"/>
                    </w:rPr>
                  </w:pPr>
                </w:p>
              </w:tc>
              <w:tc>
                <w:tcPr>
                  <w:tcW w:w="470" w:type="pct"/>
                  <w:vAlign w:val="center"/>
                </w:tcPr>
                <w:p w14:paraId="5B71B57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18DAB03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4户农户</w:t>
                  </w:r>
                </w:p>
              </w:tc>
              <w:tc>
                <w:tcPr>
                  <w:tcW w:w="552" w:type="pct"/>
                  <w:vAlign w:val="center"/>
                </w:tcPr>
                <w:p w14:paraId="570083B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西北侧</w:t>
                  </w:r>
                </w:p>
              </w:tc>
              <w:tc>
                <w:tcPr>
                  <w:tcW w:w="582" w:type="pct"/>
                  <w:vAlign w:val="center"/>
                </w:tcPr>
                <w:p w14:paraId="42784CD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411-500</w:t>
                  </w:r>
                </w:p>
              </w:tc>
              <w:tc>
                <w:tcPr>
                  <w:tcW w:w="735" w:type="pct"/>
                  <w:vMerge w:val="continue"/>
                  <w:vAlign w:val="center"/>
                </w:tcPr>
                <w:p w14:paraId="48859935">
                  <w:pPr>
                    <w:jc w:val="center"/>
                    <w:rPr>
                      <w:rFonts w:hint="default" w:ascii="Times New Roman" w:hAnsi="Times New Roman" w:eastAsia="宋体" w:cs="Times New Roman"/>
                      <w:color w:val="auto"/>
                    </w:rPr>
                  </w:pPr>
                </w:p>
              </w:tc>
            </w:tr>
            <w:tr w14:paraId="58C676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7C8B7545">
                  <w:pPr>
                    <w:jc w:val="center"/>
                    <w:rPr>
                      <w:rFonts w:hint="default" w:ascii="Times New Roman" w:hAnsi="Times New Roman" w:eastAsia="宋体" w:cs="Times New Roman"/>
                      <w:color w:val="auto"/>
                    </w:rPr>
                  </w:pPr>
                </w:p>
              </w:tc>
              <w:tc>
                <w:tcPr>
                  <w:tcW w:w="558" w:type="pct"/>
                  <w:vMerge w:val="restart"/>
                  <w:vAlign w:val="center"/>
                </w:tcPr>
                <w:p w14:paraId="4029C2C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104.901120</w:t>
                  </w:r>
                </w:p>
              </w:tc>
              <w:tc>
                <w:tcPr>
                  <w:tcW w:w="491" w:type="pct"/>
                  <w:vMerge w:val="restart"/>
                  <w:vAlign w:val="center"/>
                </w:tcPr>
                <w:p w14:paraId="44D04C2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30.596503</w:t>
                  </w:r>
                </w:p>
              </w:tc>
              <w:tc>
                <w:tcPr>
                  <w:tcW w:w="474" w:type="pct"/>
                  <w:vMerge w:val="restart"/>
                  <w:vAlign w:val="center"/>
                </w:tcPr>
                <w:p w14:paraId="59CD1D9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11#</w:t>
                  </w:r>
                </w:p>
              </w:tc>
              <w:tc>
                <w:tcPr>
                  <w:tcW w:w="470" w:type="pct"/>
                  <w:vAlign w:val="center"/>
                </w:tcPr>
                <w:p w14:paraId="1DE017B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1CF2F31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18户农户</w:t>
                  </w:r>
                </w:p>
              </w:tc>
              <w:tc>
                <w:tcPr>
                  <w:tcW w:w="552" w:type="pct"/>
                  <w:vAlign w:val="center"/>
                </w:tcPr>
                <w:p w14:paraId="70998B1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北侧</w:t>
                  </w:r>
                </w:p>
              </w:tc>
              <w:tc>
                <w:tcPr>
                  <w:tcW w:w="582" w:type="pct"/>
                  <w:vAlign w:val="center"/>
                </w:tcPr>
                <w:p w14:paraId="2B7363B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61-500</w:t>
                  </w:r>
                </w:p>
              </w:tc>
              <w:tc>
                <w:tcPr>
                  <w:tcW w:w="735" w:type="pct"/>
                  <w:vMerge w:val="continue"/>
                  <w:vAlign w:val="center"/>
                </w:tcPr>
                <w:p w14:paraId="13EF5A6C">
                  <w:pPr>
                    <w:jc w:val="center"/>
                    <w:rPr>
                      <w:rFonts w:hint="default" w:ascii="Times New Roman" w:hAnsi="Times New Roman" w:eastAsia="宋体" w:cs="Times New Roman"/>
                      <w:color w:val="auto"/>
                    </w:rPr>
                  </w:pPr>
                </w:p>
              </w:tc>
            </w:tr>
            <w:tr w14:paraId="43694C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65DC36E3">
                  <w:pPr>
                    <w:jc w:val="center"/>
                    <w:rPr>
                      <w:rFonts w:hint="default" w:ascii="Times New Roman" w:hAnsi="Times New Roman" w:eastAsia="宋体" w:cs="Times New Roman"/>
                      <w:color w:val="auto"/>
                    </w:rPr>
                  </w:pPr>
                </w:p>
              </w:tc>
              <w:tc>
                <w:tcPr>
                  <w:tcW w:w="558" w:type="pct"/>
                  <w:vMerge w:val="continue"/>
                  <w:vAlign w:val="center"/>
                </w:tcPr>
                <w:p w14:paraId="1AA0D312">
                  <w:pPr>
                    <w:jc w:val="center"/>
                    <w:rPr>
                      <w:rFonts w:hint="default" w:ascii="Times New Roman" w:hAnsi="Times New Roman" w:eastAsia="宋体" w:cs="Times New Roman"/>
                      <w:color w:val="auto"/>
                    </w:rPr>
                  </w:pPr>
                </w:p>
              </w:tc>
              <w:tc>
                <w:tcPr>
                  <w:tcW w:w="491" w:type="pct"/>
                  <w:vMerge w:val="continue"/>
                  <w:vAlign w:val="center"/>
                </w:tcPr>
                <w:p w14:paraId="127DA254">
                  <w:pPr>
                    <w:jc w:val="center"/>
                    <w:rPr>
                      <w:rFonts w:hint="default" w:ascii="Times New Roman" w:hAnsi="Times New Roman" w:eastAsia="宋体" w:cs="Times New Roman"/>
                      <w:color w:val="auto"/>
                    </w:rPr>
                  </w:pPr>
                </w:p>
              </w:tc>
              <w:tc>
                <w:tcPr>
                  <w:tcW w:w="474" w:type="pct"/>
                  <w:vMerge w:val="continue"/>
                  <w:vAlign w:val="center"/>
                </w:tcPr>
                <w:p w14:paraId="4AB166C6">
                  <w:pPr>
                    <w:jc w:val="center"/>
                    <w:rPr>
                      <w:rFonts w:hint="default" w:ascii="Times New Roman" w:hAnsi="Times New Roman" w:eastAsia="宋体" w:cs="Times New Roman"/>
                      <w:color w:val="auto"/>
                    </w:rPr>
                  </w:pPr>
                </w:p>
              </w:tc>
              <w:tc>
                <w:tcPr>
                  <w:tcW w:w="470" w:type="pct"/>
                  <w:vAlign w:val="center"/>
                </w:tcPr>
                <w:p w14:paraId="2899D87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58779FC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7户农户</w:t>
                  </w:r>
                </w:p>
              </w:tc>
              <w:tc>
                <w:tcPr>
                  <w:tcW w:w="552" w:type="pct"/>
                  <w:vAlign w:val="center"/>
                </w:tcPr>
                <w:p w14:paraId="16538B4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南侧</w:t>
                  </w:r>
                </w:p>
              </w:tc>
              <w:tc>
                <w:tcPr>
                  <w:tcW w:w="582" w:type="pct"/>
                  <w:vAlign w:val="center"/>
                </w:tcPr>
                <w:p w14:paraId="5D5B1C2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218-500</w:t>
                  </w:r>
                </w:p>
              </w:tc>
              <w:tc>
                <w:tcPr>
                  <w:tcW w:w="735" w:type="pct"/>
                  <w:vMerge w:val="continue"/>
                  <w:vAlign w:val="center"/>
                </w:tcPr>
                <w:p w14:paraId="5FA1A020">
                  <w:pPr>
                    <w:jc w:val="center"/>
                    <w:rPr>
                      <w:rFonts w:hint="default" w:ascii="Times New Roman" w:hAnsi="Times New Roman" w:eastAsia="宋体" w:cs="Times New Roman"/>
                      <w:color w:val="auto"/>
                    </w:rPr>
                  </w:pPr>
                </w:p>
              </w:tc>
            </w:tr>
            <w:tr w14:paraId="7874AA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1734F99F">
                  <w:pPr>
                    <w:jc w:val="center"/>
                    <w:rPr>
                      <w:rFonts w:hint="default" w:ascii="Times New Roman" w:hAnsi="Times New Roman" w:eastAsia="宋体" w:cs="Times New Roman"/>
                      <w:color w:val="auto"/>
                    </w:rPr>
                  </w:pPr>
                </w:p>
              </w:tc>
              <w:tc>
                <w:tcPr>
                  <w:tcW w:w="558" w:type="pct"/>
                  <w:vMerge w:val="restart"/>
                  <w:vAlign w:val="center"/>
                </w:tcPr>
                <w:p w14:paraId="2BA72FC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104.8883321</w:t>
                  </w:r>
                </w:p>
              </w:tc>
              <w:tc>
                <w:tcPr>
                  <w:tcW w:w="491" w:type="pct"/>
                  <w:vMerge w:val="restart"/>
                  <w:vAlign w:val="center"/>
                </w:tcPr>
                <w:p w14:paraId="5D4FA8B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30.609892</w:t>
                  </w:r>
                </w:p>
              </w:tc>
              <w:tc>
                <w:tcPr>
                  <w:tcW w:w="474" w:type="pct"/>
                  <w:vMerge w:val="restart"/>
                  <w:vAlign w:val="center"/>
                </w:tcPr>
                <w:p w14:paraId="1128B5A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w:t>
                  </w:r>
                </w:p>
              </w:tc>
              <w:tc>
                <w:tcPr>
                  <w:tcW w:w="470" w:type="pct"/>
                  <w:vAlign w:val="center"/>
                </w:tcPr>
                <w:p w14:paraId="4467768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7BF19D7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8户农户</w:t>
                  </w:r>
                </w:p>
              </w:tc>
              <w:tc>
                <w:tcPr>
                  <w:tcW w:w="552" w:type="pct"/>
                  <w:vAlign w:val="center"/>
                </w:tcPr>
                <w:p w14:paraId="0D775EB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东北侧</w:t>
                  </w:r>
                </w:p>
              </w:tc>
              <w:tc>
                <w:tcPr>
                  <w:tcW w:w="582" w:type="pct"/>
                  <w:vAlign w:val="center"/>
                </w:tcPr>
                <w:p w14:paraId="115FD5E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356-500</w:t>
                  </w:r>
                </w:p>
              </w:tc>
              <w:tc>
                <w:tcPr>
                  <w:tcW w:w="735" w:type="pct"/>
                  <w:vMerge w:val="continue"/>
                  <w:vAlign w:val="center"/>
                </w:tcPr>
                <w:p w14:paraId="70809F97">
                  <w:pPr>
                    <w:jc w:val="center"/>
                    <w:rPr>
                      <w:rFonts w:hint="default" w:ascii="Times New Roman" w:hAnsi="Times New Roman" w:eastAsia="宋体" w:cs="Times New Roman"/>
                      <w:color w:val="auto"/>
                    </w:rPr>
                  </w:pPr>
                </w:p>
              </w:tc>
            </w:tr>
            <w:tr w14:paraId="0B496E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77B0C0B3">
                  <w:pPr>
                    <w:jc w:val="center"/>
                    <w:rPr>
                      <w:rFonts w:hint="default" w:ascii="Times New Roman" w:hAnsi="Times New Roman" w:eastAsia="宋体" w:cs="Times New Roman"/>
                      <w:color w:val="auto"/>
                    </w:rPr>
                  </w:pPr>
                </w:p>
              </w:tc>
              <w:tc>
                <w:tcPr>
                  <w:tcW w:w="558" w:type="pct"/>
                  <w:vMerge w:val="continue"/>
                  <w:vAlign w:val="center"/>
                </w:tcPr>
                <w:p w14:paraId="3E3AE8AE">
                  <w:pPr>
                    <w:jc w:val="center"/>
                    <w:rPr>
                      <w:rFonts w:hint="default" w:ascii="Times New Roman" w:hAnsi="Times New Roman" w:eastAsia="宋体" w:cs="Times New Roman"/>
                      <w:color w:val="auto"/>
                    </w:rPr>
                  </w:pPr>
                </w:p>
              </w:tc>
              <w:tc>
                <w:tcPr>
                  <w:tcW w:w="491" w:type="pct"/>
                  <w:vMerge w:val="continue"/>
                  <w:vAlign w:val="center"/>
                </w:tcPr>
                <w:p w14:paraId="28ED4216">
                  <w:pPr>
                    <w:jc w:val="center"/>
                    <w:rPr>
                      <w:rFonts w:hint="default" w:ascii="Times New Roman" w:hAnsi="Times New Roman" w:eastAsia="宋体" w:cs="Times New Roman"/>
                      <w:color w:val="auto"/>
                    </w:rPr>
                  </w:pPr>
                </w:p>
              </w:tc>
              <w:tc>
                <w:tcPr>
                  <w:tcW w:w="474" w:type="pct"/>
                  <w:vMerge w:val="continue"/>
                  <w:vAlign w:val="center"/>
                </w:tcPr>
                <w:p w14:paraId="42DE506C">
                  <w:pPr>
                    <w:jc w:val="center"/>
                    <w:rPr>
                      <w:rFonts w:hint="default" w:ascii="Times New Roman" w:hAnsi="Times New Roman" w:eastAsia="宋体" w:cs="Times New Roman"/>
                      <w:color w:val="auto"/>
                    </w:rPr>
                  </w:pPr>
                </w:p>
              </w:tc>
              <w:tc>
                <w:tcPr>
                  <w:tcW w:w="470" w:type="pct"/>
                  <w:vAlign w:val="center"/>
                </w:tcPr>
                <w:p w14:paraId="6AF3966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51BF2FD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13户农户</w:t>
                  </w:r>
                </w:p>
              </w:tc>
              <w:tc>
                <w:tcPr>
                  <w:tcW w:w="552" w:type="pct"/>
                  <w:vAlign w:val="center"/>
                </w:tcPr>
                <w:p w14:paraId="7A380A7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416C14E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97-500</w:t>
                  </w:r>
                </w:p>
              </w:tc>
              <w:tc>
                <w:tcPr>
                  <w:tcW w:w="735" w:type="pct"/>
                  <w:vMerge w:val="continue"/>
                  <w:vAlign w:val="center"/>
                </w:tcPr>
                <w:p w14:paraId="75990816">
                  <w:pPr>
                    <w:jc w:val="center"/>
                    <w:rPr>
                      <w:rFonts w:hint="default" w:ascii="Times New Roman" w:hAnsi="Times New Roman" w:eastAsia="宋体" w:cs="Times New Roman"/>
                      <w:color w:val="auto"/>
                    </w:rPr>
                  </w:pPr>
                </w:p>
              </w:tc>
            </w:tr>
            <w:tr w14:paraId="52933A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21CFE0EB">
                  <w:pPr>
                    <w:jc w:val="center"/>
                    <w:rPr>
                      <w:rFonts w:hint="default" w:ascii="Times New Roman" w:hAnsi="Times New Roman" w:eastAsia="宋体" w:cs="Times New Roman"/>
                      <w:color w:val="auto"/>
                    </w:rPr>
                  </w:pPr>
                </w:p>
              </w:tc>
              <w:tc>
                <w:tcPr>
                  <w:tcW w:w="558" w:type="pct"/>
                  <w:vMerge w:val="restart"/>
                  <w:vAlign w:val="center"/>
                </w:tcPr>
                <w:p w14:paraId="6A30DB9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104.886873</w:t>
                  </w:r>
                </w:p>
              </w:tc>
              <w:tc>
                <w:tcPr>
                  <w:tcW w:w="491" w:type="pct"/>
                  <w:vMerge w:val="restart"/>
                  <w:vAlign w:val="center"/>
                </w:tcPr>
                <w:p w14:paraId="2AA3BCA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30.594528</w:t>
                  </w:r>
                </w:p>
              </w:tc>
              <w:tc>
                <w:tcPr>
                  <w:tcW w:w="474" w:type="pct"/>
                  <w:vMerge w:val="restart"/>
                  <w:vAlign w:val="center"/>
                </w:tcPr>
                <w:p w14:paraId="0322E30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13#</w:t>
                  </w:r>
                </w:p>
              </w:tc>
              <w:tc>
                <w:tcPr>
                  <w:tcW w:w="470" w:type="pct"/>
                  <w:vAlign w:val="center"/>
                </w:tcPr>
                <w:p w14:paraId="585C78E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504B5B1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8户农户</w:t>
                  </w:r>
                </w:p>
              </w:tc>
              <w:tc>
                <w:tcPr>
                  <w:tcW w:w="552" w:type="pct"/>
                  <w:vAlign w:val="center"/>
                </w:tcPr>
                <w:p w14:paraId="22E1879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北侧</w:t>
                  </w:r>
                </w:p>
              </w:tc>
              <w:tc>
                <w:tcPr>
                  <w:tcW w:w="582" w:type="pct"/>
                  <w:vAlign w:val="center"/>
                </w:tcPr>
                <w:p w14:paraId="12AE555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279-500</w:t>
                  </w:r>
                </w:p>
              </w:tc>
              <w:tc>
                <w:tcPr>
                  <w:tcW w:w="735" w:type="pct"/>
                  <w:vMerge w:val="continue"/>
                  <w:vAlign w:val="center"/>
                </w:tcPr>
                <w:p w14:paraId="42A01D3D">
                  <w:pPr>
                    <w:jc w:val="center"/>
                    <w:rPr>
                      <w:rFonts w:hint="default" w:ascii="Times New Roman" w:hAnsi="Times New Roman" w:eastAsia="宋体" w:cs="Times New Roman"/>
                      <w:color w:val="auto"/>
                    </w:rPr>
                  </w:pPr>
                </w:p>
              </w:tc>
            </w:tr>
            <w:tr w14:paraId="6597F6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256" w:type="pct"/>
                  <w:vMerge w:val="continue"/>
                  <w:vAlign w:val="center"/>
                </w:tcPr>
                <w:p w14:paraId="6B867B29">
                  <w:pPr>
                    <w:jc w:val="center"/>
                    <w:rPr>
                      <w:rFonts w:hint="default" w:ascii="Times New Roman" w:hAnsi="Times New Roman" w:eastAsia="宋体" w:cs="Times New Roman"/>
                      <w:color w:val="auto"/>
                    </w:rPr>
                  </w:pPr>
                </w:p>
              </w:tc>
              <w:tc>
                <w:tcPr>
                  <w:tcW w:w="558" w:type="pct"/>
                  <w:vMerge w:val="continue"/>
                  <w:vAlign w:val="center"/>
                </w:tcPr>
                <w:p w14:paraId="566D7CC6">
                  <w:pPr>
                    <w:jc w:val="center"/>
                    <w:rPr>
                      <w:rFonts w:hint="default" w:ascii="Times New Roman" w:hAnsi="Times New Roman" w:eastAsia="宋体" w:cs="Times New Roman"/>
                      <w:color w:val="auto"/>
                    </w:rPr>
                  </w:pPr>
                </w:p>
              </w:tc>
              <w:tc>
                <w:tcPr>
                  <w:tcW w:w="491" w:type="pct"/>
                  <w:vMerge w:val="continue"/>
                  <w:vAlign w:val="center"/>
                </w:tcPr>
                <w:p w14:paraId="5C5D29D6">
                  <w:pPr>
                    <w:jc w:val="center"/>
                    <w:rPr>
                      <w:rFonts w:hint="default" w:ascii="Times New Roman" w:hAnsi="Times New Roman" w:eastAsia="宋体" w:cs="Times New Roman"/>
                      <w:color w:val="auto"/>
                    </w:rPr>
                  </w:pPr>
                </w:p>
              </w:tc>
              <w:tc>
                <w:tcPr>
                  <w:tcW w:w="474" w:type="pct"/>
                  <w:vMerge w:val="continue"/>
                  <w:vAlign w:val="center"/>
                </w:tcPr>
                <w:p w14:paraId="4A2C513E">
                  <w:pPr>
                    <w:jc w:val="center"/>
                    <w:rPr>
                      <w:rFonts w:hint="default" w:ascii="Times New Roman" w:hAnsi="Times New Roman" w:eastAsia="宋体" w:cs="Times New Roman"/>
                      <w:color w:val="auto"/>
                    </w:rPr>
                  </w:pPr>
                </w:p>
              </w:tc>
              <w:tc>
                <w:tcPr>
                  <w:tcW w:w="470" w:type="pct"/>
                  <w:vAlign w:val="center"/>
                </w:tcPr>
                <w:p w14:paraId="4F271B8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0ADA6AA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10户农户</w:t>
                  </w:r>
                </w:p>
              </w:tc>
              <w:tc>
                <w:tcPr>
                  <w:tcW w:w="552" w:type="pct"/>
                  <w:vAlign w:val="center"/>
                </w:tcPr>
                <w:p w14:paraId="7114804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37286E3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107-280</w:t>
                  </w:r>
                </w:p>
              </w:tc>
              <w:tc>
                <w:tcPr>
                  <w:tcW w:w="735" w:type="pct"/>
                  <w:vMerge w:val="continue"/>
                  <w:vAlign w:val="center"/>
                </w:tcPr>
                <w:p w14:paraId="060C1BB8">
                  <w:pPr>
                    <w:jc w:val="center"/>
                    <w:rPr>
                      <w:rFonts w:hint="default" w:ascii="Times New Roman" w:hAnsi="Times New Roman" w:eastAsia="宋体" w:cs="Times New Roman"/>
                      <w:color w:val="auto"/>
                    </w:rPr>
                  </w:pPr>
                </w:p>
              </w:tc>
            </w:tr>
            <w:tr w14:paraId="1C3C60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7E773887">
                  <w:pPr>
                    <w:jc w:val="center"/>
                    <w:rPr>
                      <w:rFonts w:hint="default" w:ascii="Times New Roman" w:hAnsi="Times New Roman" w:eastAsia="宋体" w:cs="Times New Roman"/>
                      <w:color w:val="auto"/>
                    </w:rPr>
                  </w:pPr>
                </w:p>
              </w:tc>
              <w:tc>
                <w:tcPr>
                  <w:tcW w:w="558" w:type="pct"/>
                  <w:vMerge w:val="continue"/>
                  <w:vAlign w:val="center"/>
                </w:tcPr>
                <w:p w14:paraId="5D59AED9">
                  <w:pPr>
                    <w:jc w:val="center"/>
                    <w:rPr>
                      <w:rFonts w:hint="default" w:ascii="Times New Roman" w:hAnsi="Times New Roman" w:eastAsia="宋体" w:cs="Times New Roman"/>
                      <w:color w:val="auto"/>
                    </w:rPr>
                  </w:pPr>
                </w:p>
              </w:tc>
              <w:tc>
                <w:tcPr>
                  <w:tcW w:w="491" w:type="pct"/>
                  <w:vMerge w:val="continue"/>
                  <w:vAlign w:val="center"/>
                </w:tcPr>
                <w:p w14:paraId="7B930AB7">
                  <w:pPr>
                    <w:jc w:val="center"/>
                    <w:rPr>
                      <w:rFonts w:hint="default" w:ascii="Times New Roman" w:hAnsi="Times New Roman" w:eastAsia="宋体" w:cs="Times New Roman"/>
                      <w:color w:val="auto"/>
                    </w:rPr>
                  </w:pPr>
                </w:p>
              </w:tc>
              <w:tc>
                <w:tcPr>
                  <w:tcW w:w="474" w:type="pct"/>
                  <w:vMerge w:val="continue"/>
                  <w:vAlign w:val="center"/>
                </w:tcPr>
                <w:p w14:paraId="53F4A459">
                  <w:pPr>
                    <w:jc w:val="center"/>
                    <w:rPr>
                      <w:rFonts w:hint="default" w:ascii="Times New Roman" w:hAnsi="Times New Roman" w:eastAsia="宋体" w:cs="Times New Roman"/>
                      <w:color w:val="auto"/>
                    </w:rPr>
                  </w:pPr>
                </w:p>
              </w:tc>
              <w:tc>
                <w:tcPr>
                  <w:tcW w:w="470" w:type="pct"/>
                  <w:vAlign w:val="center"/>
                </w:tcPr>
                <w:p w14:paraId="6A86C39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4FD68FB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13户农户</w:t>
                  </w:r>
                </w:p>
              </w:tc>
              <w:tc>
                <w:tcPr>
                  <w:tcW w:w="552" w:type="pct"/>
                  <w:vAlign w:val="center"/>
                </w:tcPr>
                <w:p w14:paraId="03B007E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南侧</w:t>
                  </w:r>
                </w:p>
              </w:tc>
              <w:tc>
                <w:tcPr>
                  <w:tcW w:w="582" w:type="pct"/>
                  <w:vAlign w:val="center"/>
                </w:tcPr>
                <w:p w14:paraId="6CF48E2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136-435</w:t>
                  </w:r>
                </w:p>
              </w:tc>
              <w:tc>
                <w:tcPr>
                  <w:tcW w:w="735" w:type="pct"/>
                  <w:vMerge w:val="continue"/>
                  <w:vAlign w:val="center"/>
                </w:tcPr>
                <w:p w14:paraId="1B59AA29">
                  <w:pPr>
                    <w:jc w:val="center"/>
                    <w:rPr>
                      <w:rFonts w:hint="default" w:ascii="Times New Roman" w:hAnsi="Times New Roman" w:eastAsia="宋体" w:cs="Times New Roman"/>
                      <w:color w:val="auto"/>
                    </w:rPr>
                  </w:pPr>
                </w:p>
              </w:tc>
            </w:tr>
            <w:tr w14:paraId="719B40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219BAB62">
                  <w:pPr>
                    <w:jc w:val="center"/>
                    <w:rPr>
                      <w:rFonts w:hint="default" w:ascii="Times New Roman" w:hAnsi="Times New Roman" w:eastAsia="宋体" w:cs="Times New Roman"/>
                      <w:color w:val="auto"/>
                    </w:rPr>
                  </w:pPr>
                </w:p>
              </w:tc>
              <w:tc>
                <w:tcPr>
                  <w:tcW w:w="558" w:type="pct"/>
                  <w:vMerge w:val="continue"/>
                  <w:vAlign w:val="center"/>
                </w:tcPr>
                <w:p w14:paraId="286CCA39">
                  <w:pPr>
                    <w:jc w:val="center"/>
                    <w:rPr>
                      <w:rFonts w:hint="default" w:ascii="Times New Roman" w:hAnsi="Times New Roman" w:eastAsia="宋体" w:cs="Times New Roman"/>
                      <w:color w:val="auto"/>
                    </w:rPr>
                  </w:pPr>
                </w:p>
              </w:tc>
              <w:tc>
                <w:tcPr>
                  <w:tcW w:w="491" w:type="pct"/>
                  <w:vMerge w:val="continue"/>
                  <w:vAlign w:val="center"/>
                </w:tcPr>
                <w:p w14:paraId="46A072D7">
                  <w:pPr>
                    <w:jc w:val="center"/>
                    <w:rPr>
                      <w:rFonts w:hint="default" w:ascii="Times New Roman" w:hAnsi="Times New Roman" w:eastAsia="宋体" w:cs="Times New Roman"/>
                      <w:color w:val="auto"/>
                    </w:rPr>
                  </w:pPr>
                </w:p>
              </w:tc>
              <w:tc>
                <w:tcPr>
                  <w:tcW w:w="474" w:type="pct"/>
                  <w:vMerge w:val="continue"/>
                  <w:vAlign w:val="center"/>
                </w:tcPr>
                <w:p w14:paraId="3A097AB3">
                  <w:pPr>
                    <w:jc w:val="center"/>
                    <w:rPr>
                      <w:rFonts w:hint="default" w:ascii="Times New Roman" w:hAnsi="Times New Roman" w:eastAsia="宋体" w:cs="Times New Roman"/>
                      <w:color w:val="auto"/>
                    </w:rPr>
                  </w:pPr>
                </w:p>
              </w:tc>
              <w:tc>
                <w:tcPr>
                  <w:tcW w:w="470" w:type="pct"/>
                  <w:vAlign w:val="center"/>
                </w:tcPr>
                <w:p w14:paraId="0C8E4AD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73F7A20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21户农户</w:t>
                  </w:r>
                </w:p>
              </w:tc>
              <w:tc>
                <w:tcPr>
                  <w:tcW w:w="552" w:type="pct"/>
                  <w:vAlign w:val="center"/>
                </w:tcPr>
                <w:p w14:paraId="673076D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4A4864B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197-500</w:t>
                  </w:r>
                </w:p>
              </w:tc>
              <w:tc>
                <w:tcPr>
                  <w:tcW w:w="735" w:type="pct"/>
                  <w:vMerge w:val="continue"/>
                  <w:vAlign w:val="center"/>
                </w:tcPr>
                <w:p w14:paraId="73FB756A">
                  <w:pPr>
                    <w:jc w:val="center"/>
                    <w:rPr>
                      <w:rFonts w:hint="default" w:ascii="Times New Roman" w:hAnsi="Times New Roman" w:eastAsia="宋体" w:cs="Times New Roman"/>
                      <w:color w:val="auto"/>
                    </w:rPr>
                  </w:pPr>
                </w:p>
              </w:tc>
            </w:tr>
            <w:tr w14:paraId="7C6D5C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6B6C6D30">
                  <w:pPr>
                    <w:jc w:val="center"/>
                    <w:rPr>
                      <w:rFonts w:hint="default" w:ascii="Times New Roman" w:hAnsi="Times New Roman" w:eastAsia="宋体" w:cs="Times New Roman"/>
                      <w:color w:val="auto"/>
                    </w:rPr>
                  </w:pPr>
                </w:p>
              </w:tc>
              <w:tc>
                <w:tcPr>
                  <w:tcW w:w="558" w:type="pct"/>
                  <w:vMerge w:val="restart"/>
                  <w:vAlign w:val="center"/>
                </w:tcPr>
                <w:p w14:paraId="0DE6BEA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104.921205</w:t>
                  </w:r>
                </w:p>
              </w:tc>
              <w:tc>
                <w:tcPr>
                  <w:tcW w:w="491" w:type="pct"/>
                  <w:vMerge w:val="restart"/>
                  <w:vAlign w:val="center"/>
                </w:tcPr>
                <w:p w14:paraId="6865A37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30.605772</w:t>
                  </w:r>
                </w:p>
              </w:tc>
              <w:tc>
                <w:tcPr>
                  <w:tcW w:w="474" w:type="pct"/>
                  <w:vMerge w:val="restart"/>
                  <w:vAlign w:val="center"/>
                </w:tcPr>
                <w:p w14:paraId="4FB1719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14#</w:t>
                  </w:r>
                </w:p>
              </w:tc>
              <w:tc>
                <w:tcPr>
                  <w:tcW w:w="470" w:type="pct"/>
                  <w:vAlign w:val="center"/>
                </w:tcPr>
                <w:p w14:paraId="4611E93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301365E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38户农户</w:t>
                  </w:r>
                </w:p>
              </w:tc>
              <w:tc>
                <w:tcPr>
                  <w:tcW w:w="552" w:type="pct"/>
                  <w:vAlign w:val="center"/>
                </w:tcPr>
                <w:p w14:paraId="6B6A2E0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北侧</w:t>
                  </w:r>
                </w:p>
              </w:tc>
              <w:tc>
                <w:tcPr>
                  <w:tcW w:w="582" w:type="pct"/>
                  <w:vAlign w:val="center"/>
                </w:tcPr>
                <w:p w14:paraId="07714F8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107-435</w:t>
                  </w:r>
                </w:p>
              </w:tc>
              <w:tc>
                <w:tcPr>
                  <w:tcW w:w="735" w:type="pct"/>
                  <w:vMerge w:val="continue"/>
                  <w:vAlign w:val="center"/>
                </w:tcPr>
                <w:p w14:paraId="0EBA3C11">
                  <w:pPr>
                    <w:jc w:val="center"/>
                    <w:rPr>
                      <w:rFonts w:hint="default" w:ascii="Times New Roman" w:hAnsi="Times New Roman" w:eastAsia="宋体" w:cs="Times New Roman"/>
                      <w:color w:val="auto"/>
                    </w:rPr>
                  </w:pPr>
                </w:p>
              </w:tc>
            </w:tr>
            <w:tr w14:paraId="3004F8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556CC37D">
                  <w:pPr>
                    <w:jc w:val="center"/>
                    <w:rPr>
                      <w:rFonts w:hint="default" w:ascii="Times New Roman" w:hAnsi="Times New Roman" w:eastAsia="宋体" w:cs="Times New Roman"/>
                      <w:color w:val="auto"/>
                    </w:rPr>
                  </w:pPr>
                </w:p>
              </w:tc>
              <w:tc>
                <w:tcPr>
                  <w:tcW w:w="558" w:type="pct"/>
                  <w:vMerge w:val="continue"/>
                  <w:vAlign w:val="center"/>
                </w:tcPr>
                <w:p w14:paraId="43D27786">
                  <w:pPr>
                    <w:jc w:val="center"/>
                    <w:rPr>
                      <w:rFonts w:hint="default" w:ascii="Times New Roman" w:hAnsi="Times New Roman" w:eastAsia="宋体" w:cs="Times New Roman"/>
                      <w:color w:val="auto"/>
                    </w:rPr>
                  </w:pPr>
                </w:p>
              </w:tc>
              <w:tc>
                <w:tcPr>
                  <w:tcW w:w="491" w:type="pct"/>
                  <w:vMerge w:val="continue"/>
                  <w:vAlign w:val="center"/>
                </w:tcPr>
                <w:p w14:paraId="15BE2BEF">
                  <w:pPr>
                    <w:jc w:val="center"/>
                    <w:rPr>
                      <w:rFonts w:hint="default" w:ascii="Times New Roman" w:hAnsi="Times New Roman" w:eastAsia="宋体" w:cs="Times New Roman"/>
                      <w:color w:val="auto"/>
                    </w:rPr>
                  </w:pPr>
                </w:p>
              </w:tc>
              <w:tc>
                <w:tcPr>
                  <w:tcW w:w="474" w:type="pct"/>
                  <w:vMerge w:val="continue"/>
                  <w:vAlign w:val="center"/>
                </w:tcPr>
                <w:p w14:paraId="67DD07BC">
                  <w:pPr>
                    <w:jc w:val="center"/>
                    <w:rPr>
                      <w:rFonts w:hint="default" w:ascii="Times New Roman" w:hAnsi="Times New Roman" w:eastAsia="宋体" w:cs="Times New Roman"/>
                      <w:color w:val="auto"/>
                    </w:rPr>
                  </w:pPr>
                </w:p>
              </w:tc>
              <w:tc>
                <w:tcPr>
                  <w:tcW w:w="470" w:type="pct"/>
                  <w:vAlign w:val="center"/>
                </w:tcPr>
                <w:p w14:paraId="0B4F240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6082616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27户农户</w:t>
                  </w:r>
                </w:p>
              </w:tc>
              <w:tc>
                <w:tcPr>
                  <w:tcW w:w="552" w:type="pct"/>
                  <w:vAlign w:val="center"/>
                </w:tcPr>
                <w:p w14:paraId="77D4E72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南侧</w:t>
                  </w:r>
                </w:p>
              </w:tc>
              <w:tc>
                <w:tcPr>
                  <w:tcW w:w="582" w:type="pct"/>
                  <w:vAlign w:val="center"/>
                </w:tcPr>
                <w:p w14:paraId="1FFCFC7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111-435</w:t>
                  </w:r>
                </w:p>
              </w:tc>
              <w:tc>
                <w:tcPr>
                  <w:tcW w:w="735" w:type="pct"/>
                  <w:vMerge w:val="continue"/>
                  <w:vAlign w:val="center"/>
                </w:tcPr>
                <w:p w14:paraId="4B4D0B9A">
                  <w:pPr>
                    <w:jc w:val="center"/>
                    <w:rPr>
                      <w:rFonts w:hint="default" w:ascii="Times New Roman" w:hAnsi="Times New Roman" w:eastAsia="宋体" w:cs="Times New Roman"/>
                      <w:color w:val="auto"/>
                    </w:rPr>
                  </w:pPr>
                </w:p>
              </w:tc>
            </w:tr>
            <w:tr w14:paraId="0C930B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11DF0BAC">
                  <w:pPr>
                    <w:jc w:val="center"/>
                    <w:rPr>
                      <w:rFonts w:hint="default" w:ascii="Times New Roman" w:hAnsi="Times New Roman" w:eastAsia="宋体" w:cs="Times New Roman"/>
                      <w:color w:val="auto"/>
                    </w:rPr>
                  </w:pPr>
                </w:p>
              </w:tc>
              <w:tc>
                <w:tcPr>
                  <w:tcW w:w="558" w:type="pct"/>
                  <w:vMerge w:val="restart"/>
                  <w:vAlign w:val="center"/>
                </w:tcPr>
                <w:p w14:paraId="7A93468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104.928930</w:t>
                  </w:r>
                </w:p>
              </w:tc>
              <w:tc>
                <w:tcPr>
                  <w:tcW w:w="491" w:type="pct"/>
                  <w:vMerge w:val="restart"/>
                  <w:vAlign w:val="center"/>
                </w:tcPr>
                <w:p w14:paraId="60A76C1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30.589293</w:t>
                  </w:r>
                </w:p>
              </w:tc>
              <w:tc>
                <w:tcPr>
                  <w:tcW w:w="474" w:type="pct"/>
                  <w:vMerge w:val="restart"/>
                  <w:vAlign w:val="center"/>
                </w:tcPr>
                <w:p w14:paraId="26ADE67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15#</w:t>
                  </w:r>
                </w:p>
              </w:tc>
              <w:tc>
                <w:tcPr>
                  <w:tcW w:w="470" w:type="pct"/>
                  <w:vAlign w:val="center"/>
                </w:tcPr>
                <w:p w14:paraId="628E4BE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29A453F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38户农户</w:t>
                  </w:r>
                </w:p>
              </w:tc>
              <w:tc>
                <w:tcPr>
                  <w:tcW w:w="552" w:type="pct"/>
                  <w:vAlign w:val="center"/>
                </w:tcPr>
                <w:p w14:paraId="5A07606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东南侧</w:t>
                  </w:r>
                </w:p>
              </w:tc>
              <w:tc>
                <w:tcPr>
                  <w:tcW w:w="582" w:type="pct"/>
                  <w:vAlign w:val="center"/>
                </w:tcPr>
                <w:p w14:paraId="7F598B1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81-500</w:t>
                  </w:r>
                </w:p>
              </w:tc>
              <w:tc>
                <w:tcPr>
                  <w:tcW w:w="735" w:type="pct"/>
                  <w:vMerge w:val="continue"/>
                  <w:vAlign w:val="center"/>
                </w:tcPr>
                <w:p w14:paraId="63E8418C">
                  <w:pPr>
                    <w:jc w:val="center"/>
                    <w:rPr>
                      <w:rFonts w:hint="default" w:ascii="Times New Roman" w:hAnsi="Times New Roman" w:eastAsia="宋体" w:cs="Times New Roman"/>
                      <w:color w:val="auto"/>
                    </w:rPr>
                  </w:pPr>
                </w:p>
              </w:tc>
            </w:tr>
            <w:tr w14:paraId="349302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62C81F9A">
                  <w:pPr>
                    <w:jc w:val="center"/>
                    <w:rPr>
                      <w:rFonts w:hint="default" w:ascii="Times New Roman" w:hAnsi="Times New Roman" w:eastAsia="宋体" w:cs="Times New Roman"/>
                      <w:color w:val="auto"/>
                    </w:rPr>
                  </w:pPr>
                </w:p>
              </w:tc>
              <w:tc>
                <w:tcPr>
                  <w:tcW w:w="558" w:type="pct"/>
                  <w:vMerge w:val="continue"/>
                  <w:vAlign w:val="center"/>
                </w:tcPr>
                <w:p w14:paraId="750A91F0">
                  <w:pPr>
                    <w:jc w:val="center"/>
                    <w:rPr>
                      <w:rFonts w:hint="default" w:ascii="Times New Roman" w:hAnsi="Times New Roman" w:eastAsia="宋体" w:cs="Times New Roman"/>
                      <w:color w:val="auto"/>
                    </w:rPr>
                  </w:pPr>
                </w:p>
              </w:tc>
              <w:tc>
                <w:tcPr>
                  <w:tcW w:w="491" w:type="pct"/>
                  <w:vMerge w:val="continue"/>
                  <w:vAlign w:val="center"/>
                </w:tcPr>
                <w:p w14:paraId="63CFD9F0">
                  <w:pPr>
                    <w:jc w:val="center"/>
                    <w:rPr>
                      <w:rFonts w:hint="default" w:ascii="Times New Roman" w:hAnsi="Times New Roman" w:eastAsia="宋体" w:cs="Times New Roman"/>
                      <w:color w:val="auto"/>
                    </w:rPr>
                  </w:pPr>
                </w:p>
              </w:tc>
              <w:tc>
                <w:tcPr>
                  <w:tcW w:w="474" w:type="pct"/>
                  <w:vMerge w:val="continue"/>
                  <w:vAlign w:val="center"/>
                </w:tcPr>
                <w:p w14:paraId="3B1F7CF0">
                  <w:pPr>
                    <w:jc w:val="center"/>
                    <w:rPr>
                      <w:rFonts w:hint="default" w:ascii="Times New Roman" w:hAnsi="Times New Roman" w:eastAsia="宋体" w:cs="Times New Roman"/>
                      <w:color w:val="auto"/>
                    </w:rPr>
                  </w:pPr>
                </w:p>
              </w:tc>
              <w:tc>
                <w:tcPr>
                  <w:tcW w:w="470" w:type="pct"/>
                  <w:vAlign w:val="center"/>
                </w:tcPr>
                <w:p w14:paraId="157E987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50BEEFB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27户农户</w:t>
                  </w:r>
                </w:p>
              </w:tc>
              <w:tc>
                <w:tcPr>
                  <w:tcW w:w="552" w:type="pct"/>
                  <w:vAlign w:val="center"/>
                </w:tcPr>
                <w:p w14:paraId="23C77CB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西南侧</w:t>
                  </w:r>
                </w:p>
              </w:tc>
              <w:tc>
                <w:tcPr>
                  <w:tcW w:w="582" w:type="pct"/>
                  <w:vAlign w:val="center"/>
                </w:tcPr>
                <w:p w14:paraId="6661BF2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237-500</w:t>
                  </w:r>
                </w:p>
              </w:tc>
              <w:tc>
                <w:tcPr>
                  <w:tcW w:w="735" w:type="pct"/>
                  <w:vMerge w:val="continue"/>
                  <w:vAlign w:val="center"/>
                </w:tcPr>
                <w:p w14:paraId="63FA05ED">
                  <w:pPr>
                    <w:jc w:val="center"/>
                    <w:rPr>
                      <w:rFonts w:hint="default" w:ascii="Times New Roman" w:hAnsi="Times New Roman" w:eastAsia="宋体" w:cs="Times New Roman"/>
                      <w:color w:val="auto"/>
                    </w:rPr>
                  </w:pPr>
                </w:p>
              </w:tc>
            </w:tr>
            <w:tr w14:paraId="195D2A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256" w:type="pct"/>
                  <w:vMerge w:val="continue"/>
                  <w:vAlign w:val="center"/>
                </w:tcPr>
                <w:p w14:paraId="77BC35F5">
                  <w:pPr>
                    <w:jc w:val="center"/>
                    <w:rPr>
                      <w:rFonts w:hint="default" w:ascii="Times New Roman" w:hAnsi="Times New Roman" w:eastAsia="宋体" w:cs="Times New Roman"/>
                      <w:color w:val="auto"/>
                    </w:rPr>
                  </w:pPr>
                </w:p>
              </w:tc>
              <w:tc>
                <w:tcPr>
                  <w:tcW w:w="558" w:type="pct"/>
                  <w:vAlign w:val="center"/>
                </w:tcPr>
                <w:p w14:paraId="1A6B741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104.923951</w:t>
                  </w:r>
                </w:p>
              </w:tc>
              <w:tc>
                <w:tcPr>
                  <w:tcW w:w="491" w:type="pct"/>
                  <w:vAlign w:val="center"/>
                </w:tcPr>
                <w:p w14:paraId="7EA1554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30.611437</w:t>
                  </w:r>
                </w:p>
              </w:tc>
              <w:tc>
                <w:tcPr>
                  <w:tcW w:w="474" w:type="pct"/>
                  <w:vAlign w:val="center"/>
                </w:tcPr>
                <w:p w14:paraId="32A643C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16#</w:t>
                  </w:r>
                </w:p>
              </w:tc>
              <w:tc>
                <w:tcPr>
                  <w:tcW w:w="470" w:type="pct"/>
                  <w:vAlign w:val="center"/>
                </w:tcPr>
                <w:p w14:paraId="3F71B08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1AF2B56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33户农户</w:t>
                  </w:r>
                </w:p>
              </w:tc>
              <w:tc>
                <w:tcPr>
                  <w:tcW w:w="552" w:type="pct"/>
                  <w:vAlign w:val="center"/>
                </w:tcPr>
                <w:p w14:paraId="5267C7C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33C8582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81-500</w:t>
                  </w:r>
                </w:p>
              </w:tc>
              <w:tc>
                <w:tcPr>
                  <w:tcW w:w="735" w:type="pct"/>
                  <w:vMerge w:val="continue"/>
                  <w:vAlign w:val="center"/>
                </w:tcPr>
                <w:p w14:paraId="6FE33519">
                  <w:pPr>
                    <w:jc w:val="center"/>
                    <w:rPr>
                      <w:rFonts w:hint="default" w:ascii="Times New Roman" w:hAnsi="Times New Roman" w:eastAsia="宋体" w:cs="Times New Roman"/>
                      <w:color w:val="auto"/>
                    </w:rPr>
                  </w:pPr>
                </w:p>
              </w:tc>
            </w:tr>
            <w:tr w14:paraId="7FF3F7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000" w:type="pct"/>
                  <w:gridSpan w:val="9"/>
                  <w:vAlign w:val="center"/>
                </w:tcPr>
                <w:p w14:paraId="7848A46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良安镇</w:t>
                  </w:r>
                </w:p>
              </w:tc>
            </w:tr>
            <w:tr w14:paraId="33F07E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restart"/>
                  <w:vAlign w:val="center"/>
                </w:tcPr>
                <w:p w14:paraId="77BEE4B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大气环境</w:t>
                  </w:r>
                </w:p>
              </w:tc>
              <w:tc>
                <w:tcPr>
                  <w:tcW w:w="558" w:type="pct"/>
                  <w:vMerge w:val="restart"/>
                  <w:vAlign w:val="center"/>
                </w:tcPr>
                <w:p w14:paraId="022A37B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104.920183</w:t>
                  </w:r>
                </w:p>
              </w:tc>
              <w:tc>
                <w:tcPr>
                  <w:tcW w:w="491" w:type="pct"/>
                  <w:vMerge w:val="restart"/>
                  <w:vAlign w:val="center"/>
                </w:tcPr>
                <w:p w14:paraId="6E60E0F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30.517567</w:t>
                  </w:r>
                </w:p>
              </w:tc>
              <w:tc>
                <w:tcPr>
                  <w:tcW w:w="474" w:type="pct"/>
                  <w:vMerge w:val="restart"/>
                  <w:vAlign w:val="center"/>
                </w:tcPr>
                <w:p w14:paraId="73E8199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w:t>
                  </w:r>
                </w:p>
              </w:tc>
              <w:tc>
                <w:tcPr>
                  <w:tcW w:w="470" w:type="pct"/>
                  <w:vAlign w:val="center"/>
                </w:tcPr>
                <w:p w14:paraId="1BAD971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136E525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13户农户</w:t>
                  </w:r>
                </w:p>
              </w:tc>
              <w:tc>
                <w:tcPr>
                  <w:tcW w:w="552" w:type="pct"/>
                  <w:vAlign w:val="center"/>
                </w:tcPr>
                <w:p w14:paraId="5B6496F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52BA5D2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65-305</w:t>
                  </w:r>
                </w:p>
              </w:tc>
              <w:tc>
                <w:tcPr>
                  <w:tcW w:w="735" w:type="pct"/>
                  <w:vMerge w:val="restart"/>
                  <w:vAlign w:val="center"/>
                </w:tcPr>
                <w:p w14:paraId="7006672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《环境空气质量标准》（GB3095-2012）中二级标准</w:t>
                  </w:r>
                </w:p>
              </w:tc>
            </w:tr>
            <w:tr w14:paraId="5C608D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6F20DE06">
                  <w:pPr>
                    <w:jc w:val="center"/>
                    <w:rPr>
                      <w:rFonts w:hint="default" w:ascii="Times New Roman" w:hAnsi="Times New Roman" w:eastAsia="宋体" w:cs="Times New Roman"/>
                      <w:color w:val="auto"/>
                    </w:rPr>
                  </w:pPr>
                </w:p>
              </w:tc>
              <w:tc>
                <w:tcPr>
                  <w:tcW w:w="558" w:type="pct"/>
                  <w:vMerge w:val="continue"/>
                  <w:vAlign w:val="center"/>
                </w:tcPr>
                <w:p w14:paraId="5E477CF1">
                  <w:pPr>
                    <w:jc w:val="center"/>
                    <w:rPr>
                      <w:rFonts w:hint="default" w:ascii="Times New Roman" w:hAnsi="Times New Roman" w:eastAsia="宋体" w:cs="Times New Roman"/>
                      <w:color w:val="auto"/>
                    </w:rPr>
                  </w:pPr>
                </w:p>
              </w:tc>
              <w:tc>
                <w:tcPr>
                  <w:tcW w:w="491" w:type="pct"/>
                  <w:vMerge w:val="continue"/>
                  <w:vAlign w:val="center"/>
                </w:tcPr>
                <w:p w14:paraId="1926B2D7">
                  <w:pPr>
                    <w:jc w:val="center"/>
                    <w:rPr>
                      <w:rFonts w:hint="default" w:ascii="Times New Roman" w:hAnsi="Times New Roman" w:eastAsia="宋体" w:cs="Times New Roman"/>
                      <w:color w:val="auto"/>
                    </w:rPr>
                  </w:pPr>
                </w:p>
              </w:tc>
              <w:tc>
                <w:tcPr>
                  <w:tcW w:w="474" w:type="pct"/>
                  <w:vMerge w:val="continue"/>
                  <w:vAlign w:val="center"/>
                </w:tcPr>
                <w:p w14:paraId="77957458">
                  <w:pPr>
                    <w:jc w:val="center"/>
                    <w:rPr>
                      <w:rFonts w:hint="default" w:ascii="Times New Roman" w:hAnsi="Times New Roman" w:eastAsia="宋体" w:cs="Times New Roman"/>
                      <w:color w:val="auto"/>
                    </w:rPr>
                  </w:pPr>
                </w:p>
              </w:tc>
              <w:tc>
                <w:tcPr>
                  <w:tcW w:w="470" w:type="pct"/>
                  <w:vAlign w:val="center"/>
                </w:tcPr>
                <w:p w14:paraId="3CFF63C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3E9917C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8户农户</w:t>
                  </w:r>
                </w:p>
              </w:tc>
              <w:tc>
                <w:tcPr>
                  <w:tcW w:w="552" w:type="pct"/>
                  <w:vAlign w:val="center"/>
                </w:tcPr>
                <w:p w14:paraId="6AEEEAB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42988E0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61-210</w:t>
                  </w:r>
                </w:p>
              </w:tc>
              <w:tc>
                <w:tcPr>
                  <w:tcW w:w="735" w:type="pct"/>
                  <w:vMerge w:val="continue"/>
                  <w:vAlign w:val="center"/>
                </w:tcPr>
                <w:p w14:paraId="58A54111">
                  <w:pPr>
                    <w:jc w:val="center"/>
                    <w:rPr>
                      <w:rFonts w:hint="default" w:ascii="Times New Roman" w:hAnsi="Times New Roman" w:eastAsia="宋体" w:cs="Times New Roman"/>
                      <w:color w:val="auto"/>
                    </w:rPr>
                  </w:pPr>
                </w:p>
              </w:tc>
            </w:tr>
            <w:tr w14:paraId="4CDF4F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197A65DA">
                  <w:pPr>
                    <w:jc w:val="center"/>
                    <w:rPr>
                      <w:rFonts w:hint="default" w:ascii="Times New Roman" w:hAnsi="Times New Roman" w:eastAsia="宋体" w:cs="Times New Roman"/>
                      <w:color w:val="auto"/>
                    </w:rPr>
                  </w:pPr>
                </w:p>
              </w:tc>
              <w:tc>
                <w:tcPr>
                  <w:tcW w:w="558" w:type="pct"/>
                  <w:vMerge w:val="continue"/>
                  <w:vAlign w:val="center"/>
                </w:tcPr>
                <w:p w14:paraId="3C32C43A">
                  <w:pPr>
                    <w:jc w:val="center"/>
                    <w:rPr>
                      <w:rFonts w:hint="default" w:ascii="Times New Roman" w:hAnsi="Times New Roman" w:eastAsia="宋体" w:cs="Times New Roman"/>
                      <w:color w:val="auto"/>
                    </w:rPr>
                  </w:pPr>
                </w:p>
              </w:tc>
              <w:tc>
                <w:tcPr>
                  <w:tcW w:w="491" w:type="pct"/>
                  <w:vMerge w:val="continue"/>
                  <w:vAlign w:val="center"/>
                </w:tcPr>
                <w:p w14:paraId="6BC40B0E">
                  <w:pPr>
                    <w:jc w:val="center"/>
                    <w:rPr>
                      <w:rFonts w:hint="default" w:ascii="Times New Roman" w:hAnsi="Times New Roman" w:eastAsia="宋体" w:cs="Times New Roman"/>
                      <w:color w:val="auto"/>
                    </w:rPr>
                  </w:pPr>
                </w:p>
              </w:tc>
              <w:tc>
                <w:tcPr>
                  <w:tcW w:w="474" w:type="pct"/>
                  <w:vMerge w:val="continue"/>
                  <w:vAlign w:val="center"/>
                </w:tcPr>
                <w:p w14:paraId="042C5521">
                  <w:pPr>
                    <w:jc w:val="center"/>
                    <w:rPr>
                      <w:rFonts w:hint="default" w:ascii="Times New Roman" w:hAnsi="Times New Roman" w:eastAsia="宋体" w:cs="Times New Roman"/>
                      <w:color w:val="auto"/>
                    </w:rPr>
                  </w:pPr>
                </w:p>
              </w:tc>
              <w:tc>
                <w:tcPr>
                  <w:tcW w:w="470" w:type="pct"/>
                  <w:vAlign w:val="center"/>
                </w:tcPr>
                <w:p w14:paraId="7B3113C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4FE160D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21户农户</w:t>
                  </w:r>
                </w:p>
              </w:tc>
              <w:tc>
                <w:tcPr>
                  <w:tcW w:w="552" w:type="pct"/>
                  <w:vAlign w:val="center"/>
                </w:tcPr>
                <w:p w14:paraId="7088EAD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北侧</w:t>
                  </w:r>
                </w:p>
              </w:tc>
              <w:tc>
                <w:tcPr>
                  <w:tcW w:w="582" w:type="pct"/>
                  <w:vAlign w:val="center"/>
                </w:tcPr>
                <w:p w14:paraId="2AA1979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98-351</w:t>
                  </w:r>
                </w:p>
              </w:tc>
              <w:tc>
                <w:tcPr>
                  <w:tcW w:w="735" w:type="pct"/>
                  <w:vMerge w:val="continue"/>
                  <w:vAlign w:val="center"/>
                </w:tcPr>
                <w:p w14:paraId="5D13A0E5">
                  <w:pPr>
                    <w:jc w:val="center"/>
                    <w:rPr>
                      <w:rFonts w:hint="default" w:ascii="Times New Roman" w:hAnsi="Times New Roman" w:eastAsia="宋体" w:cs="Times New Roman"/>
                      <w:color w:val="auto"/>
                    </w:rPr>
                  </w:pPr>
                </w:p>
              </w:tc>
            </w:tr>
            <w:tr w14:paraId="2D0C10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7F6D9231">
                  <w:pPr>
                    <w:jc w:val="center"/>
                    <w:rPr>
                      <w:rFonts w:hint="default" w:ascii="Times New Roman" w:hAnsi="Times New Roman" w:eastAsia="宋体" w:cs="Times New Roman"/>
                      <w:color w:val="auto"/>
                    </w:rPr>
                  </w:pPr>
                </w:p>
              </w:tc>
              <w:tc>
                <w:tcPr>
                  <w:tcW w:w="558" w:type="pct"/>
                  <w:vMerge w:val="restart"/>
                  <w:vAlign w:val="center"/>
                </w:tcPr>
                <w:p w14:paraId="2437C38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104.906107</w:t>
                  </w:r>
                </w:p>
              </w:tc>
              <w:tc>
                <w:tcPr>
                  <w:tcW w:w="491" w:type="pct"/>
                  <w:vMerge w:val="restart"/>
                  <w:vAlign w:val="center"/>
                </w:tcPr>
                <w:p w14:paraId="251A3B9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30.516709</w:t>
                  </w:r>
                </w:p>
              </w:tc>
              <w:tc>
                <w:tcPr>
                  <w:tcW w:w="474" w:type="pct"/>
                  <w:vMerge w:val="restart"/>
                  <w:vAlign w:val="center"/>
                </w:tcPr>
                <w:p w14:paraId="09CB888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w:t>
                  </w:r>
                </w:p>
              </w:tc>
              <w:tc>
                <w:tcPr>
                  <w:tcW w:w="470" w:type="pct"/>
                  <w:vAlign w:val="center"/>
                </w:tcPr>
                <w:p w14:paraId="1C1C28B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539E535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21户农户</w:t>
                  </w:r>
                </w:p>
              </w:tc>
              <w:tc>
                <w:tcPr>
                  <w:tcW w:w="552" w:type="pct"/>
                  <w:vAlign w:val="center"/>
                </w:tcPr>
                <w:p w14:paraId="7531042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南侧</w:t>
                  </w:r>
                </w:p>
              </w:tc>
              <w:tc>
                <w:tcPr>
                  <w:tcW w:w="582" w:type="pct"/>
                  <w:vAlign w:val="center"/>
                </w:tcPr>
                <w:p w14:paraId="7A4E5CC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115-421</w:t>
                  </w:r>
                </w:p>
              </w:tc>
              <w:tc>
                <w:tcPr>
                  <w:tcW w:w="735" w:type="pct"/>
                  <w:vMerge w:val="continue"/>
                  <w:vAlign w:val="center"/>
                </w:tcPr>
                <w:p w14:paraId="0048F5A6">
                  <w:pPr>
                    <w:jc w:val="center"/>
                    <w:rPr>
                      <w:rFonts w:hint="default" w:ascii="Times New Roman" w:hAnsi="Times New Roman" w:eastAsia="宋体" w:cs="Times New Roman"/>
                      <w:color w:val="auto"/>
                    </w:rPr>
                  </w:pPr>
                </w:p>
              </w:tc>
            </w:tr>
            <w:tr w14:paraId="63B310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7C9D9090">
                  <w:pPr>
                    <w:jc w:val="center"/>
                    <w:rPr>
                      <w:rFonts w:hint="default" w:ascii="Times New Roman" w:hAnsi="Times New Roman" w:eastAsia="宋体" w:cs="Times New Roman"/>
                      <w:color w:val="auto"/>
                    </w:rPr>
                  </w:pPr>
                </w:p>
              </w:tc>
              <w:tc>
                <w:tcPr>
                  <w:tcW w:w="558" w:type="pct"/>
                  <w:vMerge w:val="continue"/>
                  <w:vAlign w:val="center"/>
                </w:tcPr>
                <w:p w14:paraId="19FE6105">
                  <w:pPr>
                    <w:jc w:val="center"/>
                    <w:rPr>
                      <w:rFonts w:hint="default" w:ascii="Times New Roman" w:hAnsi="Times New Roman" w:eastAsia="宋体" w:cs="Times New Roman"/>
                      <w:color w:val="auto"/>
                    </w:rPr>
                  </w:pPr>
                </w:p>
              </w:tc>
              <w:tc>
                <w:tcPr>
                  <w:tcW w:w="491" w:type="pct"/>
                  <w:vMerge w:val="continue"/>
                  <w:vAlign w:val="center"/>
                </w:tcPr>
                <w:p w14:paraId="743259A6">
                  <w:pPr>
                    <w:jc w:val="center"/>
                    <w:rPr>
                      <w:rFonts w:hint="default" w:ascii="Times New Roman" w:hAnsi="Times New Roman" w:eastAsia="宋体" w:cs="Times New Roman"/>
                      <w:color w:val="auto"/>
                    </w:rPr>
                  </w:pPr>
                </w:p>
              </w:tc>
              <w:tc>
                <w:tcPr>
                  <w:tcW w:w="474" w:type="pct"/>
                  <w:vMerge w:val="continue"/>
                  <w:vAlign w:val="center"/>
                </w:tcPr>
                <w:p w14:paraId="49C388C1">
                  <w:pPr>
                    <w:jc w:val="center"/>
                    <w:rPr>
                      <w:rFonts w:hint="default" w:ascii="Times New Roman" w:hAnsi="Times New Roman" w:eastAsia="宋体" w:cs="Times New Roman"/>
                      <w:color w:val="auto"/>
                    </w:rPr>
                  </w:pPr>
                </w:p>
              </w:tc>
              <w:tc>
                <w:tcPr>
                  <w:tcW w:w="470" w:type="pct"/>
                  <w:vAlign w:val="center"/>
                </w:tcPr>
                <w:p w14:paraId="76A725E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2EB2267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21户农户</w:t>
                  </w:r>
                </w:p>
              </w:tc>
              <w:tc>
                <w:tcPr>
                  <w:tcW w:w="552" w:type="pct"/>
                  <w:vAlign w:val="center"/>
                </w:tcPr>
                <w:p w14:paraId="6B395BF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南侧</w:t>
                  </w:r>
                </w:p>
              </w:tc>
              <w:tc>
                <w:tcPr>
                  <w:tcW w:w="582" w:type="pct"/>
                  <w:vAlign w:val="center"/>
                </w:tcPr>
                <w:p w14:paraId="11500C8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103-416</w:t>
                  </w:r>
                </w:p>
              </w:tc>
              <w:tc>
                <w:tcPr>
                  <w:tcW w:w="735" w:type="pct"/>
                  <w:vMerge w:val="continue"/>
                  <w:vAlign w:val="center"/>
                </w:tcPr>
                <w:p w14:paraId="1136987D">
                  <w:pPr>
                    <w:jc w:val="center"/>
                    <w:rPr>
                      <w:rFonts w:hint="default" w:ascii="Times New Roman" w:hAnsi="Times New Roman" w:eastAsia="宋体" w:cs="Times New Roman"/>
                      <w:color w:val="auto"/>
                    </w:rPr>
                  </w:pPr>
                </w:p>
              </w:tc>
            </w:tr>
            <w:tr w14:paraId="3DB80E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7115FFA4">
                  <w:pPr>
                    <w:jc w:val="center"/>
                    <w:rPr>
                      <w:rFonts w:hint="default" w:ascii="Times New Roman" w:hAnsi="Times New Roman" w:eastAsia="宋体" w:cs="Times New Roman"/>
                      <w:color w:val="auto"/>
                    </w:rPr>
                  </w:pPr>
                </w:p>
              </w:tc>
              <w:tc>
                <w:tcPr>
                  <w:tcW w:w="558" w:type="pct"/>
                  <w:vMerge w:val="continue"/>
                  <w:vAlign w:val="center"/>
                </w:tcPr>
                <w:p w14:paraId="72ADE4ED">
                  <w:pPr>
                    <w:jc w:val="center"/>
                    <w:rPr>
                      <w:rFonts w:hint="default" w:ascii="Times New Roman" w:hAnsi="Times New Roman" w:eastAsia="宋体" w:cs="Times New Roman"/>
                      <w:color w:val="auto"/>
                    </w:rPr>
                  </w:pPr>
                </w:p>
              </w:tc>
              <w:tc>
                <w:tcPr>
                  <w:tcW w:w="491" w:type="pct"/>
                  <w:vMerge w:val="continue"/>
                  <w:vAlign w:val="center"/>
                </w:tcPr>
                <w:p w14:paraId="07A349D4">
                  <w:pPr>
                    <w:jc w:val="center"/>
                    <w:rPr>
                      <w:rFonts w:hint="default" w:ascii="Times New Roman" w:hAnsi="Times New Roman" w:eastAsia="宋体" w:cs="Times New Roman"/>
                      <w:color w:val="auto"/>
                    </w:rPr>
                  </w:pPr>
                </w:p>
              </w:tc>
              <w:tc>
                <w:tcPr>
                  <w:tcW w:w="474" w:type="pct"/>
                  <w:vMerge w:val="continue"/>
                  <w:vAlign w:val="center"/>
                </w:tcPr>
                <w:p w14:paraId="601A96E1">
                  <w:pPr>
                    <w:jc w:val="center"/>
                    <w:rPr>
                      <w:rFonts w:hint="default" w:ascii="Times New Roman" w:hAnsi="Times New Roman" w:eastAsia="宋体" w:cs="Times New Roman"/>
                      <w:color w:val="auto"/>
                    </w:rPr>
                  </w:pPr>
                </w:p>
              </w:tc>
              <w:tc>
                <w:tcPr>
                  <w:tcW w:w="470" w:type="pct"/>
                  <w:vAlign w:val="center"/>
                </w:tcPr>
                <w:p w14:paraId="5F49758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56A6184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43户农户</w:t>
                  </w:r>
                </w:p>
              </w:tc>
              <w:tc>
                <w:tcPr>
                  <w:tcW w:w="552" w:type="pct"/>
                  <w:vAlign w:val="center"/>
                </w:tcPr>
                <w:p w14:paraId="3EBA770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4B95C9A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234-500</w:t>
                  </w:r>
                </w:p>
              </w:tc>
              <w:tc>
                <w:tcPr>
                  <w:tcW w:w="735" w:type="pct"/>
                  <w:vMerge w:val="continue"/>
                  <w:vAlign w:val="center"/>
                </w:tcPr>
                <w:p w14:paraId="081B1687">
                  <w:pPr>
                    <w:jc w:val="center"/>
                    <w:rPr>
                      <w:rFonts w:hint="default" w:ascii="Times New Roman" w:hAnsi="Times New Roman" w:eastAsia="宋体" w:cs="Times New Roman"/>
                      <w:color w:val="auto"/>
                    </w:rPr>
                  </w:pPr>
                </w:p>
              </w:tc>
            </w:tr>
            <w:tr w14:paraId="1C17E2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6663B0D1">
                  <w:pPr>
                    <w:jc w:val="center"/>
                    <w:rPr>
                      <w:rFonts w:hint="default" w:ascii="Times New Roman" w:hAnsi="Times New Roman" w:eastAsia="宋体" w:cs="Times New Roman"/>
                      <w:color w:val="auto"/>
                    </w:rPr>
                  </w:pPr>
                </w:p>
              </w:tc>
              <w:tc>
                <w:tcPr>
                  <w:tcW w:w="558" w:type="pct"/>
                  <w:vMerge w:val="restart"/>
                  <w:vAlign w:val="center"/>
                </w:tcPr>
                <w:p w14:paraId="17F9F1E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104.928466</w:t>
                  </w:r>
                </w:p>
              </w:tc>
              <w:tc>
                <w:tcPr>
                  <w:tcW w:w="491" w:type="pct"/>
                  <w:vMerge w:val="restart"/>
                  <w:vAlign w:val="center"/>
                </w:tcPr>
                <w:p w14:paraId="3151445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30.527738</w:t>
                  </w:r>
                </w:p>
              </w:tc>
              <w:tc>
                <w:tcPr>
                  <w:tcW w:w="474" w:type="pct"/>
                  <w:vMerge w:val="restart"/>
                  <w:vAlign w:val="center"/>
                </w:tcPr>
                <w:p w14:paraId="103444E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w:t>
                  </w:r>
                </w:p>
              </w:tc>
              <w:tc>
                <w:tcPr>
                  <w:tcW w:w="470" w:type="pct"/>
                  <w:vAlign w:val="center"/>
                </w:tcPr>
                <w:p w14:paraId="064F1EC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678B126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43户农户</w:t>
                  </w:r>
                </w:p>
              </w:tc>
              <w:tc>
                <w:tcPr>
                  <w:tcW w:w="552" w:type="pct"/>
                  <w:vAlign w:val="center"/>
                </w:tcPr>
                <w:p w14:paraId="5DFE125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6B9F959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173-500</w:t>
                  </w:r>
                </w:p>
              </w:tc>
              <w:tc>
                <w:tcPr>
                  <w:tcW w:w="735" w:type="pct"/>
                  <w:vMerge w:val="continue"/>
                  <w:vAlign w:val="center"/>
                </w:tcPr>
                <w:p w14:paraId="54BCA3DD">
                  <w:pPr>
                    <w:jc w:val="center"/>
                    <w:rPr>
                      <w:rFonts w:hint="default" w:ascii="Times New Roman" w:hAnsi="Times New Roman" w:eastAsia="宋体" w:cs="Times New Roman"/>
                      <w:color w:val="auto"/>
                    </w:rPr>
                  </w:pPr>
                </w:p>
              </w:tc>
            </w:tr>
            <w:tr w14:paraId="0EF4F5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43F2C5F1">
                  <w:pPr>
                    <w:jc w:val="center"/>
                    <w:rPr>
                      <w:rFonts w:hint="default" w:ascii="Times New Roman" w:hAnsi="Times New Roman" w:eastAsia="宋体" w:cs="Times New Roman"/>
                      <w:color w:val="auto"/>
                    </w:rPr>
                  </w:pPr>
                </w:p>
              </w:tc>
              <w:tc>
                <w:tcPr>
                  <w:tcW w:w="558" w:type="pct"/>
                  <w:vMerge w:val="continue"/>
                  <w:vAlign w:val="center"/>
                </w:tcPr>
                <w:p w14:paraId="5CB4C303">
                  <w:pPr>
                    <w:jc w:val="center"/>
                    <w:rPr>
                      <w:rFonts w:hint="default" w:ascii="Times New Roman" w:hAnsi="Times New Roman" w:eastAsia="宋体" w:cs="Times New Roman"/>
                      <w:color w:val="auto"/>
                    </w:rPr>
                  </w:pPr>
                </w:p>
              </w:tc>
              <w:tc>
                <w:tcPr>
                  <w:tcW w:w="491" w:type="pct"/>
                  <w:vMerge w:val="continue"/>
                  <w:vAlign w:val="center"/>
                </w:tcPr>
                <w:p w14:paraId="25A8CB80">
                  <w:pPr>
                    <w:jc w:val="center"/>
                    <w:rPr>
                      <w:rFonts w:hint="default" w:ascii="Times New Roman" w:hAnsi="Times New Roman" w:eastAsia="宋体" w:cs="Times New Roman"/>
                      <w:color w:val="auto"/>
                    </w:rPr>
                  </w:pPr>
                </w:p>
              </w:tc>
              <w:tc>
                <w:tcPr>
                  <w:tcW w:w="474" w:type="pct"/>
                  <w:vMerge w:val="continue"/>
                  <w:vAlign w:val="center"/>
                </w:tcPr>
                <w:p w14:paraId="30325528">
                  <w:pPr>
                    <w:jc w:val="center"/>
                    <w:rPr>
                      <w:rFonts w:hint="default" w:ascii="Times New Roman" w:hAnsi="Times New Roman" w:eastAsia="宋体" w:cs="Times New Roman"/>
                      <w:color w:val="auto"/>
                    </w:rPr>
                  </w:pPr>
                </w:p>
              </w:tc>
              <w:tc>
                <w:tcPr>
                  <w:tcW w:w="470" w:type="pct"/>
                  <w:vAlign w:val="center"/>
                </w:tcPr>
                <w:p w14:paraId="5E78079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67F3333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58户农户</w:t>
                  </w:r>
                </w:p>
              </w:tc>
              <w:tc>
                <w:tcPr>
                  <w:tcW w:w="552" w:type="pct"/>
                  <w:vAlign w:val="center"/>
                </w:tcPr>
                <w:p w14:paraId="61A306E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东北侧</w:t>
                  </w:r>
                </w:p>
              </w:tc>
              <w:tc>
                <w:tcPr>
                  <w:tcW w:w="582" w:type="pct"/>
                  <w:vAlign w:val="center"/>
                </w:tcPr>
                <w:p w14:paraId="41A8C3E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132-500</w:t>
                  </w:r>
                </w:p>
              </w:tc>
              <w:tc>
                <w:tcPr>
                  <w:tcW w:w="735" w:type="pct"/>
                  <w:vMerge w:val="continue"/>
                  <w:vAlign w:val="center"/>
                </w:tcPr>
                <w:p w14:paraId="2752341A">
                  <w:pPr>
                    <w:jc w:val="center"/>
                    <w:rPr>
                      <w:rFonts w:hint="default" w:ascii="Times New Roman" w:hAnsi="Times New Roman" w:eastAsia="宋体" w:cs="Times New Roman"/>
                      <w:color w:val="auto"/>
                    </w:rPr>
                  </w:pPr>
                </w:p>
              </w:tc>
            </w:tr>
            <w:tr w14:paraId="064BF5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457FC912">
                  <w:pPr>
                    <w:jc w:val="center"/>
                    <w:rPr>
                      <w:rFonts w:hint="default" w:ascii="Times New Roman" w:hAnsi="Times New Roman" w:eastAsia="宋体" w:cs="Times New Roman"/>
                      <w:color w:val="auto"/>
                    </w:rPr>
                  </w:pPr>
                </w:p>
              </w:tc>
              <w:tc>
                <w:tcPr>
                  <w:tcW w:w="558" w:type="pct"/>
                  <w:vAlign w:val="center"/>
                </w:tcPr>
                <w:p w14:paraId="33AC964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104.923187</w:t>
                  </w:r>
                </w:p>
              </w:tc>
              <w:tc>
                <w:tcPr>
                  <w:tcW w:w="491" w:type="pct"/>
                  <w:vAlign w:val="center"/>
                </w:tcPr>
                <w:p w14:paraId="5BC9FEA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30.521001</w:t>
                  </w:r>
                </w:p>
              </w:tc>
              <w:tc>
                <w:tcPr>
                  <w:tcW w:w="474" w:type="pct"/>
                  <w:vAlign w:val="center"/>
                </w:tcPr>
                <w:p w14:paraId="3939E39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4#</w:t>
                  </w:r>
                </w:p>
              </w:tc>
              <w:tc>
                <w:tcPr>
                  <w:tcW w:w="470" w:type="pct"/>
                  <w:vAlign w:val="center"/>
                </w:tcPr>
                <w:p w14:paraId="406B76D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53D21F9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58户农户</w:t>
                  </w:r>
                </w:p>
              </w:tc>
              <w:tc>
                <w:tcPr>
                  <w:tcW w:w="552" w:type="pct"/>
                  <w:vAlign w:val="center"/>
                </w:tcPr>
                <w:p w14:paraId="262A63E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4A9237B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125-500</w:t>
                  </w:r>
                </w:p>
              </w:tc>
              <w:tc>
                <w:tcPr>
                  <w:tcW w:w="735" w:type="pct"/>
                  <w:vMerge w:val="continue"/>
                  <w:vAlign w:val="center"/>
                </w:tcPr>
                <w:p w14:paraId="34E0964B">
                  <w:pPr>
                    <w:jc w:val="center"/>
                    <w:rPr>
                      <w:rFonts w:hint="default" w:ascii="Times New Roman" w:hAnsi="Times New Roman" w:eastAsia="宋体" w:cs="Times New Roman"/>
                      <w:color w:val="auto"/>
                    </w:rPr>
                  </w:pPr>
                </w:p>
              </w:tc>
            </w:tr>
            <w:tr w14:paraId="2E27CF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24DE2196">
                  <w:pPr>
                    <w:jc w:val="center"/>
                    <w:rPr>
                      <w:rFonts w:hint="default" w:ascii="Times New Roman" w:hAnsi="Times New Roman" w:eastAsia="宋体" w:cs="Times New Roman"/>
                      <w:color w:val="auto"/>
                    </w:rPr>
                  </w:pPr>
                </w:p>
              </w:tc>
              <w:tc>
                <w:tcPr>
                  <w:tcW w:w="558" w:type="pct"/>
                  <w:vAlign w:val="center"/>
                </w:tcPr>
                <w:p w14:paraId="4998C1B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104.922715</w:t>
                  </w:r>
                </w:p>
              </w:tc>
              <w:tc>
                <w:tcPr>
                  <w:tcW w:w="491" w:type="pct"/>
                  <w:vAlign w:val="center"/>
                </w:tcPr>
                <w:p w14:paraId="7726983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30.521215</w:t>
                  </w:r>
                </w:p>
              </w:tc>
              <w:tc>
                <w:tcPr>
                  <w:tcW w:w="474" w:type="pct"/>
                  <w:vAlign w:val="center"/>
                </w:tcPr>
                <w:p w14:paraId="337ADB8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5#</w:t>
                  </w:r>
                </w:p>
              </w:tc>
              <w:tc>
                <w:tcPr>
                  <w:tcW w:w="470" w:type="pct"/>
                  <w:vAlign w:val="center"/>
                </w:tcPr>
                <w:p w14:paraId="720BB9C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0D41646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39户农户</w:t>
                  </w:r>
                </w:p>
              </w:tc>
              <w:tc>
                <w:tcPr>
                  <w:tcW w:w="552" w:type="pct"/>
                  <w:vAlign w:val="center"/>
                </w:tcPr>
                <w:p w14:paraId="1FB7122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东南侧</w:t>
                  </w:r>
                </w:p>
              </w:tc>
              <w:tc>
                <w:tcPr>
                  <w:tcW w:w="582" w:type="pct"/>
                  <w:vAlign w:val="center"/>
                </w:tcPr>
                <w:p w14:paraId="3B82451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231-500</w:t>
                  </w:r>
                </w:p>
              </w:tc>
              <w:tc>
                <w:tcPr>
                  <w:tcW w:w="735" w:type="pct"/>
                  <w:vMerge w:val="continue"/>
                  <w:vAlign w:val="center"/>
                </w:tcPr>
                <w:p w14:paraId="4E9DE9B1">
                  <w:pPr>
                    <w:jc w:val="center"/>
                    <w:rPr>
                      <w:rFonts w:hint="default" w:ascii="Times New Roman" w:hAnsi="Times New Roman" w:eastAsia="宋体" w:cs="Times New Roman"/>
                      <w:color w:val="auto"/>
                    </w:rPr>
                  </w:pPr>
                </w:p>
              </w:tc>
            </w:tr>
            <w:tr w14:paraId="0AB386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70084DDE">
                  <w:pPr>
                    <w:jc w:val="center"/>
                    <w:rPr>
                      <w:rFonts w:hint="default" w:ascii="Times New Roman" w:hAnsi="Times New Roman" w:eastAsia="宋体" w:cs="Times New Roman"/>
                      <w:color w:val="auto"/>
                    </w:rPr>
                  </w:pPr>
                </w:p>
              </w:tc>
              <w:tc>
                <w:tcPr>
                  <w:tcW w:w="558" w:type="pct"/>
                  <w:vAlign w:val="center"/>
                </w:tcPr>
                <w:p w14:paraId="2E6D66D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104.932285</w:t>
                  </w:r>
                </w:p>
              </w:tc>
              <w:tc>
                <w:tcPr>
                  <w:tcW w:w="491" w:type="pct"/>
                  <w:vAlign w:val="center"/>
                </w:tcPr>
                <w:p w14:paraId="665A156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30.523232</w:t>
                  </w:r>
                </w:p>
              </w:tc>
              <w:tc>
                <w:tcPr>
                  <w:tcW w:w="474" w:type="pct"/>
                  <w:vAlign w:val="center"/>
                </w:tcPr>
                <w:p w14:paraId="524A430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6#</w:t>
                  </w:r>
                </w:p>
              </w:tc>
              <w:tc>
                <w:tcPr>
                  <w:tcW w:w="470" w:type="pct"/>
                  <w:vAlign w:val="center"/>
                </w:tcPr>
                <w:p w14:paraId="1D3736A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04F483B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21户农户</w:t>
                  </w:r>
                </w:p>
              </w:tc>
              <w:tc>
                <w:tcPr>
                  <w:tcW w:w="552" w:type="pct"/>
                  <w:vAlign w:val="center"/>
                </w:tcPr>
                <w:p w14:paraId="236441E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1B06595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173-421</w:t>
                  </w:r>
                </w:p>
              </w:tc>
              <w:tc>
                <w:tcPr>
                  <w:tcW w:w="735" w:type="pct"/>
                  <w:vMerge w:val="continue"/>
                  <w:vAlign w:val="center"/>
                </w:tcPr>
                <w:p w14:paraId="3E8EBB3A">
                  <w:pPr>
                    <w:jc w:val="center"/>
                    <w:rPr>
                      <w:rFonts w:hint="default" w:ascii="Times New Roman" w:hAnsi="Times New Roman" w:eastAsia="宋体" w:cs="Times New Roman"/>
                      <w:color w:val="auto"/>
                    </w:rPr>
                  </w:pPr>
                </w:p>
              </w:tc>
            </w:tr>
            <w:tr w14:paraId="1B4A83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46EFBB8B">
                  <w:pPr>
                    <w:jc w:val="center"/>
                    <w:rPr>
                      <w:rFonts w:hint="default" w:ascii="Times New Roman" w:hAnsi="Times New Roman" w:eastAsia="宋体" w:cs="Times New Roman"/>
                      <w:color w:val="auto"/>
                    </w:rPr>
                  </w:pPr>
                </w:p>
              </w:tc>
              <w:tc>
                <w:tcPr>
                  <w:tcW w:w="558" w:type="pct"/>
                  <w:vMerge w:val="restart"/>
                  <w:vAlign w:val="center"/>
                </w:tcPr>
                <w:p w14:paraId="2CD654A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104.943958</w:t>
                  </w:r>
                </w:p>
              </w:tc>
              <w:tc>
                <w:tcPr>
                  <w:tcW w:w="491" w:type="pct"/>
                  <w:vMerge w:val="restart"/>
                  <w:vAlign w:val="center"/>
                </w:tcPr>
                <w:p w14:paraId="3543D4C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30.523146</w:t>
                  </w:r>
                </w:p>
              </w:tc>
              <w:tc>
                <w:tcPr>
                  <w:tcW w:w="474" w:type="pct"/>
                  <w:vMerge w:val="restart"/>
                  <w:vAlign w:val="center"/>
                </w:tcPr>
                <w:p w14:paraId="486EC41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7#</w:t>
                  </w:r>
                </w:p>
              </w:tc>
              <w:tc>
                <w:tcPr>
                  <w:tcW w:w="470" w:type="pct"/>
                  <w:vAlign w:val="center"/>
                </w:tcPr>
                <w:p w14:paraId="6FAE4EE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53D45D2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65户农户</w:t>
                  </w:r>
                </w:p>
              </w:tc>
              <w:tc>
                <w:tcPr>
                  <w:tcW w:w="552" w:type="pct"/>
                  <w:vAlign w:val="center"/>
                </w:tcPr>
                <w:p w14:paraId="48FFCF1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61CFD32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233-500</w:t>
                  </w:r>
                </w:p>
              </w:tc>
              <w:tc>
                <w:tcPr>
                  <w:tcW w:w="735" w:type="pct"/>
                  <w:vMerge w:val="continue"/>
                  <w:vAlign w:val="center"/>
                </w:tcPr>
                <w:p w14:paraId="5EE1C804">
                  <w:pPr>
                    <w:jc w:val="center"/>
                    <w:rPr>
                      <w:rFonts w:hint="default" w:ascii="Times New Roman" w:hAnsi="Times New Roman" w:eastAsia="宋体" w:cs="Times New Roman"/>
                      <w:color w:val="auto"/>
                    </w:rPr>
                  </w:pPr>
                </w:p>
              </w:tc>
            </w:tr>
            <w:tr w14:paraId="144F68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07D5D217">
                  <w:pPr>
                    <w:jc w:val="center"/>
                    <w:rPr>
                      <w:rFonts w:hint="default" w:ascii="Times New Roman" w:hAnsi="Times New Roman" w:eastAsia="宋体" w:cs="Times New Roman"/>
                      <w:color w:val="auto"/>
                    </w:rPr>
                  </w:pPr>
                </w:p>
              </w:tc>
              <w:tc>
                <w:tcPr>
                  <w:tcW w:w="558" w:type="pct"/>
                  <w:vMerge w:val="continue"/>
                  <w:vAlign w:val="center"/>
                </w:tcPr>
                <w:p w14:paraId="737C8BF7">
                  <w:pPr>
                    <w:jc w:val="center"/>
                    <w:rPr>
                      <w:rFonts w:hint="default" w:ascii="Times New Roman" w:hAnsi="Times New Roman" w:eastAsia="宋体" w:cs="Times New Roman"/>
                      <w:color w:val="auto"/>
                    </w:rPr>
                  </w:pPr>
                </w:p>
              </w:tc>
              <w:tc>
                <w:tcPr>
                  <w:tcW w:w="491" w:type="pct"/>
                  <w:vMerge w:val="continue"/>
                  <w:vAlign w:val="center"/>
                </w:tcPr>
                <w:p w14:paraId="1BC2CB9E">
                  <w:pPr>
                    <w:jc w:val="center"/>
                    <w:rPr>
                      <w:rFonts w:hint="default" w:ascii="Times New Roman" w:hAnsi="Times New Roman" w:eastAsia="宋体" w:cs="Times New Roman"/>
                      <w:color w:val="auto"/>
                    </w:rPr>
                  </w:pPr>
                </w:p>
              </w:tc>
              <w:tc>
                <w:tcPr>
                  <w:tcW w:w="474" w:type="pct"/>
                  <w:vMerge w:val="continue"/>
                  <w:vAlign w:val="center"/>
                </w:tcPr>
                <w:p w14:paraId="44F1D6F5">
                  <w:pPr>
                    <w:jc w:val="center"/>
                    <w:rPr>
                      <w:rFonts w:hint="default" w:ascii="Times New Roman" w:hAnsi="Times New Roman" w:eastAsia="宋体" w:cs="Times New Roman"/>
                      <w:color w:val="auto"/>
                    </w:rPr>
                  </w:pPr>
                </w:p>
              </w:tc>
              <w:tc>
                <w:tcPr>
                  <w:tcW w:w="470" w:type="pct"/>
                  <w:vAlign w:val="center"/>
                </w:tcPr>
                <w:p w14:paraId="348F4AC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0256259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33户农户</w:t>
                  </w:r>
                </w:p>
              </w:tc>
              <w:tc>
                <w:tcPr>
                  <w:tcW w:w="552" w:type="pct"/>
                  <w:vAlign w:val="center"/>
                </w:tcPr>
                <w:p w14:paraId="0B3FFB3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东南侧</w:t>
                  </w:r>
                </w:p>
              </w:tc>
              <w:tc>
                <w:tcPr>
                  <w:tcW w:w="582" w:type="pct"/>
                  <w:vAlign w:val="center"/>
                </w:tcPr>
                <w:p w14:paraId="616EACE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173-500</w:t>
                  </w:r>
                </w:p>
              </w:tc>
              <w:tc>
                <w:tcPr>
                  <w:tcW w:w="735" w:type="pct"/>
                  <w:vMerge w:val="continue"/>
                  <w:vAlign w:val="center"/>
                </w:tcPr>
                <w:p w14:paraId="5ACF1D13">
                  <w:pPr>
                    <w:jc w:val="center"/>
                    <w:rPr>
                      <w:rFonts w:hint="default" w:ascii="Times New Roman" w:hAnsi="Times New Roman" w:eastAsia="宋体" w:cs="Times New Roman"/>
                      <w:color w:val="auto"/>
                    </w:rPr>
                  </w:pPr>
                </w:p>
              </w:tc>
            </w:tr>
            <w:tr w14:paraId="66F571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6C2674C8">
                  <w:pPr>
                    <w:jc w:val="center"/>
                    <w:rPr>
                      <w:rFonts w:hint="default" w:ascii="Times New Roman" w:hAnsi="Times New Roman" w:eastAsia="宋体" w:cs="Times New Roman"/>
                      <w:color w:val="auto"/>
                    </w:rPr>
                  </w:pPr>
                </w:p>
              </w:tc>
              <w:tc>
                <w:tcPr>
                  <w:tcW w:w="558" w:type="pct"/>
                  <w:vMerge w:val="restart"/>
                  <w:vAlign w:val="center"/>
                </w:tcPr>
                <w:p w14:paraId="2CE6A7A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104.935676</w:t>
                  </w:r>
                </w:p>
              </w:tc>
              <w:tc>
                <w:tcPr>
                  <w:tcW w:w="491" w:type="pct"/>
                  <w:vMerge w:val="restart"/>
                  <w:vAlign w:val="center"/>
                </w:tcPr>
                <w:p w14:paraId="2614B72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30.521730</w:t>
                  </w:r>
                </w:p>
              </w:tc>
              <w:tc>
                <w:tcPr>
                  <w:tcW w:w="474" w:type="pct"/>
                  <w:vMerge w:val="restart"/>
                  <w:vAlign w:val="center"/>
                </w:tcPr>
                <w:p w14:paraId="744D000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8#</w:t>
                  </w:r>
                </w:p>
              </w:tc>
              <w:tc>
                <w:tcPr>
                  <w:tcW w:w="470" w:type="pct"/>
                  <w:vAlign w:val="center"/>
                </w:tcPr>
                <w:p w14:paraId="4387C7A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3D3E9BF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39户农户</w:t>
                  </w:r>
                </w:p>
              </w:tc>
              <w:tc>
                <w:tcPr>
                  <w:tcW w:w="552" w:type="pct"/>
                  <w:vAlign w:val="center"/>
                </w:tcPr>
                <w:p w14:paraId="7F5D559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西北侧</w:t>
                  </w:r>
                </w:p>
              </w:tc>
              <w:tc>
                <w:tcPr>
                  <w:tcW w:w="582" w:type="pct"/>
                  <w:vAlign w:val="center"/>
                </w:tcPr>
                <w:p w14:paraId="4FB5800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125-500</w:t>
                  </w:r>
                </w:p>
              </w:tc>
              <w:tc>
                <w:tcPr>
                  <w:tcW w:w="735" w:type="pct"/>
                  <w:vMerge w:val="continue"/>
                  <w:vAlign w:val="center"/>
                </w:tcPr>
                <w:p w14:paraId="20C40D1A">
                  <w:pPr>
                    <w:jc w:val="center"/>
                    <w:rPr>
                      <w:rFonts w:hint="default" w:ascii="Times New Roman" w:hAnsi="Times New Roman" w:eastAsia="宋体" w:cs="Times New Roman"/>
                      <w:color w:val="auto"/>
                    </w:rPr>
                  </w:pPr>
                </w:p>
              </w:tc>
            </w:tr>
            <w:tr w14:paraId="37E442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21915D2C">
                  <w:pPr>
                    <w:jc w:val="center"/>
                    <w:rPr>
                      <w:rFonts w:hint="default" w:ascii="Times New Roman" w:hAnsi="Times New Roman" w:eastAsia="宋体" w:cs="Times New Roman"/>
                      <w:color w:val="auto"/>
                    </w:rPr>
                  </w:pPr>
                </w:p>
              </w:tc>
              <w:tc>
                <w:tcPr>
                  <w:tcW w:w="558" w:type="pct"/>
                  <w:vMerge w:val="continue"/>
                  <w:vAlign w:val="center"/>
                </w:tcPr>
                <w:p w14:paraId="3DE35B2D">
                  <w:pPr>
                    <w:jc w:val="center"/>
                    <w:rPr>
                      <w:rFonts w:hint="default" w:ascii="Times New Roman" w:hAnsi="Times New Roman" w:eastAsia="宋体" w:cs="Times New Roman"/>
                      <w:color w:val="auto"/>
                    </w:rPr>
                  </w:pPr>
                </w:p>
              </w:tc>
              <w:tc>
                <w:tcPr>
                  <w:tcW w:w="491" w:type="pct"/>
                  <w:vMerge w:val="continue"/>
                  <w:vAlign w:val="center"/>
                </w:tcPr>
                <w:p w14:paraId="292F7D43">
                  <w:pPr>
                    <w:jc w:val="center"/>
                    <w:rPr>
                      <w:rFonts w:hint="default" w:ascii="Times New Roman" w:hAnsi="Times New Roman" w:eastAsia="宋体" w:cs="Times New Roman"/>
                      <w:color w:val="auto"/>
                    </w:rPr>
                  </w:pPr>
                </w:p>
              </w:tc>
              <w:tc>
                <w:tcPr>
                  <w:tcW w:w="474" w:type="pct"/>
                  <w:vMerge w:val="continue"/>
                  <w:vAlign w:val="center"/>
                </w:tcPr>
                <w:p w14:paraId="3676D1A0">
                  <w:pPr>
                    <w:jc w:val="center"/>
                    <w:rPr>
                      <w:rFonts w:hint="default" w:ascii="Times New Roman" w:hAnsi="Times New Roman" w:eastAsia="宋体" w:cs="Times New Roman"/>
                      <w:color w:val="auto"/>
                    </w:rPr>
                  </w:pPr>
                </w:p>
              </w:tc>
              <w:tc>
                <w:tcPr>
                  <w:tcW w:w="470" w:type="pct"/>
                  <w:vAlign w:val="center"/>
                </w:tcPr>
                <w:p w14:paraId="1BB5572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6876081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65户农户</w:t>
                  </w:r>
                </w:p>
              </w:tc>
              <w:tc>
                <w:tcPr>
                  <w:tcW w:w="552" w:type="pct"/>
                  <w:vAlign w:val="center"/>
                </w:tcPr>
                <w:p w14:paraId="29AB0BA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6922BB7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81-500</w:t>
                  </w:r>
                </w:p>
              </w:tc>
              <w:tc>
                <w:tcPr>
                  <w:tcW w:w="735" w:type="pct"/>
                  <w:vMerge w:val="continue"/>
                  <w:vAlign w:val="center"/>
                </w:tcPr>
                <w:p w14:paraId="4A3CB067">
                  <w:pPr>
                    <w:jc w:val="center"/>
                    <w:rPr>
                      <w:rFonts w:hint="default" w:ascii="Times New Roman" w:hAnsi="Times New Roman" w:eastAsia="宋体" w:cs="Times New Roman"/>
                      <w:color w:val="auto"/>
                    </w:rPr>
                  </w:pPr>
                </w:p>
              </w:tc>
            </w:tr>
            <w:tr w14:paraId="0ADAF9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48E69EDE">
                  <w:pPr>
                    <w:jc w:val="center"/>
                    <w:rPr>
                      <w:rFonts w:hint="default" w:ascii="Times New Roman" w:hAnsi="Times New Roman" w:eastAsia="宋体" w:cs="Times New Roman"/>
                      <w:color w:val="auto"/>
                    </w:rPr>
                  </w:pPr>
                </w:p>
              </w:tc>
              <w:tc>
                <w:tcPr>
                  <w:tcW w:w="558" w:type="pct"/>
                  <w:vMerge w:val="continue"/>
                  <w:vAlign w:val="center"/>
                </w:tcPr>
                <w:p w14:paraId="5E50409E">
                  <w:pPr>
                    <w:jc w:val="center"/>
                    <w:rPr>
                      <w:rFonts w:hint="default" w:ascii="Times New Roman" w:hAnsi="Times New Roman" w:eastAsia="宋体" w:cs="Times New Roman"/>
                      <w:color w:val="auto"/>
                    </w:rPr>
                  </w:pPr>
                </w:p>
              </w:tc>
              <w:tc>
                <w:tcPr>
                  <w:tcW w:w="491" w:type="pct"/>
                  <w:vMerge w:val="continue"/>
                  <w:vAlign w:val="center"/>
                </w:tcPr>
                <w:p w14:paraId="65BDE8B7">
                  <w:pPr>
                    <w:jc w:val="center"/>
                    <w:rPr>
                      <w:rFonts w:hint="default" w:ascii="Times New Roman" w:hAnsi="Times New Roman" w:eastAsia="宋体" w:cs="Times New Roman"/>
                      <w:color w:val="auto"/>
                    </w:rPr>
                  </w:pPr>
                </w:p>
              </w:tc>
              <w:tc>
                <w:tcPr>
                  <w:tcW w:w="474" w:type="pct"/>
                  <w:vMerge w:val="continue"/>
                  <w:vAlign w:val="center"/>
                </w:tcPr>
                <w:p w14:paraId="253EEA57">
                  <w:pPr>
                    <w:jc w:val="center"/>
                    <w:rPr>
                      <w:rFonts w:hint="default" w:ascii="Times New Roman" w:hAnsi="Times New Roman" w:eastAsia="宋体" w:cs="Times New Roman"/>
                      <w:color w:val="auto"/>
                    </w:rPr>
                  </w:pPr>
                </w:p>
              </w:tc>
              <w:tc>
                <w:tcPr>
                  <w:tcW w:w="470" w:type="pct"/>
                  <w:vAlign w:val="center"/>
                </w:tcPr>
                <w:p w14:paraId="5B2F8CC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7C3269C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27户农户</w:t>
                  </w:r>
                </w:p>
              </w:tc>
              <w:tc>
                <w:tcPr>
                  <w:tcW w:w="552" w:type="pct"/>
                  <w:vAlign w:val="center"/>
                </w:tcPr>
                <w:p w14:paraId="275EB46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东南侧</w:t>
                  </w:r>
                </w:p>
              </w:tc>
              <w:tc>
                <w:tcPr>
                  <w:tcW w:w="582" w:type="pct"/>
                  <w:vAlign w:val="center"/>
                </w:tcPr>
                <w:p w14:paraId="06965F2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47-421</w:t>
                  </w:r>
                </w:p>
              </w:tc>
              <w:tc>
                <w:tcPr>
                  <w:tcW w:w="735" w:type="pct"/>
                  <w:vMerge w:val="continue"/>
                  <w:vAlign w:val="center"/>
                </w:tcPr>
                <w:p w14:paraId="6AC3C591">
                  <w:pPr>
                    <w:jc w:val="center"/>
                    <w:rPr>
                      <w:rFonts w:hint="default" w:ascii="Times New Roman" w:hAnsi="Times New Roman" w:eastAsia="宋体" w:cs="Times New Roman"/>
                      <w:color w:val="auto"/>
                    </w:rPr>
                  </w:pPr>
                </w:p>
              </w:tc>
            </w:tr>
            <w:tr w14:paraId="20854A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532BD379">
                  <w:pPr>
                    <w:jc w:val="center"/>
                    <w:rPr>
                      <w:rFonts w:hint="default" w:ascii="Times New Roman" w:hAnsi="Times New Roman" w:eastAsia="宋体" w:cs="Times New Roman"/>
                      <w:color w:val="auto"/>
                    </w:rPr>
                  </w:pPr>
                </w:p>
              </w:tc>
              <w:tc>
                <w:tcPr>
                  <w:tcW w:w="558" w:type="pct"/>
                  <w:vMerge w:val="continue"/>
                  <w:vAlign w:val="center"/>
                </w:tcPr>
                <w:p w14:paraId="6B9E196E">
                  <w:pPr>
                    <w:jc w:val="center"/>
                    <w:rPr>
                      <w:rFonts w:hint="default" w:ascii="Times New Roman" w:hAnsi="Times New Roman" w:eastAsia="宋体" w:cs="Times New Roman"/>
                      <w:color w:val="auto"/>
                    </w:rPr>
                  </w:pPr>
                </w:p>
              </w:tc>
              <w:tc>
                <w:tcPr>
                  <w:tcW w:w="491" w:type="pct"/>
                  <w:vMerge w:val="continue"/>
                  <w:vAlign w:val="center"/>
                </w:tcPr>
                <w:p w14:paraId="3744B1B2">
                  <w:pPr>
                    <w:jc w:val="center"/>
                    <w:rPr>
                      <w:rFonts w:hint="default" w:ascii="Times New Roman" w:hAnsi="Times New Roman" w:eastAsia="宋体" w:cs="Times New Roman"/>
                      <w:color w:val="auto"/>
                    </w:rPr>
                  </w:pPr>
                </w:p>
              </w:tc>
              <w:tc>
                <w:tcPr>
                  <w:tcW w:w="474" w:type="pct"/>
                  <w:vMerge w:val="continue"/>
                  <w:vAlign w:val="center"/>
                </w:tcPr>
                <w:p w14:paraId="28233424">
                  <w:pPr>
                    <w:jc w:val="center"/>
                    <w:rPr>
                      <w:rFonts w:hint="default" w:ascii="Times New Roman" w:hAnsi="Times New Roman" w:eastAsia="宋体" w:cs="Times New Roman"/>
                      <w:color w:val="auto"/>
                    </w:rPr>
                  </w:pPr>
                </w:p>
              </w:tc>
              <w:tc>
                <w:tcPr>
                  <w:tcW w:w="470" w:type="pct"/>
                  <w:vAlign w:val="center"/>
                </w:tcPr>
                <w:p w14:paraId="78F183C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5C5C3FC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21户农户</w:t>
                  </w:r>
                </w:p>
              </w:tc>
              <w:tc>
                <w:tcPr>
                  <w:tcW w:w="552" w:type="pct"/>
                  <w:vAlign w:val="center"/>
                </w:tcPr>
                <w:p w14:paraId="477924C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0B9A260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238-500</w:t>
                  </w:r>
                </w:p>
              </w:tc>
              <w:tc>
                <w:tcPr>
                  <w:tcW w:w="735" w:type="pct"/>
                  <w:vMerge w:val="continue"/>
                  <w:vAlign w:val="center"/>
                </w:tcPr>
                <w:p w14:paraId="71DAAC0D">
                  <w:pPr>
                    <w:jc w:val="center"/>
                    <w:rPr>
                      <w:rFonts w:hint="default" w:ascii="Times New Roman" w:hAnsi="Times New Roman" w:eastAsia="宋体" w:cs="Times New Roman"/>
                      <w:color w:val="auto"/>
                    </w:rPr>
                  </w:pPr>
                </w:p>
              </w:tc>
            </w:tr>
            <w:tr w14:paraId="41D821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1FA6EFDC">
                  <w:pPr>
                    <w:jc w:val="center"/>
                    <w:rPr>
                      <w:rFonts w:hint="default" w:ascii="Times New Roman" w:hAnsi="Times New Roman" w:eastAsia="宋体" w:cs="Times New Roman"/>
                      <w:color w:val="auto"/>
                    </w:rPr>
                  </w:pPr>
                </w:p>
              </w:tc>
              <w:tc>
                <w:tcPr>
                  <w:tcW w:w="558" w:type="pct"/>
                  <w:vAlign w:val="center"/>
                </w:tcPr>
                <w:p w14:paraId="1354516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104.931384</w:t>
                  </w:r>
                </w:p>
              </w:tc>
              <w:tc>
                <w:tcPr>
                  <w:tcW w:w="491" w:type="pct"/>
                  <w:vAlign w:val="center"/>
                </w:tcPr>
                <w:p w14:paraId="1637622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30.531129</w:t>
                  </w:r>
                </w:p>
              </w:tc>
              <w:tc>
                <w:tcPr>
                  <w:tcW w:w="474" w:type="pct"/>
                  <w:vAlign w:val="center"/>
                </w:tcPr>
                <w:p w14:paraId="3C5859F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9#</w:t>
                  </w:r>
                </w:p>
              </w:tc>
              <w:tc>
                <w:tcPr>
                  <w:tcW w:w="470" w:type="pct"/>
                  <w:vAlign w:val="center"/>
                </w:tcPr>
                <w:p w14:paraId="26E012F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2EA9678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21户农户</w:t>
                  </w:r>
                </w:p>
              </w:tc>
              <w:tc>
                <w:tcPr>
                  <w:tcW w:w="552" w:type="pct"/>
                  <w:vAlign w:val="center"/>
                </w:tcPr>
                <w:p w14:paraId="5EFF9ED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南侧</w:t>
                  </w:r>
                </w:p>
              </w:tc>
              <w:tc>
                <w:tcPr>
                  <w:tcW w:w="582" w:type="pct"/>
                  <w:vAlign w:val="center"/>
                </w:tcPr>
                <w:p w14:paraId="4117590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435-500</w:t>
                  </w:r>
                </w:p>
              </w:tc>
              <w:tc>
                <w:tcPr>
                  <w:tcW w:w="735" w:type="pct"/>
                  <w:vMerge w:val="continue"/>
                  <w:vAlign w:val="center"/>
                </w:tcPr>
                <w:p w14:paraId="09172245">
                  <w:pPr>
                    <w:jc w:val="center"/>
                    <w:rPr>
                      <w:rFonts w:hint="default" w:ascii="Times New Roman" w:hAnsi="Times New Roman" w:eastAsia="宋体" w:cs="Times New Roman"/>
                      <w:color w:val="auto"/>
                    </w:rPr>
                  </w:pPr>
                </w:p>
              </w:tc>
            </w:tr>
            <w:tr w14:paraId="4A2936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59EFE4D4">
                  <w:pPr>
                    <w:jc w:val="center"/>
                    <w:rPr>
                      <w:rFonts w:hint="default" w:ascii="Times New Roman" w:hAnsi="Times New Roman" w:eastAsia="宋体" w:cs="Times New Roman"/>
                      <w:color w:val="auto"/>
                    </w:rPr>
                  </w:pPr>
                </w:p>
              </w:tc>
              <w:tc>
                <w:tcPr>
                  <w:tcW w:w="558" w:type="pct"/>
                  <w:vMerge w:val="restart"/>
                  <w:vAlign w:val="center"/>
                </w:tcPr>
                <w:p w14:paraId="2ABFE0F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104.916321</w:t>
                  </w:r>
                </w:p>
              </w:tc>
              <w:tc>
                <w:tcPr>
                  <w:tcW w:w="491" w:type="pct"/>
                  <w:vMerge w:val="restart"/>
                  <w:vAlign w:val="center"/>
                </w:tcPr>
                <w:p w14:paraId="3E51B63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30.533789</w:t>
                  </w:r>
                </w:p>
              </w:tc>
              <w:tc>
                <w:tcPr>
                  <w:tcW w:w="474" w:type="pct"/>
                  <w:vMerge w:val="restart"/>
                  <w:vAlign w:val="center"/>
                </w:tcPr>
                <w:p w14:paraId="09077C4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w:t>
                  </w:r>
                </w:p>
              </w:tc>
              <w:tc>
                <w:tcPr>
                  <w:tcW w:w="470" w:type="pct"/>
                  <w:vAlign w:val="center"/>
                </w:tcPr>
                <w:p w14:paraId="2A4D5B8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64D3D07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27户农户</w:t>
                  </w:r>
                </w:p>
              </w:tc>
              <w:tc>
                <w:tcPr>
                  <w:tcW w:w="552" w:type="pct"/>
                  <w:vAlign w:val="center"/>
                </w:tcPr>
                <w:p w14:paraId="3BF811A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西北侧</w:t>
                  </w:r>
                </w:p>
              </w:tc>
              <w:tc>
                <w:tcPr>
                  <w:tcW w:w="582" w:type="pct"/>
                  <w:vAlign w:val="center"/>
                </w:tcPr>
                <w:p w14:paraId="7AD0726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98-473</w:t>
                  </w:r>
                </w:p>
              </w:tc>
              <w:tc>
                <w:tcPr>
                  <w:tcW w:w="735" w:type="pct"/>
                  <w:vMerge w:val="continue"/>
                  <w:vAlign w:val="center"/>
                </w:tcPr>
                <w:p w14:paraId="30EAE6ED">
                  <w:pPr>
                    <w:jc w:val="center"/>
                    <w:rPr>
                      <w:rFonts w:hint="default" w:ascii="Times New Roman" w:hAnsi="Times New Roman" w:eastAsia="宋体" w:cs="Times New Roman"/>
                      <w:color w:val="auto"/>
                    </w:rPr>
                  </w:pPr>
                </w:p>
              </w:tc>
            </w:tr>
            <w:tr w14:paraId="457A69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2FD833EB">
                  <w:pPr>
                    <w:jc w:val="center"/>
                    <w:rPr>
                      <w:rFonts w:hint="default" w:ascii="Times New Roman" w:hAnsi="Times New Roman" w:eastAsia="宋体" w:cs="Times New Roman"/>
                      <w:color w:val="auto"/>
                    </w:rPr>
                  </w:pPr>
                </w:p>
              </w:tc>
              <w:tc>
                <w:tcPr>
                  <w:tcW w:w="558" w:type="pct"/>
                  <w:vMerge w:val="continue"/>
                  <w:vAlign w:val="center"/>
                </w:tcPr>
                <w:p w14:paraId="055B3FFA">
                  <w:pPr>
                    <w:jc w:val="center"/>
                    <w:rPr>
                      <w:rFonts w:hint="default" w:ascii="Times New Roman" w:hAnsi="Times New Roman" w:eastAsia="宋体" w:cs="Times New Roman"/>
                      <w:color w:val="auto"/>
                    </w:rPr>
                  </w:pPr>
                </w:p>
              </w:tc>
              <w:tc>
                <w:tcPr>
                  <w:tcW w:w="491" w:type="pct"/>
                  <w:vMerge w:val="continue"/>
                  <w:vAlign w:val="center"/>
                </w:tcPr>
                <w:p w14:paraId="73B650E3">
                  <w:pPr>
                    <w:jc w:val="center"/>
                    <w:rPr>
                      <w:rFonts w:hint="default" w:ascii="Times New Roman" w:hAnsi="Times New Roman" w:eastAsia="宋体" w:cs="Times New Roman"/>
                      <w:color w:val="auto"/>
                    </w:rPr>
                  </w:pPr>
                </w:p>
              </w:tc>
              <w:tc>
                <w:tcPr>
                  <w:tcW w:w="474" w:type="pct"/>
                  <w:vMerge w:val="continue"/>
                  <w:vAlign w:val="center"/>
                </w:tcPr>
                <w:p w14:paraId="7F50DB7A">
                  <w:pPr>
                    <w:jc w:val="center"/>
                    <w:rPr>
                      <w:rFonts w:hint="default" w:ascii="Times New Roman" w:hAnsi="Times New Roman" w:eastAsia="宋体" w:cs="Times New Roman"/>
                      <w:color w:val="auto"/>
                    </w:rPr>
                  </w:pPr>
                </w:p>
              </w:tc>
              <w:tc>
                <w:tcPr>
                  <w:tcW w:w="470" w:type="pct"/>
                  <w:vAlign w:val="center"/>
                </w:tcPr>
                <w:p w14:paraId="1D3F268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7640643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21户农户</w:t>
                  </w:r>
                </w:p>
              </w:tc>
              <w:tc>
                <w:tcPr>
                  <w:tcW w:w="552" w:type="pct"/>
                  <w:vAlign w:val="center"/>
                </w:tcPr>
                <w:p w14:paraId="3409774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1CA2466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113-500</w:t>
                  </w:r>
                </w:p>
              </w:tc>
              <w:tc>
                <w:tcPr>
                  <w:tcW w:w="735" w:type="pct"/>
                  <w:vMerge w:val="continue"/>
                  <w:vAlign w:val="center"/>
                </w:tcPr>
                <w:p w14:paraId="73AA15CF">
                  <w:pPr>
                    <w:jc w:val="center"/>
                    <w:rPr>
                      <w:rFonts w:hint="default" w:ascii="Times New Roman" w:hAnsi="Times New Roman" w:eastAsia="宋体" w:cs="Times New Roman"/>
                      <w:color w:val="auto"/>
                    </w:rPr>
                  </w:pPr>
                </w:p>
              </w:tc>
            </w:tr>
            <w:tr w14:paraId="10EFB6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3D2D8C56">
                  <w:pPr>
                    <w:jc w:val="center"/>
                    <w:rPr>
                      <w:rFonts w:hint="default" w:ascii="Times New Roman" w:hAnsi="Times New Roman" w:eastAsia="宋体" w:cs="Times New Roman"/>
                      <w:color w:val="auto"/>
                    </w:rPr>
                  </w:pPr>
                </w:p>
              </w:tc>
              <w:tc>
                <w:tcPr>
                  <w:tcW w:w="558" w:type="pct"/>
                  <w:vMerge w:val="continue"/>
                  <w:vAlign w:val="center"/>
                </w:tcPr>
                <w:p w14:paraId="63341A82">
                  <w:pPr>
                    <w:jc w:val="center"/>
                    <w:rPr>
                      <w:rFonts w:hint="default" w:ascii="Times New Roman" w:hAnsi="Times New Roman" w:eastAsia="宋体" w:cs="Times New Roman"/>
                      <w:color w:val="auto"/>
                    </w:rPr>
                  </w:pPr>
                </w:p>
              </w:tc>
              <w:tc>
                <w:tcPr>
                  <w:tcW w:w="491" w:type="pct"/>
                  <w:vMerge w:val="continue"/>
                  <w:vAlign w:val="center"/>
                </w:tcPr>
                <w:p w14:paraId="7A72FF22">
                  <w:pPr>
                    <w:jc w:val="center"/>
                    <w:rPr>
                      <w:rFonts w:hint="default" w:ascii="Times New Roman" w:hAnsi="Times New Roman" w:eastAsia="宋体" w:cs="Times New Roman"/>
                      <w:color w:val="auto"/>
                    </w:rPr>
                  </w:pPr>
                </w:p>
              </w:tc>
              <w:tc>
                <w:tcPr>
                  <w:tcW w:w="474" w:type="pct"/>
                  <w:vMerge w:val="continue"/>
                  <w:vAlign w:val="center"/>
                </w:tcPr>
                <w:p w14:paraId="6D95D777">
                  <w:pPr>
                    <w:jc w:val="center"/>
                    <w:rPr>
                      <w:rFonts w:hint="default" w:ascii="Times New Roman" w:hAnsi="Times New Roman" w:eastAsia="宋体" w:cs="Times New Roman"/>
                      <w:color w:val="auto"/>
                    </w:rPr>
                  </w:pPr>
                </w:p>
              </w:tc>
              <w:tc>
                <w:tcPr>
                  <w:tcW w:w="470" w:type="pct"/>
                  <w:vAlign w:val="center"/>
                </w:tcPr>
                <w:p w14:paraId="295E02C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646ED63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7户农户</w:t>
                  </w:r>
                </w:p>
              </w:tc>
              <w:tc>
                <w:tcPr>
                  <w:tcW w:w="552" w:type="pct"/>
                  <w:vAlign w:val="center"/>
                </w:tcPr>
                <w:p w14:paraId="62D0F52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南侧</w:t>
                  </w:r>
                </w:p>
              </w:tc>
              <w:tc>
                <w:tcPr>
                  <w:tcW w:w="582" w:type="pct"/>
                  <w:vAlign w:val="center"/>
                </w:tcPr>
                <w:p w14:paraId="6A4477B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98-351</w:t>
                  </w:r>
                </w:p>
              </w:tc>
              <w:tc>
                <w:tcPr>
                  <w:tcW w:w="735" w:type="pct"/>
                  <w:vMerge w:val="continue"/>
                  <w:vAlign w:val="center"/>
                </w:tcPr>
                <w:p w14:paraId="7EBCA1D9">
                  <w:pPr>
                    <w:jc w:val="center"/>
                    <w:rPr>
                      <w:rFonts w:hint="default" w:ascii="Times New Roman" w:hAnsi="Times New Roman" w:eastAsia="宋体" w:cs="Times New Roman"/>
                      <w:color w:val="auto"/>
                    </w:rPr>
                  </w:pPr>
                </w:p>
              </w:tc>
            </w:tr>
            <w:tr w14:paraId="2422B8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5389BD47">
                  <w:pPr>
                    <w:jc w:val="center"/>
                    <w:rPr>
                      <w:rFonts w:hint="default" w:ascii="Times New Roman" w:hAnsi="Times New Roman" w:eastAsia="宋体" w:cs="Times New Roman"/>
                      <w:color w:val="auto"/>
                    </w:rPr>
                  </w:pPr>
                </w:p>
              </w:tc>
              <w:tc>
                <w:tcPr>
                  <w:tcW w:w="558" w:type="pct"/>
                  <w:vMerge w:val="continue"/>
                  <w:vAlign w:val="center"/>
                </w:tcPr>
                <w:p w14:paraId="14258582">
                  <w:pPr>
                    <w:jc w:val="center"/>
                    <w:rPr>
                      <w:rFonts w:hint="default" w:ascii="Times New Roman" w:hAnsi="Times New Roman" w:eastAsia="宋体" w:cs="Times New Roman"/>
                      <w:color w:val="auto"/>
                    </w:rPr>
                  </w:pPr>
                </w:p>
              </w:tc>
              <w:tc>
                <w:tcPr>
                  <w:tcW w:w="491" w:type="pct"/>
                  <w:vMerge w:val="continue"/>
                  <w:vAlign w:val="center"/>
                </w:tcPr>
                <w:p w14:paraId="2C0332FA">
                  <w:pPr>
                    <w:jc w:val="center"/>
                    <w:rPr>
                      <w:rFonts w:hint="default" w:ascii="Times New Roman" w:hAnsi="Times New Roman" w:eastAsia="宋体" w:cs="Times New Roman"/>
                      <w:color w:val="auto"/>
                    </w:rPr>
                  </w:pPr>
                </w:p>
              </w:tc>
              <w:tc>
                <w:tcPr>
                  <w:tcW w:w="474" w:type="pct"/>
                  <w:vMerge w:val="continue"/>
                  <w:vAlign w:val="center"/>
                </w:tcPr>
                <w:p w14:paraId="5F691B8D">
                  <w:pPr>
                    <w:jc w:val="center"/>
                    <w:rPr>
                      <w:rFonts w:hint="default" w:ascii="Times New Roman" w:hAnsi="Times New Roman" w:eastAsia="宋体" w:cs="Times New Roman"/>
                      <w:color w:val="auto"/>
                    </w:rPr>
                  </w:pPr>
                </w:p>
              </w:tc>
              <w:tc>
                <w:tcPr>
                  <w:tcW w:w="470" w:type="pct"/>
                  <w:vAlign w:val="center"/>
                </w:tcPr>
                <w:p w14:paraId="2D763D7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0A2C0C8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21户农户</w:t>
                  </w:r>
                </w:p>
              </w:tc>
              <w:tc>
                <w:tcPr>
                  <w:tcW w:w="552" w:type="pct"/>
                  <w:vAlign w:val="center"/>
                </w:tcPr>
                <w:p w14:paraId="32ECE37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东南侧</w:t>
                  </w:r>
                </w:p>
              </w:tc>
              <w:tc>
                <w:tcPr>
                  <w:tcW w:w="582" w:type="pct"/>
                  <w:vAlign w:val="center"/>
                </w:tcPr>
                <w:p w14:paraId="26109DD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73-477</w:t>
                  </w:r>
                </w:p>
              </w:tc>
              <w:tc>
                <w:tcPr>
                  <w:tcW w:w="735" w:type="pct"/>
                  <w:vMerge w:val="continue"/>
                  <w:vAlign w:val="center"/>
                </w:tcPr>
                <w:p w14:paraId="0390070E">
                  <w:pPr>
                    <w:jc w:val="center"/>
                    <w:rPr>
                      <w:rFonts w:hint="default" w:ascii="Times New Roman" w:hAnsi="Times New Roman" w:eastAsia="宋体" w:cs="Times New Roman"/>
                      <w:color w:val="auto"/>
                    </w:rPr>
                  </w:pPr>
                </w:p>
              </w:tc>
            </w:tr>
            <w:tr w14:paraId="0EBEBC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55DB7BA3">
                  <w:pPr>
                    <w:jc w:val="center"/>
                    <w:rPr>
                      <w:rFonts w:hint="default" w:ascii="Times New Roman" w:hAnsi="Times New Roman" w:eastAsia="宋体" w:cs="Times New Roman"/>
                      <w:color w:val="auto"/>
                    </w:rPr>
                  </w:pPr>
                </w:p>
              </w:tc>
              <w:tc>
                <w:tcPr>
                  <w:tcW w:w="558" w:type="pct"/>
                  <w:vMerge w:val="continue"/>
                  <w:vAlign w:val="center"/>
                </w:tcPr>
                <w:p w14:paraId="205CD840">
                  <w:pPr>
                    <w:jc w:val="center"/>
                    <w:rPr>
                      <w:rFonts w:hint="default" w:ascii="Times New Roman" w:hAnsi="Times New Roman" w:eastAsia="宋体" w:cs="Times New Roman"/>
                      <w:color w:val="auto"/>
                    </w:rPr>
                  </w:pPr>
                </w:p>
              </w:tc>
              <w:tc>
                <w:tcPr>
                  <w:tcW w:w="491" w:type="pct"/>
                  <w:vMerge w:val="continue"/>
                  <w:vAlign w:val="center"/>
                </w:tcPr>
                <w:p w14:paraId="2DA96AE7">
                  <w:pPr>
                    <w:jc w:val="center"/>
                    <w:rPr>
                      <w:rFonts w:hint="default" w:ascii="Times New Roman" w:hAnsi="Times New Roman" w:eastAsia="宋体" w:cs="Times New Roman"/>
                      <w:color w:val="auto"/>
                    </w:rPr>
                  </w:pPr>
                </w:p>
              </w:tc>
              <w:tc>
                <w:tcPr>
                  <w:tcW w:w="474" w:type="pct"/>
                  <w:vMerge w:val="continue"/>
                  <w:vAlign w:val="center"/>
                </w:tcPr>
                <w:p w14:paraId="515598ED">
                  <w:pPr>
                    <w:jc w:val="center"/>
                    <w:rPr>
                      <w:rFonts w:hint="default" w:ascii="Times New Roman" w:hAnsi="Times New Roman" w:eastAsia="宋体" w:cs="Times New Roman"/>
                      <w:color w:val="auto"/>
                    </w:rPr>
                  </w:pPr>
                </w:p>
              </w:tc>
              <w:tc>
                <w:tcPr>
                  <w:tcW w:w="470" w:type="pct"/>
                  <w:vAlign w:val="center"/>
                </w:tcPr>
                <w:p w14:paraId="0942CE4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211EC30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23户农户</w:t>
                  </w:r>
                </w:p>
              </w:tc>
              <w:tc>
                <w:tcPr>
                  <w:tcW w:w="552" w:type="pct"/>
                  <w:vAlign w:val="center"/>
                </w:tcPr>
                <w:p w14:paraId="13863A5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4B5CD20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97-479</w:t>
                  </w:r>
                </w:p>
              </w:tc>
              <w:tc>
                <w:tcPr>
                  <w:tcW w:w="735" w:type="pct"/>
                  <w:vMerge w:val="continue"/>
                  <w:vAlign w:val="center"/>
                </w:tcPr>
                <w:p w14:paraId="56A79DF1">
                  <w:pPr>
                    <w:jc w:val="center"/>
                    <w:rPr>
                      <w:rFonts w:hint="default" w:ascii="Times New Roman" w:hAnsi="Times New Roman" w:eastAsia="宋体" w:cs="Times New Roman"/>
                      <w:color w:val="auto"/>
                    </w:rPr>
                  </w:pPr>
                </w:p>
              </w:tc>
            </w:tr>
            <w:tr w14:paraId="049D79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256" w:type="pct"/>
                  <w:vMerge w:val="continue"/>
                  <w:vAlign w:val="center"/>
                </w:tcPr>
                <w:p w14:paraId="7A584911">
                  <w:pPr>
                    <w:jc w:val="center"/>
                    <w:rPr>
                      <w:rFonts w:hint="default" w:ascii="Times New Roman" w:hAnsi="Times New Roman" w:eastAsia="宋体" w:cs="Times New Roman"/>
                      <w:color w:val="auto"/>
                    </w:rPr>
                  </w:pPr>
                </w:p>
              </w:tc>
              <w:tc>
                <w:tcPr>
                  <w:tcW w:w="558" w:type="pct"/>
                  <w:vMerge w:val="restart"/>
                  <w:vAlign w:val="center"/>
                </w:tcPr>
                <w:p w14:paraId="14D3E76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104.912029</w:t>
                  </w:r>
                </w:p>
              </w:tc>
              <w:tc>
                <w:tcPr>
                  <w:tcW w:w="491" w:type="pct"/>
                  <w:vMerge w:val="restart"/>
                  <w:vAlign w:val="center"/>
                </w:tcPr>
                <w:p w14:paraId="5022725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30.529670</w:t>
                  </w:r>
                </w:p>
              </w:tc>
              <w:tc>
                <w:tcPr>
                  <w:tcW w:w="474" w:type="pct"/>
                  <w:vMerge w:val="restart"/>
                  <w:vAlign w:val="center"/>
                </w:tcPr>
                <w:p w14:paraId="699A635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11#</w:t>
                  </w:r>
                </w:p>
              </w:tc>
              <w:tc>
                <w:tcPr>
                  <w:tcW w:w="470" w:type="pct"/>
                  <w:vAlign w:val="center"/>
                </w:tcPr>
                <w:p w14:paraId="10E4055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4278807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15户农户</w:t>
                  </w:r>
                </w:p>
              </w:tc>
              <w:tc>
                <w:tcPr>
                  <w:tcW w:w="552" w:type="pct"/>
                  <w:vAlign w:val="center"/>
                </w:tcPr>
                <w:p w14:paraId="0356F71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4114FE2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139-500</w:t>
                  </w:r>
                </w:p>
              </w:tc>
              <w:tc>
                <w:tcPr>
                  <w:tcW w:w="735" w:type="pct"/>
                  <w:vMerge w:val="continue"/>
                  <w:vAlign w:val="center"/>
                </w:tcPr>
                <w:p w14:paraId="4A8452EE">
                  <w:pPr>
                    <w:jc w:val="center"/>
                    <w:rPr>
                      <w:rFonts w:hint="default" w:ascii="Times New Roman" w:hAnsi="Times New Roman" w:eastAsia="宋体" w:cs="Times New Roman"/>
                      <w:color w:val="auto"/>
                    </w:rPr>
                  </w:pPr>
                </w:p>
              </w:tc>
            </w:tr>
            <w:tr w14:paraId="5489B8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67268638">
                  <w:pPr>
                    <w:jc w:val="center"/>
                    <w:rPr>
                      <w:rFonts w:hint="default" w:ascii="Times New Roman" w:hAnsi="Times New Roman" w:eastAsia="宋体" w:cs="Times New Roman"/>
                      <w:color w:val="auto"/>
                    </w:rPr>
                  </w:pPr>
                </w:p>
              </w:tc>
              <w:tc>
                <w:tcPr>
                  <w:tcW w:w="558" w:type="pct"/>
                  <w:vMerge w:val="continue"/>
                  <w:vAlign w:val="center"/>
                </w:tcPr>
                <w:p w14:paraId="548635F3">
                  <w:pPr>
                    <w:jc w:val="center"/>
                    <w:rPr>
                      <w:rFonts w:hint="default" w:ascii="Times New Roman" w:hAnsi="Times New Roman" w:eastAsia="宋体" w:cs="Times New Roman"/>
                      <w:color w:val="auto"/>
                    </w:rPr>
                  </w:pPr>
                </w:p>
              </w:tc>
              <w:tc>
                <w:tcPr>
                  <w:tcW w:w="491" w:type="pct"/>
                  <w:vMerge w:val="continue"/>
                  <w:vAlign w:val="center"/>
                </w:tcPr>
                <w:p w14:paraId="67077D9E">
                  <w:pPr>
                    <w:jc w:val="center"/>
                    <w:rPr>
                      <w:rFonts w:hint="default" w:ascii="Times New Roman" w:hAnsi="Times New Roman" w:eastAsia="宋体" w:cs="Times New Roman"/>
                      <w:color w:val="auto"/>
                    </w:rPr>
                  </w:pPr>
                </w:p>
              </w:tc>
              <w:tc>
                <w:tcPr>
                  <w:tcW w:w="474" w:type="pct"/>
                  <w:vMerge w:val="continue"/>
                  <w:vAlign w:val="center"/>
                </w:tcPr>
                <w:p w14:paraId="4D3E30F9">
                  <w:pPr>
                    <w:jc w:val="center"/>
                    <w:rPr>
                      <w:rFonts w:hint="default" w:ascii="Times New Roman" w:hAnsi="Times New Roman" w:eastAsia="宋体" w:cs="Times New Roman"/>
                      <w:color w:val="auto"/>
                    </w:rPr>
                  </w:pPr>
                </w:p>
              </w:tc>
              <w:tc>
                <w:tcPr>
                  <w:tcW w:w="470" w:type="pct"/>
                  <w:vAlign w:val="center"/>
                </w:tcPr>
                <w:p w14:paraId="39A5E78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5DA1A14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16户农户</w:t>
                  </w:r>
                </w:p>
              </w:tc>
              <w:tc>
                <w:tcPr>
                  <w:tcW w:w="552" w:type="pct"/>
                  <w:vAlign w:val="center"/>
                </w:tcPr>
                <w:p w14:paraId="27E948B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南侧</w:t>
                  </w:r>
                </w:p>
              </w:tc>
              <w:tc>
                <w:tcPr>
                  <w:tcW w:w="582" w:type="pct"/>
                  <w:vAlign w:val="center"/>
                </w:tcPr>
                <w:p w14:paraId="7CDEFAE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216-421</w:t>
                  </w:r>
                </w:p>
              </w:tc>
              <w:tc>
                <w:tcPr>
                  <w:tcW w:w="735" w:type="pct"/>
                  <w:vMerge w:val="continue"/>
                  <w:vAlign w:val="center"/>
                </w:tcPr>
                <w:p w14:paraId="2592DC55">
                  <w:pPr>
                    <w:jc w:val="center"/>
                    <w:rPr>
                      <w:rFonts w:hint="default" w:ascii="Times New Roman" w:hAnsi="Times New Roman" w:eastAsia="宋体" w:cs="Times New Roman"/>
                      <w:color w:val="auto"/>
                    </w:rPr>
                  </w:pPr>
                </w:p>
              </w:tc>
            </w:tr>
            <w:tr w14:paraId="647FEB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43A20FAD">
                  <w:pPr>
                    <w:jc w:val="center"/>
                    <w:rPr>
                      <w:rFonts w:hint="default" w:ascii="Times New Roman" w:hAnsi="Times New Roman" w:eastAsia="宋体" w:cs="Times New Roman"/>
                      <w:color w:val="auto"/>
                    </w:rPr>
                  </w:pPr>
                </w:p>
              </w:tc>
              <w:tc>
                <w:tcPr>
                  <w:tcW w:w="558" w:type="pct"/>
                  <w:vMerge w:val="continue"/>
                  <w:vAlign w:val="center"/>
                </w:tcPr>
                <w:p w14:paraId="665D3CD5">
                  <w:pPr>
                    <w:jc w:val="center"/>
                    <w:rPr>
                      <w:rFonts w:hint="default" w:ascii="Times New Roman" w:hAnsi="Times New Roman" w:eastAsia="宋体" w:cs="Times New Roman"/>
                      <w:color w:val="auto"/>
                    </w:rPr>
                  </w:pPr>
                </w:p>
              </w:tc>
              <w:tc>
                <w:tcPr>
                  <w:tcW w:w="491" w:type="pct"/>
                  <w:vMerge w:val="continue"/>
                  <w:vAlign w:val="center"/>
                </w:tcPr>
                <w:p w14:paraId="2F3C9210">
                  <w:pPr>
                    <w:jc w:val="center"/>
                    <w:rPr>
                      <w:rFonts w:hint="default" w:ascii="Times New Roman" w:hAnsi="Times New Roman" w:eastAsia="宋体" w:cs="Times New Roman"/>
                      <w:color w:val="auto"/>
                    </w:rPr>
                  </w:pPr>
                </w:p>
              </w:tc>
              <w:tc>
                <w:tcPr>
                  <w:tcW w:w="474" w:type="pct"/>
                  <w:vMerge w:val="continue"/>
                  <w:vAlign w:val="center"/>
                </w:tcPr>
                <w:p w14:paraId="50A60F88">
                  <w:pPr>
                    <w:jc w:val="center"/>
                    <w:rPr>
                      <w:rFonts w:hint="default" w:ascii="Times New Roman" w:hAnsi="Times New Roman" w:eastAsia="宋体" w:cs="Times New Roman"/>
                      <w:color w:val="auto"/>
                    </w:rPr>
                  </w:pPr>
                </w:p>
              </w:tc>
              <w:tc>
                <w:tcPr>
                  <w:tcW w:w="470" w:type="pct"/>
                  <w:vAlign w:val="center"/>
                </w:tcPr>
                <w:p w14:paraId="4A4A1FB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7B8DB00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21户农户</w:t>
                  </w:r>
                </w:p>
              </w:tc>
              <w:tc>
                <w:tcPr>
                  <w:tcW w:w="552" w:type="pct"/>
                  <w:vAlign w:val="center"/>
                </w:tcPr>
                <w:p w14:paraId="2599556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东北侧</w:t>
                  </w:r>
                </w:p>
              </w:tc>
              <w:tc>
                <w:tcPr>
                  <w:tcW w:w="582" w:type="pct"/>
                  <w:vAlign w:val="center"/>
                </w:tcPr>
                <w:p w14:paraId="0E2BC63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129-500</w:t>
                  </w:r>
                </w:p>
              </w:tc>
              <w:tc>
                <w:tcPr>
                  <w:tcW w:w="735" w:type="pct"/>
                  <w:vMerge w:val="continue"/>
                  <w:vAlign w:val="center"/>
                </w:tcPr>
                <w:p w14:paraId="7C3013AB">
                  <w:pPr>
                    <w:jc w:val="center"/>
                    <w:rPr>
                      <w:rFonts w:hint="default" w:ascii="Times New Roman" w:hAnsi="Times New Roman" w:eastAsia="宋体" w:cs="Times New Roman"/>
                      <w:color w:val="auto"/>
                    </w:rPr>
                  </w:pPr>
                </w:p>
              </w:tc>
            </w:tr>
            <w:tr w14:paraId="7F8E71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256" w:type="pct"/>
                  <w:vMerge w:val="continue"/>
                  <w:vAlign w:val="center"/>
                </w:tcPr>
                <w:p w14:paraId="7542084F">
                  <w:pPr>
                    <w:jc w:val="center"/>
                    <w:rPr>
                      <w:rFonts w:hint="default" w:ascii="Times New Roman" w:hAnsi="Times New Roman" w:eastAsia="宋体" w:cs="Times New Roman"/>
                      <w:color w:val="auto"/>
                    </w:rPr>
                  </w:pPr>
                </w:p>
              </w:tc>
              <w:tc>
                <w:tcPr>
                  <w:tcW w:w="558" w:type="pct"/>
                  <w:vAlign w:val="center"/>
                </w:tcPr>
                <w:p w14:paraId="0E5E78B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104.940911</w:t>
                  </w:r>
                </w:p>
              </w:tc>
              <w:tc>
                <w:tcPr>
                  <w:tcW w:w="491" w:type="pct"/>
                  <w:vAlign w:val="center"/>
                </w:tcPr>
                <w:p w14:paraId="1F17235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30.501539</w:t>
                  </w:r>
                </w:p>
              </w:tc>
              <w:tc>
                <w:tcPr>
                  <w:tcW w:w="474" w:type="pct"/>
                  <w:vAlign w:val="center"/>
                </w:tcPr>
                <w:p w14:paraId="336E6A9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w:t>
                  </w:r>
                </w:p>
              </w:tc>
              <w:tc>
                <w:tcPr>
                  <w:tcW w:w="470" w:type="pct"/>
                  <w:vAlign w:val="center"/>
                </w:tcPr>
                <w:p w14:paraId="1923A3A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3F7511C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16户农户</w:t>
                  </w:r>
                </w:p>
              </w:tc>
              <w:tc>
                <w:tcPr>
                  <w:tcW w:w="552" w:type="pct"/>
                  <w:vAlign w:val="center"/>
                </w:tcPr>
                <w:p w14:paraId="0560177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北侧</w:t>
                  </w:r>
                </w:p>
              </w:tc>
              <w:tc>
                <w:tcPr>
                  <w:tcW w:w="582" w:type="pct"/>
                  <w:vAlign w:val="center"/>
                </w:tcPr>
                <w:p w14:paraId="65C4F56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213-+375</w:t>
                  </w:r>
                </w:p>
              </w:tc>
              <w:tc>
                <w:tcPr>
                  <w:tcW w:w="735" w:type="pct"/>
                  <w:vMerge w:val="continue"/>
                  <w:vAlign w:val="center"/>
                </w:tcPr>
                <w:p w14:paraId="537D6413">
                  <w:pPr>
                    <w:jc w:val="center"/>
                    <w:rPr>
                      <w:rFonts w:hint="default" w:ascii="Times New Roman" w:hAnsi="Times New Roman" w:eastAsia="宋体" w:cs="Times New Roman"/>
                      <w:color w:val="auto"/>
                    </w:rPr>
                  </w:pPr>
                </w:p>
              </w:tc>
            </w:tr>
            <w:tr w14:paraId="049792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5000" w:type="pct"/>
                  <w:gridSpan w:val="9"/>
                  <w:vAlign w:val="center"/>
                </w:tcPr>
                <w:p w14:paraId="6216516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中和场镇</w:t>
                  </w:r>
                </w:p>
              </w:tc>
            </w:tr>
            <w:tr w14:paraId="0935FB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restart"/>
                  <w:vAlign w:val="center"/>
                </w:tcPr>
                <w:p w14:paraId="462602E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大气环境</w:t>
                  </w:r>
                </w:p>
              </w:tc>
              <w:tc>
                <w:tcPr>
                  <w:tcW w:w="558" w:type="pct"/>
                  <w:vMerge w:val="restart"/>
                  <w:vAlign w:val="center"/>
                </w:tcPr>
                <w:p w14:paraId="0EE5E0A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104.931127</w:t>
                  </w:r>
                </w:p>
              </w:tc>
              <w:tc>
                <w:tcPr>
                  <w:tcW w:w="491" w:type="pct"/>
                  <w:vMerge w:val="restart"/>
                  <w:vAlign w:val="center"/>
                </w:tcPr>
                <w:p w14:paraId="35DC60A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30.549368</w:t>
                  </w:r>
                </w:p>
              </w:tc>
              <w:tc>
                <w:tcPr>
                  <w:tcW w:w="474" w:type="pct"/>
                  <w:vMerge w:val="restart"/>
                  <w:vAlign w:val="center"/>
                </w:tcPr>
                <w:p w14:paraId="094DC0A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w:t>
                  </w:r>
                </w:p>
              </w:tc>
              <w:tc>
                <w:tcPr>
                  <w:tcW w:w="470" w:type="pct"/>
                  <w:vAlign w:val="center"/>
                </w:tcPr>
                <w:p w14:paraId="6C838B6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5309B3C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11户农户</w:t>
                  </w:r>
                </w:p>
              </w:tc>
              <w:tc>
                <w:tcPr>
                  <w:tcW w:w="552" w:type="pct"/>
                  <w:vAlign w:val="center"/>
                </w:tcPr>
                <w:p w14:paraId="2D577DB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东北侧</w:t>
                  </w:r>
                </w:p>
              </w:tc>
              <w:tc>
                <w:tcPr>
                  <w:tcW w:w="582" w:type="pct"/>
                  <w:vAlign w:val="center"/>
                </w:tcPr>
                <w:p w14:paraId="4A28A86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147-500</w:t>
                  </w:r>
                </w:p>
              </w:tc>
              <w:tc>
                <w:tcPr>
                  <w:tcW w:w="735" w:type="pct"/>
                  <w:vMerge w:val="restart"/>
                  <w:vAlign w:val="center"/>
                </w:tcPr>
                <w:p w14:paraId="202BBB2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《环境空气质量标准》（GB3095-2012）中二级标准</w:t>
                  </w:r>
                </w:p>
              </w:tc>
            </w:tr>
            <w:tr w14:paraId="4D6751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30E4B328">
                  <w:pPr>
                    <w:jc w:val="center"/>
                    <w:rPr>
                      <w:rFonts w:hint="default" w:ascii="Times New Roman" w:hAnsi="Times New Roman" w:eastAsia="宋体" w:cs="Times New Roman"/>
                      <w:color w:val="auto"/>
                    </w:rPr>
                  </w:pPr>
                </w:p>
              </w:tc>
              <w:tc>
                <w:tcPr>
                  <w:tcW w:w="558" w:type="pct"/>
                  <w:vMerge w:val="continue"/>
                  <w:vAlign w:val="center"/>
                </w:tcPr>
                <w:p w14:paraId="53B3F0B2">
                  <w:pPr>
                    <w:jc w:val="center"/>
                    <w:rPr>
                      <w:rFonts w:hint="default" w:ascii="Times New Roman" w:hAnsi="Times New Roman" w:eastAsia="宋体" w:cs="Times New Roman"/>
                      <w:color w:val="auto"/>
                    </w:rPr>
                  </w:pPr>
                </w:p>
              </w:tc>
              <w:tc>
                <w:tcPr>
                  <w:tcW w:w="491" w:type="pct"/>
                  <w:vMerge w:val="continue"/>
                  <w:vAlign w:val="center"/>
                </w:tcPr>
                <w:p w14:paraId="7BAD2558">
                  <w:pPr>
                    <w:jc w:val="center"/>
                    <w:rPr>
                      <w:rFonts w:hint="default" w:ascii="Times New Roman" w:hAnsi="Times New Roman" w:eastAsia="宋体" w:cs="Times New Roman"/>
                      <w:color w:val="auto"/>
                    </w:rPr>
                  </w:pPr>
                </w:p>
              </w:tc>
              <w:tc>
                <w:tcPr>
                  <w:tcW w:w="474" w:type="pct"/>
                  <w:vMerge w:val="continue"/>
                  <w:vAlign w:val="center"/>
                </w:tcPr>
                <w:p w14:paraId="0DB5CB7C">
                  <w:pPr>
                    <w:jc w:val="center"/>
                    <w:rPr>
                      <w:rFonts w:hint="default" w:ascii="Times New Roman" w:hAnsi="Times New Roman" w:eastAsia="宋体" w:cs="Times New Roman"/>
                      <w:color w:val="auto"/>
                    </w:rPr>
                  </w:pPr>
                </w:p>
              </w:tc>
              <w:tc>
                <w:tcPr>
                  <w:tcW w:w="470" w:type="pct"/>
                  <w:vAlign w:val="center"/>
                </w:tcPr>
                <w:p w14:paraId="2CDA358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3B5067F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7户农户</w:t>
                  </w:r>
                </w:p>
              </w:tc>
              <w:tc>
                <w:tcPr>
                  <w:tcW w:w="552" w:type="pct"/>
                  <w:vAlign w:val="center"/>
                </w:tcPr>
                <w:p w14:paraId="455ECA7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39AB791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273-500</w:t>
                  </w:r>
                </w:p>
              </w:tc>
              <w:tc>
                <w:tcPr>
                  <w:tcW w:w="735" w:type="pct"/>
                  <w:vMerge w:val="continue"/>
                  <w:vAlign w:val="center"/>
                </w:tcPr>
                <w:p w14:paraId="42BBE6CF">
                  <w:pPr>
                    <w:jc w:val="center"/>
                    <w:rPr>
                      <w:rFonts w:hint="default" w:ascii="Times New Roman" w:hAnsi="Times New Roman" w:eastAsia="宋体" w:cs="Times New Roman"/>
                      <w:color w:val="auto"/>
                    </w:rPr>
                  </w:pPr>
                </w:p>
              </w:tc>
            </w:tr>
            <w:tr w14:paraId="6E2B7D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214F30DF">
                  <w:pPr>
                    <w:jc w:val="center"/>
                    <w:rPr>
                      <w:rFonts w:hint="default" w:ascii="Times New Roman" w:hAnsi="Times New Roman" w:eastAsia="宋体" w:cs="Times New Roman"/>
                      <w:color w:val="auto"/>
                    </w:rPr>
                  </w:pPr>
                </w:p>
              </w:tc>
              <w:tc>
                <w:tcPr>
                  <w:tcW w:w="558" w:type="pct"/>
                  <w:vMerge w:val="continue"/>
                  <w:vAlign w:val="center"/>
                </w:tcPr>
                <w:p w14:paraId="258E91B3">
                  <w:pPr>
                    <w:jc w:val="center"/>
                    <w:rPr>
                      <w:rFonts w:hint="default" w:ascii="Times New Roman" w:hAnsi="Times New Roman" w:eastAsia="宋体" w:cs="Times New Roman"/>
                      <w:color w:val="auto"/>
                    </w:rPr>
                  </w:pPr>
                </w:p>
              </w:tc>
              <w:tc>
                <w:tcPr>
                  <w:tcW w:w="491" w:type="pct"/>
                  <w:vMerge w:val="continue"/>
                  <w:vAlign w:val="center"/>
                </w:tcPr>
                <w:p w14:paraId="6BED6CEE">
                  <w:pPr>
                    <w:jc w:val="center"/>
                    <w:rPr>
                      <w:rFonts w:hint="default" w:ascii="Times New Roman" w:hAnsi="Times New Roman" w:eastAsia="宋体" w:cs="Times New Roman"/>
                      <w:color w:val="auto"/>
                    </w:rPr>
                  </w:pPr>
                </w:p>
              </w:tc>
              <w:tc>
                <w:tcPr>
                  <w:tcW w:w="474" w:type="pct"/>
                  <w:vMerge w:val="continue"/>
                  <w:vAlign w:val="center"/>
                </w:tcPr>
                <w:p w14:paraId="2DAFADFF">
                  <w:pPr>
                    <w:jc w:val="center"/>
                    <w:rPr>
                      <w:rFonts w:hint="default" w:ascii="Times New Roman" w:hAnsi="Times New Roman" w:eastAsia="宋体" w:cs="Times New Roman"/>
                      <w:color w:val="auto"/>
                    </w:rPr>
                  </w:pPr>
                </w:p>
              </w:tc>
              <w:tc>
                <w:tcPr>
                  <w:tcW w:w="470" w:type="pct"/>
                  <w:vAlign w:val="center"/>
                </w:tcPr>
                <w:p w14:paraId="0D5FC27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05D45F2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13户农户</w:t>
                  </w:r>
                </w:p>
              </w:tc>
              <w:tc>
                <w:tcPr>
                  <w:tcW w:w="552" w:type="pct"/>
                  <w:vAlign w:val="center"/>
                </w:tcPr>
                <w:p w14:paraId="0520C52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西南侧</w:t>
                  </w:r>
                </w:p>
              </w:tc>
              <w:tc>
                <w:tcPr>
                  <w:tcW w:w="582" w:type="pct"/>
                  <w:vAlign w:val="center"/>
                </w:tcPr>
                <w:p w14:paraId="3D9278E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357-500</w:t>
                  </w:r>
                </w:p>
              </w:tc>
              <w:tc>
                <w:tcPr>
                  <w:tcW w:w="735" w:type="pct"/>
                  <w:vMerge w:val="continue"/>
                  <w:vAlign w:val="center"/>
                </w:tcPr>
                <w:p w14:paraId="4B752446">
                  <w:pPr>
                    <w:jc w:val="center"/>
                    <w:rPr>
                      <w:rFonts w:hint="default" w:ascii="Times New Roman" w:hAnsi="Times New Roman" w:eastAsia="宋体" w:cs="Times New Roman"/>
                      <w:color w:val="auto"/>
                    </w:rPr>
                  </w:pPr>
                </w:p>
              </w:tc>
            </w:tr>
            <w:tr w14:paraId="63EDE4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37A44BA9">
                  <w:pPr>
                    <w:jc w:val="center"/>
                    <w:rPr>
                      <w:rFonts w:hint="default" w:ascii="Times New Roman" w:hAnsi="Times New Roman" w:eastAsia="宋体" w:cs="Times New Roman"/>
                      <w:color w:val="auto"/>
                    </w:rPr>
                  </w:pPr>
                </w:p>
              </w:tc>
              <w:tc>
                <w:tcPr>
                  <w:tcW w:w="558" w:type="pct"/>
                  <w:vMerge w:val="restart"/>
                  <w:vAlign w:val="center"/>
                </w:tcPr>
                <w:p w14:paraId="2619D20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104.966060</w:t>
                  </w:r>
                </w:p>
              </w:tc>
              <w:tc>
                <w:tcPr>
                  <w:tcW w:w="491" w:type="pct"/>
                  <w:vMerge w:val="restart"/>
                  <w:vAlign w:val="center"/>
                </w:tcPr>
                <w:p w14:paraId="5AE7FCE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104.9660603</w:t>
                  </w:r>
                </w:p>
              </w:tc>
              <w:tc>
                <w:tcPr>
                  <w:tcW w:w="474" w:type="pct"/>
                  <w:vMerge w:val="restart"/>
                  <w:vAlign w:val="center"/>
                </w:tcPr>
                <w:p w14:paraId="32EEC09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w:t>
                  </w:r>
                </w:p>
              </w:tc>
              <w:tc>
                <w:tcPr>
                  <w:tcW w:w="470" w:type="pct"/>
                  <w:vAlign w:val="center"/>
                </w:tcPr>
                <w:p w14:paraId="018A8FB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22F69CF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11户农户</w:t>
                  </w:r>
                </w:p>
              </w:tc>
              <w:tc>
                <w:tcPr>
                  <w:tcW w:w="552" w:type="pct"/>
                  <w:vAlign w:val="center"/>
                </w:tcPr>
                <w:p w14:paraId="26BA09F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3405C3A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61-261</w:t>
                  </w:r>
                </w:p>
              </w:tc>
              <w:tc>
                <w:tcPr>
                  <w:tcW w:w="735" w:type="pct"/>
                  <w:vMerge w:val="continue"/>
                  <w:vAlign w:val="center"/>
                </w:tcPr>
                <w:p w14:paraId="2E9A2248">
                  <w:pPr>
                    <w:jc w:val="center"/>
                    <w:rPr>
                      <w:rFonts w:hint="default" w:ascii="Times New Roman" w:hAnsi="Times New Roman" w:eastAsia="宋体" w:cs="Times New Roman"/>
                      <w:color w:val="auto"/>
                    </w:rPr>
                  </w:pPr>
                </w:p>
              </w:tc>
            </w:tr>
            <w:tr w14:paraId="0C8FF2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19485BD5">
                  <w:pPr>
                    <w:jc w:val="center"/>
                    <w:rPr>
                      <w:rFonts w:hint="default" w:ascii="Times New Roman" w:hAnsi="Times New Roman" w:eastAsia="宋体" w:cs="Times New Roman"/>
                      <w:color w:val="auto"/>
                    </w:rPr>
                  </w:pPr>
                </w:p>
              </w:tc>
              <w:tc>
                <w:tcPr>
                  <w:tcW w:w="558" w:type="pct"/>
                  <w:vMerge w:val="continue"/>
                  <w:vAlign w:val="center"/>
                </w:tcPr>
                <w:p w14:paraId="2C539DAB">
                  <w:pPr>
                    <w:jc w:val="center"/>
                    <w:rPr>
                      <w:rFonts w:hint="default" w:ascii="Times New Roman" w:hAnsi="Times New Roman" w:eastAsia="宋体" w:cs="Times New Roman"/>
                      <w:color w:val="auto"/>
                    </w:rPr>
                  </w:pPr>
                </w:p>
              </w:tc>
              <w:tc>
                <w:tcPr>
                  <w:tcW w:w="491" w:type="pct"/>
                  <w:vMerge w:val="continue"/>
                  <w:vAlign w:val="center"/>
                </w:tcPr>
                <w:p w14:paraId="328192B5">
                  <w:pPr>
                    <w:jc w:val="center"/>
                    <w:rPr>
                      <w:rFonts w:hint="default" w:ascii="Times New Roman" w:hAnsi="Times New Roman" w:eastAsia="宋体" w:cs="Times New Roman"/>
                      <w:color w:val="auto"/>
                    </w:rPr>
                  </w:pPr>
                </w:p>
              </w:tc>
              <w:tc>
                <w:tcPr>
                  <w:tcW w:w="474" w:type="pct"/>
                  <w:vMerge w:val="continue"/>
                  <w:vAlign w:val="center"/>
                </w:tcPr>
                <w:p w14:paraId="46209DD8">
                  <w:pPr>
                    <w:jc w:val="center"/>
                    <w:rPr>
                      <w:rFonts w:hint="default" w:ascii="Times New Roman" w:hAnsi="Times New Roman" w:eastAsia="宋体" w:cs="Times New Roman"/>
                      <w:color w:val="auto"/>
                    </w:rPr>
                  </w:pPr>
                </w:p>
              </w:tc>
              <w:tc>
                <w:tcPr>
                  <w:tcW w:w="470" w:type="pct"/>
                  <w:vAlign w:val="center"/>
                </w:tcPr>
                <w:p w14:paraId="298B421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6BEB527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15户农户</w:t>
                  </w:r>
                </w:p>
              </w:tc>
              <w:tc>
                <w:tcPr>
                  <w:tcW w:w="552" w:type="pct"/>
                  <w:vAlign w:val="center"/>
                </w:tcPr>
                <w:p w14:paraId="3CB3265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南侧</w:t>
                  </w:r>
                </w:p>
              </w:tc>
              <w:tc>
                <w:tcPr>
                  <w:tcW w:w="582" w:type="pct"/>
                  <w:vAlign w:val="center"/>
                </w:tcPr>
                <w:p w14:paraId="017AF0C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99-321</w:t>
                  </w:r>
                </w:p>
              </w:tc>
              <w:tc>
                <w:tcPr>
                  <w:tcW w:w="735" w:type="pct"/>
                  <w:vMerge w:val="continue"/>
                  <w:vAlign w:val="center"/>
                </w:tcPr>
                <w:p w14:paraId="0FF98E43">
                  <w:pPr>
                    <w:jc w:val="center"/>
                    <w:rPr>
                      <w:rFonts w:hint="default" w:ascii="Times New Roman" w:hAnsi="Times New Roman" w:eastAsia="宋体" w:cs="Times New Roman"/>
                      <w:color w:val="auto"/>
                    </w:rPr>
                  </w:pPr>
                </w:p>
              </w:tc>
            </w:tr>
            <w:tr w14:paraId="691EA1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41A471BE">
                  <w:pPr>
                    <w:jc w:val="center"/>
                    <w:rPr>
                      <w:rFonts w:hint="default" w:ascii="Times New Roman" w:hAnsi="Times New Roman" w:eastAsia="宋体" w:cs="Times New Roman"/>
                      <w:color w:val="auto"/>
                    </w:rPr>
                  </w:pPr>
                </w:p>
              </w:tc>
              <w:tc>
                <w:tcPr>
                  <w:tcW w:w="558" w:type="pct"/>
                  <w:vMerge w:val="continue"/>
                  <w:vAlign w:val="center"/>
                </w:tcPr>
                <w:p w14:paraId="0F3D8C00">
                  <w:pPr>
                    <w:jc w:val="center"/>
                    <w:rPr>
                      <w:rFonts w:hint="default" w:ascii="Times New Roman" w:hAnsi="Times New Roman" w:eastAsia="宋体" w:cs="Times New Roman"/>
                      <w:color w:val="auto"/>
                    </w:rPr>
                  </w:pPr>
                </w:p>
              </w:tc>
              <w:tc>
                <w:tcPr>
                  <w:tcW w:w="491" w:type="pct"/>
                  <w:vMerge w:val="continue"/>
                  <w:vAlign w:val="center"/>
                </w:tcPr>
                <w:p w14:paraId="3A92783F">
                  <w:pPr>
                    <w:jc w:val="center"/>
                    <w:rPr>
                      <w:rFonts w:hint="default" w:ascii="Times New Roman" w:hAnsi="Times New Roman" w:eastAsia="宋体" w:cs="Times New Roman"/>
                      <w:color w:val="auto"/>
                    </w:rPr>
                  </w:pPr>
                </w:p>
              </w:tc>
              <w:tc>
                <w:tcPr>
                  <w:tcW w:w="474" w:type="pct"/>
                  <w:vMerge w:val="continue"/>
                  <w:vAlign w:val="center"/>
                </w:tcPr>
                <w:p w14:paraId="166D36D2">
                  <w:pPr>
                    <w:jc w:val="center"/>
                    <w:rPr>
                      <w:rFonts w:hint="default" w:ascii="Times New Roman" w:hAnsi="Times New Roman" w:eastAsia="宋体" w:cs="Times New Roman"/>
                      <w:color w:val="auto"/>
                    </w:rPr>
                  </w:pPr>
                </w:p>
              </w:tc>
              <w:tc>
                <w:tcPr>
                  <w:tcW w:w="470" w:type="pct"/>
                  <w:vAlign w:val="center"/>
                </w:tcPr>
                <w:p w14:paraId="29F8C84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2BC3787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21户农户</w:t>
                  </w:r>
                </w:p>
              </w:tc>
              <w:tc>
                <w:tcPr>
                  <w:tcW w:w="552" w:type="pct"/>
                  <w:vAlign w:val="center"/>
                </w:tcPr>
                <w:p w14:paraId="4157B3D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7E2D1EA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129-500</w:t>
                  </w:r>
                </w:p>
              </w:tc>
              <w:tc>
                <w:tcPr>
                  <w:tcW w:w="735" w:type="pct"/>
                  <w:vMerge w:val="continue"/>
                  <w:vAlign w:val="center"/>
                </w:tcPr>
                <w:p w14:paraId="201BA74A">
                  <w:pPr>
                    <w:jc w:val="center"/>
                    <w:rPr>
                      <w:rFonts w:hint="default" w:ascii="Times New Roman" w:hAnsi="Times New Roman" w:eastAsia="宋体" w:cs="Times New Roman"/>
                      <w:color w:val="auto"/>
                    </w:rPr>
                  </w:pPr>
                </w:p>
              </w:tc>
            </w:tr>
            <w:tr w14:paraId="0F80CA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3ADDC52D">
                  <w:pPr>
                    <w:jc w:val="center"/>
                    <w:rPr>
                      <w:rFonts w:hint="default" w:ascii="Times New Roman" w:hAnsi="Times New Roman" w:eastAsia="宋体" w:cs="Times New Roman"/>
                      <w:color w:val="auto"/>
                    </w:rPr>
                  </w:pPr>
                </w:p>
              </w:tc>
              <w:tc>
                <w:tcPr>
                  <w:tcW w:w="558" w:type="pct"/>
                  <w:vMerge w:val="restart"/>
                  <w:vAlign w:val="center"/>
                </w:tcPr>
                <w:p w14:paraId="6DCCB16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104.89628</w:t>
                  </w:r>
                </w:p>
              </w:tc>
              <w:tc>
                <w:tcPr>
                  <w:tcW w:w="491" w:type="pct"/>
                  <w:vMerge w:val="restart"/>
                  <w:vAlign w:val="center"/>
                </w:tcPr>
                <w:p w14:paraId="44ABC38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30.521559</w:t>
                  </w:r>
                </w:p>
              </w:tc>
              <w:tc>
                <w:tcPr>
                  <w:tcW w:w="474" w:type="pct"/>
                  <w:vMerge w:val="restart"/>
                  <w:vAlign w:val="center"/>
                </w:tcPr>
                <w:p w14:paraId="07046F0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w:t>
                  </w:r>
                </w:p>
              </w:tc>
              <w:tc>
                <w:tcPr>
                  <w:tcW w:w="470" w:type="pct"/>
                  <w:vAlign w:val="center"/>
                </w:tcPr>
                <w:p w14:paraId="694D77A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2E30F9A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9户农户</w:t>
                  </w:r>
                </w:p>
              </w:tc>
              <w:tc>
                <w:tcPr>
                  <w:tcW w:w="552" w:type="pct"/>
                  <w:vAlign w:val="center"/>
                </w:tcPr>
                <w:p w14:paraId="68A346D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3CE4DA9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178-500</w:t>
                  </w:r>
                </w:p>
              </w:tc>
              <w:tc>
                <w:tcPr>
                  <w:tcW w:w="735" w:type="pct"/>
                  <w:vMerge w:val="continue"/>
                  <w:vAlign w:val="center"/>
                </w:tcPr>
                <w:p w14:paraId="7F51CC71">
                  <w:pPr>
                    <w:jc w:val="center"/>
                    <w:rPr>
                      <w:rFonts w:hint="default" w:ascii="Times New Roman" w:hAnsi="Times New Roman" w:eastAsia="宋体" w:cs="Times New Roman"/>
                      <w:color w:val="auto"/>
                    </w:rPr>
                  </w:pPr>
                </w:p>
              </w:tc>
            </w:tr>
            <w:tr w14:paraId="67FBD8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6A55333A">
                  <w:pPr>
                    <w:jc w:val="center"/>
                    <w:rPr>
                      <w:rFonts w:hint="default" w:ascii="Times New Roman" w:hAnsi="Times New Roman" w:eastAsia="宋体" w:cs="Times New Roman"/>
                      <w:color w:val="auto"/>
                    </w:rPr>
                  </w:pPr>
                </w:p>
              </w:tc>
              <w:tc>
                <w:tcPr>
                  <w:tcW w:w="558" w:type="pct"/>
                  <w:vMerge w:val="continue"/>
                  <w:vAlign w:val="center"/>
                </w:tcPr>
                <w:p w14:paraId="5A1AAE89">
                  <w:pPr>
                    <w:jc w:val="center"/>
                    <w:rPr>
                      <w:rFonts w:hint="default" w:ascii="Times New Roman" w:hAnsi="Times New Roman" w:eastAsia="宋体" w:cs="Times New Roman"/>
                      <w:color w:val="auto"/>
                    </w:rPr>
                  </w:pPr>
                </w:p>
              </w:tc>
              <w:tc>
                <w:tcPr>
                  <w:tcW w:w="491" w:type="pct"/>
                  <w:vMerge w:val="continue"/>
                  <w:vAlign w:val="center"/>
                </w:tcPr>
                <w:p w14:paraId="28869B23">
                  <w:pPr>
                    <w:jc w:val="center"/>
                    <w:rPr>
                      <w:rFonts w:hint="default" w:ascii="Times New Roman" w:hAnsi="Times New Roman" w:eastAsia="宋体" w:cs="Times New Roman"/>
                      <w:color w:val="auto"/>
                    </w:rPr>
                  </w:pPr>
                </w:p>
              </w:tc>
              <w:tc>
                <w:tcPr>
                  <w:tcW w:w="474" w:type="pct"/>
                  <w:vMerge w:val="continue"/>
                  <w:vAlign w:val="center"/>
                </w:tcPr>
                <w:p w14:paraId="0DD3C2A1">
                  <w:pPr>
                    <w:jc w:val="center"/>
                    <w:rPr>
                      <w:rFonts w:hint="default" w:ascii="Times New Roman" w:hAnsi="Times New Roman" w:eastAsia="宋体" w:cs="Times New Roman"/>
                      <w:color w:val="auto"/>
                    </w:rPr>
                  </w:pPr>
                </w:p>
              </w:tc>
              <w:tc>
                <w:tcPr>
                  <w:tcW w:w="470" w:type="pct"/>
                  <w:vAlign w:val="center"/>
                </w:tcPr>
                <w:p w14:paraId="5EF571D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37F1034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13户农户</w:t>
                  </w:r>
                </w:p>
              </w:tc>
              <w:tc>
                <w:tcPr>
                  <w:tcW w:w="552" w:type="pct"/>
                  <w:vAlign w:val="center"/>
                </w:tcPr>
                <w:p w14:paraId="654908B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1415799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253-413</w:t>
                  </w:r>
                </w:p>
              </w:tc>
              <w:tc>
                <w:tcPr>
                  <w:tcW w:w="735" w:type="pct"/>
                  <w:vMerge w:val="continue"/>
                  <w:vAlign w:val="center"/>
                </w:tcPr>
                <w:p w14:paraId="22B98595">
                  <w:pPr>
                    <w:jc w:val="center"/>
                    <w:rPr>
                      <w:rFonts w:hint="default" w:ascii="Times New Roman" w:hAnsi="Times New Roman" w:eastAsia="宋体" w:cs="Times New Roman"/>
                      <w:color w:val="auto"/>
                    </w:rPr>
                  </w:pPr>
                </w:p>
              </w:tc>
            </w:tr>
            <w:tr w14:paraId="38823E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256" w:type="pct"/>
                  <w:vMerge w:val="continue"/>
                  <w:vAlign w:val="center"/>
                </w:tcPr>
                <w:p w14:paraId="06DCCBE2">
                  <w:pPr>
                    <w:jc w:val="center"/>
                    <w:rPr>
                      <w:rFonts w:hint="default" w:ascii="Times New Roman" w:hAnsi="Times New Roman" w:eastAsia="宋体" w:cs="Times New Roman"/>
                      <w:color w:val="auto"/>
                    </w:rPr>
                  </w:pPr>
                </w:p>
              </w:tc>
              <w:tc>
                <w:tcPr>
                  <w:tcW w:w="558" w:type="pct"/>
                  <w:vMerge w:val="restart"/>
                  <w:vAlign w:val="center"/>
                </w:tcPr>
                <w:p w14:paraId="0A4C2B1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104.902631</w:t>
                  </w:r>
                </w:p>
              </w:tc>
              <w:tc>
                <w:tcPr>
                  <w:tcW w:w="491" w:type="pct"/>
                  <w:vMerge w:val="restart"/>
                  <w:vAlign w:val="center"/>
                </w:tcPr>
                <w:p w14:paraId="2142B5A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30.511431</w:t>
                  </w:r>
                </w:p>
              </w:tc>
              <w:tc>
                <w:tcPr>
                  <w:tcW w:w="474" w:type="pct"/>
                  <w:vMerge w:val="restart"/>
                  <w:vAlign w:val="center"/>
                </w:tcPr>
                <w:p w14:paraId="2876939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4#</w:t>
                  </w:r>
                </w:p>
              </w:tc>
              <w:tc>
                <w:tcPr>
                  <w:tcW w:w="470" w:type="pct"/>
                  <w:vAlign w:val="center"/>
                </w:tcPr>
                <w:p w14:paraId="5008A56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23CD2D5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3户农户</w:t>
                  </w:r>
                </w:p>
              </w:tc>
              <w:tc>
                <w:tcPr>
                  <w:tcW w:w="552" w:type="pct"/>
                  <w:vAlign w:val="center"/>
                </w:tcPr>
                <w:p w14:paraId="46B6D63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东北侧</w:t>
                  </w:r>
                </w:p>
              </w:tc>
              <w:tc>
                <w:tcPr>
                  <w:tcW w:w="582" w:type="pct"/>
                  <w:vAlign w:val="center"/>
                </w:tcPr>
                <w:p w14:paraId="19BE5D0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178-253</w:t>
                  </w:r>
                </w:p>
              </w:tc>
              <w:tc>
                <w:tcPr>
                  <w:tcW w:w="735" w:type="pct"/>
                  <w:vMerge w:val="continue"/>
                  <w:vAlign w:val="center"/>
                </w:tcPr>
                <w:p w14:paraId="7348FC2E">
                  <w:pPr>
                    <w:jc w:val="center"/>
                    <w:rPr>
                      <w:rFonts w:hint="default" w:ascii="Times New Roman" w:hAnsi="Times New Roman" w:eastAsia="宋体" w:cs="Times New Roman"/>
                      <w:color w:val="auto"/>
                    </w:rPr>
                  </w:pPr>
                </w:p>
              </w:tc>
            </w:tr>
            <w:tr w14:paraId="3FF164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69C7887A">
                  <w:pPr>
                    <w:jc w:val="center"/>
                    <w:rPr>
                      <w:rFonts w:hint="default" w:ascii="Times New Roman" w:hAnsi="Times New Roman" w:eastAsia="宋体" w:cs="Times New Roman"/>
                      <w:color w:val="auto"/>
                    </w:rPr>
                  </w:pPr>
                </w:p>
              </w:tc>
              <w:tc>
                <w:tcPr>
                  <w:tcW w:w="558" w:type="pct"/>
                  <w:vMerge w:val="continue"/>
                  <w:vAlign w:val="center"/>
                </w:tcPr>
                <w:p w14:paraId="6A0D7B9B">
                  <w:pPr>
                    <w:jc w:val="center"/>
                    <w:rPr>
                      <w:rFonts w:hint="default" w:ascii="Times New Roman" w:hAnsi="Times New Roman" w:eastAsia="宋体" w:cs="Times New Roman"/>
                      <w:color w:val="auto"/>
                    </w:rPr>
                  </w:pPr>
                </w:p>
              </w:tc>
              <w:tc>
                <w:tcPr>
                  <w:tcW w:w="491" w:type="pct"/>
                  <w:vMerge w:val="continue"/>
                  <w:vAlign w:val="center"/>
                </w:tcPr>
                <w:p w14:paraId="714ECF13">
                  <w:pPr>
                    <w:jc w:val="center"/>
                    <w:rPr>
                      <w:rFonts w:hint="default" w:ascii="Times New Roman" w:hAnsi="Times New Roman" w:eastAsia="宋体" w:cs="Times New Roman"/>
                      <w:color w:val="auto"/>
                    </w:rPr>
                  </w:pPr>
                </w:p>
              </w:tc>
              <w:tc>
                <w:tcPr>
                  <w:tcW w:w="474" w:type="pct"/>
                  <w:vMerge w:val="continue"/>
                  <w:vAlign w:val="center"/>
                </w:tcPr>
                <w:p w14:paraId="3285651E">
                  <w:pPr>
                    <w:jc w:val="center"/>
                    <w:rPr>
                      <w:rFonts w:hint="default" w:ascii="Times New Roman" w:hAnsi="Times New Roman" w:eastAsia="宋体" w:cs="Times New Roman"/>
                      <w:color w:val="auto"/>
                    </w:rPr>
                  </w:pPr>
                </w:p>
              </w:tc>
              <w:tc>
                <w:tcPr>
                  <w:tcW w:w="470" w:type="pct"/>
                  <w:vAlign w:val="center"/>
                </w:tcPr>
                <w:p w14:paraId="4D93F09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50E758B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5户农户</w:t>
                  </w:r>
                </w:p>
              </w:tc>
              <w:tc>
                <w:tcPr>
                  <w:tcW w:w="552" w:type="pct"/>
                  <w:vAlign w:val="center"/>
                </w:tcPr>
                <w:p w14:paraId="0C9AB99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东南侧</w:t>
                  </w:r>
                </w:p>
              </w:tc>
              <w:tc>
                <w:tcPr>
                  <w:tcW w:w="582" w:type="pct"/>
                  <w:vAlign w:val="center"/>
                </w:tcPr>
                <w:p w14:paraId="72E6CC8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111-321</w:t>
                  </w:r>
                </w:p>
              </w:tc>
              <w:tc>
                <w:tcPr>
                  <w:tcW w:w="735" w:type="pct"/>
                  <w:vMerge w:val="continue"/>
                  <w:vAlign w:val="center"/>
                </w:tcPr>
                <w:p w14:paraId="26E48BC0">
                  <w:pPr>
                    <w:jc w:val="center"/>
                    <w:rPr>
                      <w:rFonts w:hint="default" w:ascii="Times New Roman" w:hAnsi="Times New Roman" w:eastAsia="宋体" w:cs="Times New Roman"/>
                      <w:color w:val="auto"/>
                    </w:rPr>
                  </w:pPr>
                </w:p>
              </w:tc>
            </w:tr>
            <w:tr w14:paraId="013E25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33545FBB">
                  <w:pPr>
                    <w:jc w:val="center"/>
                    <w:rPr>
                      <w:rFonts w:hint="default" w:ascii="Times New Roman" w:hAnsi="Times New Roman" w:eastAsia="宋体" w:cs="Times New Roman"/>
                      <w:color w:val="auto"/>
                    </w:rPr>
                  </w:pPr>
                </w:p>
              </w:tc>
              <w:tc>
                <w:tcPr>
                  <w:tcW w:w="558" w:type="pct"/>
                  <w:vMerge w:val="continue"/>
                  <w:vAlign w:val="center"/>
                </w:tcPr>
                <w:p w14:paraId="2706E8A1">
                  <w:pPr>
                    <w:jc w:val="center"/>
                    <w:rPr>
                      <w:rFonts w:hint="default" w:ascii="Times New Roman" w:hAnsi="Times New Roman" w:eastAsia="宋体" w:cs="Times New Roman"/>
                      <w:color w:val="auto"/>
                    </w:rPr>
                  </w:pPr>
                </w:p>
              </w:tc>
              <w:tc>
                <w:tcPr>
                  <w:tcW w:w="491" w:type="pct"/>
                  <w:vMerge w:val="continue"/>
                  <w:vAlign w:val="center"/>
                </w:tcPr>
                <w:p w14:paraId="2F615B5A">
                  <w:pPr>
                    <w:jc w:val="center"/>
                    <w:rPr>
                      <w:rFonts w:hint="default" w:ascii="Times New Roman" w:hAnsi="Times New Roman" w:eastAsia="宋体" w:cs="Times New Roman"/>
                      <w:color w:val="auto"/>
                    </w:rPr>
                  </w:pPr>
                </w:p>
              </w:tc>
              <w:tc>
                <w:tcPr>
                  <w:tcW w:w="474" w:type="pct"/>
                  <w:vMerge w:val="continue"/>
                  <w:vAlign w:val="center"/>
                </w:tcPr>
                <w:p w14:paraId="129EE4E4">
                  <w:pPr>
                    <w:jc w:val="center"/>
                    <w:rPr>
                      <w:rFonts w:hint="default" w:ascii="Times New Roman" w:hAnsi="Times New Roman" w:eastAsia="宋体" w:cs="Times New Roman"/>
                      <w:color w:val="auto"/>
                    </w:rPr>
                  </w:pPr>
                </w:p>
              </w:tc>
              <w:tc>
                <w:tcPr>
                  <w:tcW w:w="470" w:type="pct"/>
                  <w:vAlign w:val="center"/>
                </w:tcPr>
                <w:p w14:paraId="350D6A5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14CB9CA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5户农户</w:t>
                  </w:r>
                </w:p>
              </w:tc>
              <w:tc>
                <w:tcPr>
                  <w:tcW w:w="552" w:type="pct"/>
                  <w:vAlign w:val="center"/>
                </w:tcPr>
                <w:p w14:paraId="561422F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西南侧</w:t>
                  </w:r>
                </w:p>
              </w:tc>
              <w:tc>
                <w:tcPr>
                  <w:tcW w:w="582" w:type="pct"/>
                  <w:vAlign w:val="center"/>
                </w:tcPr>
                <w:p w14:paraId="6620B3D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231-415</w:t>
                  </w:r>
                </w:p>
              </w:tc>
              <w:tc>
                <w:tcPr>
                  <w:tcW w:w="735" w:type="pct"/>
                  <w:vMerge w:val="continue"/>
                  <w:vAlign w:val="center"/>
                </w:tcPr>
                <w:p w14:paraId="34398F3F">
                  <w:pPr>
                    <w:jc w:val="center"/>
                    <w:rPr>
                      <w:rFonts w:hint="default" w:ascii="Times New Roman" w:hAnsi="Times New Roman" w:eastAsia="宋体" w:cs="Times New Roman"/>
                      <w:color w:val="auto"/>
                    </w:rPr>
                  </w:pPr>
                </w:p>
              </w:tc>
            </w:tr>
            <w:tr w14:paraId="352120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4D0BD400">
                  <w:pPr>
                    <w:jc w:val="center"/>
                    <w:rPr>
                      <w:rFonts w:hint="default" w:ascii="Times New Roman" w:hAnsi="Times New Roman" w:eastAsia="宋体" w:cs="Times New Roman"/>
                      <w:color w:val="auto"/>
                    </w:rPr>
                  </w:pPr>
                </w:p>
              </w:tc>
              <w:tc>
                <w:tcPr>
                  <w:tcW w:w="558" w:type="pct"/>
                  <w:vAlign w:val="center"/>
                </w:tcPr>
                <w:p w14:paraId="01E9A2F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104.906665</w:t>
                  </w:r>
                </w:p>
              </w:tc>
              <w:tc>
                <w:tcPr>
                  <w:tcW w:w="491" w:type="pct"/>
                  <w:vAlign w:val="center"/>
                </w:tcPr>
                <w:p w14:paraId="60D2B2F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30.519327</w:t>
                  </w:r>
                </w:p>
              </w:tc>
              <w:tc>
                <w:tcPr>
                  <w:tcW w:w="474" w:type="pct"/>
                  <w:vAlign w:val="center"/>
                </w:tcPr>
                <w:p w14:paraId="0CC9A26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5#</w:t>
                  </w:r>
                </w:p>
              </w:tc>
              <w:tc>
                <w:tcPr>
                  <w:tcW w:w="470" w:type="pct"/>
                  <w:vAlign w:val="center"/>
                </w:tcPr>
                <w:p w14:paraId="2B87104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605C0AA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41户农户</w:t>
                  </w:r>
                </w:p>
              </w:tc>
              <w:tc>
                <w:tcPr>
                  <w:tcW w:w="552" w:type="pct"/>
                  <w:vAlign w:val="center"/>
                </w:tcPr>
                <w:p w14:paraId="16ECF89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东南侧</w:t>
                  </w:r>
                </w:p>
              </w:tc>
              <w:tc>
                <w:tcPr>
                  <w:tcW w:w="582" w:type="pct"/>
                  <w:vAlign w:val="center"/>
                </w:tcPr>
                <w:p w14:paraId="3E78A44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43-500</w:t>
                  </w:r>
                </w:p>
              </w:tc>
              <w:tc>
                <w:tcPr>
                  <w:tcW w:w="735" w:type="pct"/>
                  <w:vMerge w:val="continue"/>
                  <w:vAlign w:val="center"/>
                </w:tcPr>
                <w:p w14:paraId="2B6E8925">
                  <w:pPr>
                    <w:jc w:val="center"/>
                    <w:rPr>
                      <w:rFonts w:hint="default" w:ascii="Times New Roman" w:hAnsi="Times New Roman" w:eastAsia="宋体" w:cs="Times New Roman"/>
                      <w:color w:val="auto"/>
                    </w:rPr>
                  </w:pPr>
                </w:p>
              </w:tc>
            </w:tr>
            <w:tr w14:paraId="4AB3DE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20E5114C">
                  <w:pPr>
                    <w:jc w:val="center"/>
                    <w:rPr>
                      <w:rFonts w:hint="default" w:ascii="Times New Roman" w:hAnsi="Times New Roman" w:eastAsia="宋体" w:cs="Times New Roman"/>
                      <w:color w:val="auto"/>
                    </w:rPr>
                  </w:pPr>
                </w:p>
              </w:tc>
              <w:tc>
                <w:tcPr>
                  <w:tcW w:w="558" w:type="pct"/>
                  <w:vAlign w:val="center"/>
                </w:tcPr>
                <w:p w14:paraId="6926CFB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104.930268</w:t>
                  </w:r>
                </w:p>
              </w:tc>
              <w:tc>
                <w:tcPr>
                  <w:tcW w:w="491" w:type="pct"/>
                  <w:vAlign w:val="center"/>
                </w:tcPr>
                <w:p w14:paraId="257F4FD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30.511774</w:t>
                  </w:r>
                </w:p>
              </w:tc>
              <w:tc>
                <w:tcPr>
                  <w:tcW w:w="474" w:type="pct"/>
                  <w:vAlign w:val="center"/>
                </w:tcPr>
                <w:p w14:paraId="3194EEA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6#</w:t>
                  </w:r>
                </w:p>
              </w:tc>
              <w:tc>
                <w:tcPr>
                  <w:tcW w:w="470" w:type="pct"/>
                  <w:vAlign w:val="center"/>
                </w:tcPr>
                <w:p w14:paraId="58912AE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75F4BA4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41户农户</w:t>
                  </w:r>
                </w:p>
              </w:tc>
              <w:tc>
                <w:tcPr>
                  <w:tcW w:w="552" w:type="pct"/>
                  <w:vAlign w:val="center"/>
                </w:tcPr>
                <w:p w14:paraId="578A3B0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2925202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43-500</w:t>
                  </w:r>
                </w:p>
              </w:tc>
              <w:tc>
                <w:tcPr>
                  <w:tcW w:w="735" w:type="pct"/>
                  <w:vMerge w:val="continue"/>
                  <w:vAlign w:val="center"/>
                </w:tcPr>
                <w:p w14:paraId="660B066A">
                  <w:pPr>
                    <w:jc w:val="center"/>
                    <w:rPr>
                      <w:rFonts w:hint="default" w:ascii="Times New Roman" w:hAnsi="Times New Roman" w:eastAsia="宋体" w:cs="Times New Roman"/>
                      <w:color w:val="auto"/>
                    </w:rPr>
                  </w:pPr>
                </w:p>
              </w:tc>
            </w:tr>
            <w:tr w14:paraId="3C7804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5F0C9759">
                  <w:pPr>
                    <w:jc w:val="center"/>
                    <w:rPr>
                      <w:rFonts w:hint="default" w:ascii="Times New Roman" w:hAnsi="Times New Roman" w:eastAsia="宋体" w:cs="Times New Roman"/>
                      <w:color w:val="auto"/>
                    </w:rPr>
                  </w:pPr>
                </w:p>
              </w:tc>
              <w:tc>
                <w:tcPr>
                  <w:tcW w:w="558" w:type="pct"/>
                  <w:vMerge w:val="restart"/>
                  <w:vAlign w:val="center"/>
                </w:tcPr>
                <w:p w14:paraId="775F27E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104.938680</w:t>
                  </w:r>
                </w:p>
              </w:tc>
              <w:tc>
                <w:tcPr>
                  <w:tcW w:w="491" w:type="pct"/>
                  <w:vMerge w:val="restart"/>
                  <w:vAlign w:val="center"/>
                </w:tcPr>
                <w:p w14:paraId="1FE224B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30.507354</w:t>
                  </w:r>
                </w:p>
              </w:tc>
              <w:tc>
                <w:tcPr>
                  <w:tcW w:w="474" w:type="pct"/>
                  <w:vMerge w:val="restart"/>
                  <w:vAlign w:val="center"/>
                </w:tcPr>
                <w:p w14:paraId="0BD7BEA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7#</w:t>
                  </w:r>
                </w:p>
              </w:tc>
              <w:tc>
                <w:tcPr>
                  <w:tcW w:w="470" w:type="pct"/>
                  <w:vAlign w:val="center"/>
                </w:tcPr>
                <w:p w14:paraId="18A2528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09A4296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19户农户</w:t>
                  </w:r>
                </w:p>
              </w:tc>
              <w:tc>
                <w:tcPr>
                  <w:tcW w:w="552" w:type="pct"/>
                  <w:vAlign w:val="center"/>
                </w:tcPr>
                <w:p w14:paraId="5538407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29C65BA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103-500</w:t>
                  </w:r>
                </w:p>
              </w:tc>
              <w:tc>
                <w:tcPr>
                  <w:tcW w:w="735" w:type="pct"/>
                  <w:vMerge w:val="continue"/>
                  <w:vAlign w:val="center"/>
                </w:tcPr>
                <w:p w14:paraId="3FC7EE6C">
                  <w:pPr>
                    <w:jc w:val="center"/>
                    <w:rPr>
                      <w:rFonts w:hint="default" w:ascii="Times New Roman" w:hAnsi="Times New Roman" w:eastAsia="宋体" w:cs="Times New Roman"/>
                      <w:color w:val="auto"/>
                    </w:rPr>
                  </w:pPr>
                </w:p>
              </w:tc>
            </w:tr>
            <w:tr w14:paraId="61A196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33D4A52B">
                  <w:pPr>
                    <w:jc w:val="center"/>
                    <w:rPr>
                      <w:rFonts w:hint="default" w:ascii="Times New Roman" w:hAnsi="Times New Roman" w:eastAsia="宋体" w:cs="Times New Roman"/>
                      <w:color w:val="auto"/>
                    </w:rPr>
                  </w:pPr>
                </w:p>
              </w:tc>
              <w:tc>
                <w:tcPr>
                  <w:tcW w:w="558" w:type="pct"/>
                  <w:vMerge w:val="continue"/>
                  <w:vAlign w:val="center"/>
                </w:tcPr>
                <w:p w14:paraId="5CA4257A">
                  <w:pPr>
                    <w:jc w:val="center"/>
                    <w:rPr>
                      <w:rFonts w:hint="default" w:ascii="Times New Roman" w:hAnsi="Times New Roman" w:eastAsia="宋体" w:cs="Times New Roman"/>
                      <w:color w:val="auto"/>
                    </w:rPr>
                  </w:pPr>
                </w:p>
              </w:tc>
              <w:tc>
                <w:tcPr>
                  <w:tcW w:w="491" w:type="pct"/>
                  <w:vMerge w:val="continue"/>
                  <w:vAlign w:val="center"/>
                </w:tcPr>
                <w:p w14:paraId="44F6EEFA">
                  <w:pPr>
                    <w:jc w:val="center"/>
                    <w:rPr>
                      <w:rFonts w:hint="default" w:ascii="Times New Roman" w:hAnsi="Times New Roman" w:eastAsia="宋体" w:cs="Times New Roman"/>
                      <w:color w:val="auto"/>
                    </w:rPr>
                  </w:pPr>
                </w:p>
              </w:tc>
              <w:tc>
                <w:tcPr>
                  <w:tcW w:w="474" w:type="pct"/>
                  <w:vMerge w:val="continue"/>
                  <w:vAlign w:val="center"/>
                </w:tcPr>
                <w:p w14:paraId="606DD28C">
                  <w:pPr>
                    <w:jc w:val="center"/>
                    <w:rPr>
                      <w:rFonts w:hint="default" w:ascii="Times New Roman" w:hAnsi="Times New Roman" w:eastAsia="宋体" w:cs="Times New Roman"/>
                      <w:color w:val="auto"/>
                    </w:rPr>
                  </w:pPr>
                </w:p>
              </w:tc>
              <w:tc>
                <w:tcPr>
                  <w:tcW w:w="470" w:type="pct"/>
                  <w:vAlign w:val="center"/>
                </w:tcPr>
                <w:p w14:paraId="4AC74E0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690829E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21户农户</w:t>
                  </w:r>
                </w:p>
              </w:tc>
              <w:tc>
                <w:tcPr>
                  <w:tcW w:w="552" w:type="pct"/>
                  <w:vAlign w:val="center"/>
                </w:tcPr>
                <w:p w14:paraId="7D96823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0AB8BB6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321-500</w:t>
                  </w:r>
                </w:p>
              </w:tc>
              <w:tc>
                <w:tcPr>
                  <w:tcW w:w="735" w:type="pct"/>
                  <w:vMerge w:val="continue"/>
                  <w:vAlign w:val="center"/>
                </w:tcPr>
                <w:p w14:paraId="0D9CB0CD">
                  <w:pPr>
                    <w:jc w:val="center"/>
                    <w:rPr>
                      <w:rFonts w:hint="default" w:ascii="Times New Roman" w:hAnsi="Times New Roman" w:eastAsia="宋体" w:cs="Times New Roman"/>
                      <w:color w:val="auto"/>
                    </w:rPr>
                  </w:pPr>
                </w:p>
              </w:tc>
            </w:tr>
            <w:tr w14:paraId="50A361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684C7C34">
                  <w:pPr>
                    <w:jc w:val="center"/>
                    <w:rPr>
                      <w:rFonts w:hint="default" w:ascii="Times New Roman" w:hAnsi="Times New Roman" w:eastAsia="宋体" w:cs="Times New Roman"/>
                      <w:color w:val="auto"/>
                    </w:rPr>
                  </w:pPr>
                </w:p>
              </w:tc>
              <w:tc>
                <w:tcPr>
                  <w:tcW w:w="558" w:type="pct"/>
                  <w:vMerge w:val="restart"/>
                  <w:vAlign w:val="center"/>
                </w:tcPr>
                <w:p w14:paraId="697B175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104.942886</w:t>
                  </w:r>
                </w:p>
              </w:tc>
              <w:tc>
                <w:tcPr>
                  <w:tcW w:w="491" w:type="pct"/>
                  <w:vMerge w:val="restart"/>
                  <w:vAlign w:val="center"/>
                </w:tcPr>
                <w:p w14:paraId="216C1D2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30.507911</w:t>
                  </w:r>
                </w:p>
              </w:tc>
              <w:tc>
                <w:tcPr>
                  <w:tcW w:w="474" w:type="pct"/>
                  <w:vMerge w:val="restart"/>
                  <w:vAlign w:val="center"/>
                </w:tcPr>
                <w:p w14:paraId="3694D72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8#</w:t>
                  </w:r>
                </w:p>
              </w:tc>
              <w:tc>
                <w:tcPr>
                  <w:tcW w:w="470" w:type="pct"/>
                  <w:vAlign w:val="center"/>
                </w:tcPr>
                <w:p w14:paraId="57B4766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63F9D76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21户农户</w:t>
                  </w:r>
                </w:p>
              </w:tc>
              <w:tc>
                <w:tcPr>
                  <w:tcW w:w="552" w:type="pct"/>
                  <w:vAlign w:val="center"/>
                </w:tcPr>
                <w:p w14:paraId="7E09560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4FD84ED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136-500</w:t>
                  </w:r>
                </w:p>
              </w:tc>
              <w:tc>
                <w:tcPr>
                  <w:tcW w:w="735" w:type="pct"/>
                  <w:vMerge w:val="continue"/>
                  <w:vAlign w:val="center"/>
                </w:tcPr>
                <w:p w14:paraId="307D81E8">
                  <w:pPr>
                    <w:jc w:val="center"/>
                    <w:rPr>
                      <w:rFonts w:hint="default" w:ascii="Times New Roman" w:hAnsi="Times New Roman" w:eastAsia="宋体" w:cs="Times New Roman"/>
                      <w:color w:val="auto"/>
                    </w:rPr>
                  </w:pPr>
                </w:p>
              </w:tc>
            </w:tr>
            <w:tr w14:paraId="38AA3E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7A493328">
                  <w:pPr>
                    <w:jc w:val="center"/>
                    <w:rPr>
                      <w:rFonts w:hint="default" w:ascii="Times New Roman" w:hAnsi="Times New Roman" w:eastAsia="宋体" w:cs="Times New Roman"/>
                      <w:color w:val="auto"/>
                    </w:rPr>
                  </w:pPr>
                </w:p>
              </w:tc>
              <w:tc>
                <w:tcPr>
                  <w:tcW w:w="558" w:type="pct"/>
                  <w:vMerge w:val="continue"/>
                  <w:vAlign w:val="center"/>
                </w:tcPr>
                <w:p w14:paraId="62B98C9D">
                  <w:pPr>
                    <w:jc w:val="center"/>
                    <w:rPr>
                      <w:rFonts w:hint="default" w:ascii="Times New Roman" w:hAnsi="Times New Roman" w:eastAsia="宋体" w:cs="Times New Roman"/>
                      <w:color w:val="auto"/>
                    </w:rPr>
                  </w:pPr>
                </w:p>
              </w:tc>
              <w:tc>
                <w:tcPr>
                  <w:tcW w:w="491" w:type="pct"/>
                  <w:vMerge w:val="continue"/>
                  <w:vAlign w:val="center"/>
                </w:tcPr>
                <w:p w14:paraId="6A4AD6FA">
                  <w:pPr>
                    <w:jc w:val="center"/>
                    <w:rPr>
                      <w:rFonts w:hint="default" w:ascii="Times New Roman" w:hAnsi="Times New Roman" w:eastAsia="宋体" w:cs="Times New Roman"/>
                      <w:color w:val="auto"/>
                    </w:rPr>
                  </w:pPr>
                </w:p>
              </w:tc>
              <w:tc>
                <w:tcPr>
                  <w:tcW w:w="474" w:type="pct"/>
                  <w:vMerge w:val="continue"/>
                  <w:vAlign w:val="center"/>
                </w:tcPr>
                <w:p w14:paraId="3361DAAD">
                  <w:pPr>
                    <w:jc w:val="center"/>
                    <w:rPr>
                      <w:rFonts w:hint="default" w:ascii="Times New Roman" w:hAnsi="Times New Roman" w:eastAsia="宋体" w:cs="Times New Roman"/>
                      <w:color w:val="auto"/>
                    </w:rPr>
                  </w:pPr>
                </w:p>
              </w:tc>
              <w:tc>
                <w:tcPr>
                  <w:tcW w:w="470" w:type="pct"/>
                  <w:vAlign w:val="center"/>
                </w:tcPr>
                <w:p w14:paraId="5873CE0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4BACBEF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13户农户</w:t>
                  </w:r>
                </w:p>
              </w:tc>
              <w:tc>
                <w:tcPr>
                  <w:tcW w:w="552" w:type="pct"/>
                  <w:vAlign w:val="center"/>
                </w:tcPr>
                <w:p w14:paraId="4E86D67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南侧</w:t>
                  </w:r>
                </w:p>
              </w:tc>
              <w:tc>
                <w:tcPr>
                  <w:tcW w:w="582" w:type="pct"/>
                  <w:vAlign w:val="center"/>
                </w:tcPr>
                <w:p w14:paraId="0DA6729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98-351</w:t>
                  </w:r>
                </w:p>
              </w:tc>
              <w:tc>
                <w:tcPr>
                  <w:tcW w:w="735" w:type="pct"/>
                  <w:vMerge w:val="continue"/>
                  <w:vAlign w:val="center"/>
                </w:tcPr>
                <w:p w14:paraId="1A9279E8">
                  <w:pPr>
                    <w:jc w:val="center"/>
                    <w:rPr>
                      <w:rFonts w:hint="default" w:ascii="Times New Roman" w:hAnsi="Times New Roman" w:eastAsia="宋体" w:cs="Times New Roman"/>
                      <w:color w:val="auto"/>
                    </w:rPr>
                  </w:pPr>
                </w:p>
              </w:tc>
            </w:tr>
            <w:tr w14:paraId="2A241F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256" w:type="pct"/>
                  <w:vMerge w:val="continue"/>
                  <w:vAlign w:val="center"/>
                </w:tcPr>
                <w:p w14:paraId="31FAEAAD">
                  <w:pPr>
                    <w:jc w:val="center"/>
                    <w:rPr>
                      <w:rFonts w:hint="default" w:ascii="Times New Roman" w:hAnsi="Times New Roman" w:eastAsia="宋体" w:cs="Times New Roman"/>
                      <w:color w:val="auto"/>
                    </w:rPr>
                  </w:pPr>
                </w:p>
              </w:tc>
              <w:tc>
                <w:tcPr>
                  <w:tcW w:w="558" w:type="pct"/>
                  <w:vMerge w:val="continue"/>
                  <w:vAlign w:val="center"/>
                </w:tcPr>
                <w:p w14:paraId="01D91F68">
                  <w:pPr>
                    <w:jc w:val="center"/>
                    <w:rPr>
                      <w:rFonts w:hint="default" w:ascii="Times New Roman" w:hAnsi="Times New Roman" w:eastAsia="宋体" w:cs="Times New Roman"/>
                      <w:color w:val="auto"/>
                    </w:rPr>
                  </w:pPr>
                </w:p>
              </w:tc>
              <w:tc>
                <w:tcPr>
                  <w:tcW w:w="491" w:type="pct"/>
                  <w:vMerge w:val="continue"/>
                  <w:vAlign w:val="center"/>
                </w:tcPr>
                <w:p w14:paraId="5391B9B3">
                  <w:pPr>
                    <w:jc w:val="center"/>
                    <w:rPr>
                      <w:rFonts w:hint="default" w:ascii="Times New Roman" w:hAnsi="Times New Roman" w:eastAsia="宋体" w:cs="Times New Roman"/>
                      <w:color w:val="auto"/>
                    </w:rPr>
                  </w:pPr>
                </w:p>
              </w:tc>
              <w:tc>
                <w:tcPr>
                  <w:tcW w:w="474" w:type="pct"/>
                  <w:vMerge w:val="continue"/>
                  <w:vAlign w:val="center"/>
                </w:tcPr>
                <w:p w14:paraId="7DFFE084">
                  <w:pPr>
                    <w:jc w:val="center"/>
                    <w:rPr>
                      <w:rFonts w:hint="default" w:ascii="Times New Roman" w:hAnsi="Times New Roman" w:eastAsia="宋体" w:cs="Times New Roman"/>
                      <w:color w:val="auto"/>
                    </w:rPr>
                  </w:pPr>
                </w:p>
              </w:tc>
              <w:tc>
                <w:tcPr>
                  <w:tcW w:w="470" w:type="pct"/>
                  <w:vAlign w:val="center"/>
                </w:tcPr>
                <w:p w14:paraId="259D8C4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1E0F8CC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17户农户</w:t>
                  </w:r>
                </w:p>
              </w:tc>
              <w:tc>
                <w:tcPr>
                  <w:tcW w:w="552" w:type="pct"/>
                  <w:vAlign w:val="center"/>
                </w:tcPr>
                <w:p w14:paraId="781D528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63B6777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96-421</w:t>
                  </w:r>
                </w:p>
              </w:tc>
              <w:tc>
                <w:tcPr>
                  <w:tcW w:w="735" w:type="pct"/>
                  <w:vMerge w:val="continue"/>
                  <w:vAlign w:val="center"/>
                </w:tcPr>
                <w:p w14:paraId="33B6FD35">
                  <w:pPr>
                    <w:jc w:val="center"/>
                    <w:rPr>
                      <w:rFonts w:hint="default" w:ascii="Times New Roman" w:hAnsi="Times New Roman" w:eastAsia="宋体" w:cs="Times New Roman"/>
                      <w:color w:val="auto"/>
                    </w:rPr>
                  </w:pPr>
                </w:p>
              </w:tc>
            </w:tr>
            <w:tr w14:paraId="1EA6E0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52C6C7BA">
                  <w:pPr>
                    <w:jc w:val="center"/>
                    <w:rPr>
                      <w:rFonts w:hint="default" w:ascii="Times New Roman" w:hAnsi="Times New Roman" w:eastAsia="宋体" w:cs="Times New Roman"/>
                      <w:color w:val="auto"/>
                    </w:rPr>
                  </w:pPr>
                </w:p>
              </w:tc>
              <w:tc>
                <w:tcPr>
                  <w:tcW w:w="558" w:type="pct"/>
                  <w:vMerge w:val="restart"/>
                  <w:vAlign w:val="center"/>
                </w:tcPr>
                <w:p w14:paraId="7F83FFE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104.937993</w:t>
                  </w:r>
                </w:p>
              </w:tc>
              <w:tc>
                <w:tcPr>
                  <w:tcW w:w="491" w:type="pct"/>
                  <w:vMerge w:val="restart"/>
                  <w:vAlign w:val="center"/>
                </w:tcPr>
                <w:p w14:paraId="06CD1D4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30.505508</w:t>
                  </w:r>
                </w:p>
              </w:tc>
              <w:tc>
                <w:tcPr>
                  <w:tcW w:w="474" w:type="pct"/>
                  <w:vMerge w:val="restart"/>
                  <w:vAlign w:val="center"/>
                </w:tcPr>
                <w:p w14:paraId="1A8E1F4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9#</w:t>
                  </w:r>
                </w:p>
              </w:tc>
              <w:tc>
                <w:tcPr>
                  <w:tcW w:w="470" w:type="pct"/>
                  <w:vAlign w:val="center"/>
                </w:tcPr>
                <w:p w14:paraId="5EEBE6C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30C453E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9户农户</w:t>
                  </w:r>
                </w:p>
              </w:tc>
              <w:tc>
                <w:tcPr>
                  <w:tcW w:w="552" w:type="pct"/>
                  <w:vAlign w:val="center"/>
                </w:tcPr>
                <w:p w14:paraId="1DD08B7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2A81441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98-397</w:t>
                  </w:r>
                </w:p>
              </w:tc>
              <w:tc>
                <w:tcPr>
                  <w:tcW w:w="735" w:type="pct"/>
                  <w:vMerge w:val="continue"/>
                  <w:vAlign w:val="center"/>
                </w:tcPr>
                <w:p w14:paraId="7E2AF59C">
                  <w:pPr>
                    <w:jc w:val="center"/>
                    <w:rPr>
                      <w:rFonts w:hint="default" w:ascii="Times New Roman" w:hAnsi="Times New Roman" w:eastAsia="宋体" w:cs="Times New Roman"/>
                      <w:color w:val="auto"/>
                    </w:rPr>
                  </w:pPr>
                </w:p>
              </w:tc>
            </w:tr>
            <w:tr w14:paraId="2E8C72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18AD4907">
                  <w:pPr>
                    <w:jc w:val="center"/>
                    <w:rPr>
                      <w:rFonts w:hint="default" w:ascii="Times New Roman" w:hAnsi="Times New Roman" w:eastAsia="宋体" w:cs="Times New Roman"/>
                      <w:color w:val="auto"/>
                    </w:rPr>
                  </w:pPr>
                </w:p>
              </w:tc>
              <w:tc>
                <w:tcPr>
                  <w:tcW w:w="558" w:type="pct"/>
                  <w:vMerge w:val="continue"/>
                  <w:vAlign w:val="center"/>
                </w:tcPr>
                <w:p w14:paraId="1E33D2C4">
                  <w:pPr>
                    <w:jc w:val="center"/>
                    <w:rPr>
                      <w:rFonts w:hint="default" w:ascii="Times New Roman" w:hAnsi="Times New Roman" w:eastAsia="宋体" w:cs="Times New Roman"/>
                      <w:color w:val="auto"/>
                    </w:rPr>
                  </w:pPr>
                </w:p>
              </w:tc>
              <w:tc>
                <w:tcPr>
                  <w:tcW w:w="491" w:type="pct"/>
                  <w:vMerge w:val="continue"/>
                  <w:vAlign w:val="center"/>
                </w:tcPr>
                <w:p w14:paraId="18BD3943">
                  <w:pPr>
                    <w:jc w:val="center"/>
                    <w:rPr>
                      <w:rFonts w:hint="default" w:ascii="Times New Roman" w:hAnsi="Times New Roman" w:eastAsia="宋体" w:cs="Times New Roman"/>
                      <w:color w:val="auto"/>
                    </w:rPr>
                  </w:pPr>
                </w:p>
              </w:tc>
              <w:tc>
                <w:tcPr>
                  <w:tcW w:w="474" w:type="pct"/>
                  <w:vMerge w:val="continue"/>
                  <w:vAlign w:val="center"/>
                </w:tcPr>
                <w:p w14:paraId="36754137">
                  <w:pPr>
                    <w:jc w:val="center"/>
                    <w:rPr>
                      <w:rFonts w:hint="default" w:ascii="Times New Roman" w:hAnsi="Times New Roman" w:eastAsia="宋体" w:cs="Times New Roman"/>
                      <w:color w:val="auto"/>
                    </w:rPr>
                  </w:pPr>
                </w:p>
              </w:tc>
              <w:tc>
                <w:tcPr>
                  <w:tcW w:w="470" w:type="pct"/>
                  <w:vAlign w:val="center"/>
                </w:tcPr>
                <w:p w14:paraId="14311B6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1C6990E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11户农户</w:t>
                  </w:r>
                </w:p>
              </w:tc>
              <w:tc>
                <w:tcPr>
                  <w:tcW w:w="552" w:type="pct"/>
                  <w:vAlign w:val="center"/>
                </w:tcPr>
                <w:p w14:paraId="385FF0A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5C0DF11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123-478</w:t>
                  </w:r>
                </w:p>
              </w:tc>
              <w:tc>
                <w:tcPr>
                  <w:tcW w:w="735" w:type="pct"/>
                  <w:vMerge w:val="continue"/>
                  <w:vAlign w:val="center"/>
                </w:tcPr>
                <w:p w14:paraId="5FBDE9C0">
                  <w:pPr>
                    <w:jc w:val="center"/>
                    <w:rPr>
                      <w:rFonts w:hint="default" w:ascii="Times New Roman" w:hAnsi="Times New Roman" w:eastAsia="宋体" w:cs="Times New Roman"/>
                      <w:color w:val="auto"/>
                    </w:rPr>
                  </w:pPr>
                </w:p>
              </w:tc>
            </w:tr>
            <w:tr w14:paraId="6F0145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0E9D08A0">
                  <w:pPr>
                    <w:jc w:val="center"/>
                    <w:rPr>
                      <w:rFonts w:hint="default" w:ascii="Times New Roman" w:hAnsi="Times New Roman" w:eastAsia="宋体" w:cs="Times New Roman"/>
                      <w:color w:val="auto"/>
                    </w:rPr>
                  </w:pPr>
                </w:p>
              </w:tc>
              <w:tc>
                <w:tcPr>
                  <w:tcW w:w="558" w:type="pct"/>
                  <w:vMerge w:val="restart"/>
                  <w:vAlign w:val="center"/>
                </w:tcPr>
                <w:p w14:paraId="311EF61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104.944473</w:t>
                  </w:r>
                </w:p>
              </w:tc>
              <w:tc>
                <w:tcPr>
                  <w:tcW w:w="491" w:type="pct"/>
                  <w:vMerge w:val="restart"/>
                  <w:vAlign w:val="center"/>
                </w:tcPr>
                <w:p w14:paraId="5376E6F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30.519756</w:t>
                  </w:r>
                </w:p>
              </w:tc>
              <w:tc>
                <w:tcPr>
                  <w:tcW w:w="474" w:type="pct"/>
                  <w:vMerge w:val="restart"/>
                  <w:vAlign w:val="center"/>
                </w:tcPr>
                <w:p w14:paraId="61A4F98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w:t>
                  </w:r>
                </w:p>
              </w:tc>
              <w:tc>
                <w:tcPr>
                  <w:tcW w:w="470" w:type="pct"/>
                  <w:vAlign w:val="center"/>
                </w:tcPr>
                <w:p w14:paraId="79CE269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4B23E21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16户农户</w:t>
                  </w:r>
                </w:p>
              </w:tc>
              <w:tc>
                <w:tcPr>
                  <w:tcW w:w="552" w:type="pct"/>
                  <w:vAlign w:val="center"/>
                </w:tcPr>
                <w:p w14:paraId="52E187F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6762F4D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124-467</w:t>
                  </w:r>
                </w:p>
              </w:tc>
              <w:tc>
                <w:tcPr>
                  <w:tcW w:w="735" w:type="pct"/>
                  <w:vMerge w:val="continue"/>
                  <w:vAlign w:val="center"/>
                </w:tcPr>
                <w:p w14:paraId="0581D2B5">
                  <w:pPr>
                    <w:jc w:val="center"/>
                    <w:rPr>
                      <w:rFonts w:hint="default" w:ascii="Times New Roman" w:hAnsi="Times New Roman" w:eastAsia="宋体" w:cs="Times New Roman"/>
                      <w:color w:val="auto"/>
                    </w:rPr>
                  </w:pPr>
                </w:p>
              </w:tc>
            </w:tr>
            <w:tr w14:paraId="7436F6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70213105">
                  <w:pPr>
                    <w:jc w:val="center"/>
                    <w:rPr>
                      <w:rFonts w:hint="default" w:ascii="Times New Roman" w:hAnsi="Times New Roman" w:eastAsia="宋体" w:cs="Times New Roman"/>
                      <w:color w:val="auto"/>
                    </w:rPr>
                  </w:pPr>
                </w:p>
              </w:tc>
              <w:tc>
                <w:tcPr>
                  <w:tcW w:w="558" w:type="pct"/>
                  <w:vMerge w:val="continue"/>
                  <w:vAlign w:val="center"/>
                </w:tcPr>
                <w:p w14:paraId="4C5BAAC1">
                  <w:pPr>
                    <w:jc w:val="center"/>
                    <w:rPr>
                      <w:rFonts w:hint="default" w:ascii="Times New Roman" w:hAnsi="Times New Roman" w:eastAsia="宋体" w:cs="Times New Roman"/>
                      <w:color w:val="auto"/>
                    </w:rPr>
                  </w:pPr>
                </w:p>
              </w:tc>
              <w:tc>
                <w:tcPr>
                  <w:tcW w:w="491" w:type="pct"/>
                  <w:vMerge w:val="continue"/>
                  <w:vAlign w:val="center"/>
                </w:tcPr>
                <w:p w14:paraId="59F7B864">
                  <w:pPr>
                    <w:jc w:val="center"/>
                    <w:rPr>
                      <w:rFonts w:hint="default" w:ascii="Times New Roman" w:hAnsi="Times New Roman" w:eastAsia="宋体" w:cs="Times New Roman"/>
                      <w:color w:val="auto"/>
                    </w:rPr>
                  </w:pPr>
                </w:p>
              </w:tc>
              <w:tc>
                <w:tcPr>
                  <w:tcW w:w="474" w:type="pct"/>
                  <w:vMerge w:val="continue"/>
                  <w:vAlign w:val="center"/>
                </w:tcPr>
                <w:p w14:paraId="20D0E56E">
                  <w:pPr>
                    <w:jc w:val="center"/>
                    <w:rPr>
                      <w:rFonts w:hint="default" w:ascii="Times New Roman" w:hAnsi="Times New Roman" w:eastAsia="宋体" w:cs="Times New Roman"/>
                      <w:color w:val="auto"/>
                    </w:rPr>
                  </w:pPr>
                </w:p>
              </w:tc>
              <w:tc>
                <w:tcPr>
                  <w:tcW w:w="470" w:type="pct"/>
                  <w:vAlign w:val="center"/>
                </w:tcPr>
                <w:p w14:paraId="75285BC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11BBE4C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7户农户</w:t>
                  </w:r>
                </w:p>
              </w:tc>
              <w:tc>
                <w:tcPr>
                  <w:tcW w:w="552" w:type="pct"/>
                  <w:vAlign w:val="center"/>
                </w:tcPr>
                <w:p w14:paraId="2E08D4A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77E51DE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98-351</w:t>
                  </w:r>
                </w:p>
              </w:tc>
              <w:tc>
                <w:tcPr>
                  <w:tcW w:w="735" w:type="pct"/>
                  <w:vMerge w:val="continue"/>
                  <w:vAlign w:val="center"/>
                </w:tcPr>
                <w:p w14:paraId="4D92B9E0">
                  <w:pPr>
                    <w:jc w:val="center"/>
                    <w:rPr>
                      <w:rFonts w:hint="default" w:ascii="Times New Roman" w:hAnsi="Times New Roman" w:eastAsia="宋体" w:cs="Times New Roman"/>
                      <w:color w:val="auto"/>
                    </w:rPr>
                  </w:pPr>
                </w:p>
              </w:tc>
            </w:tr>
            <w:tr w14:paraId="6A43A1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000" w:type="pct"/>
                  <w:gridSpan w:val="9"/>
                  <w:vAlign w:val="center"/>
                </w:tcPr>
                <w:p w14:paraId="01193F5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大佛镇</w:t>
                  </w:r>
                </w:p>
              </w:tc>
            </w:tr>
            <w:tr w14:paraId="1C7526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restart"/>
                  <w:vAlign w:val="center"/>
                </w:tcPr>
                <w:p w14:paraId="6A7FC88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大气环境</w:t>
                  </w:r>
                </w:p>
              </w:tc>
              <w:tc>
                <w:tcPr>
                  <w:tcW w:w="558" w:type="pct"/>
                  <w:vAlign w:val="center"/>
                </w:tcPr>
                <w:p w14:paraId="16BE83A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104.901368</w:t>
                  </w:r>
                </w:p>
              </w:tc>
              <w:tc>
                <w:tcPr>
                  <w:tcW w:w="491" w:type="pct"/>
                  <w:vAlign w:val="center"/>
                </w:tcPr>
                <w:p w14:paraId="5256D0D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30.446314</w:t>
                  </w:r>
                </w:p>
              </w:tc>
              <w:tc>
                <w:tcPr>
                  <w:tcW w:w="474" w:type="pct"/>
                  <w:vAlign w:val="center"/>
                </w:tcPr>
                <w:p w14:paraId="7045DAA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w:t>
                  </w:r>
                </w:p>
              </w:tc>
              <w:tc>
                <w:tcPr>
                  <w:tcW w:w="470" w:type="pct"/>
                  <w:vAlign w:val="center"/>
                </w:tcPr>
                <w:p w14:paraId="2A8C7B3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7C9A175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45户农户</w:t>
                  </w:r>
                </w:p>
              </w:tc>
              <w:tc>
                <w:tcPr>
                  <w:tcW w:w="552" w:type="pct"/>
                  <w:vAlign w:val="center"/>
                </w:tcPr>
                <w:p w14:paraId="17BFB88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东南侧</w:t>
                  </w:r>
                </w:p>
              </w:tc>
              <w:tc>
                <w:tcPr>
                  <w:tcW w:w="582" w:type="pct"/>
                  <w:vAlign w:val="center"/>
                </w:tcPr>
                <w:p w14:paraId="6E5A1DC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128-500</w:t>
                  </w:r>
                </w:p>
              </w:tc>
              <w:tc>
                <w:tcPr>
                  <w:tcW w:w="735" w:type="pct"/>
                  <w:vMerge w:val="restart"/>
                  <w:vAlign w:val="center"/>
                </w:tcPr>
                <w:p w14:paraId="0FE847A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《环境空气质量标准》（GB3095-2012）中二级标准</w:t>
                  </w:r>
                </w:p>
              </w:tc>
            </w:tr>
            <w:tr w14:paraId="7B8688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7D6689EB">
                  <w:pPr>
                    <w:jc w:val="center"/>
                    <w:rPr>
                      <w:rFonts w:hint="default" w:ascii="Times New Roman" w:hAnsi="Times New Roman" w:eastAsia="宋体" w:cs="Times New Roman"/>
                      <w:color w:val="auto"/>
                    </w:rPr>
                  </w:pPr>
                </w:p>
              </w:tc>
              <w:tc>
                <w:tcPr>
                  <w:tcW w:w="558" w:type="pct"/>
                  <w:vAlign w:val="center"/>
                </w:tcPr>
                <w:p w14:paraId="472851E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104.894587</w:t>
                  </w:r>
                </w:p>
              </w:tc>
              <w:tc>
                <w:tcPr>
                  <w:tcW w:w="491" w:type="pct"/>
                  <w:vAlign w:val="center"/>
                </w:tcPr>
                <w:p w14:paraId="171959C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30.440778</w:t>
                  </w:r>
                </w:p>
              </w:tc>
              <w:tc>
                <w:tcPr>
                  <w:tcW w:w="474" w:type="pct"/>
                  <w:vAlign w:val="center"/>
                </w:tcPr>
                <w:p w14:paraId="19F70A0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w:t>
                  </w:r>
                </w:p>
              </w:tc>
              <w:tc>
                <w:tcPr>
                  <w:tcW w:w="470" w:type="pct"/>
                  <w:vAlign w:val="center"/>
                </w:tcPr>
                <w:p w14:paraId="0230E4D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5218092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45户农户</w:t>
                  </w:r>
                </w:p>
              </w:tc>
              <w:tc>
                <w:tcPr>
                  <w:tcW w:w="552" w:type="pct"/>
                  <w:vAlign w:val="center"/>
                </w:tcPr>
                <w:p w14:paraId="38786F4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东北侧</w:t>
                  </w:r>
                </w:p>
              </w:tc>
              <w:tc>
                <w:tcPr>
                  <w:tcW w:w="582" w:type="pct"/>
                  <w:vAlign w:val="center"/>
                </w:tcPr>
                <w:p w14:paraId="4F17784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236-500</w:t>
                  </w:r>
                </w:p>
              </w:tc>
              <w:tc>
                <w:tcPr>
                  <w:tcW w:w="735" w:type="pct"/>
                  <w:vMerge w:val="continue"/>
                  <w:vAlign w:val="center"/>
                </w:tcPr>
                <w:p w14:paraId="00903F58">
                  <w:pPr>
                    <w:jc w:val="center"/>
                    <w:rPr>
                      <w:rFonts w:hint="default" w:ascii="Times New Roman" w:hAnsi="Times New Roman" w:eastAsia="宋体" w:cs="Times New Roman"/>
                      <w:color w:val="auto"/>
                    </w:rPr>
                  </w:pPr>
                </w:p>
              </w:tc>
            </w:tr>
            <w:tr w14:paraId="1E9396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06C07EB2">
                  <w:pPr>
                    <w:jc w:val="center"/>
                    <w:rPr>
                      <w:rFonts w:hint="default" w:ascii="Times New Roman" w:hAnsi="Times New Roman" w:eastAsia="宋体" w:cs="Times New Roman"/>
                      <w:color w:val="auto"/>
                    </w:rPr>
                  </w:pPr>
                </w:p>
              </w:tc>
              <w:tc>
                <w:tcPr>
                  <w:tcW w:w="558" w:type="pct"/>
                  <w:vAlign w:val="center"/>
                </w:tcPr>
                <w:p w14:paraId="2902F02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104.889030</w:t>
                  </w:r>
                </w:p>
              </w:tc>
              <w:tc>
                <w:tcPr>
                  <w:tcW w:w="491" w:type="pct"/>
                  <w:vAlign w:val="center"/>
                </w:tcPr>
                <w:p w14:paraId="09AFF63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30.450240</w:t>
                  </w:r>
                </w:p>
              </w:tc>
              <w:tc>
                <w:tcPr>
                  <w:tcW w:w="474" w:type="pct"/>
                  <w:vAlign w:val="center"/>
                </w:tcPr>
                <w:p w14:paraId="19D5B8B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w:t>
                  </w:r>
                </w:p>
              </w:tc>
              <w:tc>
                <w:tcPr>
                  <w:tcW w:w="470" w:type="pct"/>
                  <w:vAlign w:val="center"/>
                </w:tcPr>
                <w:p w14:paraId="7940574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7DB5211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31户农户</w:t>
                  </w:r>
                </w:p>
              </w:tc>
              <w:tc>
                <w:tcPr>
                  <w:tcW w:w="552" w:type="pct"/>
                  <w:vAlign w:val="center"/>
                </w:tcPr>
                <w:p w14:paraId="63926A4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1BCF3EE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125-487</w:t>
                  </w:r>
                </w:p>
              </w:tc>
              <w:tc>
                <w:tcPr>
                  <w:tcW w:w="735" w:type="pct"/>
                  <w:vMerge w:val="continue"/>
                  <w:vAlign w:val="center"/>
                </w:tcPr>
                <w:p w14:paraId="3F30008D">
                  <w:pPr>
                    <w:jc w:val="center"/>
                    <w:rPr>
                      <w:rFonts w:hint="default" w:ascii="Times New Roman" w:hAnsi="Times New Roman" w:eastAsia="宋体" w:cs="Times New Roman"/>
                      <w:color w:val="auto"/>
                    </w:rPr>
                  </w:pPr>
                </w:p>
              </w:tc>
            </w:tr>
            <w:tr w14:paraId="4A99A3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1B23BA86">
                  <w:pPr>
                    <w:jc w:val="center"/>
                    <w:rPr>
                      <w:rFonts w:hint="default" w:ascii="Times New Roman" w:hAnsi="Times New Roman" w:eastAsia="宋体" w:cs="Times New Roman"/>
                      <w:color w:val="auto"/>
                    </w:rPr>
                  </w:pPr>
                </w:p>
              </w:tc>
              <w:tc>
                <w:tcPr>
                  <w:tcW w:w="558" w:type="pct"/>
                  <w:vMerge w:val="restart"/>
                  <w:vAlign w:val="center"/>
                </w:tcPr>
                <w:p w14:paraId="0A4AC95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104.890746</w:t>
                  </w:r>
                </w:p>
              </w:tc>
              <w:tc>
                <w:tcPr>
                  <w:tcW w:w="491" w:type="pct"/>
                  <w:vMerge w:val="restart"/>
                  <w:vAlign w:val="center"/>
                </w:tcPr>
                <w:p w14:paraId="218B435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30.450906</w:t>
                  </w:r>
                </w:p>
              </w:tc>
              <w:tc>
                <w:tcPr>
                  <w:tcW w:w="474" w:type="pct"/>
                  <w:vMerge w:val="restart"/>
                  <w:vAlign w:val="center"/>
                </w:tcPr>
                <w:p w14:paraId="5739A7C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4#</w:t>
                  </w:r>
                </w:p>
              </w:tc>
              <w:tc>
                <w:tcPr>
                  <w:tcW w:w="470" w:type="pct"/>
                  <w:vAlign w:val="center"/>
                </w:tcPr>
                <w:p w14:paraId="4AC3339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629E661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37户农户</w:t>
                  </w:r>
                </w:p>
              </w:tc>
              <w:tc>
                <w:tcPr>
                  <w:tcW w:w="552" w:type="pct"/>
                  <w:vAlign w:val="center"/>
                </w:tcPr>
                <w:p w14:paraId="67CFFDD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东北侧</w:t>
                  </w:r>
                </w:p>
              </w:tc>
              <w:tc>
                <w:tcPr>
                  <w:tcW w:w="582" w:type="pct"/>
                  <w:vAlign w:val="center"/>
                </w:tcPr>
                <w:p w14:paraId="514F76A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127-500</w:t>
                  </w:r>
                </w:p>
              </w:tc>
              <w:tc>
                <w:tcPr>
                  <w:tcW w:w="735" w:type="pct"/>
                  <w:vMerge w:val="continue"/>
                  <w:vAlign w:val="center"/>
                </w:tcPr>
                <w:p w14:paraId="133F104A">
                  <w:pPr>
                    <w:jc w:val="center"/>
                    <w:rPr>
                      <w:rFonts w:hint="default" w:ascii="Times New Roman" w:hAnsi="Times New Roman" w:eastAsia="宋体" w:cs="Times New Roman"/>
                      <w:color w:val="auto"/>
                    </w:rPr>
                  </w:pPr>
                </w:p>
              </w:tc>
            </w:tr>
            <w:tr w14:paraId="0D200E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21C79A5F">
                  <w:pPr>
                    <w:jc w:val="center"/>
                    <w:rPr>
                      <w:rFonts w:hint="default" w:ascii="Times New Roman" w:hAnsi="Times New Roman" w:eastAsia="宋体" w:cs="Times New Roman"/>
                      <w:color w:val="auto"/>
                    </w:rPr>
                  </w:pPr>
                </w:p>
              </w:tc>
              <w:tc>
                <w:tcPr>
                  <w:tcW w:w="558" w:type="pct"/>
                  <w:vMerge w:val="continue"/>
                  <w:vAlign w:val="center"/>
                </w:tcPr>
                <w:p w14:paraId="006C3073">
                  <w:pPr>
                    <w:jc w:val="center"/>
                    <w:rPr>
                      <w:rFonts w:hint="default" w:ascii="Times New Roman" w:hAnsi="Times New Roman" w:eastAsia="宋体" w:cs="Times New Roman"/>
                      <w:color w:val="auto"/>
                    </w:rPr>
                  </w:pPr>
                </w:p>
              </w:tc>
              <w:tc>
                <w:tcPr>
                  <w:tcW w:w="491" w:type="pct"/>
                  <w:vMerge w:val="continue"/>
                  <w:vAlign w:val="center"/>
                </w:tcPr>
                <w:p w14:paraId="2576B767">
                  <w:pPr>
                    <w:jc w:val="center"/>
                    <w:rPr>
                      <w:rFonts w:hint="default" w:ascii="Times New Roman" w:hAnsi="Times New Roman" w:eastAsia="宋体" w:cs="Times New Roman"/>
                      <w:color w:val="auto"/>
                    </w:rPr>
                  </w:pPr>
                </w:p>
              </w:tc>
              <w:tc>
                <w:tcPr>
                  <w:tcW w:w="474" w:type="pct"/>
                  <w:vMerge w:val="continue"/>
                  <w:vAlign w:val="center"/>
                </w:tcPr>
                <w:p w14:paraId="3B9F9811">
                  <w:pPr>
                    <w:jc w:val="center"/>
                    <w:rPr>
                      <w:rFonts w:hint="default" w:ascii="Times New Roman" w:hAnsi="Times New Roman" w:eastAsia="宋体" w:cs="Times New Roman"/>
                      <w:color w:val="auto"/>
                    </w:rPr>
                  </w:pPr>
                </w:p>
              </w:tc>
              <w:tc>
                <w:tcPr>
                  <w:tcW w:w="470" w:type="pct"/>
                  <w:vAlign w:val="center"/>
                </w:tcPr>
                <w:p w14:paraId="77D5E76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22E4FF2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33户农户</w:t>
                  </w:r>
                </w:p>
              </w:tc>
              <w:tc>
                <w:tcPr>
                  <w:tcW w:w="552" w:type="pct"/>
                  <w:vAlign w:val="center"/>
                </w:tcPr>
                <w:p w14:paraId="74CF902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55A860D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279-500</w:t>
                  </w:r>
                </w:p>
              </w:tc>
              <w:tc>
                <w:tcPr>
                  <w:tcW w:w="735" w:type="pct"/>
                  <w:vMerge w:val="continue"/>
                  <w:vAlign w:val="center"/>
                </w:tcPr>
                <w:p w14:paraId="6C2EC151">
                  <w:pPr>
                    <w:jc w:val="center"/>
                    <w:rPr>
                      <w:rFonts w:hint="default" w:ascii="Times New Roman" w:hAnsi="Times New Roman" w:eastAsia="宋体" w:cs="Times New Roman"/>
                      <w:color w:val="auto"/>
                    </w:rPr>
                  </w:pPr>
                </w:p>
              </w:tc>
            </w:tr>
            <w:tr w14:paraId="654847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13E3DEEB">
                  <w:pPr>
                    <w:jc w:val="center"/>
                    <w:rPr>
                      <w:rFonts w:hint="default" w:ascii="Times New Roman" w:hAnsi="Times New Roman" w:eastAsia="宋体" w:cs="Times New Roman"/>
                      <w:color w:val="auto"/>
                    </w:rPr>
                  </w:pPr>
                </w:p>
              </w:tc>
              <w:tc>
                <w:tcPr>
                  <w:tcW w:w="558" w:type="pct"/>
                  <w:vMerge w:val="continue"/>
                  <w:vAlign w:val="center"/>
                </w:tcPr>
                <w:p w14:paraId="11D7D334">
                  <w:pPr>
                    <w:jc w:val="center"/>
                    <w:rPr>
                      <w:rFonts w:hint="default" w:ascii="Times New Roman" w:hAnsi="Times New Roman" w:eastAsia="宋体" w:cs="Times New Roman"/>
                      <w:color w:val="auto"/>
                    </w:rPr>
                  </w:pPr>
                </w:p>
              </w:tc>
              <w:tc>
                <w:tcPr>
                  <w:tcW w:w="491" w:type="pct"/>
                  <w:vMerge w:val="continue"/>
                  <w:vAlign w:val="center"/>
                </w:tcPr>
                <w:p w14:paraId="3F75ED3B">
                  <w:pPr>
                    <w:jc w:val="center"/>
                    <w:rPr>
                      <w:rFonts w:hint="default" w:ascii="Times New Roman" w:hAnsi="Times New Roman" w:eastAsia="宋体" w:cs="Times New Roman"/>
                      <w:color w:val="auto"/>
                    </w:rPr>
                  </w:pPr>
                </w:p>
              </w:tc>
              <w:tc>
                <w:tcPr>
                  <w:tcW w:w="474" w:type="pct"/>
                  <w:vMerge w:val="continue"/>
                  <w:vAlign w:val="center"/>
                </w:tcPr>
                <w:p w14:paraId="5233CD61">
                  <w:pPr>
                    <w:jc w:val="center"/>
                    <w:rPr>
                      <w:rFonts w:hint="default" w:ascii="Times New Roman" w:hAnsi="Times New Roman" w:eastAsia="宋体" w:cs="Times New Roman"/>
                      <w:color w:val="auto"/>
                    </w:rPr>
                  </w:pPr>
                </w:p>
              </w:tc>
              <w:tc>
                <w:tcPr>
                  <w:tcW w:w="470" w:type="pct"/>
                  <w:vAlign w:val="center"/>
                </w:tcPr>
                <w:p w14:paraId="3A37D2C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6765419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27户农户</w:t>
                  </w:r>
                </w:p>
              </w:tc>
              <w:tc>
                <w:tcPr>
                  <w:tcW w:w="552" w:type="pct"/>
                  <w:vAlign w:val="center"/>
                </w:tcPr>
                <w:p w14:paraId="5225196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东南侧</w:t>
                  </w:r>
                </w:p>
              </w:tc>
              <w:tc>
                <w:tcPr>
                  <w:tcW w:w="582" w:type="pct"/>
                  <w:vAlign w:val="center"/>
                </w:tcPr>
                <w:p w14:paraId="4BCA0F5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104-437</w:t>
                  </w:r>
                </w:p>
              </w:tc>
              <w:tc>
                <w:tcPr>
                  <w:tcW w:w="735" w:type="pct"/>
                  <w:vMerge w:val="continue"/>
                  <w:vAlign w:val="center"/>
                </w:tcPr>
                <w:p w14:paraId="140EECDD">
                  <w:pPr>
                    <w:jc w:val="center"/>
                    <w:rPr>
                      <w:rFonts w:hint="default" w:ascii="Times New Roman" w:hAnsi="Times New Roman" w:eastAsia="宋体" w:cs="Times New Roman"/>
                      <w:color w:val="auto"/>
                    </w:rPr>
                  </w:pPr>
                </w:p>
              </w:tc>
            </w:tr>
            <w:tr w14:paraId="3DF20E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6AF6256C">
                  <w:pPr>
                    <w:jc w:val="center"/>
                    <w:rPr>
                      <w:rFonts w:hint="default" w:ascii="Times New Roman" w:hAnsi="Times New Roman" w:eastAsia="宋体" w:cs="Times New Roman"/>
                      <w:color w:val="auto"/>
                    </w:rPr>
                  </w:pPr>
                </w:p>
              </w:tc>
              <w:tc>
                <w:tcPr>
                  <w:tcW w:w="558" w:type="pct"/>
                  <w:vMerge w:val="continue"/>
                  <w:vAlign w:val="center"/>
                </w:tcPr>
                <w:p w14:paraId="46BBDC43">
                  <w:pPr>
                    <w:jc w:val="center"/>
                    <w:rPr>
                      <w:rFonts w:hint="default" w:ascii="Times New Roman" w:hAnsi="Times New Roman" w:eastAsia="宋体" w:cs="Times New Roman"/>
                      <w:color w:val="auto"/>
                    </w:rPr>
                  </w:pPr>
                </w:p>
              </w:tc>
              <w:tc>
                <w:tcPr>
                  <w:tcW w:w="491" w:type="pct"/>
                  <w:vMerge w:val="continue"/>
                  <w:vAlign w:val="center"/>
                </w:tcPr>
                <w:p w14:paraId="794463F7">
                  <w:pPr>
                    <w:jc w:val="center"/>
                    <w:rPr>
                      <w:rFonts w:hint="default" w:ascii="Times New Roman" w:hAnsi="Times New Roman" w:eastAsia="宋体" w:cs="Times New Roman"/>
                      <w:color w:val="auto"/>
                    </w:rPr>
                  </w:pPr>
                </w:p>
              </w:tc>
              <w:tc>
                <w:tcPr>
                  <w:tcW w:w="474" w:type="pct"/>
                  <w:vMerge w:val="continue"/>
                  <w:vAlign w:val="center"/>
                </w:tcPr>
                <w:p w14:paraId="0388D64D">
                  <w:pPr>
                    <w:jc w:val="center"/>
                    <w:rPr>
                      <w:rFonts w:hint="default" w:ascii="Times New Roman" w:hAnsi="Times New Roman" w:eastAsia="宋体" w:cs="Times New Roman"/>
                      <w:color w:val="auto"/>
                    </w:rPr>
                  </w:pPr>
                </w:p>
              </w:tc>
              <w:tc>
                <w:tcPr>
                  <w:tcW w:w="470" w:type="pct"/>
                  <w:vAlign w:val="center"/>
                </w:tcPr>
                <w:p w14:paraId="7AF97C3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1575992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45户农户</w:t>
                  </w:r>
                </w:p>
              </w:tc>
              <w:tc>
                <w:tcPr>
                  <w:tcW w:w="552" w:type="pct"/>
                  <w:vAlign w:val="center"/>
                </w:tcPr>
                <w:p w14:paraId="7A1744E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3C11E2F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137-500</w:t>
                  </w:r>
                </w:p>
              </w:tc>
              <w:tc>
                <w:tcPr>
                  <w:tcW w:w="735" w:type="pct"/>
                  <w:vMerge w:val="continue"/>
                  <w:vAlign w:val="center"/>
                </w:tcPr>
                <w:p w14:paraId="1EA1DF47">
                  <w:pPr>
                    <w:jc w:val="center"/>
                    <w:rPr>
                      <w:rFonts w:hint="default" w:ascii="Times New Roman" w:hAnsi="Times New Roman" w:eastAsia="宋体" w:cs="Times New Roman"/>
                      <w:color w:val="auto"/>
                    </w:rPr>
                  </w:pPr>
                </w:p>
              </w:tc>
            </w:tr>
            <w:tr w14:paraId="0ED4BB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0BA34FDF">
                  <w:pPr>
                    <w:jc w:val="center"/>
                    <w:rPr>
                      <w:rFonts w:hint="default" w:ascii="Times New Roman" w:hAnsi="Times New Roman" w:eastAsia="宋体" w:cs="Times New Roman"/>
                      <w:color w:val="auto"/>
                    </w:rPr>
                  </w:pPr>
                </w:p>
              </w:tc>
              <w:tc>
                <w:tcPr>
                  <w:tcW w:w="558" w:type="pct"/>
                  <w:vMerge w:val="restart"/>
                  <w:vAlign w:val="center"/>
                </w:tcPr>
                <w:p w14:paraId="3B9DD74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104.891991</w:t>
                  </w:r>
                </w:p>
              </w:tc>
              <w:tc>
                <w:tcPr>
                  <w:tcW w:w="491" w:type="pct"/>
                  <w:vMerge w:val="restart"/>
                  <w:vAlign w:val="center"/>
                </w:tcPr>
                <w:p w14:paraId="5F0B804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30.4511849</w:t>
                  </w:r>
                </w:p>
              </w:tc>
              <w:tc>
                <w:tcPr>
                  <w:tcW w:w="474" w:type="pct"/>
                  <w:vMerge w:val="restart"/>
                  <w:vAlign w:val="center"/>
                </w:tcPr>
                <w:p w14:paraId="3D8B26C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5#</w:t>
                  </w:r>
                </w:p>
              </w:tc>
              <w:tc>
                <w:tcPr>
                  <w:tcW w:w="470" w:type="pct"/>
                  <w:vAlign w:val="center"/>
                </w:tcPr>
                <w:p w14:paraId="362E4C5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3EB4C72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47户农户</w:t>
                  </w:r>
                </w:p>
              </w:tc>
              <w:tc>
                <w:tcPr>
                  <w:tcW w:w="552" w:type="pct"/>
                  <w:vAlign w:val="center"/>
                </w:tcPr>
                <w:p w14:paraId="16433C0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63A5BB8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106-500</w:t>
                  </w:r>
                </w:p>
              </w:tc>
              <w:tc>
                <w:tcPr>
                  <w:tcW w:w="735" w:type="pct"/>
                  <w:vMerge w:val="continue"/>
                  <w:vAlign w:val="center"/>
                </w:tcPr>
                <w:p w14:paraId="433D7957">
                  <w:pPr>
                    <w:jc w:val="center"/>
                    <w:rPr>
                      <w:rFonts w:hint="default" w:ascii="Times New Roman" w:hAnsi="Times New Roman" w:eastAsia="宋体" w:cs="Times New Roman"/>
                      <w:color w:val="auto"/>
                    </w:rPr>
                  </w:pPr>
                </w:p>
              </w:tc>
            </w:tr>
            <w:tr w14:paraId="51E123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515ED5F5">
                  <w:pPr>
                    <w:jc w:val="center"/>
                    <w:rPr>
                      <w:rFonts w:hint="default" w:ascii="Times New Roman" w:hAnsi="Times New Roman" w:eastAsia="宋体" w:cs="Times New Roman"/>
                      <w:color w:val="auto"/>
                    </w:rPr>
                  </w:pPr>
                </w:p>
              </w:tc>
              <w:tc>
                <w:tcPr>
                  <w:tcW w:w="558" w:type="pct"/>
                  <w:vMerge w:val="continue"/>
                  <w:vAlign w:val="center"/>
                </w:tcPr>
                <w:p w14:paraId="5527FE6C">
                  <w:pPr>
                    <w:jc w:val="center"/>
                    <w:rPr>
                      <w:rFonts w:hint="default" w:ascii="Times New Roman" w:hAnsi="Times New Roman" w:eastAsia="宋体" w:cs="Times New Roman"/>
                      <w:color w:val="auto"/>
                    </w:rPr>
                  </w:pPr>
                </w:p>
              </w:tc>
              <w:tc>
                <w:tcPr>
                  <w:tcW w:w="491" w:type="pct"/>
                  <w:vMerge w:val="continue"/>
                  <w:vAlign w:val="center"/>
                </w:tcPr>
                <w:p w14:paraId="7C4F9BE8">
                  <w:pPr>
                    <w:jc w:val="center"/>
                    <w:rPr>
                      <w:rFonts w:hint="default" w:ascii="Times New Roman" w:hAnsi="Times New Roman" w:eastAsia="宋体" w:cs="Times New Roman"/>
                      <w:color w:val="auto"/>
                    </w:rPr>
                  </w:pPr>
                </w:p>
              </w:tc>
              <w:tc>
                <w:tcPr>
                  <w:tcW w:w="474" w:type="pct"/>
                  <w:vMerge w:val="continue"/>
                  <w:vAlign w:val="center"/>
                </w:tcPr>
                <w:p w14:paraId="0EE360F3">
                  <w:pPr>
                    <w:jc w:val="center"/>
                    <w:rPr>
                      <w:rFonts w:hint="default" w:ascii="Times New Roman" w:hAnsi="Times New Roman" w:eastAsia="宋体" w:cs="Times New Roman"/>
                      <w:color w:val="auto"/>
                    </w:rPr>
                  </w:pPr>
                </w:p>
              </w:tc>
              <w:tc>
                <w:tcPr>
                  <w:tcW w:w="470" w:type="pct"/>
                  <w:vAlign w:val="center"/>
                </w:tcPr>
                <w:p w14:paraId="6AA91AC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4236902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37户农户</w:t>
                  </w:r>
                </w:p>
              </w:tc>
              <w:tc>
                <w:tcPr>
                  <w:tcW w:w="552" w:type="pct"/>
                  <w:vAlign w:val="center"/>
                </w:tcPr>
                <w:p w14:paraId="7E09878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1EA626B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108-500</w:t>
                  </w:r>
                </w:p>
              </w:tc>
              <w:tc>
                <w:tcPr>
                  <w:tcW w:w="735" w:type="pct"/>
                  <w:vMerge w:val="continue"/>
                  <w:vAlign w:val="center"/>
                </w:tcPr>
                <w:p w14:paraId="4E6CBBD3">
                  <w:pPr>
                    <w:jc w:val="center"/>
                    <w:rPr>
                      <w:rFonts w:hint="default" w:ascii="Times New Roman" w:hAnsi="Times New Roman" w:eastAsia="宋体" w:cs="Times New Roman"/>
                      <w:color w:val="auto"/>
                    </w:rPr>
                  </w:pPr>
                </w:p>
              </w:tc>
            </w:tr>
            <w:tr w14:paraId="616C79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1AAF6E44">
                  <w:pPr>
                    <w:jc w:val="center"/>
                    <w:rPr>
                      <w:rFonts w:hint="default" w:ascii="Times New Roman" w:hAnsi="Times New Roman" w:eastAsia="宋体" w:cs="Times New Roman"/>
                      <w:color w:val="auto"/>
                    </w:rPr>
                  </w:pPr>
                </w:p>
              </w:tc>
              <w:tc>
                <w:tcPr>
                  <w:tcW w:w="558" w:type="pct"/>
                  <w:vMerge w:val="restart"/>
                  <w:vAlign w:val="center"/>
                </w:tcPr>
                <w:p w14:paraId="3FB704C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104.892549</w:t>
                  </w:r>
                </w:p>
              </w:tc>
              <w:tc>
                <w:tcPr>
                  <w:tcW w:w="491" w:type="pct"/>
                  <w:vMerge w:val="restart"/>
                  <w:vAlign w:val="center"/>
                </w:tcPr>
                <w:p w14:paraId="7CE48CC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30.448352</w:t>
                  </w:r>
                </w:p>
              </w:tc>
              <w:tc>
                <w:tcPr>
                  <w:tcW w:w="474" w:type="pct"/>
                  <w:vMerge w:val="restart"/>
                  <w:vAlign w:val="center"/>
                </w:tcPr>
                <w:p w14:paraId="5747FFD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6#</w:t>
                  </w:r>
                </w:p>
              </w:tc>
              <w:tc>
                <w:tcPr>
                  <w:tcW w:w="470" w:type="pct"/>
                  <w:vAlign w:val="center"/>
                </w:tcPr>
                <w:p w14:paraId="3FE28D3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2A85D04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53户农户</w:t>
                  </w:r>
                </w:p>
              </w:tc>
              <w:tc>
                <w:tcPr>
                  <w:tcW w:w="552" w:type="pct"/>
                  <w:vAlign w:val="center"/>
                </w:tcPr>
                <w:p w14:paraId="2CAC287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14A2CE1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117-500</w:t>
                  </w:r>
                </w:p>
              </w:tc>
              <w:tc>
                <w:tcPr>
                  <w:tcW w:w="735" w:type="pct"/>
                  <w:vMerge w:val="continue"/>
                  <w:vAlign w:val="center"/>
                </w:tcPr>
                <w:p w14:paraId="005B1219">
                  <w:pPr>
                    <w:jc w:val="center"/>
                    <w:rPr>
                      <w:rFonts w:hint="default" w:ascii="Times New Roman" w:hAnsi="Times New Roman" w:eastAsia="宋体" w:cs="Times New Roman"/>
                      <w:color w:val="auto"/>
                    </w:rPr>
                  </w:pPr>
                </w:p>
              </w:tc>
            </w:tr>
            <w:tr w14:paraId="3E7770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1576A015">
                  <w:pPr>
                    <w:jc w:val="center"/>
                    <w:rPr>
                      <w:rFonts w:hint="default" w:ascii="Times New Roman" w:hAnsi="Times New Roman" w:eastAsia="宋体" w:cs="Times New Roman"/>
                      <w:color w:val="auto"/>
                    </w:rPr>
                  </w:pPr>
                </w:p>
              </w:tc>
              <w:tc>
                <w:tcPr>
                  <w:tcW w:w="558" w:type="pct"/>
                  <w:vMerge w:val="continue"/>
                  <w:vAlign w:val="center"/>
                </w:tcPr>
                <w:p w14:paraId="6E17820A">
                  <w:pPr>
                    <w:jc w:val="center"/>
                    <w:rPr>
                      <w:rFonts w:hint="default" w:ascii="Times New Roman" w:hAnsi="Times New Roman" w:eastAsia="宋体" w:cs="Times New Roman"/>
                      <w:color w:val="auto"/>
                    </w:rPr>
                  </w:pPr>
                </w:p>
              </w:tc>
              <w:tc>
                <w:tcPr>
                  <w:tcW w:w="491" w:type="pct"/>
                  <w:vMerge w:val="continue"/>
                  <w:vAlign w:val="center"/>
                </w:tcPr>
                <w:p w14:paraId="68CBDF44">
                  <w:pPr>
                    <w:jc w:val="center"/>
                    <w:rPr>
                      <w:rFonts w:hint="default" w:ascii="Times New Roman" w:hAnsi="Times New Roman" w:eastAsia="宋体" w:cs="Times New Roman"/>
                      <w:color w:val="auto"/>
                    </w:rPr>
                  </w:pPr>
                </w:p>
              </w:tc>
              <w:tc>
                <w:tcPr>
                  <w:tcW w:w="474" w:type="pct"/>
                  <w:vMerge w:val="continue"/>
                  <w:vAlign w:val="center"/>
                </w:tcPr>
                <w:p w14:paraId="025710DF">
                  <w:pPr>
                    <w:jc w:val="center"/>
                    <w:rPr>
                      <w:rFonts w:hint="default" w:ascii="Times New Roman" w:hAnsi="Times New Roman" w:eastAsia="宋体" w:cs="Times New Roman"/>
                      <w:color w:val="auto"/>
                    </w:rPr>
                  </w:pPr>
                </w:p>
              </w:tc>
              <w:tc>
                <w:tcPr>
                  <w:tcW w:w="470" w:type="pct"/>
                  <w:vAlign w:val="center"/>
                </w:tcPr>
                <w:p w14:paraId="4BD8DDB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694D69A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33户农户</w:t>
                  </w:r>
                </w:p>
              </w:tc>
              <w:tc>
                <w:tcPr>
                  <w:tcW w:w="552" w:type="pct"/>
                  <w:vAlign w:val="center"/>
                </w:tcPr>
                <w:p w14:paraId="5CED85A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4D6331D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39-500</w:t>
                  </w:r>
                </w:p>
              </w:tc>
              <w:tc>
                <w:tcPr>
                  <w:tcW w:w="735" w:type="pct"/>
                  <w:vMerge w:val="continue"/>
                  <w:vAlign w:val="center"/>
                </w:tcPr>
                <w:p w14:paraId="0627F818">
                  <w:pPr>
                    <w:jc w:val="center"/>
                    <w:rPr>
                      <w:rFonts w:hint="default" w:ascii="Times New Roman" w:hAnsi="Times New Roman" w:eastAsia="宋体" w:cs="Times New Roman"/>
                      <w:color w:val="auto"/>
                    </w:rPr>
                  </w:pPr>
                </w:p>
              </w:tc>
            </w:tr>
            <w:tr w14:paraId="1F7285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228FDEBE">
                  <w:pPr>
                    <w:jc w:val="center"/>
                    <w:rPr>
                      <w:rFonts w:hint="default" w:ascii="Times New Roman" w:hAnsi="Times New Roman" w:eastAsia="宋体" w:cs="Times New Roman"/>
                      <w:color w:val="auto"/>
                    </w:rPr>
                  </w:pPr>
                </w:p>
              </w:tc>
              <w:tc>
                <w:tcPr>
                  <w:tcW w:w="558" w:type="pct"/>
                  <w:vAlign w:val="center"/>
                </w:tcPr>
                <w:p w14:paraId="35914A8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104.885639</w:t>
                  </w:r>
                </w:p>
              </w:tc>
              <w:tc>
                <w:tcPr>
                  <w:tcW w:w="491" w:type="pct"/>
                  <w:vAlign w:val="center"/>
                </w:tcPr>
                <w:p w14:paraId="6D65C93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30.461785</w:t>
                  </w:r>
                </w:p>
              </w:tc>
              <w:tc>
                <w:tcPr>
                  <w:tcW w:w="474" w:type="pct"/>
                  <w:vAlign w:val="center"/>
                </w:tcPr>
                <w:p w14:paraId="5ED815E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7#</w:t>
                  </w:r>
                </w:p>
              </w:tc>
              <w:tc>
                <w:tcPr>
                  <w:tcW w:w="470" w:type="pct"/>
                  <w:vAlign w:val="center"/>
                </w:tcPr>
                <w:p w14:paraId="1122761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225DDC6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53户农户</w:t>
                  </w:r>
                </w:p>
              </w:tc>
              <w:tc>
                <w:tcPr>
                  <w:tcW w:w="552" w:type="pct"/>
                  <w:vAlign w:val="center"/>
                </w:tcPr>
                <w:p w14:paraId="3B9434F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7C6B72F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279-500</w:t>
                  </w:r>
                </w:p>
              </w:tc>
              <w:tc>
                <w:tcPr>
                  <w:tcW w:w="735" w:type="pct"/>
                  <w:vMerge w:val="continue"/>
                  <w:vAlign w:val="center"/>
                </w:tcPr>
                <w:p w14:paraId="2AA73B94">
                  <w:pPr>
                    <w:jc w:val="center"/>
                    <w:rPr>
                      <w:rFonts w:hint="default" w:ascii="Times New Roman" w:hAnsi="Times New Roman" w:eastAsia="宋体" w:cs="Times New Roman"/>
                      <w:color w:val="auto"/>
                    </w:rPr>
                  </w:pPr>
                </w:p>
              </w:tc>
            </w:tr>
            <w:tr w14:paraId="6AC63F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70798874">
                  <w:pPr>
                    <w:jc w:val="center"/>
                    <w:rPr>
                      <w:rFonts w:hint="default" w:ascii="Times New Roman" w:hAnsi="Times New Roman" w:eastAsia="宋体" w:cs="Times New Roman"/>
                      <w:color w:val="auto"/>
                    </w:rPr>
                  </w:pPr>
                </w:p>
              </w:tc>
              <w:tc>
                <w:tcPr>
                  <w:tcW w:w="558" w:type="pct"/>
                  <w:vAlign w:val="center"/>
                </w:tcPr>
                <w:p w14:paraId="41DB120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104.888386</w:t>
                  </w:r>
                </w:p>
              </w:tc>
              <w:tc>
                <w:tcPr>
                  <w:tcW w:w="491" w:type="pct"/>
                  <w:vAlign w:val="center"/>
                </w:tcPr>
                <w:p w14:paraId="5EAB9C2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30.460411</w:t>
                  </w:r>
                </w:p>
              </w:tc>
              <w:tc>
                <w:tcPr>
                  <w:tcW w:w="474" w:type="pct"/>
                  <w:vAlign w:val="center"/>
                </w:tcPr>
                <w:p w14:paraId="1F6A587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8#</w:t>
                  </w:r>
                </w:p>
              </w:tc>
              <w:tc>
                <w:tcPr>
                  <w:tcW w:w="470" w:type="pct"/>
                  <w:vAlign w:val="center"/>
                </w:tcPr>
                <w:p w14:paraId="33AD2CF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6359C2B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47户农户</w:t>
                  </w:r>
                </w:p>
              </w:tc>
              <w:tc>
                <w:tcPr>
                  <w:tcW w:w="552" w:type="pct"/>
                  <w:vAlign w:val="center"/>
                </w:tcPr>
                <w:p w14:paraId="6599CB6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西北侧</w:t>
                  </w:r>
                </w:p>
              </w:tc>
              <w:tc>
                <w:tcPr>
                  <w:tcW w:w="582" w:type="pct"/>
                  <w:vAlign w:val="center"/>
                </w:tcPr>
                <w:p w14:paraId="3A968A8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117-500</w:t>
                  </w:r>
                </w:p>
              </w:tc>
              <w:tc>
                <w:tcPr>
                  <w:tcW w:w="735" w:type="pct"/>
                  <w:vMerge w:val="continue"/>
                  <w:vAlign w:val="center"/>
                </w:tcPr>
                <w:p w14:paraId="50820344">
                  <w:pPr>
                    <w:jc w:val="center"/>
                    <w:rPr>
                      <w:rFonts w:hint="default" w:ascii="Times New Roman" w:hAnsi="Times New Roman" w:eastAsia="宋体" w:cs="Times New Roman"/>
                      <w:color w:val="auto"/>
                    </w:rPr>
                  </w:pPr>
                </w:p>
              </w:tc>
            </w:tr>
            <w:tr w14:paraId="589977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26FB4C91">
                  <w:pPr>
                    <w:jc w:val="center"/>
                    <w:rPr>
                      <w:rFonts w:hint="default" w:ascii="Times New Roman" w:hAnsi="Times New Roman" w:eastAsia="宋体" w:cs="Times New Roman"/>
                      <w:color w:val="auto"/>
                    </w:rPr>
                  </w:pPr>
                </w:p>
              </w:tc>
              <w:tc>
                <w:tcPr>
                  <w:tcW w:w="558" w:type="pct"/>
                  <w:vMerge w:val="restart"/>
                  <w:vAlign w:val="center"/>
                </w:tcPr>
                <w:p w14:paraId="5B2A66A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104.877914</w:t>
                  </w:r>
                </w:p>
              </w:tc>
              <w:tc>
                <w:tcPr>
                  <w:tcW w:w="491" w:type="pct"/>
                  <w:vMerge w:val="restart"/>
                  <w:vAlign w:val="center"/>
                </w:tcPr>
                <w:p w14:paraId="61B69E5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30.460572</w:t>
                  </w:r>
                </w:p>
              </w:tc>
              <w:tc>
                <w:tcPr>
                  <w:tcW w:w="474" w:type="pct"/>
                  <w:vMerge w:val="restart"/>
                  <w:vAlign w:val="center"/>
                </w:tcPr>
                <w:p w14:paraId="502D611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9#</w:t>
                  </w:r>
                </w:p>
              </w:tc>
              <w:tc>
                <w:tcPr>
                  <w:tcW w:w="470" w:type="pct"/>
                  <w:vAlign w:val="center"/>
                </w:tcPr>
                <w:p w14:paraId="23BA2C6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7CDD9EA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42户农户</w:t>
                  </w:r>
                </w:p>
              </w:tc>
              <w:tc>
                <w:tcPr>
                  <w:tcW w:w="552" w:type="pct"/>
                  <w:vAlign w:val="center"/>
                </w:tcPr>
                <w:p w14:paraId="5DCA102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45FE81D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135-500</w:t>
                  </w:r>
                </w:p>
              </w:tc>
              <w:tc>
                <w:tcPr>
                  <w:tcW w:w="735" w:type="pct"/>
                  <w:vMerge w:val="continue"/>
                  <w:vAlign w:val="center"/>
                </w:tcPr>
                <w:p w14:paraId="1C4EFB99">
                  <w:pPr>
                    <w:jc w:val="center"/>
                    <w:rPr>
                      <w:rFonts w:hint="default" w:ascii="Times New Roman" w:hAnsi="Times New Roman" w:eastAsia="宋体" w:cs="Times New Roman"/>
                      <w:color w:val="auto"/>
                    </w:rPr>
                  </w:pPr>
                </w:p>
              </w:tc>
            </w:tr>
            <w:tr w14:paraId="3BD816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741F9750">
                  <w:pPr>
                    <w:jc w:val="center"/>
                    <w:rPr>
                      <w:rFonts w:hint="default" w:ascii="Times New Roman" w:hAnsi="Times New Roman" w:eastAsia="宋体" w:cs="Times New Roman"/>
                      <w:color w:val="auto"/>
                    </w:rPr>
                  </w:pPr>
                </w:p>
              </w:tc>
              <w:tc>
                <w:tcPr>
                  <w:tcW w:w="558" w:type="pct"/>
                  <w:vMerge w:val="continue"/>
                  <w:vAlign w:val="center"/>
                </w:tcPr>
                <w:p w14:paraId="6F1DF5F1">
                  <w:pPr>
                    <w:jc w:val="center"/>
                    <w:rPr>
                      <w:rFonts w:hint="default" w:ascii="Times New Roman" w:hAnsi="Times New Roman" w:eastAsia="宋体" w:cs="Times New Roman"/>
                      <w:color w:val="auto"/>
                    </w:rPr>
                  </w:pPr>
                </w:p>
              </w:tc>
              <w:tc>
                <w:tcPr>
                  <w:tcW w:w="491" w:type="pct"/>
                  <w:vMerge w:val="continue"/>
                  <w:vAlign w:val="center"/>
                </w:tcPr>
                <w:p w14:paraId="24E9EEF6">
                  <w:pPr>
                    <w:jc w:val="center"/>
                    <w:rPr>
                      <w:rFonts w:hint="default" w:ascii="Times New Roman" w:hAnsi="Times New Roman" w:eastAsia="宋体" w:cs="Times New Roman"/>
                      <w:color w:val="auto"/>
                    </w:rPr>
                  </w:pPr>
                </w:p>
              </w:tc>
              <w:tc>
                <w:tcPr>
                  <w:tcW w:w="474" w:type="pct"/>
                  <w:vMerge w:val="continue"/>
                  <w:vAlign w:val="center"/>
                </w:tcPr>
                <w:p w14:paraId="35A1DAA3">
                  <w:pPr>
                    <w:jc w:val="center"/>
                    <w:rPr>
                      <w:rFonts w:hint="default" w:ascii="Times New Roman" w:hAnsi="Times New Roman" w:eastAsia="宋体" w:cs="Times New Roman"/>
                      <w:color w:val="auto"/>
                    </w:rPr>
                  </w:pPr>
                </w:p>
              </w:tc>
              <w:tc>
                <w:tcPr>
                  <w:tcW w:w="470" w:type="pct"/>
                  <w:vAlign w:val="center"/>
                </w:tcPr>
                <w:p w14:paraId="780F6FD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1CF874A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51户农户</w:t>
                  </w:r>
                </w:p>
              </w:tc>
              <w:tc>
                <w:tcPr>
                  <w:tcW w:w="552" w:type="pct"/>
                  <w:vAlign w:val="center"/>
                </w:tcPr>
                <w:p w14:paraId="6955662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69C73B1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139-500</w:t>
                  </w:r>
                </w:p>
              </w:tc>
              <w:tc>
                <w:tcPr>
                  <w:tcW w:w="735" w:type="pct"/>
                  <w:vMerge w:val="continue"/>
                  <w:vAlign w:val="center"/>
                </w:tcPr>
                <w:p w14:paraId="0AF2264A">
                  <w:pPr>
                    <w:jc w:val="center"/>
                    <w:rPr>
                      <w:rFonts w:hint="default" w:ascii="Times New Roman" w:hAnsi="Times New Roman" w:eastAsia="宋体" w:cs="Times New Roman"/>
                      <w:color w:val="auto"/>
                    </w:rPr>
                  </w:pPr>
                </w:p>
              </w:tc>
            </w:tr>
            <w:tr w14:paraId="2D0C9E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5E8D1195">
                  <w:pPr>
                    <w:jc w:val="center"/>
                    <w:rPr>
                      <w:rFonts w:hint="default" w:ascii="Times New Roman" w:hAnsi="Times New Roman" w:eastAsia="宋体" w:cs="Times New Roman"/>
                      <w:color w:val="auto"/>
                    </w:rPr>
                  </w:pPr>
                </w:p>
              </w:tc>
              <w:tc>
                <w:tcPr>
                  <w:tcW w:w="558" w:type="pct"/>
                  <w:vMerge w:val="restart"/>
                  <w:vAlign w:val="center"/>
                </w:tcPr>
                <w:p w14:paraId="12F4A6A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104.895585</w:t>
                  </w:r>
                </w:p>
              </w:tc>
              <w:tc>
                <w:tcPr>
                  <w:tcW w:w="491" w:type="pct"/>
                  <w:vMerge w:val="restart"/>
                  <w:vAlign w:val="center"/>
                </w:tcPr>
                <w:p w14:paraId="1C0294F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30.459553</w:t>
                  </w:r>
                </w:p>
              </w:tc>
              <w:tc>
                <w:tcPr>
                  <w:tcW w:w="474" w:type="pct"/>
                  <w:vMerge w:val="restart"/>
                  <w:vAlign w:val="center"/>
                </w:tcPr>
                <w:p w14:paraId="06B7CD8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w:t>
                  </w:r>
                </w:p>
              </w:tc>
              <w:tc>
                <w:tcPr>
                  <w:tcW w:w="470" w:type="pct"/>
                  <w:vAlign w:val="center"/>
                </w:tcPr>
                <w:p w14:paraId="5A9939D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6D438E2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46户农户</w:t>
                  </w:r>
                </w:p>
              </w:tc>
              <w:tc>
                <w:tcPr>
                  <w:tcW w:w="552" w:type="pct"/>
                  <w:vAlign w:val="center"/>
                </w:tcPr>
                <w:p w14:paraId="6398A83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2668EF0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236-500</w:t>
                  </w:r>
                </w:p>
              </w:tc>
              <w:tc>
                <w:tcPr>
                  <w:tcW w:w="735" w:type="pct"/>
                  <w:vMerge w:val="continue"/>
                  <w:vAlign w:val="center"/>
                </w:tcPr>
                <w:p w14:paraId="7FE1E4F9">
                  <w:pPr>
                    <w:jc w:val="center"/>
                    <w:rPr>
                      <w:rFonts w:hint="default" w:ascii="Times New Roman" w:hAnsi="Times New Roman" w:eastAsia="宋体" w:cs="Times New Roman"/>
                      <w:color w:val="auto"/>
                    </w:rPr>
                  </w:pPr>
                </w:p>
              </w:tc>
            </w:tr>
            <w:tr w14:paraId="28E5E5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73539924">
                  <w:pPr>
                    <w:jc w:val="center"/>
                    <w:rPr>
                      <w:rFonts w:hint="default" w:ascii="Times New Roman" w:hAnsi="Times New Roman" w:eastAsia="宋体" w:cs="Times New Roman"/>
                      <w:color w:val="auto"/>
                    </w:rPr>
                  </w:pPr>
                </w:p>
              </w:tc>
              <w:tc>
                <w:tcPr>
                  <w:tcW w:w="558" w:type="pct"/>
                  <w:vMerge w:val="continue"/>
                  <w:vAlign w:val="center"/>
                </w:tcPr>
                <w:p w14:paraId="6CA7153F">
                  <w:pPr>
                    <w:jc w:val="center"/>
                    <w:rPr>
                      <w:rFonts w:hint="default" w:ascii="Times New Roman" w:hAnsi="Times New Roman" w:eastAsia="宋体" w:cs="Times New Roman"/>
                      <w:color w:val="auto"/>
                    </w:rPr>
                  </w:pPr>
                </w:p>
              </w:tc>
              <w:tc>
                <w:tcPr>
                  <w:tcW w:w="491" w:type="pct"/>
                  <w:vMerge w:val="continue"/>
                  <w:vAlign w:val="center"/>
                </w:tcPr>
                <w:p w14:paraId="0A161DA3">
                  <w:pPr>
                    <w:jc w:val="center"/>
                    <w:rPr>
                      <w:rFonts w:hint="default" w:ascii="Times New Roman" w:hAnsi="Times New Roman" w:eastAsia="宋体" w:cs="Times New Roman"/>
                      <w:color w:val="auto"/>
                    </w:rPr>
                  </w:pPr>
                </w:p>
              </w:tc>
              <w:tc>
                <w:tcPr>
                  <w:tcW w:w="474" w:type="pct"/>
                  <w:vMerge w:val="continue"/>
                  <w:vAlign w:val="center"/>
                </w:tcPr>
                <w:p w14:paraId="685EB312">
                  <w:pPr>
                    <w:jc w:val="center"/>
                    <w:rPr>
                      <w:rFonts w:hint="default" w:ascii="Times New Roman" w:hAnsi="Times New Roman" w:eastAsia="宋体" w:cs="Times New Roman"/>
                      <w:color w:val="auto"/>
                    </w:rPr>
                  </w:pPr>
                </w:p>
              </w:tc>
              <w:tc>
                <w:tcPr>
                  <w:tcW w:w="470" w:type="pct"/>
                  <w:vAlign w:val="center"/>
                </w:tcPr>
                <w:p w14:paraId="3351AF5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0F1B6DE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53户农户</w:t>
                  </w:r>
                </w:p>
              </w:tc>
              <w:tc>
                <w:tcPr>
                  <w:tcW w:w="552" w:type="pct"/>
                  <w:vAlign w:val="center"/>
                </w:tcPr>
                <w:p w14:paraId="2AA6C59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南侧</w:t>
                  </w:r>
                </w:p>
              </w:tc>
              <w:tc>
                <w:tcPr>
                  <w:tcW w:w="582" w:type="pct"/>
                  <w:vAlign w:val="center"/>
                </w:tcPr>
                <w:p w14:paraId="227EE7A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231-500</w:t>
                  </w:r>
                </w:p>
              </w:tc>
              <w:tc>
                <w:tcPr>
                  <w:tcW w:w="735" w:type="pct"/>
                  <w:vMerge w:val="continue"/>
                  <w:vAlign w:val="center"/>
                </w:tcPr>
                <w:p w14:paraId="2F24DB58">
                  <w:pPr>
                    <w:jc w:val="center"/>
                    <w:rPr>
                      <w:rFonts w:hint="default" w:ascii="Times New Roman" w:hAnsi="Times New Roman" w:eastAsia="宋体" w:cs="Times New Roman"/>
                      <w:color w:val="auto"/>
                    </w:rPr>
                  </w:pPr>
                </w:p>
              </w:tc>
            </w:tr>
            <w:tr w14:paraId="6FD5A5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256" w:type="pct"/>
                  <w:vMerge w:val="continue"/>
                  <w:vAlign w:val="center"/>
                </w:tcPr>
                <w:p w14:paraId="324D46A2">
                  <w:pPr>
                    <w:jc w:val="center"/>
                    <w:rPr>
                      <w:rFonts w:hint="default" w:ascii="Times New Roman" w:hAnsi="Times New Roman" w:eastAsia="宋体" w:cs="Times New Roman"/>
                      <w:color w:val="auto"/>
                    </w:rPr>
                  </w:pPr>
                </w:p>
              </w:tc>
              <w:tc>
                <w:tcPr>
                  <w:tcW w:w="558" w:type="pct"/>
                  <w:vAlign w:val="center"/>
                </w:tcPr>
                <w:p w14:paraId="75061E1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104.9085457</w:t>
                  </w:r>
                </w:p>
              </w:tc>
              <w:tc>
                <w:tcPr>
                  <w:tcW w:w="491" w:type="pct"/>
                  <w:vAlign w:val="center"/>
                </w:tcPr>
                <w:p w14:paraId="324A396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30.461828</w:t>
                  </w:r>
                </w:p>
              </w:tc>
              <w:tc>
                <w:tcPr>
                  <w:tcW w:w="474" w:type="pct"/>
                  <w:vAlign w:val="center"/>
                </w:tcPr>
                <w:p w14:paraId="23171E2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11#</w:t>
                  </w:r>
                </w:p>
              </w:tc>
              <w:tc>
                <w:tcPr>
                  <w:tcW w:w="470" w:type="pct"/>
                  <w:vAlign w:val="center"/>
                </w:tcPr>
                <w:p w14:paraId="3EC44D7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56FD645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53户农户</w:t>
                  </w:r>
                </w:p>
              </w:tc>
              <w:tc>
                <w:tcPr>
                  <w:tcW w:w="552" w:type="pct"/>
                  <w:vAlign w:val="center"/>
                </w:tcPr>
                <w:p w14:paraId="2C1AF8A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北侧</w:t>
                  </w:r>
                </w:p>
              </w:tc>
              <w:tc>
                <w:tcPr>
                  <w:tcW w:w="582" w:type="pct"/>
                  <w:vAlign w:val="center"/>
                </w:tcPr>
                <w:p w14:paraId="0EDBC1EB">
                  <w:pPr>
                    <w:tabs>
                      <w:tab w:val="left" w:pos="342"/>
                    </w:tabs>
                    <w:rPr>
                      <w:rFonts w:hint="default" w:ascii="Times New Roman" w:hAnsi="Times New Roman" w:eastAsia="宋体" w:cs="Times New Roman"/>
                      <w:color w:val="auto"/>
                    </w:rPr>
                  </w:pPr>
                  <w:r>
                    <w:rPr>
                      <w:rFonts w:hint="default" w:ascii="Times New Roman" w:hAnsi="Times New Roman" w:eastAsia="宋体" w:cs="Times New Roman"/>
                      <w:color w:val="auto"/>
                    </w:rPr>
                    <w:t>258-500</w:t>
                  </w:r>
                </w:p>
              </w:tc>
              <w:tc>
                <w:tcPr>
                  <w:tcW w:w="735" w:type="pct"/>
                  <w:vMerge w:val="continue"/>
                  <w:vAlign w:val="center"/>
                </w:tcPr>
                <w:p w14:paraId="7A4883DA">
                  <w:pPr>
                    <w:jc w:val="center"/>
                    <w:rPr>
                      <w:rFonts w:hint="default" w:ascii="Times New Roman" w:hAnsi="Times New Roman" w:eastAsia="宋体" w:cs="Times New Roman"/>
                      <w:color w:val="auto"/>
                    </w:rPr>
                  </w:pPr>
                </w:p>
              </w:tc>
            </w:tr>
            <w:tr w14:paraId="6E2E61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7149F7F4">
                  <w:pPr>
                    <w:jc w:val="center"/>
                    <w:rPr>
                      <w:rFonts w:hint="default" w:ascii="Times New Roman" w:hAnsi="Times New Roman" w:eastAsia="宋体" w:cs="Times New Roman"/>
                      <w:color w:val="auto"/>
                    </w:rPr>
                  </w:pPr>
                </w:p>
              </w:tc>
              <w:tc>
                <w:tcPr>
                  <w:tcW w:w="558" w:type="pct"/>
                  <w:vAlign w:val="center"/>
                </w:tcPr>
                <w:p w14:paraId="4BD33D7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104.918244</w:t>
                  </w:r>
                </w:p>
              </w:tc>
              <w:tc>
                <w:tcPr>
                  <w:tcW w:w="491" w:type="pct"/>
                  <w:vAlign w:val="center"/>
                </w:tcPr>
                <w:p w14:paraId="15060AB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30.461205</w:t>
                  </w:r>
                </w:p>
              </w:tc>
              <w:tc>
                <w:tcPr>
                  <w:tcW w:w="474" w:type="pct"/>
                  <w:vAlign w:val="center"/>
                </w:tcPr>
                <w:p w14:paraId="120BCA0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w:t>
                  </w:r>
                </w:p>
              </w:tc>
              <w:tc>
                <w:tcPr>
                  <w:tcW w:w="470" w:type="pct"/>
                  <w:vAlign w:val="center"/>
                </w:tcPr>
                <w:p w14:paraId="0756AAC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0825055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7户农户</w:t>
                  </w:r>
                </w:p>
              </w:tc>
              <w:tc>
                <w:tcPr>
                  <w:tcW w:w="552" w:type="pct"/>
                  <w:vAlign w:val="center"/>
                </w:tcPr>
                <w:p w14:paraId="127B129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东北侧</w:t>
                  </w:r>
                </w:p>
              </w:tc>
              <w:tc>
                <w:tcPr>
                  <w:tcW w:w="582" w:type="pct"/>
                  <w:vAlign w:val="center"/>
                </w:tcPr>
                <w:p w14:paraId="1884866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437-500</w:t>
                  </w:r>
                </w:p>
              </w:tc>
              <w:tc>
                <w:tcPr>
                  <w:tcW w:w="735" w:type="pct"/>
                  <w:vMerge w:val="continue"/>
                  <w:vAlign w:val="center"/>
                </w:tcPr>
                <w:p w14:paraId="691E8384">
                  <w:pPr>
                    <w:jc w:val="center"/>
                    <w:rPr>
                      <w:rFonts w:hint="default" w:ascii="Times New Roman" w:hAnsi="Times New Roman" w:eastAsia="宋体" w:cs="Times New Roman"/>
                      <w:color w:val="auto"/>
                    </w:rPr>
                  </w:pPr>
                </w:p>
              </w:tc>
            </w:tr>
            <w:tr w14:paraId="07C932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51C0A2D5">
                  <w:pPr>
                    <w:jc w:val="center"/>
                    <w:rPr>
                      <w:rFonts w:hint="default" w:ascii="Times New Roman" w:hAnsi="Times New Roman" w:eastAsia="宋体" w:cs="Times New Roman"/>
                      <w:color w:val="auto"/>
                    </w:rPr>
                  </w:pPr>
                </w:p>
              </w:tc>
              <w:tc>
                <w:tcPr>
                  <w:tcW w:w="558" w:type="pct"/>
                  <w:vAlign w:val="center"/>
                </w:tcPr>
                <w:p w14:paraId="6915E05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104.926291</w:t>
                  </w:r>
                </w:p>
              </w:tc>
              <w:tc>
                <w:tcPr>
                  <w:tcW w:w="491" w:type="pct"/>
                  <w:vAlign w:val="center"/>
                </w:tcPr>
                <w:p w14:paraId="09B85EA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30.461227</w:t>
                  </w:r>
                </w:p>
              </w:tc>
              <w:tc>
                <w:tcPr>
                  <w:tcW w:w="474" w:type="pct"/>
                  <w:vAlign w:val="center"/>
                </w:tcPr>
                <w:p w14:paraId="6F2D188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13#</w:t>
                  </w:r>
                </w:p>
              </w:tc>
              <w:tc>
                <w:tcPr>
                  <w:tcW w:w="470" w:type="pct"/>
                  <w:vAlign w:val="center"/>
                </w:tcPr>
                <w:p w14:paraId="0FED03B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26A93B8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46户农户</w:t>
                  </w:r>
                </w:p>
              </w:tc>
              <w:tc>
                <w:tcPr>
                  <w:tcW w:w="552" w:type="pct"/>
                  <w:vAlign w:val="center"/>
                </w:tcPr>
                <w:p w14:paraId="2B851E0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376B833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121-500</w:t>
                  </w:r>
                </w:p>
              </w:tc>
              <w:tc>
                <w:tcPr>
                  <w:tcW w:w="735" w:type="pct"/>
                  <w:vMerge w:val="continue"/>
                  <w:vAlign w:val="center"/>
                </w:tcPr>
                <w:p w14:paraId="06DA0683">
                  <w:pPr>
                    <w:jc w:val="center"/>
                    <w:rPr>
                      <w:rFonts w:hint="default" w:ascii="Times New Roman" w:hAnsi="Times New Roman" w:eastAsia="宋体" w:cs="Times New Roman"/>
                      <w:color w:val="auto"/>
                    </w:rPr>
                  </w:pPr>
                </w:p>
              </w:tc>
            </w:tr>
            <w:tr w14:paraId="037609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51BD3A12">
                  <w:pPr>
                    <w:jc w:val="center"/>
                    <w:rPr>
                      <w:rFonts w:hint="default" w:ascii="Times New Roman" w:hAnsi="Times New Roman" w:eastAsia="宋体" w:cs="Times New Roman"/>
                      <w:color w:val="auto"/>
                    </w:rPr>
                  </w:pPr>
                </w:p>
              </w:tc>
              <w:tc>
                <w:tcPr>
                  <w:tcW w:w="558" w:type="pct"/>
                  <w:vAlign w:val="center"/>
                </w:tcPr>
                <w:p w14:paraId="1A2ED38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104.908331</w:t>
                  </w:r>
                </w:p>
              </w:tc>
              <w:tc>
                <w:tcPr>
                  <w:tcW w:w="491" w:type="pct"/>
                  <w:vAlign w:val="center"/>
                </w:tcPr>
                <w:p w14:paraId="2100667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30.441722</w:t>
                  </w:r>
                </w:p>
              </w:tc>
              <w:tc>
                <w:tcPr>
                  <w:tcW w:w="474" w:type="pct"/>
                  <w:vAlign w:val="center"/>
                </w:tcPr>
                <w:p w14:paraId="61FB2E2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14#</w:t>
                  </w:r>
                </w:p>
              </w:tc>
              <w:tc>
                <w:tcPr>
                  <w:tcW w:w="470" w:type="pct"/>
                  <w:vAlign w:val="center"/>
                </w:tcPr>
                <w:p w14:paraId="7726736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1153464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59户农户</w:t>
                  </w:r>
                </w:p>
              </w:tc>
              <w:tc>
                <w:tcPr>
                  <w:tcW w:w="552" w:type="pct"/>
                  <w:vAlign w:val="center"/>
                </w:tcPr>
                <w:p w14:paraId="023C70C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35A2215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102-500</w:t>
                  </w:r>
                </w:p>
              </w:tc>
              <w:tc>
                <w:tcPr>
                  <w:tcW w:w="735" w:type="pct"/>
                  <w:vMerge w:val="continue"/>
                  <w:vAlign w:val="center"/>
                </w:tcPr>
                <w:p w14:paraId="61057804">
                  <w:pPr>
                    <w:jc w:val="center"/>
                    <w:rPr>
                      <w:rFonts w:hint="default" w:ascii="Times New Roman" w:hAnsi="Times New Roman" w:eastAsia="宋体" w:cs="Times New Roman"/>
                      <w:color w:val="auto"/>
                    </w:rPr>
                  </w:pPr>
                </w:p>
              </w:tc>
            </w:tr>
            <w:tr w14:paraId="779A25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000" w:type="pct"/>
                  <w:gridSpan w:val="9"/>
                  <w:vAlign w:val="center"/>
                </w:tcPr>
                <w:p w14:paraId="56B8616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盛池镇</w:t>
                  </w:r>
                </w:p>
              </w:tc>
            </w:tr>
            <w:tr w14:paraId="647732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restart"/>
                  <w:vAlign w:val="center"/>
                </w:tcPr>
                <w:p w14:paraId="667C45B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大气环境</w:t>
                  </w:r>
                </w:p>
              </w:tc>
              <w:tc>
                <w:tcPr>
                  <w:tcW w:w="558" w:type="pct"/>
                  <w:vMerge w:val="restart"/>
                  <w:vAlign w:val="center"/>
                </w:tcPr>
                <w:p w14:paraId="63B7B9C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105.068458</w:t>
                  </w:r>
                </w:p>
              </w:tc>
              <w:tc>
                <w:tcPr>
                  <w:tcW w:w="491" w:type="pct"/>
                  <w:vMerge w:val="restart"/>
                  <w:vAlign w:val="center"/>
                </w:tcPr>
                <w:p w14:paraId="26A26A2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30.49400</w:t>
                  </w:r>
                </w:p>
              </w:tc>
              <w:tc>
                <w:tcPr>
                  <w:tcW w:w="474" w:type="pct"/>
                  <w:vMerge w:val="restart"/>
                  <w:vAlign w:val="center"/>
                </w:tcPr>
                <w:p w14:paraId="0AF8170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w:t>
                  </w:r>
                </w:p>
              </w:tc>
              <w:tc>
                <w:tcPr>
                  <w:tcW w:w="470" w:type="pct"/>
                  <w:vAlign w:val="center"/>
                </w:tcPr>
                <w:p w14:paraId="0A9B8F2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10952B6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3户农户</w:t>
                  </w:r>
                </w:p>
              </w:tc>
              <w:tc>
                <w:tcPr>
                  <w:tcW w:w="552" w:type="pct"/>
                  <w:vAlign w:val="center"/>
                </w:tcPr>
                <w:p w14:paraId="387FB15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5AAF27F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81-346</w:t>
                  </w:r>
                </w:p>
              </w:tc>
              <w:tc>
                <w:tcPr>
                  <w:tcW w:w="735" w:type="pct"/>
                  <w:vMerge w:val="restart"/>
                  <w:vAlign w:val="center"/>
                </w:tcPr>
                <w:p w14:paraId="1F9AC2A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《环境空气质量标准》（GB3095-2012）中二级标准</w:t>
                  </w:r>
                </w:p>
              </w:tc>
            </w:tr>
            <w:tr w14:paraId="1F8205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003867D2">
                  <w:pPr>
                    <w:jc w:val="center"/>
                    <w:rPr>
                      <w:rFonts w:hint="default" w:ascii="Times New Roman" w:hAnsi="Times New Roman" w:eastAsia="宋体" w:cs="Times New Roman"/>
                      <w:color w:val="auto"/>
                    </w:rPr>
                  </w:pPr>
                </w:p>
              </w:tc>
              <w:tc>
                <w:tcPr>
                  <w:tcW w:w="558" w:type="pct"/>
                  <w:vMerge w:val="continue"/>
                  <w:vAlign w:val="center"/>
                </w:tcPr>
                <w:p w14:paraId="22D7CCDB">
                  <w:pPr>
                    <w:jc w:val="center"/>
                    <w:rPr>
                      <w:rFonts w:hint="default" w:ascii="Times New Roman" w:hAnsi="Times New Roman" w:eastAsia="宋体" w:cs="Times New Roman"/>
                      <w:color w:val="auto"/>
                    </w:rPr>
                  </w:pPr>
                </w:p>
              </w:tc>
              <w:tc>
                <w:tcPr>
                  <w:tcW w:w="491" w:type="pct"/>
                  <w:vMerge w:val="continue"/>
                  <w:vAlign w:val="center"/>
                </w:tcPr>
                <w:p w14:paraId="7E3E6A8D">
                  <w:pPr>
                    <w:jc w:val="center"/>
                    <w:rPr>
                      <w:rFonts w:hint="default" w:ascii="Times New Roman" w:hAnsi="Times New Roman" w:eastAsia="宋体" w:cs="Times New Roman"/>
                      <w:color w:val="auto"/>
                    </w:rPr>
                  </w:pPr>
                </w:p>
              </w:tc>
              <w:tc>
                <w:tcPr>
                  <w:tcW w:w="474" w:type="pct"/>
                  <w:vMerge w:val="continue"/>
                  <w:vAlign w:val="center"/>
                </w:tcPr>
                <w:p w14:paraId="5B2F451D">
                  <w:pPr>
                    <w:jc w:val="center"/>
                    <w:rPr>
                      <w:rFonts w:hint="default" w:ascii="Times New Roman" w:hAnsi="Times New Roman" w:eastAsia="宋体" w:cs="Times New Roman"/>
                      <w:color w:val="auto"/>
                    </w:rPr>
                  </w:pPr>
                </w:p>
              </w:tc>
              <w:tc>
                <w:tcPr>
                  <w:tcW w:w="470" w:type="pct"/>
                  <w:vAlign w:val="center"/>
                </w:tcPr>
                <w:p w14:paraId="40970EB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7C141CF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4户农户</w:t>
                  </w:r>
                </w:p>
              </w:tc>
              <w:tc>
                <w:tcPr>
                  <w:tcW w:w="552" w:type="pct"/>
                  <w:vAlign w:val="center"/>
                </w:tcPr>
                <w:p w14:paraId="4B87FC3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762DE8A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74-354</w:t>
                  </w:r>
                </w:p>
              </w:tc>
              <w:tc>
                <w:tcPr>
                  <w:tcW w:w="735" w:type="pct"/>
                  <w:vMerge w:val="continue"/>
                  <w:vAlign w:val="center"/>
                </w:tcPr>
                <w:p w14:paraId="2371B480">
                  <w:pPr>
                    <w:jc w:val="center"/>
                    <w:rPr>
                      <w:rFonts w:hint="default" w:ascii="Times New Roman" w:hAnsi="Times New Roman" w:eastAsia="宋体" w:cs="Times New Roman"/>
                      <w:color w:val="auto"/>
                    </w:rPr>
                  </w:pPr>
                </w:p>
              </w:tc>
            </w:tr>
            <w:tr w14:paraId="60E4D2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4C495B8E">
                  <w:pPr>
                    <w:jc w:val="center"/>
                    <w:rPr>
                      <w:rFonts w:hint="default" w:ascii="Times New Roman" w:hAnsi="Times New Roman" w:eastAsia="宋体" w:cs="Times New Roman"/>
                      <w:color w:val="auto"/>
                    </w:rPr>
                  </w:pPr>
                </w:p>
              </w:tc>
              <w:tc>
                <w:tcPr>
                  <w:tcW w:w="558" w:type="pct"/>
                  <w:vMerge w:val="restart"/>
                  <w:vAlign w:val="center"/>
                </w:tcPr>
                <w:p w14:paraId="5A7C75A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105.069832</w:t>
                  </w:r>
                </w:p>
              </w:tc>
              <w:tc>
                <w:tcPr>
                  <w:tcW w:w="491" w:type="pct"/>
                  <w:vMerge w:val="restart"/>
                  <w:vAlign w:val="center"/>
                </w:tcPr>
                <w:p w14:paraId="3B74F19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30.474393</w:t>
                  </w:r>
                </w:p>
              </w:tc>
              <w:tc>
                <w:tcPr>
                  <w:tcW w:w="474" w:type="pct"/>
                  <w:vMerge w:val="restart"/>
                  <w:vAlign w:val="center"/>
                </w:tcPr>
                <w:p w14:paraId="7A20CCA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w:t>
                  </w:r>
                </w:p>
              </w:tc>
              <w:tc>
                <w:tcPr>
                  <w:tcW w:w="470" w:type="pct"/>
                  <w:vAlign w:val="center"/>
                </w:tcPr>
                <w:p w14:paraId="4538050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2C713D4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5户农户</w:t>
                  </w:r>
                </w:p>
              </w:tc>
              <w:tc>
                <w:tcPr>
                  <w:tcW w:w="552" w:type="pct"/>
                  <w:vAlign w:val="center"/>
                </w:tcPr>
                <w:p w14:paraId="481FDBA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6B6B9BC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76-378</w:t>
                  </w:r>
                </w:p>
              </w:tc>
              <w:tc>
                <w:tcPr>
                  <w:tcW w:w="735" w:type="pct"/>
                  <w:vMerge w:val="continue"/>
                  <w:vAlign w:val="center"/>
                </w:tcPr>
                <w:p w14:paraId="790F6043">
                  <w:pPr>
                    <w:jc w:val="center"/>
                    <w:rPr>
                      <w:rFonts w:hint="default" w:ascii="Times New Roman" w:hAnsi="Times New Roman" w:eastAsia="宋体" w:cs="Times New Roman"/>
                      <w:color w:val="auto"/>
                    </w:rPr>
                  </w:pPr>
                </w:p>
              </w:tc>
            </w:tr>
            <w:tr w14:paraId="46B0C4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256" w:type="pct"/>
                  <w:vMerge w:val="continue"/>
                  <w:vAlign w:val="center"/>
                </w:tcPr>
                <w:p w14:paraId="4AABE19C">
                  <w:pPr>
                    <w:jc w:val="center"/>
                    <w:rPr>
                      <w:rFonts w:hint="default" w:ascii="Times New Roman" w:hAnsi="Times New Roman" w:eastAsia="宋体" w:cs="Times New Roman"/>
                      <w:color w:val="auto"/>
                    </w:rPr>
                  </w:pPr>
                </w:p>
              </w:tc>
              <w:tc>
                <w:tcPr>
                  <w:tcW w:w="558" w:type="pct"/>
                  <w:vMerge w:val="continue"/>
                  <w:vAlign w:val="center"/>
                </w:tcPr>
                <w:p w14:paraId="3EE0AA12">
                  <w:pPr>
                    <w:jc w:val="center"/>
                    <w:rPr>
                      <w:rFonts w:hint="default" w:ascii="Times New Roman" w:hAnsi="Times New Roman" w:eastAsia="宋体" w:cs="Times New Roman"/>
                      <w:color w:val="auto"/>
                    </w:rPr>
                  </w:pPr>
                </w:p>
              </w:tc>
              <w:tc>
                <w:tcPr>
                  <w:tcW w:w="491" w:type="pct"/>
                  <w:vMerge w:val="continue"/>
                  <w:vAlign w:val="center"/>
                </w:tcPr>
                <w:p w14:paraId="6975C542">
                  <w:pPr>
                    <w:jc w:val="center"/>
                    <w:rPr>
                      <w:rFonts w:hint="default" w:ascii="Times New Roman" w:hAnsi="Times New Roman" w:eastAsia="宋体" w:cs="Times New Roman"/>
                      <w:color w:val="auto"/>
                    </w:rPr>
                  </w:pPr>
                </w:p>
              </w:tc>
              <w:tc>
                <w:tcPr>
                  <w:tcW w:w="474" w:type="pct"/>
                  <w:vMerge w:val="continue"/>
                  <w:vAlign w:val="center"/>
                </w:tcPr>
                <w:p w14:paraId="1403A835">
                  <w:pPr>
                    <w:jc w:val="center"/>
                    <w:rPr>
                      <w:rFonts w:hint="default" w:ascii="Times New Roman" w:hAnsi="Times New Roman" w:eastAsia="宋体" w:cs="Times New Roman"/>
                      <w:color w:val="auto"/>
                    </w:rPr>
                  </w:pPr>
                </w:p>
              </w:tc>
              <w:tc>
                <w:tcPr>
                  <w:tcW w:w="470" w:type="pct"/>
                  <w:vAlign w:val="center"/>
                </w:tcPr>
                <w:p w14:paraId="4D137A8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55E6052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8户农户</w:t>
                  </w:r>
                </w:p>
              </w:tc>
              <w:tc>
                <w:tcPr>
                  <w:tcW w:w="552" w:type="pct"/>
                  <w:vAlign w:val="center"/>
                </w:tcPr>
                <w:p w14:paraId="7CC9ACA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23F6C0D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116-431</w:t>
                  </w:r>
                </w:p>
              </w:tc>
              <w:tc>
                <w:tcPr>
                  <w:tcW w:w="735" w:type="pct"/>
                  <w:vMerge w:val="continue"/>
                  <w:vAlign w:val="center"/>
                </w:tcPr>
                <w:p w14:paraId="7BD2C440">
                  <w:pPr>
                    <w:jc w:val="center"/>
                    <w:rPr>
                      <w:rFonts w:hint="default" w:ascii="Times New Roman" w:hAnsi="Times New Roman" w:eastAsia="宋体" w:cs="Times New Roman"/>
                      <w:color w:val="auto"/>
                    </w:rPr>
                  </w:pPr>
                </w:p>
              </w:tc>
            </w:tr>
            <w:tr w14:paraId="198701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764C1570">
                  <w:pPr>
                    <w:jc w:val="center"/>
                    <w:rPr>
                      <w:rFonts w:hint="default" w:ascii="Times New Roman" w:hAnsi="Times New Roman" w:eastAsia="宋体" w:cs="Times New Roman"/>
                      <w:color w:val="auto"/>
                    </w:rPr>
                  </w:pPr>
                </w:p>
              </w:tc>
              <w:tc>
                <w:tcPr>
                  <w:tcW w:w="558" w:type="pct"/>
                  <w:vMerge w:val="restart"/>
                  <w:vAlign w:val="center"/>
                </w:tcPr>
                <w:p w14:paraId="6CA5515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105.062450</w:t>
                  </w:r>
                </w:p>
              </w:tc>
              <w:tc>
                <w:tcPr>
                  <w:tcW w:w="491" w:type="pct"/>
                  <w:vMerge w:val="restart"/>
                  <w:vAlign w:val="center"/>
                </w:tcPr>
                <w:p w14:paraId="3D40DBC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30.472376</w:t>
                  </w:r>
                </w:p>
              </w:tc>
              <w:tc>
                <w:tcPr>
                  <w:tcW w:w="474" w:type="pct"/>
                  <w:vMerge w:val="restart"/>
                  <w:vAlign w:val="center"/>
                </w:tcPr>
                <w:p w14:paraId="5FCC2F6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w:t>
                  </w:r>
                </w:p>
              </w:tc>
              <w:tc>
                <w:tcPr>
                  <w:tcW w:w="470" w:type="pct"/>
                  <w:vAlign w:val="center"/>
                </w:tcPr>
                <w:p w14:paraId="5C2FD45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050499F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3户农户</w:t>
                  </w:r>
                </w:p>
              </w:tc>
              <w:tc>
                <w:tcPr>
                  <w:tcW w:w="552" w:type="pct"/>
                  <w:vAlign w:val="center"/>
                </w:tcPr>
                <w:p w14:paraId="56429ED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0A5A668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83-389</w:t>
                  </w:r>
                </w:p>
              </w:tc>
              <w:tc>
                <w:tcPr>
                  <w:tcW w:w="735" w:type="pct"/>
                  <w:vMerge w:val="continue"/>
                  <w:vAlign w:val="center"/>
                </w:tcPr>
                <w:p w14:paraId="7F7BC860">
                  <w:pPr>
                    <w:jc w:val="center"/>
                    <w:rPr>
                      <w:rFonts w:hint="default" w:ascii="Times New Roman" w:hAnsi="Times New Roman" w:eastAsia="宋体" w:cs="Times New Roman"/>
                      <w:color w:val="auto"/>
                    </w:rPr>
                  </w:pPr>
                </w:p>
              </w:tc>
            </w:tr>
            <w:tr w14:paraId="61D344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603A43A9">
                  <w:pPr>
                    <w:jc w:val="center"/>
                    <w:rPr>
                      <w:rFonts w:hint="default" w:ascii="Times New Roman" w:hAnsi="Times New Roman" w:eastAsia="宋体" w:cs="Times New Roman"/>
                      <w:color w:val="auto"/>
                    </w:rPr>
                  </w:pPr>
                </w:p>
              </w:tc>
              <w:tc>
                <w:tcPr>
                  <w:tcW w:w="558" w:type="pct"/>
                  <w:vMerge w:val="continue"/>
                  <w:vAlign w:val="center"/>
                </w:tcPr>
                <w:p w14:paraId="4AC1BD57">
                  <w:pPr>
                    <w:jc w:val="center"/>
                    <w:rPr>
                      <w:rFonts w:hint="default" w:ascii="Times New Roman" w:hAnsi="Times New Roman" w:eastAsia="宋体" w:cs="Times New Roman"/>
                      <w:color w:val="auto"/>
                    </w:rPr>
                  </w:pPr>
                </w:p>
              </w:tc>
              <w:tc>
                <w:tcPr>
                  <w:tcW w:w="491" w:type="pct"/>
                  <w:vMerge w:val="continue"/>
                  <w:vAlign w:val="center"/>
                </w:tcPr>
                <w:p w14:paraId="6D1F64B8">
                  <w:pPr>
                    <w:jc w:val="center"/>
                    <w:rPr>
                      <w:rFonts w:hint="default" w:ascii="Times New Roman" w:hAnsi="Times New Roman" w:eastAsia="宋体" w:cs="Times New Roman"/>
                      <w:color w:val="auto"/>
                    </w:rPr>
                  </w:pPr>
                </w:p>
              </w:tc>
              <w:tc>
                <w:tcPr>
                  <w:tcW w:w="474" w:type="pct"/>
                  <w:vMerge w:val="continue"/>
                  <w:vAlign w:val="center"/>
                </w:tcPr>
                <w:p w14:paraId="0DD0AB8A">
                  <w:pPr>
                    <w:jc w:val="center"/>
                    <w:rPr>
                      <w:rFonts w:hint="default" w:ascii="Times New Roman" w:hAnsi="Times New Roman" w:eastAsia="宋体" w:cs="Times New Roman"/>
                      <w:color w:val="auto"/>
                    </w:rPr>
                  </w:pPr>
                </w:p>
              </w:tc>
              <w:tc>
                <w:tcPr>
                  <w:tcW w:w="470" w:type="pct"/>
                  <w:vAlign w:val="center"/>
                </w:tcPr>
                <w:p w14:paraId="27F8A94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32A7161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4户农户</w:t>
                  </w:r>
                </w:p>
              </w:tc>
              <w:tc>
                <w:tcPr>
                  <w:tcW w:w="552" w:type="pct"/>
                  <w:vAlign w:val="center"/>
                </w:tcPr>
                <w:p w14:paraId="7772116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0B094C3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88-416</w:t>
                  </w:r>
                </w:p>
              </w:tc>
              <w:tc>
                <w:tcPr>
                  <w:tcW w:w="735" w:type="pct"/>
                  <w:vMerge w:val="continue"/>
                  <w:vAlign w:val="center"/>
                </w:tcPr>
                <w:p w14:paraId="281D88A9">
                  <w:pPr>
                    <w:jc w:val="center"/>
                    <w:rPr>
                      <w:rFonts w:hint="default" w:ascii="Times New Roman" w:hAnsi="Times New Roman" w:eastAsia="宋体" w:cs="Times New Roman"/>
                      <w:color w:val="auto"/>
                    </w:rPr>
                  </w:pPr>
                </w:p>
              </w:tc>
            </w:tr>
            <w:tr w14:paraId="3F1054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3F598277">
                  <w:pPr>
                    <w:jc w:val="center"/>
                    <w:rPr>
                      <w:rFonts w:hint="default" w:ascii="Times New Roman" w:hAnsi="Times New Roman" w:eastAsia="宋体" w:cs="Times New Roman"/>
                      <w:color w:val="auto"/>
                    </w:rPr>
                  </w:pPr>
                </w:p>
              </w:tc>
              <w:tc>
                <w:tcPr>
                  <w:tcW w:w="558" w:type="pct"/>
                  <w:vMerge w:val="restart"/>
                  <w:vAlign w:val="center"/>
                </w:tcPr>
                <w:p w14:paraId="079DD8F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105.060090</w:t>
                  </w:r>
                </w:p>
              </w:tc>
              <w:tc>
                <w:tcPr>
                  <w:tcW w:w="491" w:type="pct"/>
                  <w:vMerge w:val="restart"/>
                  <w:vAlign w:val="center"/>
                </w:tcPr>
                <w:p w14:paraId="44ADA56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30.473278</w:t>
                  </w:r>
                </w:p>
              </w:tc>
              <w:tc>
                <w:tcPr>
                  <w:tcW w:w="474" w:type="pct"/>
                  <w:vMerge w:val="restart"/>
                  <w:vAlign w:val="center"/>
                </w:tcPr>
                <w:p w14:paraId="15E4727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4#</w:t>
                  </w:r>
                </w:p>
              </w:tc>
              <w:tc>
                <w:tcPr>
                  <w:tcW w:w="470" w:type="pct"/>
                  <w:vAlign w:val="center"/>
                </w:tcPr>
                <w:p w14:paraId="0DF84BC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7832F3D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5户农户</w:t>
                  </w:r>
                </w:p>
              </w:tc>
              <w:tc>
                <w:tcPr>
                  <w:tcW w:w="552" w:type="pct"/>
                  <w:vAlign w:val="center"/>
                </w:tcPr>
                <w:p w14:paraId="7103D04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79567C0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86-396</w:t>
                  </w:r>
                </w:p>
              </w:tc>
              <w:tc>
                <w:tcPr>
                  <w:tcW w:w="735" w:type="pct"/>
                  <w:vMerge w:val="continue"/>
                  <w:vAlign w:val="center"/>
                </w:tcPr>
                <w:p w14:paraId="3FE126CA">
                  <w:pPr>
                    <w:jc w:val="center"/>
                    <w:rPr>
                      <w:rFonts w:hint="default" w:ascii="Times New Roman" w:hAnsi="Times New Roman" w:eastAsia="宋体" w:cs="Times New Roman"/>
                      <w:color w:val="auto"/>
                    </w:rPr>
                  </w:pPr>
                </w:p>
              </w:tc>
            </w:tr>
            <w:tr w14:paraId="468918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09477302">
                  <w:pPr>
                    <w:jc w:val="center"/>
                    <w:rPr>
                      <w:rFonts w:hint="default" w:ascii="Times New Roman" w:hAnsi="Times New Roman" w:eastAsia="宋体" w:cs="Times New Roman"/>
                      <w:color w:val="auto"/>
                    </w:rPr>
                  </w:pPr>
                </w:p>
              </w:tc>
              <w:tc>
                <w:tcPr>
                  <w:tcW w:w="558" w:type="pct"/>
                  <w:vMerge w:val="continue"/>
                  <w:vAlign w:val="center"/>
                </w:tcPr>
                <w:p w14:paraId="39C9D479">
                  <w:pPr>
                    <w:jc w:val="center"/>
                    <w:rPr>
                      <w:rFonts w:hint="default" w:ascii="Times New Roman" w:hAnsi="Times New Roman" w:eastAsia="宋体" w:cs="Times New Roman"/>
                      <w:color w:val="auto"/>
                    </w:rPr>
                  </w:pPr>
                </w:p>
              </w:tc>
              <w:tc>
                <w:tcPr>
                  <w:tcW w:w="491" w:type="pct"/>
                  <w:vMerge w:val="continue"/>
                  <w:vAlign w:val="center"/>
                </w:tcPr>
                <w:p w14:paraId="60397D1C">
                  <w:pPr>
                    <w:jc w:val="center"/>
                    <w:rPr>
                      <w:rFonts w:hint="default" w:ascii="Times New Roman" w:hAnsi="Times New Roman" w:eastAsia="宋体" w:cs="Times New Roman"/>
                      <w:color w:val="auto"/>
                    </w:rPr>
                  </w:pPr>
                </w:p>
              </w:tc>
              <w:tc>
                <w:tcPr>
                  <w:tcW w:w="474" w:type="pct"/>
                  <w:vMerge w:val="continue"/>
                  <w:vAlign w:val="center"/>
                </w:tcPr>
                <w:p w14:paraId="48A91229">
                  <w:pPr>
                    <w:jc w:val="center"/>
                    <w:rPr>
                      <w:rFonts w:hint="default" w:ascii="Times New Roman" w:hAnsi="Times New Roman" w:eastAsia="宋体" w:cs="Times New Roman"/>
                      <w:color w:val="auto"/>
                    </w:rPr>
                  </w:pPr>
                </w:p>
              </w:tc>
              <w:tc>
                <w:tcPr>
                  <w:tcW w:w="470" w:type="pct"/>
                  <w:vAlign w:val="center"/>
                </w:tcPr>
                <w:p w14:paraId="5BA045E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3284799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6户农户</w:t>
                  </w:r>
                </w:p>
              </w:tc>
              <w:tc>
                <w:tcPr>
                  <w:tcW w:w="552" w:type="pct"/>
                  <w:vAlign w:val="center"/>
                </w:tcPr>
                <w:p w14:paraId="185C20E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29B4AA7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98-412</w:t>
                  </w:r>
                </w:p>
              </w:tc>
              <w:tc>
                <w:tcPr>
                  <w:tcW w:w="735" w:type="pct"/>
                  <w:vMerge w:val="continue"/>
                  <w:vAlign w:val="center"/>
                </w:tcPr>
                <w:p w14:paraId="0F6F2A91">
                  <w:pPr>
                    <w:jc w:val="center"/>
                    <w:rPr>
                      <w:rFonts w:hint="default" w:ascii="Times New Roman" w:hAnsi="Times New Roman" w:eastAsia="宋体" w:cs="Times New Roman"/>
                      <w:color w:val="auto"/>
                    </w:rPr>
                  </w:pPr>
                </w:p>
              </w:tc>
            </w:tr>
            <w:tr w14:paraId="5B3782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2C66FA20">
                  <w:pPr>
                    <w:jc w:val="center"/>
                    <w:rPr>
                      <w:rFonts w:hint="default" w:ascii="Times New Roman" w:hAnsi="Times New Roman" w:eastAsia="宋体" w:cs="Times New Roman"/>
                      <w:color w:val="auto"/>
                    </w:rPr>
                  </w:pPr>
                </w:p>
              </w:tc>
              <w:tc>
                <w:tcPr>
                  <w:tcW w:w="558" w:type="pct"/>
                  <w:vMerge w:val="restart"/>
                  <w:vAlign w:val="center"/>
                </w:tcPr>
                <w:p w14:paraId="11252BB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105.069746</w:t>
                  </w:r>
                </w:p>
              </w:tc>
              <w:tc>
                <w:tcPr>
                  <w:tcW w:w="491" w:type="pct"/>
                  <w:vMerge w:val="restart"/>
                  <w:vAlign w:val="center"/>
                </w:tcPr>
                <w:p w14:paraId="1F9F425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30.474780</w:t>
                  </w:r>
                </w:p>
              </w:tc>
              <w:tc>
                <w:tcPr>
                  <w:tcW w:w="474" w:type="pct"/>
                  <w:vMerge w:val="restart"/>
                  <w:vAlign w:val="center"/>
                </w:tcPr>
                <w:p w14:paraId="45E61F9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5#</w:t>
                  </w:r>
                </w:p>
              </w:tc>
              <w:tc>
                <w:tcPr>
                  <w:tcW w:w="470" w:type="pct"/>
                  <w:vAlign w:val="center"/>
                </w:tcPr>
                <w:p w14:paraId="60F4673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528F58F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5户农户</w:t>
                  </w:r>
                </w:p>
              </w:tc>
              <w:tc>
                <w:tcPr>
                  <w:tcW w:w="552" w:type="pct"/>
                  <w:vAlign w:val="center"/>
                </w:tcPr>
                <w:p w14:paraId="7C88EC6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北侧</w:t>
                  </w:r>
                </w:p>
              </w:tc>
              <w:tc>
                <w:tcPr>
                  <w:tcW w:w="582" w:type="pct"/>
                  <w:vAlign w:val="center"/>
                </w:tcPr>
                <w:p w14:paraId="5AF3354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94-410</w:t>
                  </w:r>
                </w:p>
              </w:tc>
              <w:tc>
                <w:tcPr>
                  <w:tcW w:w="735" w:type="pct"/>
                  <w:vMerge w:val="continue"/>
                  <w:vAlign w:val="center"/>
                </w:tcPr>
                <w:p w14:paraId="2402F75E">
                  <w:pPr>
                    <w:jc w:val="center"/>
                    <w:rPr>
                      <w:rFonts w:hint="default" w:ascii="Times New Roman" w:hAnsi="Times New Roman" w:eastAsia="宋体" w:cs="Times New Roman"/>
                      <w:color w:val="auto"/>
                    </w:rPr>
                  </w:pPr>
                </w:p>
              </w:tc>
            </w:tr>
            <w:tr w14:paraId="4BF47C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03E5A54E">
                  <w:pPr>
                    <w:jc w:val="center"/>
                    <w:rPr>
                      <w:rFonts w:hint="default" w:ascii="Times New Roman" w:hAnsi="Times New Roman" w:eastAsia="宋体" w:cs="Times New Roman"/>
                      <w:color w:val="auto"/>
                    </w:rPr>
                  </w:pPr>
                </w:p>
              </w:tc>
              <w:tc>
                <w:tcPr>
                  <w:tcW w:w="558" w:type="pct"/>
                  <w:vMerge w:val="continue"/>
                  <w:vAlign w:val="center"/>
                </w:tcPr>
                <w:p w14:paraId="3B1CE4C9">
                  <w:pPr>
                    <w:jc w:val="center"/>
                    <w:rPr>
                      <w:rFonts w:hint="default" w:ascii="Times New Roman" w:hAnsi="Times New Roman" w:eastAsia="宋体" w:cs="Times New Roman"/>
                      <w:color w:val="auto"/>
                    </w:rPr>
                  </w:pPr>
                </w:p>
              </w:tc>
              <w:tc>
                <w:tcPr>
                  <w:tcW w:w="491" w:type="pct"/>
                  <w:vMerge w:val="continue"/>
                  <w:vAlign w:val="center"/>
                </w:tcPr>
                <w:p w14:paraId="1C1C9D76">
                  <w:pPr>
                    <w:jc w:val="center"/>
                    <w:rPr>
                      <w:rFonts w:hint="default" w:ascii="Times New Roman" w:hAnsi="Times New Roman" w:eastAsia="宋体" w:cs="Times New Roman"/>
                      <w:color w:val="auto"/>
                    </w:rPr>
                  </w:pPr>
                </w:p>
              </w:tc>
              <w:tc>
                <w:tcPr>
                  <w:tcW w:w="474" w:type="pct"/>
                  <w:vMerge w:val="continue"/>
                  <w:vAlign w:val="center"/>
                </w:tcPr>
                <w:p w14:paraId="6BAE9CF3">
                  <w:pPr>
                    <w:jc w:val="center"/>
                    <w:rPr>
                      <w:rFonts w:hint="default" w:ascii="Times New Roman" w:hAnsi="Times New Roman" w:eastAsia="宋体" w:cs="Times New Roman"/>
                      <w:color w:val="auto"/>
                    </w:rPr>
                  </w:pPr>
                </w:p>
              </w:tc>
              <w:tc>
                <w:tcPr>
                  <w:tcW w:w="470" w:type="pct"/>
                  <w:vAlign w:val="center"/>
                </w:tcPr>
                <w:p w14:paraId="5C2E75F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4F47B29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6户农户</w:t>
                  </w:r>
                </w:p>
              </w:tc>
              <w:tc>
                <w:tcPr>
                  <w:tcW w:w="552" w:type="pct"/>
                  <w:vAlign w:val="center"/>
                </w:tcPr>
                <w:p w14:paraId="0C84F76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南侧</w:t>
                  </w:r>
                </w:p>
              </w:tc>
              <w:tc>
                <w:tcPr>
                  <w:tcW w:w="582" w:type="pct"/>
                  <w:vAlign w:val="center"/>
                </w:tcPr>
                <w:p w14:paraId="655652D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93-421</w:t>
                  </w:r>
                </w:p>
              </w:tc>
              <w:tc>
                <w:tcPr>
                  <w:tcW w:w="735" w:type="pct"/>
                  <w:vMerge w:val="continue"/>
                  <w:vAlign w:val="center"/>
                </w:tcPr>
                <w:p w14:paraId="4CA038BC">
                  <w:pPr>
                    <w:jc w:val="center"/>
                    <w:rPr>
                      <w:rFonts w:hint="default" w:ascii="Times New Roman" w:hAnsi="Times New Roman" w:eastAsia="宋体" w:cs="Times New Roman"/>
                      <w:color w:val="auto"/>
                    </w:rPr>
                  </w:pPr>
                </w:p>
              </w:tc>
            </w:tr>
            <w:tr w14:paraId="336E2C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25F1E004">
                  <w:pPr>
                    <w:jc w:val="center"/>
                    <w:rPr>
                      <w:rFonts w:hint="default" w:ascii="Times New Roman" w:hAnsi="Times New Roman" w:eastAsia="宋体" w:cs="Times New Roman"/>
                      <w:color w:val="auto"/>
                    </w:rPr>
                  </w:pPr>
                </w:p>
              </w:tc>
              <w:tc>
                <w:tcPr>
                  <w:tcW w:w="558" w:type="pct"/>
                  <w:vMerge w:val="restart"/>
                  <w:vAlign w:val="center"/>
                </w:tcPr>
                <w:p w14:paraId="2DF8D58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105.054125</w:t>
                  </w:r>
                </w:p>
              </w:tc>
              <w:tc>
                <w:tcPr>
                  <w:tcW w:w="491" w:type="pct"/>
                  <w:vMerge w:val="restart"/>
                  <w:vAlign w:val="center"/>
                </w:tcPr>
                <w:p w14:paraId="235C7AB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30.476410</w:t>
                  </w:r>
                </w:p>
              </w:tc>
              <w:tc>
                <w:tcPr>
                  <w:tcW w:w="474" w:type="pct"/>
                  <w:vMerge w:val="restart"/>
                  <w:vAlign w:val="center"/>
                </w:tcPr>
                <w:p w14:paraId="4E762B1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6#</w:t>
                  </w:r>
                </w:p>
              </w:tc>
              <w:tc>
                <w:tcPr>
                  <w:tcW w:w="470" w:type="pct"/>
                  <w:vAlign w:val="center"/>
                </w:tcPr>
                <w:p w14:paraId="686DE5F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77970EF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8户农户</w:t>
                  </w:r>
                </w:p>
              </w:tc>
              <w:tc>
                <w:tcPr>
                  <w:tcW w:w="552" w:type="pct"/>
                  <w:vAlign w:val="center"/>
                </w:tcPr>
                <w:p w14:paraId="5419DB7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21CD92D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137-459</w:t>
                  </w:r>
                </w:p>
              </w:tc>
              <w:tc>
                <w:tcPr>
                  <w:tcW w:w="735" w:type="pct"/>
                  <w:vMerge w:val="continue"/>
                  <w:vAlign w:val="center"/>
                </w:tcPr>
                <w:p w14:paraId="6926FD97">
                  <w:pPr>
                    <w:jc w:val="center"/>
                    <w:rPr>
                      <w:rFonts w:hint="default" w:ascii="Times New Roman" w:hAnsi="Times New Roman" w:eastAsia="宋体" w:cs="Times New Roman"/>
                      <w:color w:val="auto"/>
                    </w:rPr>
                  </w:pPr>
                </w:p>
              </w:tc>
            </w:tr>
            <w:tr w14:paraId="087AD5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0DF617E3">
                  <w:pPr>
                    <w:jc w:val="center"/>
                    <w:rPr>
                      <w:rFonts w:hint="default" w:ascii="Times New Roman" w:hAnsi="Times New Roman" w:eastAsia="宋体" w:cs="Times New Roman"/>
                      <w:color w:val="auto"/>
                    </w:rPr>
                  </w:pPr>
                </w:p>
              </w:tc>
              <w:tc>
                <w:tcPr>
                  <w:tcW w:w="558" w:type="pct"/>
                  <w:vMerge w:val="continue"/>
                  <w:vAlign w:val="center"/>
                </w:tcPr>
                <w:p w14:paraId="7E50CF21">
                  <w:pPr>
                    <w:jc w:val="center"/>
                    <w:rPr>
                      <w:rFonts w:hint="default" w:ascii="Times New Roman" w:hAnsi="Times New Roman" w:eastAsia="宋体" w:cs="Times New Roman"/>
                      <w:color w:val="auto"/>
                    </w:rPr>
                  </w:pPr>
                </w:p>
              </w:tc>
              <w:tc>
                <w:tcPr>
                  <w:tcW w:w="491" w:type="pct"/>
                  <w:vMerge w:val="continue"/>
                  <w:vAlign w:val="center"/>
                </w:tcPr>
                <w:p w14:paraId="472D4833">
                  <w:pPr>
                    <w:jc w:val="center"/>
                    <w:rPr>
                      <w:rFonts w:hint="default" w:ascii="Times New Roman" w:hAnsi="Times New Roman" w:eastAsia="宋体" w:cs="Times New Roman"/>
                      <w:color w:val="auto"/>
                    </w:rPr>
                  </w:pPr>
                </w:p>
              </w:tc>
              <w:tc>
                <w:tcPr>
                  <w:tcW w:w="474" w:type="pct"/>
                  <w:vMerge w:val="continue"/>
                  <w:vAlign w:val="center"/>
                </w:tcPr>
                <w:p w14:paraId="130EBC40">
                  <w:pPr>
                    <w:jc w:val="center"/>
                    <w:rPr>
                      <w:rFonts w:hint="default" w:ascii="Times New Roman" w:hAnsi="Times New Roman" w:eastAsia="宋体" w:cs="Times New Roman"/>
                      <w:color w:val="auto"/>
                    </w:rPr>
                  </w:pPr>
                </w:p>
              </w:tc>
              <w:tc>
                <w:tcPr>
                  <w:tcW w:w="470" w:type="pct"/>
                  <w:vAlign w:val="center"/>
                </w:tcPr>
                <w:p w14:paraId="456190D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1895F97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12户农户</w:t>
                  </w:r>
                </w:p>
              </w:tc>
              <w:tc>
                <w:tcPr>
                  <w:tcW w:w="552" w:type="pct"/>
                  <w:vAlign w:val="center"/>
                </w:tcPr>
                <w:p w14:paraId="69E6517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56A9D91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143-479</w:t>
                  </w:r>
                </w:p>
              </w:tc>
              <w:tc>
                <w:tcPr>
                  <w:tcW w:w="735" w:type="pct"/>
                  <w:vMerge w:val="continue"/>
                  <w:vAlign w:val="center"/>
                </w:tcPr>
                <w:p w14:paraId="1F8AA171">
                  <w:pPr>
                    <w:jc w:val="center"/>
                    <w:rPr>
                      <w:rFonts w:hint="default" w:ascii="Times New Roman" w:hAnsi="Times New Roman" w:eastAsia="宋体" w:cs="Times New Roman"/>
                      <w:color w:val="auto"/>
                    </w:rPr>
                  </w:pPr>
                </w:p>
              </w:tc>
            </w:tr>
            <w:tr w14:paraId="3C8E46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05713825">
                  <w:pPr>
                    <w:jc w:val="center"/>
                    <w:rPr>
                      <w:rFonts w:hint="default" w:ascii="Times New Roman" w:hAnsi="Times New Roman" w:eastAsia="宋体" w:cs="Times New Roman"/>
                      <w:color w:val="auto"/>
                    </w:rPr>
                  </w:pPr>
                </w:p>
              </w:tc>
              <w:tc>
                <w:tcPr>
                  <w:tcW w:w="558" w:type="pct"/>
                  <w:vAlign w:val="center"/>
                </w:tcPr>
                <w:p w14:paraId="0CD2187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105.052108</w:t>
                  </w:r>
                </w:p>
              </w:tc>
              <w:tc>
                <w:tcPr>
                  <w:tcW w:w="491" w:type="pct"/>
                  <w:vAlign w:val="center"/>
                </w:tcPr>
                <w:p w14:paraId="44296E3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30.476925</w:t>
                  </w:r>
                </w:p>
              </w:tc>
              <w:tc>
                <w:tcPr>
                  <w:tcW w:w="474" w:type="pct"/>
                  <w:vAlign w:val="center"/>
                </w:tcPr>
                <w:p w14:paraId="710DCEB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7#</w:t>
                  </w:r>
                </w:p>
              </w:tc>
              <w:tc>
                <w:tcPr>
                  <w:tcW w:w="470" w:type="pct"/>
                  <w:vAlign w:val="center"/>
                </w:tcPr>
                <w:p w14:paraId="521BC9A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62C7177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4户农户</w:t>
                  </w:r>
                </w:p>
              </w:tc>
              <w:tc>
                <w:tcPr>
                  <w:tcW w:w="552" w:type="pct"/>
                  <w:vAlign w:val="center"/>
                </w:tcPr>
                <w:p w14:paraId="5C31466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南侧</w:t>
                  </w:r>
                </w:p>
              </w:tc>
              <w:tc>
                <w:tcPr>
                  <w:tcW w:w="582" w:type="pct"/>
                  <w:vAlign w:val="center"/>
                </w:tcPr>
                <w:p w14:paraId="04DBB55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143-470</w:t>
                  </w:r>
                </w:p>
              </w:tc>
              <w:tc>
                <w:tcPr>
                  <w:tcW w:w="735" w:type="pct"/>
                  <w:vMerge w:val="continue"/>
                  <w:vAlign w:val="center"/>
                </w:tcPr>
                <w:p w14:paraId="0B7E9177">
                  <w:pPr>
                    <w:jc w:val="center"/>
                    <w:rPr>
                      <w:rFonts w:hint="default" w:ascii="Times New Roman" w:hAnsi="Times New Roman" w:eastAsia="宋体" w:cs="Times New Roman"/>
                      <w:color w:val="auto"/>
                    </w:rPr>
                  </w:pPr>
                </w:p>
              </w:tc>
            </w:tr>
            <w:tr w14:paraId="7DD442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2FCCB1B0">
                  <w:pPr>
                    <w:jc w:val="center"/>
                    <w:rPr>
                      <w:rFonts w:hint="default" w:ascii="Times New Roman" w:hAnsi="Times New Roman" w:eastAsia="宋体" w:cs="Times New Roman"/>
                      <w:color w:val="auto"/>
                    </w:rPr>
                  </w:pPr>
                </w:p>
              </w:tc>
              <w:tc>
                <w:tcPr>
                  <w:tcW w:w="558" w:type="pct"/>
                  <w:vAlign w:val="center"/>
                </w:tcPr>
                <w:p w14:paraId="6BD3280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105.051636</w:t>
                  </w:r>
                </w:p>
              </w:tc>
              <w:tc>
                <w:tcPr>
                  <w:tcW w:w="491" w:type="pct"/>
                  <w:vAlign w:val="center"/>
                </w:tcPr>
                <w:p w14:paraId="1BBF8D5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30.476239</w:t>
                  </w:r>
                </w:p>
              </w:tc>
              <w:tc>
                <w:tcPr>
                  <w:tcW w:w="474" w:type="pct"/>
                  <w:vAlign w:val="center"/>
                </w:tcPr>
                <w:p w14:paraId="34045DF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8#</w:t>
                  </w:r>
                </w:p>
              </w:tc>
              <w:tc>
                <w:tcPr>
                  <w:tcW w:w="470" w:type="pct"/>
                  <w:vAlign w:val="center"/>
                </w:tcPr>
                <w:p w14:paraId="607064C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2179732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6户农户</w:t>
                  </w:r>
                </w:p>
              </w:tc>
              <w:tc>
                <w:tcPr>
                  <w:tcW w:w="552" w:type="pct"/>
                  <w:vAlign w:val="center"/>
                </w:tcPr>
                <w:p w14:paraId="50F100D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南侧</w:t>
                  </w:r>
                </w:p>
              </w:tc>
              <w:tc>
                <w:tcPr>
                  <w:tcW w:w="582" w:type="pct"/>
                  <w:vAlign w:val="center"/>
                </w:tcPr>
                <w:p w14:paraId="672EDAB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139-481</w:t>
                  </w:r>
                </w:p>
              </w:tc>
              <w:tc>
                <w:tcPr>
                  <w:tcW w:w="735" w:type="pct"/>
                  <w:vMerge w:val="continue"/>
                  <w:vAlign w:val="center"/>
                </w:tcPr>
                <w:p w14:paraId="141FBDC1">
                  <w:pPr>
                    <w:jc w:val="center"/>
                    <w:rPr>
                      <w:rFonts w:hint="default" w:ascii="Times New Roman" w:hAnsi="Times New Roman" w:eastAsia="宋体" w:cs="Times New Roman"/>
                      <w:color w:val="auto"/>
                    </w:rPr>
                  </w:pPr>
                </w:p>
              </w:tc>
            </w:tr>
            <w:tr w14:paraId="252955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502D5216">
                  <w:pPr>
                    <w:jc w:val="center"/>
                    <w:rPr>
                      <w:rFonts w:hint="default" w:ascii="Times New Roman" w:hAnsi="Times New Roman" w:eastAsia="宋体" w:cs="Times New Roman"/>
                      <w:color w:val="auto"/>
                    </w:rPr>
                  </w:pPr>
                </w:p>
              </w:tc>
              <w:tc>
                <w:tcPr>
                  <w:tcW w:w="558" w:type="pct"/>
                  <w:vMerge w:val="restart"/>
                  <w:vAlign w:val="center"/>
                </w:tcPr>
                <w:p w14:paraId="02EA811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105.072407</w:t>
                  </w:r>
                </w:p>
              </w:tc>
              <w:tc>
                <w:tcPr>
                  <w:tcW w:w="491" w:type="pct"/>
                  <w:vMerge w:val="restart"/>
                  <w:vAlign w:val="center"/>
                </w:tcPr>
                <w:p w14:paraId="3370E87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30.4707890</w:t>
                  </w:r>
                </w:p>
              </w:tc>
              <w:tc>
                <w:tcPr>
                  <w:tcW w:w="474" w:type="pct"/>
                  <w:vMerge w:val="restart"/>
                  <w:vAlign w:val="center"/>
                </w:tcPr>
                <w:p w14:paraId="0EED77E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9#、10#、11#、12#</w:t>
                  </w:r>
                </w:p>
              </w:tc>
              <w:tc>
                <w:tcPr>
                  <w:tcW w:w="470" w:type="pct"/>
                  <w:vAlign w:val="center"/>
                </w:tcPr>
                <w:p w14:paraId="5CA36BC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66ACC6C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11户农户</w:t>
                  </w:r>
                </w:p>
              </w:tc>
              <w:tc>
                <w:tcPr>
                  <w:tcW w:w="552" w:type="pct"/>
                  <w:vAlign w:val="center"/>
                </w:tcPr>
                <w:p w14:paraId="0C91C9F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49D7CD5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163-482</w:t>
                  </w:r>
                </w:p>
              </w:tc>
              <w:tc>
                <w:tcPr>
                  <w:tcW w:w="735" w:type="pct"/>
                  <w:vMerge w:val="continue"/>
                  <w:vAlign w:val="center"/>
                </w:tcPr>
                <w:p w14:paraId="531FA2BD">
                  <w:pPr>
                    <w:jc w:val="center"/>
                    <w:rPr>
                      <w:rFonts w:hint="default" w:ascii="Times New Roman" w:hAnsi="Times New Roman" w:eastAsia="宋体" w:cs="Times New Roman"/>
                      <w:color w:val="auto"/>
                    </w:rPr>
                  </w:pPr>
                </w:p>
              </w:tc>
            </w:tr>
            <w:tr w14:paraId="54871A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7199ACB9">
                  <w:pPr>
                    <w:jc w:val="center"/>
                    <w:rPr>
                      <w:rFonts w:hint="default" w:ascii="Times New Roman" w:hAnsi="Times New Roman" w:eastAsia="宋体" w:cs="Times New Roman"/>
                      <w:color w:val="auto"/>
                    </w:rPr>
                  </w:pPr>
                </w:p>
              </w:tc>
              <w:tc>
                <w:tcPr>
                  <w:tcW w:w="558" w:type="pct"/>
                  <w:vMerge w:val="continue"/>
                  <w:vAlign w:val="center"/>
                </w:tcPr>
                <w:p w14:paraId="657E9B8A">
                  <w:pPr>
                    <w:jc w:val="center"/>
                    <w:rPr>
                      <w:rFonts w:hint="default" w:ascii="Times New Roman" w:hAnsi="Times New Roman" w:eastAsia="宋体" w:cs="Times New Roman"/>
                      <w:color w:val="auto"/>
                    </w:rPr>
                  </w:pPr>
                </w:p>
              </w:tc>
              <w:tc>
                <w:tcPr>
                  <w:tcW w:w="491" w:type="pct"/>
                  <w:vMerge w:val="continue"/>
                  <w:vAlign w:val="center"/>
                </w:tcPr>
                <w:p w14:paraId="59199221">
                  <w:pPr>
                    <w:jc w:val="center"/>
                    <w:rPr>
                      <w:rFonts w:hint="default" w:ascii="Times New Roman" w:hAnsi="Times New Roman" w:eastAsia="宋体" w:cs="Times New Roman"/>
                      <w:color w:val="auto"/>
                    </w:rPr>
                  </w:pPr>
                </w:p>
              </w:tc>
              <w:tc>
                <w:tcPr>
                  <w:tcW w:w="474" w:type="pct"/>
                  <w:vMerge w:val="continue"/>
                  <w:vAlign w:val="center"/>
                </w:tcPr>
                <w:p w14:paraId="7FF12BD4">
                  <w:pPr>
                    <w:jc w:val="center"/>
                    <w:rPr>
                      <w:rFonts w:hint="default" w:ascii="Times New Roman" w:hAnsi="Times New Roman" w:eastAsia="宋体" w:cs="Times New Roman"/>
                      <w:color w:val="auto"/>
                    </w:rPr>
                  </w:pPr>
                </w:p>
              </w:tc>
              <w:tc>
                <w:tcPr>
                  <w:tcW w:w="470" w:type="pct"/>
                  <w:vAlign w:val="center"/>
                </w:tcPr>
                <w:p w14:paraId="17F60DF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24077F4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15户农户</w:t>
                  </w:r>
                </w:p>
              </w:tc>
              <w:tc>
                <w:tcPr>
                  <w:tcW w:w="552" w:type="pct"/>
                  <w:vAlign w:val="center"/>
                </w:tcPr>
                <w:p w14:paraId="6FF3319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280C96E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127-481</w:t>
                  </w:r>
                </w:p>
              </w:tc>
              <w:tc>
                <w:tcPr>
                  <w:tcW w:w="735" w:type="pct"/>
                  <w:vMerge w:val="continue"/>
                  <w:vAlign w:val="center"/>
                </w:tcPr>
                <w:p w14:paraId="10167536">
                  <w:pPr>
                    <w:jc w:val="center"/>
                    <w:rPr>
                      <w:rFonts w:hint="default" w:ascii="Times New Roman" w:hAnsi="Times New Roman" w:eastAsia="宋体" w:cs="Times New Roman"/>
                      <w:color w:val="auto"/>
                    </w:rPr>
                  </w:pPr>
                </w:p>
              </w:tc>
            </w:tr>
            <w:tr w14:paraId="6C9E85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78301310">
                  <w:pPr>
                    <w:jc w:val="center"/>
                    <w:rPr>
                      <w:rFonts w:hint="default" w:ascii="Times New Roman" w:hAnsi="Times New Roman" w:eastAsia="宋体" w:cs="Times New Roman"/>
                      <w:color w:val="auto"/>
                    </w:rPr>
                  </w:pPr>
                </w:p>
              </w:tc>
              <w:tc>
                <w:tcPr>
                  <w:tcW w:w="558" w:type="pct"/>
                  <w:vMerge w:val="restart"/>
                  <w:vAlign w:val="center"/>
                </w:tcPr>
                <w:p w14:paraId="62B67B0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105.070089</w:t>
                  </w:r>
                </w:p>
              </w:tc>
              <w:tc>
                <w:tcPr>
                  <w:tcW w:w="491" w:type="pct"/>
                  <w:vMerge w:val="restart"/>
                  <w:vAlign w:val="center"/>
                </w:tcPr>
                <w:p w14:paraId="0D8B3EC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30.466454</w:t>
                  </w:r>
                </w:p>
              </w:tc>
              <w:tc>
                <w:tcPr>
                  <w:tcW w:w="474" w:type="pct"/>
                  <w:vMerge w:val="restart"/>
                  <w:vAlign w:val="center"/>
                </w:tcPr>
                <w:p w14:paraId="3BB8130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13#</w:t>
                  </w:r>
                </w:p>
              </w:tc>
              <w:tc>
                <w:tcPr>
                  <w:tcW w:w="470" w:type="pct"/>
                  <w:vAlign w:val="center"/>
                </w:tcPr>
                <w:p w14:paraId="4A13ADF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474287E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3户农户</w:t>
                  </w:r>
                </w:p>
              </w:tc>
              <w:tc>
                <w:tcPr>
                  <w:tcW w:w="552" w:type="pct"/>
                  <w:vAlign w:val="center"/>
                </w:tcPr>
                <w:p w14:paraId="1100A49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1E06DAE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153-378</w:t>
                  </w:r>
                </w:p>
              </w:tc>
              <w:tc>
                <w:tcPr>
                  <w:tcW w:w="735" w:type="pct"/>
                  <w:vMerge w:val="continue"/>
                  <w:vAlign w:val="center"/>
                </w:tcPr>
                <w:p w14:paraId="32A844DB">
                  <w:pPr>
                    <w:jc w:val="center"/>
                    <w:rPr>
                      <w:rFonts w:hint="default" w:ascii="Times New Roman" w:hAnsi="Times New Roman" w:eastAsia="宋体" w:cs="Times New Roman"/>
                      <w:color w:val="auto"/>
                    </w:rPr>
                  </w:pPr>
                </w:p>
              </w:tc>
            </w:tr>
            <w:tr w14:paraId="686C92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5F9AF784">
                  <w:pPr>
                    <w:jc w:val="center"/>
                    <w:rPr>
                      <w:rFonts w:hint="default" w:ascii="Times New Roman" w:hAnsi="Times New Roman" w:eastAsia="宋体" w:cs="Times New Roman"/>
                      <w:color w:val="auto"/>
                    </w:rPr>
                  </w:pPr>
                </w:p>
              </w:tc>
              <w:tc>
                <w:tcPr>
                  <w:tcW w:w="558" w:type="pct"/>
                  <w:vMerge w:val="continue"/>
                  <w:vAlign w:val="center"/>
                </w:tcPr>
                <w:p w14:paraId="28E22572">
                  <w:pPr>
                    <w:jc w:val="center"/>
                    <w:rPr>
                      <w:rFonts w:hint="default" w:ascii="Times New Roman" w:hAnsi="Times New Roman" w:eastAsia="宋体" w:cs="Times New Roman"/>
                      <w:color w:val="auto"/>
                    </w:rPr>
                  </w:pPr>
                </w:p>
              </w:tc>
              <w:tc>
                <w:tcPr>
                  <w:tcW w:w="491" w:type="pct"/>
                  <w:vMerge w:val="continue"/>
                  <w:vAlign w:val="center"/>
                </w:tcPr>
                <w:p w14:paraId="573DA199">
                  <w:pPr>
                    <w:jc w:val="center"/>
                    <w:rPr>
                      <w:rFonts w:hint="default" w:ascii="Times New Roman" w:hAnsi="Times New Roman" w:eastAsia="宋体" w:cs="Times New Roman"/>
                      <w:color w:val="auto"/>
                    </w:rPr>
                  </w:pPr>
                </w:p>
              </w:tc>
              <w:tc>
                <w:tcPr>
                  <w:tcW w:w="474" w:type="pct"/>
                  <w:vMerge w:val="continue"/>
                  <w:vAlign w:val="center"/>
                </w:tcPr>
                <w:p w14:paraId="7CBB35F9">
                  <w:pPr>
                    <w:jc w:val="center"/>
                    <w:rPr>
                      <w:rFonts w:hint="default" w:ascii="Times New Roman" w:hAnsi="Times New Roman" w:eastAsia="宋体" w:cs="Times New Roman"/>
                      <w:color w:val="auto"/>
                    </w:rPr>
                  </w:pPr>
                </w:p>
              </w:tc>
              <w:tc>
                <w:tcPr>
                  <w:tcW w:w="470" w:type="pct"/>
                  <w:vAlign w:val="center"/>
                </w:tcPr>
                <w:p w14:paraId="74957E8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3F3518E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4户农户</w:t>
                  </w:r>
                </w:p>
              </w:tc>
              <w:tc>
                <w:tcPr>
                  <w:tcW w:w="552" w:type="pct"/>
                  <w:vAlign w:val="center"/>
                </w:tcPr>
                <w:p w14:paraId="742063D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3DE4059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132-425</w:t>
                  </w:r>
                </w:p>
              </w:tc>
              <w:tc>
                <w:tcPr>
                  <w:tcW w:w="735" w:type="pct"/>
                  <w:vMerge w:val="continue"/>
                  <w:vAlign w:val="center"/>
                </w:tcPr>
                <w:p w14:paraId="32EC2011">
                  <w:pPr>
                    <w:jc w:val="center"/>
                    <w:rPr>
                      <w:rFonts w:hint="default" w:ascii="Times New Roman" w:hAnsi="Times New Roman" w:eastAsia="宋体" w:cs="Times New Roman"/>
                      <w:color w:val="auto"/>
                    </w:rPr>
                  </w:pPr>
                </w:p>
              </w:tc>
            </w:tr>
            <w:tr w14:paraId="0A1BD0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31433584">
                  <w:pPr>
                    <w:jc w:val="center"/>
                    <w:rPr>
                      <w:rFonts w:hint="default" w:ascii="Times New Roman" w:hAnsi="Times New Roman" w:eastAsia="宋体" w:cs="Times New Roman"/>
                      <w:color w:val="auto"/>
                    </w:rPr>
                  </w:pPr>
                </w:p>
              </w:tc>
              <w:tc>
                <w:tcPr>
                  <w:tcW w:w="558" w:type="pct"/>
                  <w:vMerge w:val="restart"/>
                  <w:vAlign w:val="center"/>
                </w:tcPr>
                <w:p w14:paraId="5E2023F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105.069016</w:t>
                  </w:r>
                </w:p>
              </w:tc>
              <w:tc>
                <w:tcPr>
                  <w:tcW w:w="491" w:type="pct"/>
                  <w:vMerge w:val="restart"/>
                  <w:vAlign w:val="center"/>
                </w:tcPr>
                <w:p w14:paraId="06B3477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30.467699</w:t>
                  </w:r>
                </w:p>
              </w:tc>
              <w:tc>
                <w:tcPr>
                  <w:tcW w:w="474" w:type="pct"/>
                  <w:vMerge w:val="restart"/>
                  <w:vAlign w:val="center"/>
                </w:tcPr>
                <w:p w14:paraId="2058620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14#</w:t>
                  </w:r>
                </w:p>
              </w:tc>
              <w:tc>
                <w:tcPr>
                  <w:tcW w:w="470" w:type="pct"/>
                  <w:vAlign w:val="center"/>
                </w:tcPr>
                <w:p w14:paraId="2ED3F03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3C658F3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5户农户</w:t>
                  </w:r>
                </w:p>
              </w:tc>
              <w:tc>
                <w:tcPr>
                  <w:tcW w:w="552" w:type="pct"/>
                  <w:vAlign w:val="center"/>
                </w:tcPr>
                <w:p w14:paraId="6A50C9A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1CC30DF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85-412</w:t>
                  </w:r>
                </w:p>
              </w:tc>
              <w:tc>
                <w:tcPr>
                  <w:tcW w:w="735" w:type="pct"/>
                  <w:vMerge w:val="continue"/>
                  <w:vAlign w:val="center"/>
                </w:tcPr>
                <w:p w14:paraId="3F2BA3AC">
                  <w:pPr>
                    <w:jc w:val="center"/>
                    <w:rPr>
                      <w:rFonts w:hint="default" w:ascii="Times New Roman" w:hAnsi="Times New Roman" w:eastAsia="宋体" w:cs="Times New Roman"/>
                      <w:color w:val="auto"/>
                    </w:rPr>
                  </w:pPr>
                </w:p>
              </w:tc>
            </w:tr>
            <w:tr w14:paraId="28772E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0DFEFFDA">
                  <w:pPr>
                    <w:jc w:val="center"/>
                    <w:rPr>
                      <w:rFonts w:hint="default" w:ascii="Times New Roman" w:hAnsi="Times New Roman" w:eastAsia="宋体" w:cs="Times New Roman"/>
                      <w:color w:val="auto"/>
                    </w:rPr>
                  </w:pPr>
                </w:p>
              </w:tc>
              <w:tc>
                <w:tcPr>
                  <w:tcW w:w="558" w:type="pct"/>
                  <w:vMerge w:val="continue"/>
                  <w:vAlign w:val="center"/>
                </w:tcPr>
                <w:p w14:paraId="18AC4DFC">
                  <w:pPr>
                    <w:jc w:val="center"/>
                    <w:rPr>
                      <w:rFonts w:hint="default" w:ascii="Times New Roman" w:hAnsi="Times New Roman" w:eastAsia="宋体" w:cs="Times New Roman"/>
                      <w:color w:val="auto"/>
                    </w:rPr>
                  </w:pPr>
                </w:p>
              </w:tc>
              <w:tc>
                <w:tcPr>
                  <w:tcW w:w="491" w:type="pct"/>
                  <w:vMerge w:val="continue"/>
                  <w:vAlign w:val="center"/>
                </w:tcPr>
                <w:p w14:paraId="4E4FC8ED">
                  <w:pPr>
                    <w:jc w:val="center"/>
                    <w:rPr>
                      <w:rFonts w:hint="default" w:ascii="Times New Roman" w:hAnsi="Times New Roman" w:eastAsia="宋体" w:cs="Times New Roman"/>
                      <w:color w:val="auto"/>
                    </w:rPr>
                  </w:pPr>
                </w:p>
              </w:tc>
              <w:tc>
                <w:tcPr>
                  <w:tcW w:w="474" w:type="pct"/>
                  <w:vMerge w:val="continue"/>
                  <w:vAlign w:val="center"/>
                </w:tcPr>
                <w:p w14:paraId="0F4E0FD3">
                  <w:pPr>
                    <w:jc w:val="center"/>
                    <w:rPr>
                      <w:rFonts w:hint="default" w:ascii="Times New Roman" w:hAnsi="Times New Roman" w:eastAsia="宋体" w:cs="Times New Roman"/>
                      <w:color w:val="auto"/>
                    </w:rPr>
                  </w:pPr>
                </w:p>
              </w:tc>
              <w:tc>
                <w:tcPr>
                  <w:tcW w:w="470" w:type="pct"/>
                  <w:vAlign w:val="center"/>
                </w:tcPr>
                <w:p w14:paraId="6006743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6C21FB7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4户农户</w:t>
                  </w:r>
                </w:p>
              </w:tc>
              <w:tc>
                <w:tcPr>
                  <w:tcW w:w="552" w:type="pct"/>
                  <w:vAlign w:val="center"/>
                </w:tcPr>
                <w:p w14:paraId="49EF6ED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7E83EAA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73-401</w:t>
                  </w:r>
                </w:p>
              </w:tc>
              <w:tc>
                <w:tcPr>
                  <w:tcW w:w="735" w:type="pct"/>
                  <w:vMerge w:val="continue"/>
                  <w:vAlign w:val="center"/>
                </w:tcPr>
                <w:p w14:paraId="05DFBA3C">
                  <w:pPr>
                    <w:jc w:val="center"/>
                    <w:rPr>
                      <w:rFonts w:hint="default" w:ascii="Times New Roman" w:hAnsi="Times New Roman" w:eastAsia="宋体" w:cs="Times New Roman"/>
                      <w:color w:val="auto"/>
                    </w:rPr>
                  </w:pPr>
                </w:p>
              </w:tc>
            </w:tr>
            <w:tr w14:paraId="172DE3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7E60DB89">
                  <w:pPr>
                    <w:jc w:val="center"/>
                    <w:rPr>
                      <w:rFonts w:hint="default" w:ascii="Times New Roman" w:hAnsi="Times New Roman" w:eastAsia="宋体" w:cs="Times New Roman"/>
                      <w:color w:val="auto"/>
                    </w:rPr>
                  </w:pPr>
                </w:p>
              </w:tc>
              <w:tc>
                <w:tcPr>
                  <w:tcW w:w="558" w:type="pct"/>
                  <w:vMerge w:val="restart"/>
                  <w:vAlign w:val="center"/>
                </w:tcPr>
                <w:p w14:paraId="7D50C83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105.045327</w:t>
                  </w:r>
                </w:p>
              </w:tc>
              <w:tc>
                <w:tcPr>
                  <w:tcW w:w="491" w:type="pct"/>
                  <w:vMerge w:val="restart"/>
                  <w:vAlign w:val="center"/>
                </w:tcPr>
                <w:p w14:paraId="4D05AD9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30.457356</w:t>
                  </w:r>
                </w:p>
              </w:tc>
              <w:tc>
                <w:tcPr>
                  <w:tcW w:w="474" w:type="pct"/>
                  <w:vMerge w:val="restart"/>
                  <w:vAlign w:val="center"/>
                </w:tcPr>
                <w:p w14:paraId="5AFA83D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15#</w:t>
                  </w:r>
                </w:p>
              </w:tc>
              <w:tc>
                <w:tcPr>
                  <w:tcW w:w="470" w:type="pct"/>
                  <w:vAlign w:val="center"/>
                </w:tcPr>
                <w:p w14:paraId="049AC31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05E5942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3户农户</w:t>
                  </w:r>
                </w:p>
              </w:tc>
              <w:tc>
                <w:tcPr>
                  <w:tcW w:w="552" w:type="pct"/>
                  <w:vAlign w:val="center"/>
                </w:tcPr>
                <w:p w14:paraId="0EAE5B7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0D6C9AD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75-323</w:t>
                  </w:r>
                </w:p>
              </w:tc>
              <w:tc>
                <w:tcPr>
                  <w:tcW w:w="735" w:type="pct"/>
                  <w:vMerge w:val="continue"/>
                  <w:vAlign w:val="center"/>
                </w:tcPr>
                <w:p w14:paraId="40E1E083">
                  <w:pPr>
                    <w:jc w:val="center"/>
                    <w:rPr>
                      <w:rFonts w:hint="default" w:ascii="Times New Roman" w:hAnsi="Times New Roman" w:eastAsia="宋体" w:cs="Times New Roman"/>
                      <w:color w:val="auto"/>
                    </w:rPr>
                  </w:pPr>
                </w:p>
              </w:tc>
            </w:tr>
            <w:tr w14:paraId="2A9FDE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2D5B4CD1">
                  <w:pPr>
                    <w:jc w:val="center"/>
                    <w:rPr>
                      <w:rFonts w:hint="default" w:ascii="Times New Roman" w:hAnsi="Times New Roman" w:eastAsia="宋体" w:cs="Times New Roman"/>
                      <w:color w:val="auto"/>
                    </w:rPr>
                  </w:pPr>
                </w:p>
              </w:tc>
              <w:tc>
                <w:tcPr>
                  <w:tcW w:w="558" w:type="pct"/>
                  <w:vMerge w:val="continue"/>
                  <w:vAlign w:val="center"/>
                </w:tcPr>
                <w:p w14:paraId="569B99E4">
                  <w:pPr>
                    <w:jc w:val="center"/>
                    <w:rPr>
                      <w:rFonts w:hint="default" w:ascii="Times New Roman" w:hAnsi="Times New Roman" w:eastAsia="宋体" w:cs="Times New Roman"/>
                      <w:color w:val="auto"/>
                    </w:rPr>
                  </w:pPr>
                </w:p>
              </w:tc>
              <w:tc>
                <w:tcPr>
                  <w:tcW w:w="491" w:type="pct"/>
                  <w:vMerge w:val="continue"/>
                  <w:vAlign w:val="center"/>
                </w:tcPr>
                <w:p w14:paraId="4D2D1857">
                  <w:pPr>
                    <w:jc w:val="center"/>
                    <w:rPr>
                      <w:rFonts w:hint="default" w:ascii="Times New Roman" w:hAnsi="Times New Roman" w:eastAsia="宋体" w:cs="Times New Roman"/>
                      <w:color w:val="auto"/>
                    </w:rPr>
                  </w:pPr>
                </w:p>
              </w:tc>
              <w:tc>
                <w:tcPr>
                  <w:tcW w:w="474" w:type="pct"/>
                  <w:vMerge w:val="continue"/>
                  <w:vAlign w:val="center"/>
                </w:tcPr>
                <w:p w14:paraId="0A583F31">
                  <w:pPr>
                    <w:jc w:val="center"/>
                    <w:rPr>
                      <w:rFonts w:hint="default" w:ascii="Times New Roman" w:hAnsi="Times New Roman" w:eastAsia="宋体" w:cs="Times New Roman"/>
                      <w:color w:val="auto"/>
                    </w:rPr>
                  </w:pPr>
                </w:p>
              </w:tc>
              <w:tc>
                <w:tcPr>
                  <w:tcW w:w="470" w:type="pct"/>
                  <w:vAlign w:val="center"/>
                </w:tcPr>
                <w:p w14:paraId="4653DF1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41B0186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8户农户</w:t>
                  </w:r>
                </w:p>
              </w:tc>
              <w:tc>
                <w:tcPr>
                  <w:tcW w:w="552" w:type="pct"/>
                  <w:vAlign w:val="center"/>
                </w:tcPr>
                <w:p w14:paraId="4DEB2AD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0C61843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86-389</w:t>
                  </w:r>
                </w:p>
              </w:tc>
              <w:tc>
                <w:tcPr>
                  <w:tcW w:w="735" w:type="pct"/>
                  <w:vMerge w:val="continue"/>
                  <w:vAlign w:val="center"/>
                </w:tcPr>
                <w:p w14:paraId="3F101CAC">
                  <w:pPr>
                    <w:jc w:val="center"/>
                    <w:rPr>
                      <w:rFonts w:hint="default" w:ascii="Times New Roman" w:hAnsi="Times New Roman" w:eastAsia="宋体" w:cs="Times New Roman"/>
                      <w:color w:val="auto"/>
                    </w:rPr>
                  </w:pPr>
                </w:p>
              </w:tc>
            </w:tr>
            <w:tr w14:paraId="35B12E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59A28B13">
                  <w:pPr>
                    <w:jc w:val="center"/>
                    <w:rPr>
                      <w:rFonts w:hint="default" w:ascii="Times New Roman" w:hAnsi="Times New Roman" w:eastAsia="宋体" w:cs="Times New Roman"/>
                      <w:color w:val="auto"/>
                    </w:rPr>
                  </w:pPr>
                </w:p>
              </w:tc>
              <w:tc>
                <w:tcPr>
                  <w:tcW w:w="558" w:type="pct"/>
                  <w:vAlign w:val="center"/>
                </w:tcPr>
                <w:p w14:paraId="350B5C1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105.048160</w:t>
                  </w:r>
                </w:p>
              </w:tc>
              <w:tc>
                <w:tcPr>
                  <w:tcW w:w="491" w:type="pct"/>
                  <w:vAlign w:val="center"/>
                </w:tcPr>
                <w:p w14:paraId="6CAD58A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30.453880</w:t>
                  </w:r>
                </w:p>
              </w:tc>
              <w:tc>
                <w:tcPr>
                  <w:tcW w:w="474" w:type="pct"/>
                  <w:vAlign w:val="center"/>
                </w:tcPr>
                <w:p w14:paraId="6A9B532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16#</w:t>
                  </w:r>
                </w:p>
              </w:tc>
              <w:tc>
                <w:tcPr>
                  <w:tcW w:w="470" w:type="pct"/>
                  <w:vAlign w:val="center"/>
                </w:tcPr>
                <w:p w14:paraId="35245FE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21BE53B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6户农户</w:t>
                  </w:r>
                </w:p>
              </w:tc>
              <w:tc>
                <w:tcPr>
                  <w:tcW w:w="552" w:type="pct"/>
                  <w:vAlign w:val="center"/>
                </w:tcPr>
                <w:p w14:paraId="2A24BF2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735C650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131-475</w:t>
                  </w:r>
                </w:p>
              </w:tc>
              <w:tc>
                <w:tcPr>
                  <w:tcW w:w="735" w:type="pct"/>
                  <w:vMerge w:val="continue"/>
                  <w:vAlign w:val="center"/>
                </w:tcPr>
                <w:p w14:paraId="73EBB25F">
                  <w:pPr>
                    <w:jc w:val="center"/>
                    <w:rPr>
                      <w:rFonts w:hint="default" w:ascii="Times New Roman" w:hAnsi="Times New Roman" w:eastAsia="宋体" w:cs="Times New Roman"/>
                      <w:color w:val="auto"/>
                    </w:rPr>
                  </w:pPr>
                </w:p>
              </w:tc>
            </w:tr>
            <w:tr w14:paraId="1E1F6A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5C6F6E70">
                  <w:pPr>
                    <w:jc w:val="center"/>
                    <w:rPr>
                      <w:rFonts w:hint="default" w:ascii="Times New Roman" w:hAnsi="Times New Roman" w:eastAsia="宋体" w:cs="Times New Roman"/>
                      <w:color w:val="auto"/>
                    </w:rPr>
                  </w:pPr>
                </w:p>
              </w:tc>
              <w:tc>
                <w:tcPr>
                  <w:tcW w:w="558" w:type="pct"/>
                  <w:vMerge w:val="restart"/>
                  <w:vAlign w:val="center"/>
                </w:tcPr>
                <w:p w14:paraId="0A15BAE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105.053824</w:t>
                  </w:r>
                </w:p>
              </w:tc>
              <w:tc>
                <w:tcPr>
                  <w:tcW w:w="491" w:type="pct"/>
                  <w:vMerge w:val="restart"/>
                  <w:vAlign w:val="center"/>
                </w:tcPr>
                <w:p w14:paraId="3D5F290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30.448644</w:t>
                  </w:r>
                </w:p>
              </w:tc>
              <w:tc>
                <w:tcPr>
                  <w:tcW w:w="474" w:type="pct"/>
                  <w:vMerge w:val="restart"/>
                  <w:vAlign w:val="center"/>
                </w:tcPr>
                <w:p w14:paraId="2548EB3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17#</w:t>
                  </w:r>
                </w:p>
              </w:tc>
              <w:tc>
                <w:tcPr>
                  <w:tcW w:w="470" w:type="pct"/>
                  <w:vAlign w:val="center"/>
                </w:tcPr>
                <w:p w14:paraId="182E3C4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08066F7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5户农户</w:t>
                  </w:r>
                </w:p>
              </w:tc>
              <w:tc>
                <w:tcPr>
                  <w:tcW w:w="552" w:type="pct"/>
                  <w:vAlign w:val="center"/>
                </w:tcPr>
                <w:p w14:paraId="3D99657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54F0BAA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126-467</w:t>
                  </w:r>
                </w:p>
              </w:tc>
              <w:tc>
                <w:tcPr>
                  <w:tcW w:w="735" w:type="pct"/>
                  <w:vMerge w:val="continue"/>
                  <w:vAlign w:val="center"/>
                </w:tcPr>
                <w:p w14:paraId="341971FC">
                  <w:pPr>
                    <w:jc w:val="center"/>
                    <w:rPr>
                      <w:rFonts w:hint="default" w:ascii="Times New Roman" w:hAnsi="Times New Roman" w:eastAsia="宋体" w:cs="Times New Roman"/>
                      <w:color w:val="auto"/>
                    </w:rPr>
                  </w:pPr>
                </w:p>
              </w:tc>
            </w:tr>
            <w:tr w14:paraId="2FCE6F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6AC2DF8A">
                  <w:pPr>
                    <w:jc w:val="center"/>
                    <w:rPr>
                      <w:rFonts w:hint="default" w:ascii="Times New Roman" w:hAnsi="Times New Roman" w:eastAsia="宋体" w:cs="Times New Roman"/>
                      <w:color w:val="auto"/>
                    </w:rPr>
                  </w:pPr>
                </w:p>
              </w:tc>
              <w:tc>
                <w:tcPr>
                  <w:tcW w:w="558" w:type="pct"/>
                  <w:vMerge w:val="continue"/>
                  <w:vAlign w:val="center"/>
                </w:tcPr>
                <w:p w14:paraId="123C5EAD">
                  <w:pPr>
                    <w:jc w:val="center"/>
                    <w:rPr>
                      <w:rFonts w:hint="default" w:ascii="Times New Roman" w:hAnsi="Times New Roman" w:eastAsia="宋体" w:cs="Times New Roman"/>
                      <w:color w:val="auto"/>
                    </w:rPr>
                  </w:pPr>
                </w:p>
              </w:tc>
              <w:tc>
                <w:tcPr>
                  <w:tcW w:w="491" w:type="pct"/>
                  <w:vMerge w:val="continue"/>
                  <w:vAlign w:val="center"/>
                </w:tcPr>
                <w:p w14:paraId="32C4978B">
                  <w:pPr>
                    <w:jc w:val="center"/>
                    <w:rPr>
                      <w:rFonts w:hint="default" w:ascii="Times New Roman" w:hAnsi="Times New Roman" w:eastAsia="宋体" w:cs="Times New Roman"/>
                      <w:color w:val="auto"/>
                    </w:rPr>
                  </w:pPr>
                </w:p>
              </w:tc>
              <w:tc>
                <w:tcPr>
                  <w:tcW w:w="474" w:type="pct"/>
                  <w:vMerge w:val="continue"/>
                  <w:vAlign w:val="center"/>
                </w:tcPr>
                <w:p w14:paraId="0198C9AF">
                  <w:pPr>
                    <w:jc w:val="center"/>
                    <w:rPr>
                      <w:rFonts w:hint="default" w:ascii="Times New Roman" w:hAnsi="Times New Roman" w:eastAsia="宋体" w:cs="Times New Roman"/>
                      <w:color w:val="auto"/>
                    </w:rPr>
                  </w:pPr>
                </w:p>
              </w:tc>
              <w:tc>
                <w:tcPr>
                  <w:tcW w:w="470" w:type="pct"/>
                  <w:vAlign w:val="center"/>
                </w:tcPr>
                <w:p w14:paraId="444E160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5E6E3A0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7户农户</w:t>
                  </w:r>
                </w:p>
              </w:tc>
              <w:tc>
                <w:tcPr>
                  <w:tcW w:w="552" w:type="pct"/>
                  <w:vAlign w:val="center"/>
                </w:tcPr>
                <w:p w14:paraId="075BE56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5912997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135-434</w:t>
                  </w:r>
                </w:p>
              </w:tc>
              <w:tc>
                <w:tcPr>
                  <w:tcW w:w="735" w:type="pct"/>
                  <w:vMerge w:val="continue"/>
                  <w:vAlign w:val="center"/>
                </w:tcPr>
                <w:p w14:paraId="296702E2">
                  <w:pPr>
                    <w:jc w:val="center"/>
                    <w:rPr>
                      <w:rFonts w:hint="default" w:ascii="Times New Roman" w:hAnsi="Times New Roman" w:eastAsia="宋体" w:cs="Times New Roman"/>
                      <w:color w:val="auto"/>
                    </w:rPr>
                  </w:pPr>
                </w:p>
              </w:tc>
            </w:tr>
            <w:tr w14:paraId="68FE51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764EFA4B">
                  <w:pPr>
                    <w:jc w:val="center"/>
                    <w:rPr>
                      <w:rFonts w:hint="default" w:ascii="Times New Roman" w:hAnsi="Times New Roman" w:eastAsia="宋体" w:cs="Times New Roman"/>
                      <w:color w:val="auto"/>
                    </w:rPr>
                  </w:pPr>
                </w:p>
              </w:tc>
              <w:tc>
                <w:tcPr>
                  <w:tcW w:w="558" w:type="pct"/>
                  <w:vAlign w:val="center"/>
                </w:tcPr>
                <w:p w14:paraId="54C76A1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105.048117</w:t>
                  </w:r>
                </w:p>
              </w:tc>
              <w:tc>
                <w:tcPr>
                  <w:tcW w:w="491" w:type="pct"/>
                  <w:vAlign w:val="center"/>
                </w:tcPr>
                <w:p w14:paraId="53FBEC2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30.443966</w:t>
                  </w:r>
                </w:p>
              </w:tc>
              <w:tc>
                <w:tcPr>
                  <w:tcW w:w="474" w:type="pct"/>
                  <w:vAlign w:val="center"/>
                </w:tcPr>
                <w:p w14:paraId="30E58B2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18#</w:t>
                  </w:r>
                </w:p>
              </w:tc>
              <w:tc>
                <w:tcPr>
                  <w:tcW w:w="470" w:type="pct"/>
                  <w:vAlign w:val="center"/>
                </w:tcPr>
                <w:p w14:paraId="6F36C85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7F4FE7E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5户农户</w:t>
                  </w:r>
                </w:p>
              </w:tc>
              <w:tc>
                <w:tcPr>
                  <w:tcW w:w="552" w:type="pct"/>
                  <w:vAlign w:val="center"/>
                </w:tcPr>
                <w:p w14:paraId="2AB29A5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西南侧</w:t>
                  </w:r>
                </w:p>
              </w:tc>
              <w:tc>
                <w:tcPr>
                  <w:tcW w:w="582" w:type="pct"/>
                  <w:vAlign w:val="center"/>
                </w:tcPr>
                <w:p w14:paraId="39B4E3B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114-453</w:t>
                  </w:r>
                </w:p>
              </w:tc>
              <w:tc>
                <w:tcPr>
                  <w:tcW w:w="735" w:type="pct"/>
                  <w:vMerge w:val="continue"/>
                  <w:vAlign w:val="center"/>
                </w:tcPr>
                <w:p w14:paraId="77744B2F">
                  <w:pPr>
                    <w:jc w:val="center"/>
                    <w:rPr>
                      <w:rFonts w:hint="default" w:ascii="Times New Roman" w:hAnsi="Times New Roman" w:eastAsia="宋体" w:cs="Times New Roman"/>
                      <w:color w:val="auto"/>
                    </w:rPr>
                  </w:pPr>
                </w:p>
              </w:tc>
            </w:tr>
            <w:tr w14:paraId="530B57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7836EF88">
                  <w:pPr>
                    <w:jc w:val="center"/>
                    <w:rPr>
                      <w:rFonts w:hint="default" w:ascii="Times New Roman" w:hAnsi="Times New Roman" w:eastAsia="宋体" w:cs="Times New Roman"/>
                      <w:color w:val="auto"/>
                    </w:rPr>
                  </w:pPr>
                </w:p>
              </w:tc>
              <w:tc>
                <w:tcPr>
                  <w:tcW w:w="558" w:type="pct"/>
                  <w:vAlign w:val="center"/>
                </w:tcPr>
                <w:p w14:paraId="07BC1C4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105.038804</w:t>
                  </w:r>
                </w:p>
              </w:tc>
              <w:tc>
                <w:tcPr>
                  <w:tcW w:w="491" w:type="pct"/>
                  <w:vAlign w:val="center"/>
                </w:tcPr>
                <w:p w14:paraId="3F0BBD0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30.440705</w:t>
                  </w:r>
                </w:p>
              </w:tc>
              <w:tc>
                <w:tcPr>
                  <w:tcW w:w="474" w:type="pct"/>
                  <w:vAlign w:val="center"/>
                </w:tcPr>
                <w:p w14:paraId="0A502FA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19#</w:t>
                  </w:r>
                </w:p>
              </w:tc>
              <w:tc>
                <w:tcPr>
                  <w:tcW w:w="470" w:type="pct"/>
                  <w:vAlign w:val="center"/>
                </w:tcPr>
                <w:p w14:paraId="7EB7245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00D2E9D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5户农户</w:t>
                  </w:r>
                </w:p>
              </w:tc>
              <w:tc>
                <w:tcPr>
                  <w:tcW w:w="552" w:type="pct"/>
                  <w:vAlign w:val="center"/>
                </w:tcPr>
                <w:p w14:paraId="4FD803C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19EA794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116-464</w:t>
                  </w:r>
                </w:p>
              </w:tc>
              <w:tc>
                <w:tcPr>
                  <w:tcW w:w="735" w:type="pct"/>
                  <w:vMerge w:val="continue"/>
                  <w:vAlign w:val="center"/>
                </w:tcPr>
                <w:p w14:paraId="38605AC0">
                  <w:pPr>
                    <w:jc w:val="center"/>
                    <w:rPr>
                      <w:rFonts w:hint="default" w:ascii="Times New Roman" w:hAnsi="Times New Roman" w:eastAsia="宋体" w:cs="Times New Roman"/>
                      <w:color w:val="auto"/>
                    </w:rPr>
                  </w:pPr>
                </w:p>
              </w:tc>
            </w:tr>
            <w:tr w14:paraId="1CB0FB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48021E65">
                  <w:pPr>
                    <w:jc w:val="center"/>
                    <w:rPr>
                      <w:rFonts w:hint="default" w:ascii="Times New Roman" w:hAnsi="Times New Roman" w:eastAsia="宋体" w:cs="Times New Roman"/>
                      <w:color w:val="auto"/>
                    </w:rPr>
                  </w:pPr>
                </w:p>
              </w:tc>
              <w:tc>
                <w:tcPr>
                  <w:tcW w:w="558" w:type="pct"/>
                  <w:vMerge w:val="restart"/>
                  <w:vAlign w:val="center"/>
                </w:tcPr>
                <w:p w14:paraId="58BC2FC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105.027431</w:t>
                  </w:r>
                </w:p>
              </w:tc>
              <w:tc>
                <w:tcPr>
                  <w:tcW w:w="491" w:type="pct"/>
                  <w:vMerge w:val="restart"/>
                  <w:vAlign w:val="center"/>
                </w:tcPr>
                <w:p w14:paraId="0824714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30.439246</w:t>
                  </w:r>
                </w:p>
              </w:tc>
              <w:tc>
                <w:tcPr>
                  <w:tcW w:w="474" w:type="pct"/>
                  <w:vMerge w:val="restart"/>
                  <w:vAlign w:val="center"/>
                </w:tcPr>
                <w:p w14:paraId="67BE9BE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20#</w:t>
                  </w:r>
                </w:p>
              </w:tc>
              <w:tc>
                <w:tcPr>
                  <w:tcW w:w="470" w:type="pct"/>
                  <w:vAlign w:val="center"/>
                </w:tcPr>
                <w:p w14:paraId="2A941E9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781FF5C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3户农户</w:t>
                  </w:r>
                </w:p>
              </w:tc>
              <w:tc>
                <w:tcPr>
                  <w:tcW w:w="552" w:type="pct"/>
                  <w:vAlign w:val="center"/>
                </w:tcPr>
                <w:p w14:paraId="084A7CF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3B8946B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118-397</w:t>
                  </w:r>
                </w:p>
              </w:tc>
              <w:tc>
                <w:tcPr>
                  <w:tcW w:w="735" w:type="pct"/>
                  <w:vMerge w:val="continue"/>
                  <w:vAlign w:val="center"/>
                </w:tcPr>
                <w:p w14:paraId="0592DEE4">
                  <w:pPr>
                    <w:jc w:val="center"/>
                    <w:rPr>
                      <w:rFonts w:hint="default" w:ascii="Times New Roman" w:hAnsi="Times New Roman" w:eastAsia="宋体" w:cs="Times New Roman"/>
                      <w:color w:val="auto"/>
                    </w:rPr>
                  </w:pPr>
                </w:p>
              </w:tc>
            </w:tr>
            <w:tr w14:paraId="2AD078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1B2B5BEA">
                  <w:pPr>
                    <w:jc w:val="center"/>
                    <w:rPr>
                      <w:rFonts w:hint="default" w:ascii="Times New Roman" w:hAnsi="Times New Roman" w:eastAsia="宋体" w:cs="Times New Roman"/>
                      <w:color w:val="auto"/>
                    </w:rPr>
                  </w:pPr>
                </w:p>
              </w:tc>
              <w:tc>
                <w:tcPr>
                  <w:tcW w:w="558" w:type="pct"/>
                  <w:vMerge w:val="continue"/>
                  <w:vAlign w:val="center"/>
                </w:tcPr>
                <w:p w14:paraId="64677C1A">
                  <w:pPr>
                    <w:jc w:val="center"/>
                    <w:rPr>
                      <w:rFonts w:hint="default" w:ascii="Times New Roman" w:hAnsi="Times New Roman" w:eastAsia="宋体" w:cs="Times New Roman"/>
                      <w:color w:val="auto"/>
                    </w:rPr>
                  </w:pPr>
                </w:p>
              </w:tc>
              <w:tc>
                <w:tcPr>
                  <w:tcW w:w="491" w:type="pct"/>
                  <w:vMerge w:val="continue"/>
                  <w:vAlign w:val="center"/>
                </w:tcPr>
                <w:p w14:paraId="7E125571">
                  <w:pPr>
                    <w:jc w:val="center"/>
                    <w:rPr>
                      <w:rFonts w:hint="default" w:ascii="Times New Roman" w:hAnsi="Times New Roman" w:eastAsia="宋体" w:cs="Times New Roman"/>
                      <w:color w:val="auto"/>
                    </w:rPr>
                  </w:pPr>
                </w:p>
              </w:tc>
              <w:tc>
                <w:tcPr>
                  <w:tcW w:w="474" w:type="pct"/>
                  <w:vMerge w:val="continue"/>
                  <w:vAlign w:val="center"/>
                </w:tcPr>
                <w:p w14:paraId="66ED7F72">
                  <w:pPr>
                    <w:jc w:val="center"/>
                    <w:rPr>
                      <w:rFonts w:hint="default" w:ascii="Times New Roman" w:hAnsi="Times New Roman" w:eastAsia="宋体" w:cs="Times New Roman"/>
                      <w:color w:val="auto"/>
                    </w:rPr>
                  </w:pPr>
                </w:p>
              </w:tc>
              <w:tc>
                <w:tcPr>
                  <w:tcW w:w="470" w:type="pct"/>
                  <w:vAlign w:val="center"/>
                </w:tcPr>
                <w:p w14:paraId="69CD9A7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11EA7D8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6户农户</w:t>
                  </w:r>
                </w:p>
              </w:tc>
              <w:tc>
                <w:tcPr>
                  <w:tcW w:w="552" w:type="pct"/>
                  <w:vAlign w:val="center"/>
                </w:tcPr>
                <w:p w14:paraId="745102B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南侧</w:t>
                  </w:r>
                </w:p>
              </w:tc>
              <w:tc>
                <w:tcPr>
                  <w:tcW w:w="582" w:type="pct"/>
                  <w:vAlign w:val="center"/>
                </w:tcPr>
                <w:p w14:paraId="3BED986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124-358</w:t>
                  </w:r>
                </w:p>
              </w:tc>
              <w:tc>
                <w:tcPr>
                  <w:tcW w:w="735" w:type="pct"/>
                  <w:vMerge w:val="continue"/>
                  <w:vAlign w:val="center"/>
                </w:tcPr>
                <w:p w14:paraId="61753D0B">
                  <w:pPr>
                    <w:jc w:val="center"/>
                    <w:rPr>
                      <w:rFonts w:hint="default" w:ascii="Times New Roman" w:hAnsi="Times New Roman" w:eastAsia="宋体" w:cs="Times New Roman"/>
                      <w:color w:val="auto"/>
                    </w:rPr>
                  </w:pPr>
                </w:p>
              </w:tc>
            </w:tr>
            <w:tr w14:paraId="5BBB32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653547A7">
                  <w:pPr>
                    <w:jc w:val="center"/>
                    <w:rPr>
                      <w:rFonts w:hint="default" w:ascii="Times New Roman" w:hAnsi="Times New Roman" w:eastAsia="宋体" w:cs="Times New Roman"/>
                      <w:color w:val="auto"/>
                    </w:rPr>
                  </w:pPr>
                </w:p>
              </w:tc>
              <w:tc>
                <w:tcPr>
                  <w:tcW w:w="558" w:type="pct"/>
                  <w:vAlign w:val="center"/>
                </w:tcPr>
                <w:p w14:paraId="62134FD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105.019492</w:t>
                  </w:r>
                </w:p>
              </w:tc>
              <w:tc>
                <w:tcPr>
                  <w:tcW w:w="491" w:type="pct"/>
                  <w:vAlign w:val="center"/>
                </w:tcPr>
                <w:p w14:paraId="10F7C27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30.441005</w:t>
                  </w:r>
                </w:p>
              </w:tc>
              <w:tc>
                <w:tcPr>
                  <w:tcW w:w="474" w:type="pct"/>
                  <w:vAlign w:val="center"/>
                </w:tcPr>
                <w:p w14:paraId="2F1B0A7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21#</w:t>
                  </w:r>
                </w:p>
              </w:tc>
              <w:tc>
                <w:tcPr>
                  <w:tcW w:w="470" w:type="pct"/>
                  <w:vAlign w:val="center"/>
                </w:tcPr>
                <w:p w14:paraId="3CE2773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2214D91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9户农户</w:t>
                  </w:r>
                </w:p>
              </w:tc>
              <w:tc>
                <w:tcPr>
                  <w:tcW w:w="552" w:type="pct"/>
                  <w:vAlign w:val="center"/>
                </w:tcPr>
                <w:p w14:paraId="7C1A683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西南侧</w:t>
                  </w:r>
                </w:p>
              </w:tc>
              <w:tc>
                <w:tcPr>
                  <w:tcW w:w="582" w:type="pct"/>
                  <w:vAlign w:val="center"/>
                </w:tcPr>
                <w:p w14:paraId="1231F48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127-432</w:t>
                  </w:r>
                </w:p>
              </w:tc>
              <w:tc>
                <w:tcPr>
                  <w:tcW w:w="735" w:type="pct"/>
                  <w:vMerge w:val="continue"/>
                  <w:vAlign w:val="center"/>
                </w:tcPr>
                <w:p w14:paraId="7437F563">
                  <w:pPr>
                    <w:jc w:val="center"/>
                    <w:rPr>
                      <w:rFonts w:hint="default" w:ascii="Times New Roman" w:hAnsi="Times New Roman" w:eastAsia="宋体" w:cs="Times New Roman"/>
                      <w:color w:val="auto"/>
                    </w:rPr>
                  </w:pPr>
                </w:p>
              </w:tc>
            </w:tr>
            <w:tr w14:paraId="6F0F3A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250148E0">
                  <w:pPr>
                    <w:jc w:val="center"/>
                    <w:rPr>
                      <w:rFonts w:hint="default" w:ascii="Times New Roman" w:hAnsi="Times New Roman" w:eastAsia="宋体" w:cs="Times New Roman"/>
                      <w:color w:val="auto"/>
                    </w:rPr>
                  </w:pPr>
                </w:p>
              </w:tc>
              <w:tc>
                <w:tcPr>
                  <w:tcW w:w="558" w:type="pct"/>
                  <w:vAlign w:val="center"/>
                </w:tcPr>
                <w:p w14:paraId="0900532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105.003442</w:t>
                  </w:r>
                </w:p>
              </w:tc>
              <w:tc>
                <w:tcPr>
                  <w:tcW w:w="491" w:type="pct"/>
                  <w:vAlign w:val="center"/>
                </w:tcPr>
                <w:p w14:paraId="0F25F3E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30.4406195</w:t>
                  </w:r>
                </w:p>
              </w:tc>
              <w:tc>
                <w:tcPr>
                  <w:tcW w:w="474" w:type="pct"/>
                  <w:vAlign w:val="center"/>
                </w:tcPr>
                <w:p w14:paraId="79831AD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22#</w:t>
                  </w:r>
                </w:p>
              </w:tc>
              <w:tc>
                <w:tcPr>
                  <w:tcW w:w="470" w:type="pct"/>
                  <w:vAlign w:val="center"/>
                </w:tcPr>
                <w:p w14:paraId="7F668DA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3FA0664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8户农户</w:t>
                  </w:r>
                </w:p>
              </w:tc>
              <w:tc>
                <w:tcPr>
                  <w:tcW w:w="552" w:type="pct"/>
                  <w:vAlign w:val="center"/>
                </w:tcPr>
                <w:p w14:paraId="19847FB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5DA7A09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215-485</w:t>
                  </w:r>
                </w:p>
              </w:tc>
              <w:tc>
                <w:tcPr>
                  <w:tcW w:w="735" w:type="pct"/>
                  <w:vMerge w:val="continue"/>
                  <w:vAlign w:val="center"/>
                </w:tcPr>
                <w:p w14:paraId="75586116">
                  <w:pPr>
                    <w:jc w:val="center"/>
                    <w:rPr>
                      <w:rFonts w:hint="default" w:ascii="Times New Roman" w:hAnsi="Times New Roman" w:eastAsia="宋体" w:cs="Times New Roman"/>
                      <w:color w:val="auto"/>
                    </w:rPr>
                  </w:pPr>
                </w:p>
              </w:tc>
            </w:tr>
            <w:tr w14:paraId="4560BC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613D6485">
                  <w:pPr>
                    <w:jc w:val="center"/>
                    <w:rPr>
                      <w:rFonts w:hint="default" w:ascii="Times New Roman" w:hAnsi="Times New Roman" w:eastAsia="宋体" w:cs="Times New Roman"/>
                      <w:color w:val="auto"/>
                    </w:rPr>
                  </w:pPr>
                </w:p>
              </w:tc>
              <w:tc>
                <w:tcPr>
                  <w:tcW w:w="558" w:type="pct"/>
                  <w:vMerge w:val="restart"/>
                  <w:vAlign w:val="center"/>
                </w:tcPr>
                <w:p w14:paraId="7652304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104.996640</w:t>
                  </w:r>
                </w:p>
              </w:tc>
              <w:tc>
                <w:tcPr>
                  <w:tcW w:w="491" w:type="pct"/>
                  <w:vMerge w:val="restart"/>
                  <w:vAlign w:val="center"/>
                </w:tcPr>
                <w:p w14:paraId="093D10A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30.445254</w:t>
                  </w:r>
                </w:p>
              </w:tc>
              <w:tc>
                <w:tcPr>
                  <w:tcW w:w="474" w:type="pct"/>
                  <w:vMerge w:val="restart"/>
                  <w:vAlign w:val="center"/>
                </w:tcPr>
                <w:p w14:paraId="565AD8A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23#、24#、25#、26#</w:t>
                  </w:r>
                </w:p>
              </w:tc>
              <w:tc>
                <w:tcPr>
                  <w:tcW w:w="470" w:type="pct"/>
                  <w:vAlign w:val="center"/>
                </w:tcPr>
                <w:p w14:paraId="0F51037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15703A6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8户农户</w:t>
                  </w:r>
                </w:p>
              </w:tc>
              <w:tc>
                <w:tcPr>
                  <w:tcW w:w="552" w:type="pct"/>
                  <w:vAlign w:val="center"/>
                </w:tcPr>
                <w:p w14:paraId="6B17D74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北侧</w:t>
                  </w:r>
                </w:p>
              </w:tc>
              <w:tc>
                <w:tcPr>
                  <w:tcW w:w="582" w:type="pct"/>
                  <w:vAlign w:val="center"/>
                </w:tcPr>
                <w:p w14:paraId="57211AC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230-486</w:t>
                  </w:r>
                </w:p>
              </w:tc>
              <w:tc>
                <w:tcPr>
                  <w:tcW w:w="735" w:type="pct"/>
                  <w:vMerge w:val="continue"/>
                  <w:vAlign w:val="center"/>
                </w:tcPr>
                <w:p w14:paraId="384ADC7D">
                  <w:pPr>
                    <w:jc w:val="center"/>
                    <w:rPr>
                      <w:rFonts w:hint="default" w:ascii="Times New Roman" w:hAnsi="Times New Roman" w:eastAsia="宋体" w:cs="Times New Roman"/>
                      <w:color w:val="auto"/>
                    </w:rPr>
                  </w:pPr>
                </w:p>
              </w:tc>
            </w:tr>
            <w:tr w14:paraId="4DFE3B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7C3633FA">
                  <w:pPr>
                    <w:jc w:val="center"/>
                    <w:rPr>
                      <w:rFonts w:hint="default" w:ascii="Times New Roman" w:hAnsi="Times New Roman" w:eastAsia="宋体" w:cs="Times New Roman"/>
                      <w:color w:val="auto"/>
                    </w:rPr>
                  </w:pPr>
                </w:p>
              </w:tc>
              <w:tc>
                <w:tcPr>
                  <w:tcW w:w="558" w:type="pct"/>
                  <w:vMerge w:val="continue"/>
                  <w:vAlign w:val="center"/>
                </w:tcPr>
                <w:p w14:paraId="0C65696E">
                  <w:pPr>
                    <w:jc w:val="center"/>
                    <w:rPr>
                      <w:rFonts w:hint="default" w:ascii="Times New Roman" w:hAnsi="Times New Roman" w:eastAsia="宋体" w:cs="Times New Roman"/>
                      <w:color w:val="auto"/>
                    </w:rPr>
                  </w:pPr>
                </w:p>
              </w:tc>
              <w:tc>
                <w:tcPr>
                  <w:tcW w:w="491" w:type="pct"/>
                  <w:vMerge w:val="continue"/>
                  <w:vAlign w:val="center"/>
                </w:tcPr>
                <w:p w14:paraId="74A85234">
                  <w:pPr>
                    <w:jc w:val="center"/>
                    <w:rPr>
                      <w:rFonts w:hint="default" w:ascii="Times New Roman" w:hAnsi="Times New Roman" w:eastAsia="宋体" w:cs="Times New Roman"/>
                      <w:color w:val="auto"/>
                    </w:rPr>
                  </w:pPr>
                </w:p>
              </w:tc>
              <w:tc>
                <w:tcPr>
                  <w:tcW w:w="474" w:type="pct"/>
                  <w:vMerge w:val="continue"/>
                  <w:vAlign w:val="center"/>
                </w:tcPr>
                <w:p w14:paraId="65B71A3E">
                  <w:pPr>
                    <w:jc w:val="center"/>
                    <w:rPr>
                      <w:rFonts w:hint="default" w:ascii="Times New Roman" w:hAnsi="Times New Roman" w:eastAsia="宋体" w:cs="Times New Roman"/>
                      <w:color w:val="auto"/>
                    </w:rPr>
                  </w:pPr>
                </w:p>
              </w:tc>
              <w:tc>
                <w:tcPr>
                  <w:tcW w:w="470" w:type="pct"/>
                  <w:vAlign w:val="center"/>
                </w:tcPr>
                <w:p w14:paraId="78E30CB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4E4B2EB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5户农户</w:t>
                  </w:r>
                </w:p>
              </w:tc>
              <w:tc>
                <w:tcPr>
                  <w:tcW w:w="552" w:type="pct"/>
                  <w:vAlign w:val="center"/>
                </w:tcPr>
                <w:p w14:paraId="63157A9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南侧</w:t>
                  </w:r>
                </w:p>
              </w:tc>
              <w:tc>
                <w:tcPr>
                  <w:tcW w:w="582" w:type="pct"/>
                  <w:vAlign w:val="center"/>
                </w:tcPr>
                <w:p w14:paraId="6F66C36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153-451</w:t>
                  </w:r>
                </w:p>
              </w:tc>
              <w:tc>
                <w:tcPr>
                  <w:tcW w:w="735" w:type="pct"/>
                  <w:vMerge w:val="continue"/>
                  <w:vAlign w:val="center"/>
                </w:tcPr>
                <w:p w14:paraId="22F5948B">
                  <w:pPr>
                    <w:jc w:val="center"/>
                    <w:rPr>
                      <w:rFonts w:hint="default" w:ascii="Times New Roman" w:hAnsi="Times New Roman" w:eastAsia="宋体" w:cs="Times New Roman"/>
                      <w:color w:val="auto"/>
                    </w:rPr>
                  </w:pPr>
                </w:p>
              </w:tc>
            </w:tr>
            <w:tr w14:paraId="37254C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4BF2CD5F">
                  <w:pPr>
                    <w:jc w:val="center"/>
                    <w:rPr>
                      <w:rFonts w:hint="default" w:ascii="Times New Roman" w:hAnsi="Times New Roman" w:eastAsia="宋体" w:cs="Times New Roman"/>
                      <w:color w:val="auto"/>
                    </w:rPr>
                  </w:pPr>
                </w:p>
              </w:tc>
              <w:tc>
                <w:tcPr>
                  <w:tcW w:w="558" w:type="pct"/>
                  <w:vAlign w:val="center"/>
                </w:tcPr>
                <w:p w14:paraId="4EA3EC3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104.992584</w:t>
                  </w:r>
                </w:p>
              </w:tc>
              <w:tc>
                <w:tcPr>
                  <w:tcW w:w="491" w:type="pct"/>
                  <w:vAlign w:val="center"/>
                </w:tcPr>
                <w:p w14:paraId="7F547A1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30.442937</w:t>
                  </w:r>
                </w:p>
              </w:tc>
              <w:tc>
                <w:tcPr>
                  <w:tcW w:w="474" w:type="pct"/>
                  <w:vAlign w:val="center"/>
                </w:tcPr>
                <w:p w14:paraId="260DF11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27#</w:t>
                  </w:r>
                </w:p>
              </w:tc>
              <w:tc>
                <w:tcPr>
                  <w:tcW w:w="470" w:type="pct"/>
                  <w:vAlign w:val="center"/>
                </w:tcPr>
                <w:p w14:paraId="7AF30A8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47F1BEF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11户农户</w:t>
                  </w:r>
                </w:p>
              </w:tc>
              <w:tc>
                <w:tcPr>
                  <w:tcW w:w="552" w:type="pct"/>
                  <w:vAlign w:val="center"/>
                </w:tcPr>
                <w:p w14:paraId="3FDF5E1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52706C3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106-428</w:t>
                  </w:r>
                </w:p>
              </w:tc>
              <w:tc>
                <w:tcPr>
                  <w:tcW w:w="735" w:type="pct"/>
                  <w:vMerge w:val="continue"/>
                  <w:vAlign w:val="center"/>
                </w:tcPr>
                <w:p w14:paraId="518BA5B5">
                  <w:pPr>
                    <w:jc w:val="center"/>
                    <w:rPr>
                      <w:rFonts w:hint="default" w:ascii="Times New Roman" w:hAnsi="Times New Roman" w:eastAsia="宋体" w:cs="Times New Roman"/>
                      <w:color w:val="auto"/>
                    </w:rPr>
                  </w:pPr>
                </w:p>
              </w:tc>
            </w:tr>
            <w:tr w14:paraId="5E0BFF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45790329">
                  <w:pPr>
                    <w:jc w:val="center"/>
                    <w:rPr>
                      <w:rFonts w:hint="default" w:ascii="Times New Roman" w:hAnsi="Times New Roman" w:eastAsia="宋体" w:cs="Times New Roman"/>
                      <w:color w:val="auto"/>
                    </w:rPr>
                  </w:pPr>
                </w:p>
              </w:tc>
              <w:tc>
                <w:tcPr>
                  <w:tcW w:w="558" w:type="pct"/>
                  <w:vAlign w:val="center"/>
                </w:tcPr>
                <w:p w14:paraId="154C36E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104.991533</w:t>
                  </w:r>
                </w:p>
              </w:tc>
              <w:tc>
                <w:tcPr>
                  <w:tcW w:w="491" w:type="pct"/>
                  <w:vAlign w:val="center"/>
                </w:tcPr>
                <w:p w14:paraId="385EC85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30.442014</w:t>
                  </w:r>
                </w:p>
              </w:tc>
              <w:tc>
                <w:tcPr>
                  <w:tcW w:w="474" w:type="pct"/>
                  <w:vAlign w:val="center"/>
                </w:tcPr>
                <w:p w14:paraId="05191B3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28#、29#</w:t>
                  </w:r>
                </w:p>
              </w:tc>
              <w:tc>
                <w:tcPr>
                  <w:tcW w:w="470" w:type="pct"/>
                  <w:vAlign w:val="center"/>
                </w:tcPr>
                <w:p w14:paraId="0942E2A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7B22C9B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13户农户</w:t>
                  </w:r>
                </w:p>
              </w:tc>
              <w:tc>
                <w:tcPr>
                  <w:tcW w:w="552" w:type="pct"/>
                  <w:vAlign w:val="center"/>
                </w:tcPr>
                <w:p w14:paraId="18AFB00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5A30AE6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153-432</w:t>
                  </w:r>
                </w:p>
              </w:tc>
              <w:tc>
                <w:tcPr>
                  <w:tcW w:w="735" w:type="pct"/>
                  <w:vMerge w:val="continue"/>
                  <w:vAlign w:val="center"/>
                </w:tcPr>
                <w:p w14:paraId="1D8A91EA">
                  <w:pPr>
                    <w:jc w:val="center"/>
                    <w:rPr>
                      <w:rFonts w:hint="default" w:ascii="Times New Roman" w:hAnsi="Times New Roman" w:eastAsia="宋体" w:cs="Times New Roman"/>
                      <w:color w:val="auto"/>
                    </w:rPr>
                  </w:pPr>
                </w:p>
              </w:tc>
            </w:tr>
            <w:tr w14:paraId="14E400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238D13A0">
                  <w:pPr>
                    <w:jc w:val="center"/>
                    <w:rPr>
                      <w:rFonts w:hint="default" w:ascii="Times New Roman" w:hAnsi="Times New Roman" w:eastAsia="宋体" w:cs="Times New Roman"/>
                      <w:color w:val="auto"/>
                    </w:rPr>
                  </w:pPr>
                </w:p>
              </w:tc>
              <w:tc>
                <w:tcPr>
                  <w:tcW w:w="558" w:type="pct"/>
                  <w:vMerge w:val="restart"/>
                  <w:vAlign w:val="center"/>
                </w:tcPr>
                <w:p w14:paraId="608990E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105.013098</w:t>
                  </w:r>
                </w:p>
              </w:tc>
              <w:tc>
                <w:tcPr>
                  <w:tcW w:w="491" w:type="pct"/>
                  <w:vMerge w:val="restart"/>
                  <w:vAlign w:val="center"/>
                </w:tcPr>
                <w:p w14:paraId="0866ADC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30.440576</w:t>
                  </w:r>
                </w:p>
              </w:tc>
              <w:tc>
                <w:tcPr>
                  <w:tcW w:w="474" w:type="pct"/>
                  <w:vMerge w:val="restart"/>
                  <w:vAlign w:val="center"/>
                </w:tcPr>
                <w:p w14:paraId="2A4B3B1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30#、31#、32#</w:t>
                  </w:r>
                </w:p>
              </w:tc>
              <w:tc>
                <w:tcPr>
                  <w:tcW w:w="470" w:type="pct"/>
                  <w:vAlign w:val="center"/>
                </w:tcPr>
                <w:p w14:paraId="6AAC202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4AB8B64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27户农户</w:t>
                  </w:r>
                </w:p>
              </w:tc>
              <w:tc>
                <w:tcPr>
                  <w:tcW w:w="552" w:type="pct"/>
                  <w:vAlign w:val="center"/>
                </w:tcPr>
                <w:p w14:paraId="146D986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3EB09F8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121-435</w:t>
                  </w:r>
                </w:p>
              </w:tc>
              <w:tc>
                <w:tcPr>
                  <w:tcW w:w="735" w:type="pct"/>
                  <w:vMerge w:val="continue"/>
                  <w:vAlign w:val="center"/>
                </w:tcPr>
                <w:p w14:paraId="58BAD51D">
                  <w:pPr>
                    <w:jc w:val="center"/>
                    <w:rPr>
                      <w:rFonts w:hint="default" w:ascii="Times New Roman" w:hAnsi="Times New Roman" w:eastAsia="宋体" w:cs="Times New Roman"/>
                      <w:color w:val="auto"/>
                    </w:rPr>
                  </w:pPr>
                </w:p>
              </w:tc>
            </w:tr>
            <w:tr w14:paraId="32BE8D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517C962D">
                  <w:pPr>
                    <w:jc w:val="center"/>
                    <w:rPr>
                      <w:rFonts w:hint="default" w:ascii="Times New Roman" w:hAnsi="Times New Roman" w:eastAsia="宋体" w:cs="Times New Roman"/>
                      <w:color w:val="auto"/>
                    </w:rPr>
                  </w:pPr>
                </w:p>
              </w:tc>
              <w:tc>
                <w:tcPr>
                  <w:tcW w:w="558" w:type="pct"/>
                  <w:vMerge w:val="continue"/>
                  <w:vAlign w:val="center"/>
                </w:tcPr>
                <w:p w14:paraId="1AC4DDAA">
                  <w:pPr>
                    <w:jc w:val="center"/>
                    <w:rPr>
                      <w:rFonts w:hint="default" w:ascii="Times New Roman" w:hAnsi="Times New Roman" w:eastAsia="宋体" w:cs="Times New Roman"/>
                      <w:color w:val="auto"/>
                    </w:rPr>
                  </w:pPr>
                </w:p>
              </w:tc>
              <w:tc>
                <w:tcPr>
                  <w:tcW w:w="491" w:type="pct"/>
                  <w:vMerge w:val="continue"/>
                  <w:vAlign w:val="center"/>
                </w:tcPr>
                <w:p w14:paraId="4AE701B5">
                  <w:pPr>
                    <w:jc w:val="center"/>
                    <w:rPr>
                      <w:rFonts w:hint="default" w:ascii="Times New Roman" w:hAnsi="Times New Roman" w:eastAsia="宋体" w:cs="Times New Roman"/>
                      <w:color w:val="auto"/>
                    </w:rPr>
                  </w:pPr>
                </w:p>
              </w:tc>
              <w:tc>
                <w:tcPr>
                  <w:tcW w:w="474" w:type="pct"/>
                  <w:vMerge w:val="continue"/>
                  <w:vAlign w:val="center"/>
                </w:tcPr>
                <w:p w14:paraId="59231DA7">
                  <w:pPr>
                    <w:jc w:val="center"/>
                    <w:rPr>
                      <w:rFonts w:hint="default" w:ascii="Times New Roman" w:hAnsi="Times New Roman" w:eastAsia="宋体" w:cs="Times New Roman"/>
                      <w:color w:val="auto"/>
                    </w:rPr>
                  </w:pPr>
                </w:p>
              </w:tc>
              <w:tc>
                <w:tcPr>
                  <w:tcW w:w="470" w:type="pct"/>
                  <w:vAlign w:val="center"/>
                </w:tcPr>
                <w:p w14:paraId="463FA5B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1CB259F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23户农户</w:t>
                  </w:r>
                </w:p>
              </w:tc>
              <w:tc>
                <w:tcPr>
                  <w:tcW w:w="552" w:type="pct"/>
                  <w:vAlign w:val="center"/>
                </w:tcPr>
                <w:p w14:paraId="2783AA0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59FB957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115-486</w:t>
                  </w:r>
                </w:p>
              </w:tc>
              <w:tc>
                <w:tcPr>
                  <w:tcW w:w="735" w:type="pct"/>
                  <w:vMerge w:val="continue"/>
                  <w:vAlign w:val="center"/>
                </w:tcPr>
                <w:p w14:paraId="0B9E5FD0">
                  <w:pPr>
                    <w:jc w:val="center"/>
                    <w:rPr>
                      <w:rFonts w:hint="default" w:ascii="Times New Roman" w:hAnsi="Times New Roman" w:eastAsia="宋体" w:cs="Times New Roman"/>
                      <w:color w:val="auto"/>
                    </w:rPr>
                  </w:pPr>
                </w:p>
              </w:tc>
            </w:tr>
            <w:tr w14:paraId="196728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497ADA27">
                  <w:pPr>
                    <w:jc w:val="center"/>
                    <w:rPr>
                      <w:rFonts w:hint="default" w:ascii="Times New Roman" w:hAnsi="Times New Roman" w:eastAsia="宋体" w:cs="Times New Roman"/>
                      <w:color w:val="auto"/>
                    </w:rPr>
                  </w:pPr>
                </w:p>
              </w:tc>
              <w:tc>
                <w:tcPr>
                  <w:tcW w:w="558" w:type="pct"/>
                  <w:vMerge w:val="restart"/>
                  <w:vAlign w:val="center"/>
                </w:tcPr>
                <w:p w14:paraId="14E093A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105.0598758</w:t>
                  </w:r>
                </w:p>
              </w:tc>
              <w:tc>
                <w:tcPr>
                  <w:tcW w:w="491" w:type="pct"/>
                  <w:vMerge w:val="restart"/>
                  <w:vAlign w:val="center"/>
                </w:tcPr>
                <w:p w14:paraId="4B89EFB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30.441606</w:t>
                  </w:r>
                </w:p>
              </w:tc>
              <w:tc>
                <w:tcPr>
                  <w:tcW w:w="474" w:type="pct"/>
                  <w:vMerge w:val="restart"/>
                  <w:vAlign w:val="center"/>
                </w:tcPr>
                <w:p w14:paraId="00A86C3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33#</w:t>
                  </w:r>
                </w:p>
              </w:tc>
              <w:tc>
                <w:tcPr>
                  <w:tcW w:w="470" w:type="pct"/>
                  <w:vAlign w:val="center"/>
                </w:tcPr>
                <w:p w14:paraId="49D2F92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1E1BC89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7户农户</w:t>
                  </w:r>
                </w:p>
              </w:tc>
              <w:tc>
                <w:tcPr>
                  <w:tcW w:w="552" w:type="pct"/>
                  <w:vAlign w:val="center"/>
                </w:tcPr>
                <w:p w14:paraId="502CDC6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62BC9CC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117-356</w:t>
                  </w:r>
                </w:p>
              </w:tc>
              <w:tc>
                <w:tcPr>
                  <w:tcW w:w="735" w:type="pct"/>
                  <w:vMerge w:val="continue"/>
                  <w:vAlign w:val="center"/>
                </w:tcPr>
                <w:p w14:paraId="077DD502">
                  <w:pPr>
                    <w:jc w:val="center"/>
                    <w:rPr>
                      <w:rFonts w:hint="default" w:ascii="Times New Roman" w:hAnsi="Times New Roman" w:eastAsia="宋体" w:cs="Times New Roman"/>
                      <w:color w:val="auto"/>
                    </w:rPr>
                  </w:pPr>
                </w:p>
              </w:tc>
            </w:tr>
            <w:tr w14:paraId="74BF8A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6F6CEFE2">
                  <w:pPr>
                    <w:jc w:val="center"/>
                    <w:rPr>
                      <w:rFonts w:hint="default" w:ascii="Times New Roman" w:hAnsi="Times New Roman" w:eastAsia="宋体" w:cs="Times New Roman"/>
                      <w:color w:val="auto"/>
                    </w:rPr>
                  </w:pPr>
                </w:p>
              </w:tc>
              <w:tc>
                <w:tcPr>
                  <w:tcW w:w="558" w:type="pct"/>
                  <w:vMerge w:val="continue"/>
                  <w:vAlign w:val="center"/>
                </w:tcPr>
                <w:p w14:paraId="28657770">
                  <w:pPr>
                    <w:jc w:val="center"/>
                    <w:rPr>
                      <w:rFonts w:hint="default" w:ascii="Times New Roman" w:hAnsi="Times New Roman" w:eastAsia="宋体" w:cs="Times New Roman"/>
                      <w:color w:val="auto"/>
                    </w:rPr>
                  </w:pPr>
                </w:p>
              </w:tc>
              <w:tc>
                <w:tcPr>
                  <w:tcW w:w="491" w:type="pct"/>
                  <w:vMerge w:val="continue"/>
                  <w:vAlign w:val="center"/>
                </w:tcPr>
                <w:p w14:paraId="545CAECF">
                  <w:pPr>
                    <w:jc w:val="center"/>
                    <w:rPr>
                      <w:rFonts w:hint="default" w:ascii="Times New Roman" w:hAnsi="Times New Roman" w:eastAsia="宋体" w:cs="Times New Roman"/>
                      <w:color w:val="auto"/>
                    </w:rPr>
                  </w:pPr>
                </w:p>
              </w:tc>
              <w:tc>
                <w:tcPr>
                  <w:tcW w:w="474" w:type="pct"/>
                  <w:vMerge w:val="continue"/>
                  <w:vAlign w:val="center"/>
                </w:tcPr>
                <w:p w14:paraId="59F1A599">
                  <w:pPr>
                    <w:jc w:val="center"/>
                    <w:rPr>
                      <w:rFonts w:hint="default" w:ascii="Times New Roman" w:hAnsi="Times New Roman" w:eastAsia="宋体" w:cs="Times New Roman"/>
                      <w:color w:val="auto"/>
                    </w:rPr>
                  </w:pPr>
                </w:p>
              </w:tc>
              <w:tc>
                <w:tcPr>
                  <w:tcW w:w="470" w:type="pct"/>
                  <w:vAlign w:val="center"/>
                </w:tcPr>
                <w:p w14:paraId="2EAC803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2978ADF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11户农户</w:t>
                  </w:r>
                </w:p>
              </w:tc>
              <w:tc>
                <w:tcPr>
                  <w:tcW w:w="552" w:type="pct"/>
                  <w:vAlign w:val="center"/>
                </w:tcPr>
                <w:p w14:paraId="6B412EF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5F6E9F4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121-471</w:t>
                  </w:r>
                </w:p>
              </w:tc>
              <w:tc>
                <w:tcPr>
                  <w:tcW w:w="735" w:type="pct"/>
                  <w:vMerge w:val="continue"/>
                  <w:vAlign w:val="center"/>
                </w:tcPr>
                <w:p w14:paraId="68E92CC5">
                  <w:pPr>
                    <w:jc w:val="center"/>
                    <w:rPr>
                      <w:rFonts w:hint="default" w:ascii="Times New Roman" w:hAnsi="Times New Roman" w:eastAsia="宋体" w:cs="Times New Roman"/>
                      <w:color w:val="auto"/>
                    </w:rPr>
                  </w:pPr>
                </w:p>
              </w:tc>
            </w:tr>
            <w:tr w14:paraId="1BFC51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256" w:type="pct"/>
                  <w:vMerge w:val="continue"/>
                  <w:vAlign w:val="center"/>
                </w:tcPr>
                <w:p w14:paraId="588CB209">
                  <w:pPr>
                    <w:jc w:val="center"/>
                    <w:rPr>
                      <w:rFonts w:hint="default" w:ascii="Times New Roman" w:hAnsi="Times New Roman" w:eastAsia="宋体" w:cs="Times New Roman"/>
                      <w:color w:val="auto"/>
                    </w:rPr>
                  </w:pPr>
                </w:p>
              </w:tc>
              <w:tc>
                <w:tcPr>
                  <w:tcW w:w="558" w:type="pct"/>
                  <w:vMerge w:val="restart"/>
                  <w:vAlign w:val="center"/>
                </w:tcPr>
                <w:p w14:paraId="231EC15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105.072106</w:t>
                  </w:r>
                </w:p>
              </w:tc>
              <w:tc>
                <w:tcPr>
                  <w:tcW w:w="491" w:type="pct"/>
                  <w:vMerge w:val="restart"/>
                  <w:vAlign w:val="center"/>
                </w:tcPr>
                <w:p w14:paraId="37AE33D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30.453408</w:t>
                  </w:r>
                </w:p>
              </w:tc>
              <w:tc>
                <w:tcPr>
                  <w:tcW w:w="474" w:type="pct"/>
                  <w:vMerge w:val="restart"/>
                  <w:vAlign w:val="center"/>
                </w:tcPr>
                <w:p w14:paraId="1A1951B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34#、35#</w:t>
                  </w:r>
                </w:p>
              </w:tc>
              <w:tc>
                <w:tcPr>
                  <w:tcW w:w="470" w:type="pct"/>
                  <w:vAlign w:val="center"/>
                </w:tcPr>
                <w:p w14:paraId="2A8FD43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2D1A52D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17户农户</w:t>
                  </w:r>
                </w:p>
              </w:tc>
              <w:tc>
                <w:tcPr>
                  <w:tcW w:w="552" w:type="pct"/>
                  <w:vAlign w:val="center"/>
                </w:tcPr>
                <w:p w14:paraId="26A3684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0F8EAEA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123-410</w:t>
                  </w:r>
                </w:p>
              </w:tc>
              <w:tc>
                <w:tcPr>
                  <w:tcW w:w="735" w:type="pct"/>
                  <w:vMerge w:val="continue"/>
                  <w:vAlign w:val="center"/>
                </w:tcPr>
                <w:p w14:paraId="21A34CD7">
                  <w:pPr>
                    <w:jc w:val="center"/>
                    <w:rPr>
                      <w:rFonts w:hint="default" w:ascii="Times New Roman" w:hAnsi="Times New Roman" w:eastAsia="宋体" w:cs="Times New Roman"/>
                      <w:color w:val="auto"/>
                    </w:rPr>
                  </w:pPr>
                </w:p>
              </w:tc>
            </w:tr>
            <w:tr w14:paraId="02D15D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12CB9E42">
                  <w:pPr>
                    <w:jc w:val="center"/>
                    <w:rPr>
                      <w:rFonts w:hint="default" w:ascii="Times New Roman" w:hAnsi="Times New Roman" w:eastAsia="宋体" w:cs="Times New Roman"/>
                      <w:color w:val="auto"/>
                    </w:rPr>
                  </w:pPr>
                </w:p>
              </w:tc>
              <w:tc>
                <w:tcPr>
                  <w:tcW w:w="558" w:type="pct"/>
                  <w:vMerge w:val="continue"/>
                  <w:vAlign w:val="center"/>
                </w:tcPr>
                <w:p w14:paraId="53BD5ADD">
                  <w:pPr>
                    <w:jc w:val="center"/>
                    <w:rPr>
                      <w:rFonts w:hint="default" w:ascii="Times New Roman" w:hAnsi="Times New Roman" w:eastAsia="宋体" w:cs="Times New Roman"/>
                      <w:color w:val="auto"/>
                    </w:rPr>
                  </w:pPr>
                </w:p>
              </w:tc>
              <w:tc>
                <w:tcPr>
                  <w:tcW w:w="491" w:type="pct"/>
                  <w:vMerge w:val="continue"/>
                  <w:vAlign w:val="center"/>
                </w:tcPr>
                <w:p w14:paraId="481AACF7">
                  <w:pPr>
                    <w:jc w:val="center"/>
                    <w:rPr>
                      <w:rFonts w:hint="default" w:ascii="Times New Roman" w:hAnsi="Times New Roman" w:eastAsia="宋体" w:cs="Times New Roman"/>
                      <w:color w:val="auto"/>
                    </w:rPr>
                  </w:pPr>
                </w:p>
              </w:tc>
              <w:tc>
                <w:tcPr>
                  <w:tcW w:w="474" w:type="pct"/>
                  <w:vMerge w:val="continue"/>
                  <w:vAlign w:val="center"/>
                </w:tcPr>
                <w:p w14:paraId="49DA697C">
                  <w:pPr>
                    <w:jc w:val="center"/>
                    <w:rPr>
                      <w:rFonts w:hint="default" w:ascii="Times New Roman" w:hAnsi="Times New Roman" w:eastAsia="宋体" w:cs="Times New Roman"/>
                      <w:color w:val="auto"/>
                    </w:rPr>
                  </w:pPr>
                </w:p>
              </w:tc>
              <w:tc>
                <w:tcPr>
                  <w:tcW w:w="470" w:type="pct"/>
                  <w:vAlign w:val="center"/>
                </w:tcPr>
                <w:p w14:paraId="53C094B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60B119C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21户农户</w:t>
                  </w:r>
                </w:p>
              </w:tc>
              <w:tc>
                <w:tcPr>
                  <w:tcW w:w="552" w:type="pct"/>
                  <w:vAlign w:val="center"/>
                </w:tcPr>
                <w:p w14:paraId="342A89A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5DE94D7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112-500</w:t>
                  </w:r>
                </w:p>
              </w:tc>
              <w:tc>
                <w:tcPr>
                  <w:tcW w:w="735" w:type="pct"/>
                  <w:vMerge w:val="continue"/>
                  <w:vAlign w:val="center"/>
                </w:tcPr>
                <w:p w14:paraId="15F23550">
                  <w:pPr>
                    <w:jc w:val="center"/>
                    <w:rPr>
                      <w:rFonts w:hint="default" w:ascii="Times New Roman" w:hAnsi="Times New Roman" w:eastAsia="宋体" w:cs="Times New Roman"/>
                      <w:color w:val="auto"/>
                    </w:rPr>
                  </w:pPr>
                </w:p>
              </w:tc>
            </w:tr>
            <w:tr w14:paraId="1C7F2A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000" w:type="pct"/>
                  <w:gridSpan w:val="9"/>
                  <w:vAlign w:val="center"/>
                </w:tcPr>
                <w:p w14:paraId="66163F9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劳动镇</w:t>
                  </w:r>
                </w:p>
              </w:tc>
            </w:tr>
            <w:tr w14:paraId="69016E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restart"/>
                  <w:vAlign w:val="center"/>
                </w:tcPr>
                <w:p w14:paraId="05EBEA6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大气环境</w:t>
                  </w:r>
                </w:p>
              </w:tc>
              <w:tc>
                <w:tcPr>
                  <w:tcW w:w="558" w:type="pct"/>
                  <w:vMerge w:val="restart"/>
                  <w:vAlign w:val="center"/>
                </w:tcPr>
                <w:p w14:paraId="5A9F2E9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104.969789</w:t>
                  </w:r>
                </w:p>
              </w:tc>
              <w:tc>
                <w:tcPr>
                  <w:tcW w:w="491" w:type="pct"/>
                  <w:vMerge w:val="restart"/>
                  <w:vAlign w:val="center"/>
                </w:tcPr>
                <w:p w14:paraId="5ADB401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30.400188</w:t>
                  </w:r>
                </w:p>
              </w:tc>
              <w:tc>
                <w:tcPr>
                  <w:tcW w:w="474" w:type="pct"/>
                  <w:vMerge w:val="restart"/>
                  <w:vAlign w:val="center"/>
                </w:tcPr>
                <w:p w14:paraId="03DFD96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w:t>
                  </w:r>
                </w:p>
              </w:tc>
              <w:tc>
                <w:tcPr>
                  <w:tcW w:w="470" w:type="pct"/>
                  <w:vAlign w:val="center"/>
                </w:tcPr>
                <w:p w14:paraId="5CCC0AD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21346CD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21户农户</w:t>
                  </w:r>
                </w:p>
              </w:tc>
              <w:tc>
                <w:tcPr>
                  <w:tcW w:w="552" w:type="pct"/>
                  <w:vAlign w:val="center"/>
                </w:tcPr>
                <w:p w14:paraId="7064731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东北侧</w:t>
                  </w:r>
                </w:p>
              </w:tc>
              <w:tc>
                <w:tcPr>
                  <w:tcW w:w="582" w:type="pct"/>
                  <w:vAlign w:val="center"/>
                </w:tcPr>
                <w:p w14:paraId="4922C39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129-472</w:t>
                  </w:r>
                </w:p>
              </w:tc>
              <w:tc>
                <w:tcPr>
                  <w:tcW w:w="735" w:type="pct"/>
                  <w:vMerge w:val="restart"/>
                  <w:vAlign w:val="center"/>
                </w:tcPr>
                <w:p w14:paraId="054280E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《环境空气质量标准》（GB3095-2012）中二级标准</w:t>
                  </w:r>
                </w:p>
              </w:tc>
            </w:tr>
            <w:tr w14:paraId="27D476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6DC9348F">
                  <w:pPr>
                    <w:jc w:val="center"/>
                    <w:rPr>
                      <w:rFonts w:hint="default" w:ascii="Times New Roman" w:hAnsi="Times New Roman" w:eastAsia="宋体" w:cs="Times New Roman"/>
                      <w:color w:val="auto"/>
                    </w:rPr>
                  </w:pPr>
                </w:p>
              </w:tc>
              <w:tc>
                <w:tcPr>
                  <w:tcW w:w="558" w:type="pct"/>
                  <w:vMerge w:val="continue"/>
                  <w:vAlign w:val="center"/>
                </w:tcPr>
                <w:p w14:paraId="0DA425A3">
                  <w:pPr>
                    <w:jc w:val="center"/>
                    <w:rPr>
                      <w:rFonts w:hint="default" w:ascii="Times New Roman" w:hAnsi="Times New Roman" w:eastAsia="宋体" w:cs="Times New Roman"/>
                      <w:color w:val="auto"/>
                    </w:rPr>
                  </w:pPr>
                </w:p>
              </w:tc>
              <w:tc>
                <w:tcPr>
                  <w:tcW w:w="491" w:type="pct"/>
                  <w:vMerge w:val="continue"/>
                  <w:vAlign w:val="center"/>
                </w:tcPr>
                <w:p w14:paraId="55899E4B">
                  <w:pPr>
                    <w:jc w:val="center"/>
                    <w:rPr>
                      <w:rFonts w:hint="default" w:ascii="Times New Roman" w:hAnsi="Times New Roman" w:eastAsia="宋体" w:cs="Times New Roman"/>
                      <w:color w:val="auto"/>
                    </w:rPr>
                  </w:pPr>
                </w:p>
              </w:tc>
              <w:tc>
                <w:tcPr>
                  <w:tcW w:w="474" w:type="pct"/>
                  <w:vMerge w:val="continue"/>
                  <w:vAlign w:val="center"/>
                </w:tcPr>
                <w:p w14:paraId="0179DF1C">
                  <w:pPr>
                    <w:jc w:val="center"/>
                    <w:rPr>
                      <w:rFonts w:hint="default" w:ascii="Times New Roman" w:hAnsi="Times New Roman" w:eastAsia="宋体" w:cs="Times New Roman"/>
                      <w:color w:val="auto"/>
                    </w:rPr>
                  </w:pPr>
                </w:p>
              </w:tc>
              <w:tc>
                <w:tcPr>
                  <w:tcW w:w="470" w:type="pct"/>
                  <w:vAlign w:val="center"/>
                </w:tcPr>
                <w:p w14:paraId="50A43AA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67983CC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21户农户</w:t>
                  </w:r>
                </w:p>
              </w:tc>
              <w:tc>
                <w:tcPr>
                  <w:tcW w:w="552" w:type="pct"/>
                  <w:vAlign w:val="center"/>
                </w:tcPr>
                <w:p w14:paraId="47E4E09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1078DB2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178-456</w:t>
                  </w:r>
                </w:p>
              </w:tc>
              <w:tc>
                <w:tcPr>
                  <w:tcW w:w="735" w:type="pct"/>
                  <w:vMerge w:val="continue"/>
                  <w:vAlign w:val="center"/>
                </w:tcPr>
                <w:p w14:paraId="0B7F274E">
                  <w:pPr>
                    <w:jc w:val="center"/>
                    <w:rPr>
                      <w:rFonts w:hint="default" w:ascii="Times New Roman" w:hAnsi="Times New Roman" w:eastAsia="宋体" w:cs="Times New Roman"/>
                      <w:color w:val="auto"/>
                    </w:rPr>
                  </w:pPr>
                </w:p>
              </w:tc>
            </w:tr>
            <w:tr w14:paraId="2D0325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2FC768F2">
                  <w:pPr>
                    <w:jc w:val="center"/>
                    <w:rPr>
                      <w:rFonts w:hint="default" w:ascii="Times New Roman" w:hAnsi="Times New Roman" w:eastAsia="宋体" w:cs="Times New Roman"/>
                      <w:color w:val="auto"/>
                    </w:rPr>
                  </w:pPr>
                </w:p>
              </w:tc>
              <w:tc>
                <w:tcPr>
                  <w:tcW w:w="558" w:type="pct"/>
                  <w:vMerge w:val="restart"/>
                  <w:vAlign w:val="center"/>
                </w:tcPr>
                <w:p w14:paraId="0137B96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104.969231</w:t>
                  </w:r>
                </w:p>
              </w:tc>
              <w:tc>
                <w:tcPr>
                  <w:tcW w:w="491" w:type="pct"/>
                  <w:vMerge w:val="restart"/>
                  <w:vAlign w:val="center"/>
                </w:tcPr>
                <w:p w14:paraId="0D1DC39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30.390832</w:t>
                  </w:r>
                </w:p>
              </w:tc>
              <w:tc>
                <w:tcPr>
                  <w:tcW w:w="474" w:type="pct"/>
                  <w:vMerge w:val="restart"/>
                  <w:vAlign w:val="center"/>
                </w:tcPr>
                <w:p w14:paraId="4C9CC27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w:t>
                  </w:r>
                </w:p>
              </w:tc>
              <w:tc>
                <w:tcPr>
                  <w:tcW w:w="470" w:type="pct"/>
                  <w:vAlign w:val="center"/>
                </w:tcPr>
                <w:p w14:paraId="4355088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2476E46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13户农户</w:t>
                  </w:r>
                </w:p>
              </w:tc>
              <w:tc>
                <w:tcPr>
                  <w:tcW w:w="552" w:type="pct"/>
                  <w:vAlign w:val="center"/>
                </w:tcPr>
                <w:p w14:paraId="25BE2A0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北侧</w:t>
                  </w:r>
                </w:p>
              </w:tc>
              <w:tc>
                <w:tcPr>
                  <w:tcW w:w="582" w:type="pct"/>
                  <w:vAlign w:val="center"/>
                </w:tcPr>
                <w:p w14:paraId="16D3C47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127-478</w:t>
                  </w:r>
                </w:p>
              </w:tc>
              <w:tc>
                <w:tcPr>
                  <w:tcW w:w="735" w:type="pct"/>
                  <w:vMerge w:val="continue"/>
                  <w:vAlign w:val="center"/>
                </w:tcPr>
                <w:p w14:paraId="63B16231">
                  <w:pPr>
                    <w:jc w:val="center"/>
                    <w:rPr>
                      <w:rFonts w:hint="default" w:ascii="Times New Roman" w:hAnsi="Times New Roman" w:eastAsia="宋体" w:cs="Times New Roman"/>
                      <w:color w:val="auto"/>
                    </w:rPr>
                  </w:pPr>
                </w:p>
              </w:tc>
            </w:tr>
            <w:tr w14:paraId="596253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4A91DC73">
                  <w:pPr>
                    <w:jc w:val="center"/>
                    <w:rPr>
                      <w:rFonts w:hint="default" w:ascii="Times New Roman" w:hAnsi="Times New Roman" w:eastAsia="宋体" w:cs="Times New Roman"/>
                      <w:color w:val="auto"/>
                    </w:rPr>
                  </w:pPr>
                </w:p>
              </w:tc>
              <w:tc>
                <w:tcPr>
                  <w:tcW w:w="558" w:type="pct"/>
                  <w:vMerge w:val="continue"/>
                  <w:vAlign w:val="center"/>
                </w:tcPr>
                <w:p w14:paraId="5DC59AAF">
                  <w:pPr>
                    <w:jc w:val="center"/>
                    <w:rPr>
                      <w:rFonts w:hint="default" w:ascii="Times New Roman" w:hAnsi="Times New Roman" w:eastAsia="宋体" w:cs="Times New Roman"/>
                      <w:color w:val="auto"/>
                    </w:rPr>
                  </w:pPr>
                </w:p>
              </w:tc>
              <w:tc>
                <w:tcPr>
                  <w:tcW w:w="491" w:type="pct"/>
                  <w:vMerge w:val="continue"/>
                  <w:vAlign w:val="center"/>
                </w:tcPr>
                <w:p w14:paraId="26012F96">
                  <w:pPr>
                    <w:jc w:val="center"/>
                    <w:rPr>
                      <w:rFonts w:hint="default" w:ascii="Times New Roman" w:hAnsi="Times New Roman" w:eastAsia="宋体" w:cs="Times New Roman"/>
                      <w:color w:val="auto"/>
                    </w:rPr>
                  </w:pPr>
                </w:p>
              </w:tc>
              <w:tc>
                <w:tcPr>
                  <w:tcW w:w="474" w:type="pct"/>
                  <w:vMerge w:val="continue"/>
                  <w:vAlign w:val="center"/>
                </w:tcPr>
                <w:p w14:paraId="1CBE7CC0">
                  <w:pPr>
                    <w:jc w:val="center"/>
                    <w:rPr>
                      <w:rFonts w:hint="default" w:ascii="Times New Roman" w:hAnsi="Times New Roman" w:eastAsia="宋体" w:cs="Times New Roman"/>
                      <w:color w:val="auto"/>
                    </w:rPr>
                  </w:pPr>
                </w:p>
              </w:tc>
              <w:tc>
                <w:tcPr>
                  <w:tcW w:w="470" w:type="pct"/>
                  <w:vAlign w:val="center"/>
                </w:tcPr>
                <w:p w14:paraId="4F5E1C1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5D13EB6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21户农户</w:t>
                  </w:r>
                </w:p>
              </w:tc>
              <w:tc>
                <w:tcPr>
                  <w:tcW w:w="552" w:type="pct"/>
                  <w:vAlign w:val="center"/>
                </w:tcPr>
                <w:p w14:paraId="6843442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东南侧</w:t>
                  </w:r>
                </w:p>
              </w:tc>
              <w:tc>
                <w:tcPr>
                  <w:tcW w:w="582" w:type="pct"/>
                  <w:vAlign w:val="center"/>
                </w:tcPr>
                <w:p w14:paraId="0B496E3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105-487</w:t>
                  </w:r>
                </w:p>
              </w:tc>
              <w:tc>
                <w:tcPr>
                  <w:tcW w:w="735" w:type="pct"/>
                  <w:vMerge w:val="continue"/>
                  <w:vAlign w:val="center"/>
                </w:tcPr>
                <w:p w14:paraId="7E17F0B0">
                  <w:pPr>
                    <w:jc w:val="center"/>
                    <w:rPr>
                      <w:rFonts w:hint="default" w:ascii="Times New Roman" w:hAnsi="Times New Roman" w:eastAsia="宋体" w:cs="Times New Roman"/>
                      <w:color w:val="auto"/>
                    </w:rPr>
                  </w:pPr>
                </w:p>
              </w:tc>
            </w:tr>
            <w:tr w14:paraId="26BA8E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378B723B">
                  <w:pPr>
                    <w:jc w:val="center"/>
                    <w:rPr>
                      <w:rFonts w:hint="default" w:ascii="Times New Roman" w:hAnsi="Times New Roman" w:eastAsia="宋体" w:cs="Times New Roman"/>
                      <w:color w:val="auto"/>
                    </w:rPr>
                  </w:pPr>
                </w:p>
              </w:tc>
              <w:tc>
                <w:tcPr>
                  <w:tcW w:w="558" w:type="pct"/>
                  <w:vMerge w:val="continue"/>
                  <w:vAlign w:val="center"/>
                </w:tcPr>
                <w:p w14:paraId="09AF6F1D">
                  <w:pPr>
                    <w:jc w:val="center"/>
                    <w:rPr>
                      <w:rFonts w:hint="default" w:ascii="Times New Roman" w:hAnsi="Times New Roman" w:eastAsia="宋体" w:cs="Times New Roman"/>
                      <w:color w:val="auto"/>
                    </w:rPr>
                  </w:pPr>
                </w:p>
              </w:tc>
              <w:tc>
                <w:tcPr>
                  <w:tcW w:w="491" w:type="pct"/>
                  <w:vMerge w:val="continue"/>
                  <w:vAlign w:val="center"/>
                </w:tcPr>
                <w:p w14:paraId="77D15918">
                  <w:pPr>
                    <w:jc w:val="center"/>
                    <w:rPr>
                      <w:rFonts w:hint="default" w:ascii="Times New Roman" w:hAnsi="Times New Roman" w:eastAsia="宋体" w:cs="Times New Roman"/>
                      <w:color w:val="auto"/>
                    </w:rPr>
                  </w:pPr>
                </w:p>
              </w:tc>
              <w:tc>
                <w:tcPr>
                  <w:tcW w:w="474" w:type="pct"/>
                  <w:vMerge w:val="continue"/>
                  <w:vAlign w:val="center"/>
                </w:tcPr>
                <w:p w14:paraId="29715F40">
                  <w:pPr>
                    <w:jc w:val="center"/>
                    <w:rPr>
                      <w:rFonts w:hint="default" w:ascii="Times New Roman" w:hAnsi="Times New Roman" w:eastAsia="宋体" w:cs="Times New Roman"/>
                      <w:color w:val="auto"/>
                    </w:rPr>
                  </w:pPr>
                </w:p>
              </w:tc>
              <w:tc>
                <w:tcPr>
                  <w:tcW w:w="470" w:type="pct"/>
                  <w:vAlign w:val="center"/>
                </w:tcPr>
                <w:p w14:paraId="005D6F6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2E6C1B4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36户农户</w:t>
                  </w:r>
                </w:p>
              </w:tc>
              <w:tc>
                <w:tcPr>
                  <w:tcW w:w="552" w:type="pct"/>
                  <w:vAlign w:val="center"/>
                </w:tcPr>
                <w:p w14:paraId="22BEC6C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6D847F5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93-500</w:t>
                  </w:r>
                </w:p>
              </w:tc>
              <w:tc>
                <w:tcPr>
                  <w:tcW w:w="735" w:type="pct"/>
                  <w:vMerge w:val="continue"/>
                  <w:vAlign w:val="center"/>
                </w:tcPr>
                <w:p w14:paraId="708FE2C5">
                  <w:pPr>
                    <w:jc w:val="center"/>
                    <w:rPr>
                      <w:rFonts w:hint="default" w:ascii="Times New Roman" w:hAnsi="Times New Roman" w:eastAsia="宋体" w:cs="Times New Roman"/>
                      <w:color w:val="auto"/>
                    </w:rPr>
                  </w:pPr>
                </w:p>
              </w:tc>
            </w:tr>
            <w:tr w14:paraId="149D5D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4FD101A2">
                  <w:pPr>
                    <w:jc w:val="center"/>
                    <w:rPr>
                      <w:rFonts w:hint="default" w:ascii="Times New Roman" w:hAnsi="Times New Roman" w:eastAsia="宋体" w:cs="Times New Roman"/>
                      <w:color w:val="auto"/>
                    </w:rPr>
                  </w:pPr>
                </w:p>
              </w:tc>
              <w:tc>
                <w:tcPr>
                  <w:tcW w:w="558" w:type="pct"/>
                  <w:vMerge w:val="restart"/>
                  <w:vAlign w:val="center"/>
                </w:tcPr>
                <w:p w14:paraId="33B13A5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104.956742</w:t>
                  </w:r>
                </w:p>
              </w:tc>
              <w:tc>
                <w:tcPr>
                  <w:tcW w:w="491" w:type="pct"/>
                  <w:vMerge w:val="restart"/>
                  <w:vAlign w:val="center"/>
                </w:tcPr>
                <w:p w14:paraId="7E21ECF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30.399759</w:t>
                  </w:r>
                </w:p>
              </w:tc>
              <w:tc>
                <w:tcPr>
                  <w:tcW w:w="474" w:type="pct"/>
                  <w:vMerge w:val="restart"/>
                  <w:vAlign w:val="center"/>
                </w:tcPr>
                <w:p w14:paraId="7D9697C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3#、4#</w:t>
                  </w:r>
                </w:p>
              </w:tc>
              <w:tc>
                <w:tcPr>
                  <w:tcW w:w="470" w:type="pct"/>
                  <w:vAlign w:val="center"/>
                </w:tcPr>
                <w:p w14:paraId="4F5407D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12C6C60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21户农户</w:t>
                  </w:r>
                </w:p>
              </w:tc>
              <w:tc>
                <w:tcPr>
                  <w:tcW w:w="552" w:type="pct"/>
                  <w:vAlign w:val="center"/>
                </w:tcPr>
                <w:p w14:paraId="3B21E24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69D9E8D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136-468</w:t>
                  </w:r>
                </w:p>
              </w:tc>
              <w:tc>
                <w:tcPr>
                  <w:tcW w:w="735" w:type="pct"/>
                  <w:vMerge w:val="continue"/>
                  <w:vAlign w:val="center"/>
                </w:tcPr>
                <w:p w14:paraId="181ABC91">
                  <w:pPr>
                    <w:jc w:val="center"/>
                    <w:rPr>
                      <w:rFonts w:hint="default" w:ascii="Times New Roman" w:hAnsi="Times New Roman" w:eastAsia="宋体" w:cs="Times New Roman"/>
                      <w:color w:val="auto"/>
                    </w:rPr>
                  </w:pPr>
                </w:p>
              </w:tc>
            </w:tr>
            <w:tr w14:paraId="2A3A44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1C75ECE7">
                  <w:pPr>
                    <w:jc w:val="center"/>
                    <w:rPr>
                      <w:rFonts w:hint="default" w:ascii="Times New Roman" w:hAnsi="Times New Roman" w:eastAsia="宋体" w:cs="Times New Roman"/>
                      <w:color w:val="auto"/>
                    </w:rPr>
                  </w:pPr>
                </w:p>
              </w:tc>
              <w:tc>
                <w:tcPr>
                  <w:tcW w:w="558" w:type="pct"/>
                  <w:vMerge w:val="continue"/>
                  <w:vAlign w:val="center"/>
                </w:tcPr>
                <w:p w14:paraId="2C62EF38">
                  <w:pPr>
                    <w:jc w:val="center"/>
                    <w:rPr>
                      <w:rFonts w:hint="default" w:ascii="Times New Roman" w:hAnsi="Times New Roman" w:eastAsia="宋体" w:cs="Times New Roman"/>
                      <w:color w:val="auto"/>
                    </w:rPr>
                  </w:pPr>
                </w:p>
              </w:tc>
              <w:tc>
                <w:tcPr>
                  <w:tcW w:w="491" w:type="pct"/>
                  <w:vMerge w:val="continue"/>
                  <w:vAlign w:val="center"/>
                </w:tcPr>
                <w:p w14:paraId="138A587F">
                  <w:pPr>
                    <w:jc w:val="center"/>
                    <w:rPr>
                      <w:rFonts w:hint="default" w:ascii="Times New Roman" w:hAnsi="Times New Roman" w:eastAsia="宋体" w:cs="Times New Roman"/>
                      <w:color w:val="auto"/>
                    </w:rPr>
                  </w:pPr>
                </w:p>
              </w:tc>
              <w:tc>
                <w:tcPr>
                  <w:tcW w:w="474" w:type="pct"/>
                  <w:vMerge w:val="continue"/>
                  <w:vAlign w:val="center"/>
                </w:tcPr>
                <w:p w14:paraId="30976B2A">
                  <w:pPr>
                    <w:jc w:val="center"/>
                    <w:rPr>
                      <w:rFonts w:hint="default" w:ascii="Times New Roman" w:hAnsi="Times New Roman" w:eastAsia="宋体" w:cs="Times New Roman"/>
                      <w:color w:val="auto"/>
                    </w:rPr>
                  </w:pPr>
                </w:p>
              </w:tc>
              <w:tc>
                <w:tcPr>
                  <w:tcW w:w="470" w:type="pct"/>
                  <w:vAlign w:val="center"/>
                </w:tcPr>
                <w:p w14:paraId="42FC9FC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43002E6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21户农户</w:t>
                  </w:r>
                </w:p>
              </w:tc>
              <w:tc>
                <w:tcPr>
                  <w:tcW w:w="552" w:type="pct"/>
                  <w:vAlign w:val="center"/>
                </w:tcPr>
                <w:p w14:paraId="18214A4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西南侧</w:t>
                  </w:r>
                </w:p>
              </w:tc>
              <w:tc>
                <w:tcPr>
                  <w:tcW w:w="582" w:type="pct"/>
                  <w:vAlign w:val="center"/>
                </w:tcPr>
                <w:p w14:paraId="1D31A2C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110-479</w:t>
                  </w:r>
                </w:p>
              </w:tc>
              <w:tc>
                <w:tcPr>
                  <w:tcW w:w="735" w:type="pct"/>
                  <w:vMerge w:val="continue"/>
                  <w:vAlign w:val="center"/>
                </w:tcPr>
                <w:p w14:paraId="2CE7D4DD">
                  <w:pPr>
                    <w:jc w:val="center"/>
                    <w:rPr>
                      <w:rFonts w:hint="default" w:ascii="Times New Roman" w:hAnsi="Times New Roman" w:eastAsia="宋体" w:cs="Times New Roman"/>
                      <w:color w:val="auto"/>
                    </w:rPr>
                  </w:pPr>
                </w:p>
              </w:tc>
            </w:tr>
            <w:tr w14:paraId="6F6CAE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60CF067A">
                  <w:pPr>
                    <w:jc w:val="center"/>
                    <w:rPr>
                      <w:rFonts w:hint="default" w:ascii="Times New Roman" w:hAnsi="Times New Roman" w:eastAsia="宋体" w:cs="Times New Roman"/>
                      <w:color w:val="auto"/>
                    </w:rPr>
                  </w:pPr>
                </w:p>
              </w:tc>
              <w:tc>
                <w:tcPr>
                  <w:tcW w:w="558" w:type="pct"/>
                  <w:vMerge w:val="restart"/>
                  <w:vAlign w:val="center"/>
                </w:tcPr>
                <w:p w14:paraId="494BBED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104.953180</w:t>
                  </w:r>
                </w:p>
              </w:tc>
              <w:tc>
                <w:tcPr>
                  <w:tcW w:w="491" w:type="pct"/>
                  <w:vMerge w:val="restart"/>
                  <w:vAlign w:val="center"/>
                </w:tcPr>
                <w:p w14:paraId="0A3E504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30.402033</w:t>
                  </w:r>
                </w:p>
              </w:tc>
              <w:tc>
                <w:tcPr>
                  <w:tcW w:w="474" w:type="pct"/>
                  <w:vMerge w:val="restart"/>
                  <w:vAlign w:val="center"/>
                </w:tcPr>
                <w:p w14:paraId="2FCBF25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5#、6#、7#</w:t>
                  </w:r>
                </w:p>
              </w:tc>
              <w:tc>
                <w:tcPr>
                  <w:tcW w:w="470" w:type="pct"/>
                  <w:vAlign w:val="center"/>
                </w:tcPr>
                <w:p w14:paraId="3AFDEC0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698CD52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17户农户</w:t>
                  </w:r>
                </w:p>
              </w:tc>
              <w:tc>
                <w:tcPr>
                  <w:tcW w:w="552" w:type="pct"/>
                  <w:vAlign w:val="center"/>
                </w:tcPr>
                <w:p w14:paraId="78A0109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261C214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157-397</w:t>
                  </w:r>
                </w:p>
              </w:tc>
              <w:tc>
                <w:tcPr>
                  <w:tcW w:w="735" w:type="pct"/>
                  <w:vMerge w:val="continue"/>
                  <w:vAlign w:val="center"/>
                </w:tcPr>
                <w:p w14:paraId="52FE8B78">
                  <w:pPr>
                    <w:jc w:val="center"/>
                    <w:rPr>
                      <w:rFonts w:hint="default" w:ascii="Times New Roman" w:hAnsi="Times New Roman" w:eastAsia="宋体" w:cs="Times New Roman"/>
                      <w:color w:val="auto"/>
                    </w:rPr>
                  </w:pPr>
                </w:p>
              </w:tc>
            </w:tr>
            <w:tr w14:paraId="051233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6CF883E6">
                  <w:pPr>
                    <w:jc w:val="center"/>
                    <w:rPr>
                      <w:rFonts w:hint="default" w:ascii="Times New Roman" w:hAnsi="Times New Roman" w:eastAsia="宋体" w:cs="Times New Roman"/>
                      <w:color w:val="auto"/>
                    </w:rPr>
                  </w:pPr>
                </w:p>
              </w:tc>
              <w:tc>
                <w:tcPr>
                  <w:tcW w:w="558" w:type="pct"/>
                  <w:vMerge w:val="continue"/>
                  <w:vAlign w:val="center"/>
                </w:tcPr>
                <w:p w14:paraId="16747BBF">
                  <w:pPr>
                    <w:jc w:val="center"/>
                    <w:rPr>
                      <w:rFonts w:hint="default" w:ascii="Times New Roman" w:hAnsi="Times New Roman" w:eastAsia="宋体" w:cs="Times New Roman"/>
                      <w:color w:val="auto"/>
                    </w:rPr>
                  </w:pPr>
                </w:p>
              </w:tc>
              <w:tc>
                <w:tcPr>
                  <w:tcW w:w="491" w:type="pct"/>
                  <w:vMerge w:val="continue"/>
                  <w:vAlign w:val="center"/>
                </w:tcPr>
                <w:p w14:paraId="4C3AD4D8">
                  <w:pPr>
                    <w:jc w:val="center"/>
                    <w:rPr>
                      <w:rFonts w:hint="default" w:ascii="Times New Roman" w:hAnsi="Times New Roman" w:eastAsia="宋体" w:cs="Times New Roman"/>
                      <w:color w:val="auto"/>
                    </w:rPr>
                  </w:pPr>
                </w:p>
              </w:tc>
              <w:tc>
                <w:tcPr>
                  <w:tcW w:w="474" w:type="pct"/>
                  <w:vMerge w:val="continue"/>
                  <w:vAlign w:val="center"/>
                </w:tcPr>
                <w:p w14:paraId="3AA220EA">
                  <w:pPr>
                    <w:jc w:val="center"/>
                    <w:rPr>
                      <w:rFonts w:hint="default" w:ascii="Times New Roman" w:hAnsi="Times New Roman" w:eastAsia="宋体" w:cs="Times New Roman"/>
                      <w:color w:val="auto"/>
                    </w:rPr>
                  </w:pPr>
                </w:p>
              </w:tc>
              <w:tc>
                <w:tcPr>
                  <w:tcW w:w="470" w:type="pct"/>
                  <w:vAlign w:val="center"/>
                </w:tcPr>
                <w:p w14:paraId="46D27AD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5529645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15户农户</w:t>
                  </w:r>
                </w:p>
              </w:tc>
              <w:tc>
                <w:tcPr>
                  <w:tcW w:w="552" w:type="pct"/>
                  <w:vAlign w:val="center"/>
                </w:tcPr>
                <w:p w14:paraId="412B2D7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东南侧</w:t>
                  </w:r>
                </w:p>
              </w:tc>
              <w:tc>
                <w:tcPr>
                  <w:tcW w:w="582" w:type="pct"/>
                  <w:vAlign w:val="center"/>
                </w:tcPr>
                <w:p w14:paraId="7400502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154-487</w:t>
                  </w:r>
                </w:p>
              </w:tc>
              <w:tc>
                <w:tcPr>
                  <w:tcW w:w="735" w:type="pct"/>
                  <w:vMerge w:val="continue"/>
                  <w:vAlign w:val="center"/>
                </w:tcPr>
                <w:p w14:paraId="26581F14">
                  <w:pPr>
                    <w:jc w:val="center"/>
                    <w:rPr>
                      <w:rFonts w:hint="default" w:ascii="Times New Roman" w:hAnsi="Times New Roman" w:eastAsia="宋体" w:cs="Times New Roman"/>
                      <w:color w:val="auto"/>
                    </w:rPr>
                  </w:pPr>
                </w:p>
              </w:tc>
            </w:tr>
            <w:tr w14:paraId="008F7D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78D070B2">
                  <w:pPr>
                    <w:jc w:val="center"/>
                    <w:rPr>
                      <w:rFonts w:hint="default" w:ascii="Times New Roman" w:hAnsi="Times New Roman" w:eastAsia="宋体" w:cs="Times New Roman"/>
                      <w:color w:val="auto"/>
                    </w:rPr>
                  </w:pPr>
                </w:p>
              </w:tc>
              <w:tc>
                <w:tcPr>
                  <w:tcW w:w="558" w:type="pct"/>
                  <w:vMerge w:val="restart"/>
                  <w:vAlign w:val="center"/>
                </w:tcPr>
                <w:p w14:paraId="6435953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104.976741</w:t>
                  </w:r>
                </w:p>
              </w:tc>
              <w:tc>
                <w:tcPr>
                  <w:tcW w:w="491" w:type="pct"/>
                  <w:vMerge w:val="restart"/>
                  <w:vAlign w:val="center"/>
                </w:tcPr>
                <w:p w14:paraId="7357E26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30.405810</w:t>
                  </w:r>
                </w:p>
              </w:tc>
              <w:tc>
                <w:tcPr>
                  <w:tcW w:w="474" w:type="pct"/>
                  <w:vMerge w:val="restart"/>
                  <w:vAlign w:val="center"/>
                </w:tcPr>
                <w:p w14:paraId="547AF46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8#</w:t>
                  </w:r>
                </w:p>
              </w:tc>
              <w:tc>
                <w:tcPr>
                  <w:tcW w:w="470" w:type="pct"/>
                  <w:vAlign w:val="center"/>
                </w:tcPr>
                <w:p w14:paraId="6E15F9F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51530A6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17户农户</w:t>
                  </w:r>
                </w:p>
              </w:tc>
              <w:tc>
                <w:tcPr>
                  <w:tcW w:w="552" w:type="pct"/>
                  <w:vAlign w:val="center"/>
                </w:tcPr>
                <w:p w14:paraId="1FC80BD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西北侧</w:t>
                  </w:r>
                </w:p>
              </w:tc>
              <w:tc>
                <w:tcPr>
                  <w:tcW w:w="582" w:type="pct"/>
                  <w:vAlign w:val="center"/>
                </w:tcPr>
                <w:p w14:paraId="36A58BB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126-386</w:t>
                  </w:r>
                </w:p>
              </w:tc>
              <w:tc>
                <w:tcPr>
                  <w:tcW w:w="735" w:type="pct"/>
                  <w:vMerge w:val="continue"/>
                  <w:vAlign w:val="center"/>
                </w:tcPr>
                <w:p w14:paraId="4E77723E">
                  <w:pPr>
                    <w:jc w:val="center"/>
                    <w:rPr>
                      <w:rFonts w:hint="default" w:ascii="Times New Roman" w:hAnsi="Times New Roman" w:eastAsia="宋体" w:cs="Times New Roman"/>
                      <w:color w:val="auto"/>
                    </w:rPr>
                  </w:pPr>
                </w:p>
              </w:tc>
            </w:tr>
            <w:tr w14:paraId="5BD944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235443E6">
                  <w:pPr>
                    <w:jc w:val="center"/>
                    <w:rPr>
                      <w:rFonts w:hint="default" w:ascii="Times New Roman" w:hAnsi="Times New Roman" w:eastAsia="宋体" w:cs="Times New Roman"/>
                      <w:color w:val="auto"/>
                    </w:rPr>
                  </w:pPr>
                </w:p>
              </w:tc>
              <w:tc>
                <w:tcPr>
                  <w:tcW w:w="558" w:type="pct"/>
                  <w:vMerge w:val="continue"/>
                  <w:vAlign w:val="center"/>
                </w:tcPr>
                <w:p w14:paraId="027981AE">
                  <w:pPr>
                    <w:jc w:val="center"/>
                    <w:rPr>
                      <w:rFonts w:hint="default" w:ascii="Times New Roman" w:hAnsi="Times New Roman" w:eastAsia="宋体" w:cs="Times New Roman"/>
                      <w:color w:val="auto"/>
                    </w:rPr>
                  </w:pPr>
                </w:p>
              </w:tc>
              <w:tc>
                <w:tcPr>
                  <w:tcW w:w="491" w:type="pct"/>
                  <w:vMerge w:val="continue"/>
                  <w:vAlign w:val="center"/>
                </w:tcPr>
                <w:p w14:paraId="20D3531A">
                  <w:pPr>
                    <w:jc w:val="center"/>
                    <w:rPr>
                      <w:rFonts w:hint="default" w:ascii="Times New Roman" w:hAnsi="Times New Roman" w:eastAsia="宋体" w:cs="Times New Roman"/>
                      <w:color w:val="auto"/>
                    </w:rPr>
                  </w:pPr>
                </w:p>
              </w:tc>
              <w:tc>
                <w:tcPr>
                  <w:tcW w:w="474" w:type="pct"/>
                  <w:vMerge w:val="continue"/>
                  <w:vAlign w:val="center"/>
                </w:tcPr>
                <w:p w14:paraId="57947E4D">
                  <w:pPr>
                    <w:jc w:val="center"/>
                    <w:rPr>
                      <w:rFonts w:hint="default" w:ascii="Times New Roman" w:hAnsi="Times New Roman" w:eastAsia="宋体" w:cs="Times New Roman"/>
                      <w:color w:val="auto"/>
                    </w:rPr>
                  </w:pPr>
                </w:p>
              </w:tc>
              <w:tc>
                <w:tcPr>
                  <w:tcW w:w="470" w:type="pct"/>
                  <w:vAlign w:val="center"/>
                </w:tcPr>
                <w:p w14:paraId="5DD98D6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7D7A87C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15户农户</w:t>
                  </w:r>
                </w:p>
              </w:tc>
              <w:tc>
                <w:tcPr>
                  <w:tcW w:w="552" w:type="pct"/>
                  <w:vAlign w:val="center"/>
                </w:tcPr>
                <w:p w14:paraId="7C3FC88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西南侧</w:t>
                  </w:r>
                </w:p>
              </w:tc>
              <w:tc>
                <w:tcPr>
                  <w:tcW w:w="582" w:type="pct"/>
                  <w:vAlign w:val="center"/>
                </w:tcPr>
                <w:p w14:paraId="605091D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147-479</w:t>
                  </w:r>
                </w:p>
              </w:tc>
              <w:tc>
                <w:tcPr>
                  <w:tcW w:w="735" w:type="pct"/>
                  <w:vMerge w:val="continue"/>
                  <w:vAlign w:val="center"/>
                </w:tcPr>
                <w:p w14:paraId="23AD6D8D">
                  <w:pPr>
                    <w:jc w:val="center"/>
                    <w:rPr>
                      <w:rFonts w:hint="default" w:ascii="Times New Roman" w:hAnsi="Times New Roman" w:eastAsia="宋体" w:cs="Times New Roman"/>
                      <w:color w:val="auto"/>
                    </w:rPr>
                  </w:pPr>
                </w:p>
              </w:tc>
            </w:tr>
            <w:tr w14:paraId="3BA5CA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314C39C3">
                  <w:pPr>
                    <w:jc w:val="center"/>
                    <w:rPr>
                      <w:rFonts w:hint="default" w:ascii="Times New Roman" w:hAnsi="Times New Roman" w:eastAsia="宋体" w:cs="Times New Roman"/>
                      <w:color w:val="auto"/>
                    </w:rPr>
                  </w:pPr>
                </w:p>
              </w:tc>
              <w:tc>
                <w:tcPr>
                  <w:tcW w:w="558" w:type="pct"/>
                  <w:vAlign w:val="center"/>
                </w:tcPr>
                <w:p w14:paraId="21CC56D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104.975196</w:t>
                  </w:r>
                </w:p>
              </w:tc>
              <w:tc>
                <w:tcPr>
                  <w:tcW w:w="491" w:type="pct"/>
                  <w:vAlign w:val="center"/>
                </w:tcPr>
                <w:p w14:paraId="62DFD4E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30.406453</w:t>
                  </w:r>
                </w:p>
              </w:tc>
              <w:tc>
                <w:tcPr>
                  <w:tcW w:w="474" w:type="pct"/>
                  <w:vAlign w:val="center"/>
                </w:tcPr>
                <w:p w14:paraId="6C5A6CD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9#</w:t>
                  </w:r>
                </w:p>
              </w:tc>
              <w:tc>
                <w:tcPr>
                  <w:tcW w:w="470" w:type="pct"/>
                  <w:vAlign w:val="center"/>
                </w:tcPr>
                <w:p w14:paraId="7D26362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46D1D83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36户农户</w:t>
                  </w:r>
                </w:p>
              </w:tc>
              <w:tc>
                <w:tcPr>
                  <w:tcW w:w="552" w:type="pct"/>
                  <w:vAlign w:val="center"/>
                </w:tcPr>
                <w:p w14:paraId="44F017E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南侧</w:t>
                  </w:r>
                </w:p>
              </w:tc>
              <w:tc>
                <w:tcPr>
                  <w:tcW w:w="582" w:type="pct"/>
                  <w:vAlign w:val="center"/>
                </w:tcPr>
                <w:p w14:paraId="4A87BB8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95-500</w:t>
                  </w:r>
                </w:p>
              </w:tc>
              <w:tc>
                <w:tcPr>
                  <w:tcW w:w="735" w:type="pct"/>
                  <w:vMerge w:val="continue"/>
                  <w:vAlign w:val="center"/>
                </w:tcPr>
                <w:p w14:paraId="28888162">
                  <w:pPr>
                    <w:jc w:val="center"/>
                    <w:rPr>
                      <w:rFonts w:hint="default" w:ascii="Times New Roman" w:hAnsi="Times New Roman" w:eastAsia="宋体" w:cs="Times New Roman"/>
                      <w:color w:val="auto"/>
                    </w:rPr>
                  </w:pPr>
                </w:p>
              </w:tc>
            </w:tr>
            <w:tr w14:paraId="6C4B72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15748581">
                  <w:pPr>
                    <w:jc w:val="center"/>
                    <w:rPr>
                      <w:rFonts w:hint="default" w:ascii="Times New Roman" w:hAnsi="Times New Roman" w:eastAsia="宋体" w:cs="Times New Roman"/>
                      <w:color w:val="auto"/>
                    </w:rPr>
                  </w:pPr>
                </w:p>
              </w:tc>
              <w:tc>
                <w:tcPr>
                  <w:tcW w:w="558" w:type="pct"/>
                  <w:vMerge w:val="restart"/>
                  <w:vAlign w:val="center"/>
                </w:tcPr>
                <w:p w14:paraId="44E9C18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104.975496</w:t>
                  </w:r>
                </w:p>
              </w:tc>
              <w:tc>
                <w:tcPr>
                  <w:tcW w:w="491" w:type="pct"/>
                  <w:vMerge w:val="restart"/>
                  <w:vAlign w:val="center"/>
                </w:tcPr>
                <w:p w14:paraId="0513153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30.406668</w:t>
                  </w:r>
                </w:p>
              </w:tc>
              <w:tc>
                <w:tcPr>
                  <w:tcW w:w="474" w:type="pct"/>
                  <w:vMerge w:val="restart"/>
                  <w:vAlign w:val="center"/>
                </w:tcPr>
                <w:p w14:paraId="6C19BD4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w:t>
                  </w:r>
                </w:p>
              </w:tc>
              <w:tc>
                <w:tcPr>
                  <w:tcW w:w="470" w:type="pct"/>
                  <w:vAlign w:val="center"/>
                </w:tcPr>
                <w:p w14:paraId="08669C0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72A2392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23户农户</w:t>
                  </w:r>
                </w:p>
              </w:tc>
              <w:tc>
                <w:tcPr>
                  <w:tcW w:w="552" w:type="pct"/>
                  <w:vAlign w:val="center"/>
                </w:tcPr>
                <w:p w14:paraId="7E66C20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7B43CA1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215-458</w:t>
                  </w:r>
                </w:p>
              </w:tc>
              <w:tc>
                <w:tcPr>
                  <w:tcW w:w="735" w:type="pct"/>
                  <w:vMerge w:val="continue"/>
                  <w:vAlign w:val="center"/>
                </w:tcPr>
                <w:p w14:paraId="6C67A3A6">
                  <w:pPr>
                    <w:jc w:val="center"/>
                    <w:rPr>
                      <w:rFonts w:hint="default" w:ascii="Times New Roman" w:hAnsi="Times New Roman" w:eastAsia="宋体" w:cs="Times New Roman"/>
                      <w:color w:val="auto"/>
                    </w:rPr>
                  </w:pPr>
                </w:p>
              </w:tc>
            </w:tr>
            <w:tr w14:paraId="7D90E6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440DFB85">
                  <w:pPr>
                    <w:jc w:val="center"/>
                    <w:rPr>
                      <w:rFonts w:hint="default" w:ascii="Times New Roman" w:hAnsi="Times New Roman" w:eastAsia="宋体" w:cs="Times New Roman"/>
                      <w:color w:val="auto"/>
                    </w:rPr>
                  </w:pPr>
                </w:p>
              </w:tc>
              <w:tc>
                <w:tcPr>
                  <w:tcW w:w="558" w:type="pct"/>
                  <w:vMerge w:val="continue"/>
                  <w:vAlign w:val="center"/>
                </w:tcPr>
                <w:p w14:paraId="23860D8A">
                  <w:pPr>
                    <w:jc w:val="center"/>
                    <w:rPr>
                      <w:rFonts w:hint="default" w:ascii="Times New Roman" w:hAnsi="Times New Roman" w:eastAsia="宋体" w:cs="Times New Roman"/>
                      <w:color w:val="auto"/>
                    </w:rPr>
                  </w:pPr>
                </w:p>
              </w:tc>
              <w:tc>
                <w:tcPr>
                  <w:tcW w:w="491" w:type="pct"/>
                  <w:vMerge w:val="continue"/>
                  <w:vAlign w:val="center"/>
                </w:tcPr>
                <w:p w14:paraId="5467A704">
                  <w:pPr>
                    <w:jc w:val="center"/>
                    <w:rPr>
                      <w:rFonts w:hint="default" w:ascii="Times New Roman" w:hAnsi="Times New Roman" w:eastAsia="宋体" w:cs="Times New Roman"/>
                      <w:color w:val="auto"/>
                    </w:rPr>
                  </w:pPr>
                </w:p>
              </w:tc>
              <w:tc>
                <w:tcPr>
                  <w:tcW w:w="474" w:type="pct"/>
                  <w:vMerge w:val="continue"/>
                  <w:vAlign w:val="center"/>
                </w:tcPr>
                <w:p w14:paraId="236B5CBD">
                  <w:pPr>
                    <w:jc w:val="center"/>
                    <w:rPr>
                      <w:rFonts w:hint="default" w:ascii="Times New Roman" w:hAnsi="Times New Roman" w:eastAsia="宋体" w:cs="Times New Roman"/>
                      <w:color w:val="auto"/>
                    </w:rPr>
                  </w:pPr>
                </w:p>
              </w:tc>
              <w:tc>
                <w:tcPr>
                  <w:tcW w:w="470" w:type="pct"/>
                  <w:vAlign w:val="center"/>
                </w:tcPr>
                <w:p w14:paraId="64F8A54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03DC7D2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28户农户</w:t>
                  </w:r>
                </w:p>
              </w:tc>
              <w:tc>
                <w:tcPr>
                  <w:tcW w:w="552" w:type="pct"/>
                  <w:vAlign w:val="center"/>
                </w:tcPr>
                <w:p w14:paraId="0E5D7E1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东南侧</w:t>
                  </w:r>
                </w:p>
              </w:tc>
              <w:tc>
                <w:tcPr>
                  <w:tcW w:w="582" w:type="pct"/>
                  <w:vAlign w:val="center"/>
                </w:tcPr>
                <w:p w14:paraId="125ABFB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153+473</w:t>
                  </w:r>
                </w:p>
              </w:tc>
              <w:tc>
                <w:tcPr>
                  <w:tcW w:w="735" w:type="pct"/>
                  <w:vMerge w:val="continue"/>
                  <w:vAlign w:val="center"/>
                </w:tcPr>
                <w:p w14:paraId="7B473655">
                  <w:pPr>
                    <w:jc w:val="center"/>
                    <w:rPr>
                      <w:rFonts w:hint="default" w:ascii="Times New Roman" w:hAnsi="Times New Roman" w:eastAsia="宋体" w:cs="Times New Roman"/>
                      <w:color w:val="auto"/>
                    </w:rPr>
                  </w:pPr>
                </w:p>
              </w:tc>
            </w:tr>
            <w:tr w14:paraId="439A20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0541A0A0">
                  <w:pPr>
                    <w:jc w:val="center"/>
                    <w:rPr>
                      <w:rFonts w:hint="default" w:ascii="Times New Roman" w:hAnsi="Times New Roman" w:eastAsia="宋体" w:cs="Times New Roman"/>
                      <w:color w:val="auto"/>
                    </w:rPr>
                  </w:pPr>
                </w:p>
              </w:tc>
              <w:tc>
                <w:tcPr>
                  <w:tcW w:w="558" w:type="pct"/>
                  <w:vMerge w:val="continue"/>
                  <w:vAlign w:val="center"/>
                </w:tcPr>
                <w:p w14:paraId="1A99B89D">
                  <w:pPr>
                    <w:jc w:val="center"/>
                    <w:rPr>
                      <w:rFonts w:hint="default" w:ascii="Times New Roman" w:hAnsi="Times New Roman" w:eastAsia="宋体" w:cs="Times New Roman"/>
                      <w:color w:val="auto"/>
                    </w:rPr>
                  </w:pPr>
                </w:p>
              </w:tc>
              <w:tc>
                <w:tcPr>
                  <w:tcW w:w="491" w:type="pct"/>
                  <w:vMerge w:val="continue"/>
                  <w:vAlign w:val="center"/>
                </w:tcPr>
                <w:p w14:paraId="29F5C1B9">
                  <w:pPr>
                    <w:jc w:val="center"/>
                    <w:rPr>
                      <w:rFonts w:hint="default" w:ascii="Times New Roman" w:hAnsi="Times New Roman" w:eastAsia="宋体" w:cs="Times New Roman"/>
                      <w:color w:val="auto"/>
                    </w:rPr>
                  </w:pPr>
                </w:p>
              </w:tc>
              <w:tc>
                <w:tcPr>
                  <w:tcW w:w="474" w:type="pct"/>
                  <w:vMerge w:val="continue"/>
                  <w:vAlign w:val="center"/>
                </w:tcPr>
                <w:p w14:paraId="6FC04AE1">
                  <w:pPr>
                    <w:jc w:val="center"/>
                    <w:rPr>
                      <w:rFonts w:hint="default" w:ascii="Times New Roman" w:hAnsi="Times New Roman" w:eastAsia="宋体" w:cs="Times New Roman"/>
                      <w:color w:val="auto"/>
                    </w:rPr>
                  </w:pPr>
                </w:p>
              </w:tc>
              <w:tc>
                <w:tcPr>
                  <w:tcW w:w="470" w:type="pct"/>
                  <w:vAlign w:val="center"/>
                </w:tcPr>
                <w:p w14:paraId="05B2398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69FA7F9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13户农户</w:t>
                  </w:r>
                </w:p>
              </w:tc>
              <w:tc>
                <w:tcPr>
                  <w:tcW w:w="552" w:type="pct"/>
                  <w:vAlign w:val="center"/>
                </w:tcPr>
                <w:p w14:paraId="6E2C140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西南侧</w:t>
                  </w:r>
                </w:p>
              </w:tc>
              <w:tc>
                <w:tcPr>
                  <w:tcW w:w="582" w:type="pct"/>
                  <w:vAlign w:val="center"/>
                </w:tcPr>
                <w:p w14:paraId="21EEF9E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38-453</w:t>
                  </w:r>
                </w:p>
              </w:tc>
              <w:tc>
                <w:tcPr>
                  <w:tcW w:w="735" w:type="pct"/>
                  <w:vMerge w:val="continue"/>
                  <w:vAlign w:val="center"/>
                </w:tcPr>
                <w:p w14:paraId="446EAA99">
                  <w:pPr>
                    <w:jc w:val="center"/>
                    <w:rPr>
                      <w:rFonts w:hint="default" w:ascii="Times New Roman" w:hAnsi="Times New Roman" w:eastAsia="宋体" w:cs="Times New Roman"/>
                      <w:color w:val="auto"/>
                    </w:rPr>
                  </w:pPr>
                </w:p>
              </w:tc>
            </w:tr>
            <w:tr w14:paraId="21E1F2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1A5CF346">
                  <w:pPr>
                    <w:jc w:val="center"/>
                    <w:rPr>
                      <w:rFonts w:hint="default" w:ascii="Times New Roman" w:hAnsi="Times New Roman" w:eastAsia="宋体" w:cs="Times New Roman"/>
                      <w:color w:val="auto"/>
                    </w:rPr>
                  </w:pPr>
                </w:p>
              </w:tc>
              <w:tc>
                <w:tcPr>
                  <w:tcW w:w="558" w:type="pct"/>
                  <w:vMerge w:val="restart"/>
                  <w:vAlign w:val="center"/>
                </w:tcPr>
                <w:p w14:paraId="633F7C6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104.963394</w:t>
                  </w:r>
                </w:p>
              </w:tc>
              <w:tc>
                <w:tcPr>
                  <w:tcW w:w="491" w:type="pct"/>
                  <w:vMerge w:val="restart"/>
                  <w:vAlign w:val="center"/>
                </w:tcPr>
                <w:p w14:paraId="74E4E32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30.412161</w:t>
                  </w:r>
                </w:p>
              </w:tc>
              <w:tc>
                <w:tcPr>
                  <w:tcW w:w="474" w:type="pct"/>
                  <w:vMerge w:val="restart"/>
                  <w:vAlign w:val="center"/>
                </w:tcPr>
                <w:p w14:paraId="6983FB7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11#</w:t>
                  </w:r>
                </w:p>
              </w:tc>
              <w:tc>
                <w:tcPr>
                  <w:tcW w:w="470" w:type="pct"/>
                  <w:vAlign w:val="center"/>
                </w:tcPr>
                <w:p w14:paraId="3649175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0BE8F53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22户农户</w:t>
                  </w:r>
                </w:p>
              </w:tc>
              <w:tc>
                <w:tcPr>
                  <w:tcW w:w="552" w:type="pct"/>
                  <w:vAlign w:val="center"/>
                </w:tcPr>
                <w:p w14:paraId="6847B02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北侧</w:t>
                  </w:r>
                </w:p>
              </w:tc>
              <w:tc>
                <w:tcPr>
                  <w:tcW w:w="582" w:type="pct"/>
                  <w:vAlign w:val="center"/>
                </w:tcPr>
                <w:p w14:paraId="36F07D5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124-500</w:t>
                  </w:r>
                </w:p>
              </w:tc>
              <w:tc>
                <w:tcPr>
                  <w:tcW w:w="735" w:type="pct"/>
                  <w:vMerge w:val="continue"/>
                  <w:vAlign w:val="center"/>
                </w:tcPr>
                <w:p w14:paraId="7B96AFA9">
                  <w:pPr>
                    <w:jc w:val="center"/>
                    <w:rPr>
                      <w:rFonts w:hint="default" w:ascii="Times New Roman" w:hAnsi="Times New Roman" w:eastAsia="宋体" w:cs="Times New Roman"/>
                      <w:color w:val="auto"/>
                    </w:rPr>
                  </w:pPr>
                </w:p>
              </w:tc>
            </w:tr>
            <w:tr w14:paraId="6590A7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25EB0E41">
                  <w:pPr>
                    <w:jc w:val="center"/>
                    <w:rPr>
                      <w:rFonts w:hint="default" w:ascii="Times New Roman" w:hAnsi="Times New Roman" w:eastAsia="宋体" w:cs="Times New Roman"/>
                      <w:color w:val="auto"/>
                    </w:rPr>
                  </w:pPr>
                </w:p>
              </w:tc>
              <w:tc>
                <w:tcPr>
                  <w:tcW w:w="558" w:type="pct"/>
                  <w:vMerge w:val="continue"/>
                  <w:vAlign w:val="center"/>
                </w:tcPr>
                <w:p w14:paraId="37517184">
                  <w:pPr>
                    <w:jc w:val="center"/>
                    <w:rPr>
                      <w:rFonts w:hint="default" w:ascii="Times New Roman" w:hAnsi="Times New Roman" w:eastAsia="宋体" w:cs="Times New Roman"/>
                      <w:color w:val="auto"/>
                    </w:rPr>
                  </w:pPr>
                </w:p>
              </w:tc>
              <w:tc>
                <w:tcPr>
                  <w:tcW w:w="491" w:type="pct"/>
                  <w:vMerge w:val="continue"/>
                  <w:vAlign w:val="center"/>
                </w:tcPr>
                <w:p w14:paraId="50639FD3">
                  <w:pPr>
                    <w:jc w:val="center"/>
                    <w:rPr>
                      <w:rFonts w:hint="default" w:ascii="Times New Roman" w:hAnsi="Times New Roman" w:eastAsia="宋体" w:cs="Times New Roman"/>
                      <w:color w:val="auto"/>
                    </w:rPr>
                  </w:pPr>
                </w:p>
              </w:tc>
              <w:tc>
                <w:tcPr>
                  <w:tcW w:w="474" w:type="pct"/>
                  <w:vMerge w:val="continue"/>
                  <w:vAlign w:val="center"/>
                </w:tcPr>
                <w:p w14:paraId="57AF54C9">
                  <w:pPr>
                    <w:jc w:val="center"/>
                    <w:rPr>
                      <w:rFonts w:hint="default" w:ascii="Times New Roman" w:hAnsi="Times New Roman" w:eastAsia="宋体" w:cs="Times New Roman"/>
                      <w:color w:val="auto"/>
                    </w:rPr>
                  </w:pPr>
                </w:p>
              </w:tc>
              <w:tc>
                <w:tcPr>
                  <w:tcW w:w="470" w:type="pct"/>
                  <w:vAlign w:val="center"/>
                </w:tcPr>
                <w:p w14:paraId="78172B9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458262A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23户农户</w:t>
                  </w:r>
                </w:p>
              </w:tc>
              <w:tc>
                <w:tcPr>
                  <w:tcW w:w="552" w:type="pct"/>
                  <w:vAlign w:val="center"/>
                </w:tcPr>
                <w:p w14:paraId="3170E86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3E3EA23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136-500</w:t>
                  </w:r>
                </w:p>
              </w:tc>
              <w:tc>
                <w:tcPr>
                  <w:tcW w:w="735" w:type="pct"/>
                  <w:vMerge w:val="continue"/>
                  <w:vAlign w:val="center"/>
                </w:tcPr>
                <w:p w14:paraId="1C7AC9DF">
                  <w:pPr>
                    <w:jc w:val="center"/>
                    <w:rPr>
                      <w:rFonts w:hint="default" w:ascii="Times New Roman" w:hAnsi="Times New Roman" w:eastAsia="宋体" w:cs="Times New Roman"/>
                      <w:color w:val="auto"/>
                    </w:rPr>
                  </w:pPr>
                </w:p>
              </w:tc>
            </w:tr>
            <w:tr w14:paraId="08AEC6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256" w:type="pct"/>
                  <w:vMerge w:val="continue"/>
                  <w:vAlign w:val="center"/>
                </w:tcPr>
                <w:p w14:paraId="4181DB5A">
                  <w:pPr>
                    <w:jc w:val="center"/>
                    <w:rPr>
                      <w:rFonts w:hint="default" w:ascii="Times New Roman" w:hAnsi="Times New Roman" w:eastAsia="宋体" w:cs="Times New Roman"/>
                      <w:color w:val="auto"/>
                    </w:rPr>
                  </w:pPr>
                </w:p>
              </w:tc>
              <w:tc>
                <w:tcPr>
                  <w:tcW w:w="558" w:type="pct"/>
                  <w:vMerge w:val="continue"/>
                  <w:vAlign w:val="center"/>
                </w:tcPr>
                <w:p w14:paraId="252B44F3">
                  <w:pPr>
                    <w:jc w:val="center"/>
                    <w:rPr>
                      <w:rFonts w:hint="default" w:ascii="Times New Roman" w:hAnsi="Times New Roman" w:eastAsia="宋体" w:cs="Times New Roman"/>
                      <w:color w:val="auto"/>
                    </w:rPr>
                  </w:pPr>
                </w:p>
              </w:tc>
              <w:tc>
                <w:tcPr>
                  <w:tcW w:w="491" w:type="pct"/>
                  <w:vMerge w:val="continue"/>
                  <w:vAlign w:val="center"/>
                </w:tcPr>
                <w:p w14:paraId="58C95C95">
                  <w:pPr>
                    <w:jc w:val="center"/>
                    <w:rPr>
                      <w:rFonts w:hint="default" w:ascii="Times New Roman" w:hAnsi="Times New Roman" w:eastAsia="宋体" w:cs="Times New Roman"/>
                      <w:color w:val="auto"/>
                    </w:rPr>
                  </w:pPr>
                </w:p>
              </w:tc>
              <w:tc>
                <w:tcPr>
                  <w:tcW w:w="474" w:type="pct"/>
                  <w:vMerge w:val="continue"/>
                  <w:vAlign w:val="center"/>
                </w:tcPr>
                <w:p w14:paraId="48B14C19">
                  <w:pPr>
                    <w:jc w:val="center"/>
                    <w:rPr>
                      <w:rFonts w:hint="default" w:ascii="Times New Roman" w:hAnsi="Times New Roman" w:eastAsia="宋体" w:cs="Times New Roman"/>
                      <w:color w:val="auto"/>
                    </w:rPr>
                  </w:pPr>
                </w:p>
              </w:tc>
              <w:tc>
                <w:tcPr>
                  <w:tcW w:w="470" w:type="pct"/>
                  <w:vAlign w:val="center"/>
                </w:tcPr>
                <w:p w14:paraId="0E67D8C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409186B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25户农户</w:t>
                  </w:r>
                </w:p>
              </w:tc>
              <w:tc>
                <w:tcPr>
                  <w:tcW w:w="552" w:type="pct"/>
                  <w:vAlign w:val="center"/>
                </w:tcPr>
                <w:p w14:paraId="7EBD583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2F1BB50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153-500</w:t>
                  </w:r>
                </w:p>
              </w:tc>
              <w:tc>
                <w:tcPr>
                  <w:tcW w:w="735" w:type="pct"/>
                  <w:vMerge w:val="continue"/>
                  <w:vAlign w:val="center"/>
                </w:tcPr>
                <w:p w14:paraId="2DAF2D91">
                  <w:pPr>
                    <w:jc w:val="center"/>
                    <w:rPr>
                      <w:rFonts w:hint="default" w:ascii="Times New Roman" w:hAnsi="Times New Roman" w:eastAsia="宋体" w:cs="Times New Roman"/>
                      <w:color w:val="auto"/>
                    </w:rPr>
                  </w:pPr>
                </w:p>
              </w:tc>
            </w:tr>
            <w:tr w14:paraId="54F0FD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6EC4B6D8">
                  <w:pPr>
                    <w:jc w:val="center"/>
                    <w:rPr>
                      <w:rFonts w:hint="default" w:ascii="Times New Roman" w:hAnsi="Times New Roman" w:eastAsia="宋体" w:cs="Times New Roman"/>
                      <w:color w:val="auto"/>
                    </w:rPr>
                  </w:pPr>
                </w:p>
              </w:tc>
              <w:tc>
                <w:tcPr>
                  <w:tcW w:w="558" w:type="pct"/>
                  <w:vMerge w:val="restart"/>
                  <w:vAlign w:val="center"/>
                </w:tcPr>
                <w:p w14:paraId="48B1B89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104.971849</w:t>
                  </w:r>
                </w:p>
              </w:tc>
              <w:tc>
                <w:tcPr>
                  <w:tcW w:w="491" w:type="pct"/>
                  <w:vMerge w:val="restart"/>
                  <w:vAlign w:val="center"/>
                </w:tcPr>
                <w:p w14:paraId="0E96804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30.412633</w:t>
                  </w:r>
                </w:p>
              </w:tc>
              <w:tc>
                <w:tcPr>
                  <w:tcW w:w="474" w:type="pct"/>
                  <w:vMerge w:val="restart"/>
                  <w:vAlign w:val="center"/>
                </w:tcPr>
                <w:p w14:paraId="407B2B0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w:t>
                  </w:r>
                </w:p>
              </w:tc>
              <w:tc>
                <w:tcPr>
                  <w:tcW w:w="470" w:type="pct"/>
                  <w:vAlign w:val="center"/>
                </w:tcPr>
                <w:p w14:paraId="1D0CAA5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215A0BF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32户农户</w:t>
                  </w:r>
                </w:p>
              </w:tc>
              <w:tc>
                <w:tcPr>
                  <w:tcW w:w="552" w:type="pct"/>
                  <w:vAlign w:val="center"/>
                </w:tcPr>
                <w:p w14:paraId="5252EFB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1702CE7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153-435</w:t>
                  </w:r>
                </w:p>
              </w:tc>
              <w:tc>
                <w:tcPr>
                  <w:tcW w:w="735" w:type="pct"/>
                  <w:vMerge w:val="continue"/>
                  <w:vAlign w:val="center"/>
                </w:tcPr>
                <w:p w14:paraId="101DE664">
                  <w:pPr>
                    <w:jc w:val="center"/>
                    <w:rPr>
                      <w:rFonts w:hint="default" w:ascii="Times New Roman" w:hAnsi="Times New Roman" w:eastAsia="宋体" w:cs="Times New Roman"/>
                      <w:color w:val="auto"/>
                    </w:rPr>
                  </w:pPr>
                </w:p>
              </w:tc>
            </w:tr>
            <w:tr w14:paraId="0930D1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3ABE8E3C">
                  <w:pPr>
                    <w:jc w:val="center"/>
                    <w:rPr>
                      <w:rFonts w:hint="default" w:ascii="Times New Roman" w:hAnsi="Times New Roman" w:eastAsia="宋体" w:cs="Times New Roman"/>
                      <w:color w:val="auto"/>
                    </w:rPr>
                  </w:pPr>
                </w:p>
              </w:tc>
              <w:tc>
                <w:tcPr>
                  <w:tcW w:w="558" w:type="pct"/>
                  <w:vMerge w:val="continue"/>
                  <w:vAlign w:val="center"/>
                </w:tcPr>
                <w:p w14:paraId="33D0B562">
                  <w:pPr>
                    <w:jc w:val="center"/>
                    <w:rPr>
                      <w:rFonts w:hint="default" w:ascii="Times New Roman" w:hAnsi="Times New Roman" w:eastAsia="宋体" w:cs="Times New Roman"/>
                      <w:color w:val="auto"/>
                    </w:rPr>
                  </w:pPr>
                </w:p>
              </w:tc>
              <w:tc>
                <w:tcPr>
                  <w:tcW w:w="491" w:type="pct"/>
                  <w:vMerge w:val="continue"/>
                  <w:vAlign w:val="center"/>
                </w:tcPr>
                <w:p w14:paraId="400357BA">
                  <w:pPr>
                    <w:jc w:val="center"/>
                    <w:rPr>
                      <w:rFonts w:hint="default" w:ascii="Times New Roman" w:hAnsi="Times New Roman" w:eastAsia="宋体" w:cs="Times New Roman"/>
                      <w:color w:val="auto"/>
                    </w:rPr>
                  </w:pPr>
                </w:p>
              </w:tc>
              <w:tc>
                <w:tcPr>
                  <w:tcW w:w="474" w:type="pct"/>
                  <w:vMerge w:val="continue"/>
                  <w:vAlign w:val="center"/>
                </w:tcPr>
                <w:p w14:paraId="16E6E436">
                  <w:pPr>
                    <w:jc w:val="center"/>
                    <w:rPr>
                      <w:rFonts w:hint="default" w:ascii="Times New Roman" w:hAnsi="Times New Roman" w:eastAsia="宋体" w:cs="Times New Roman"/>
                      <w:color w:val="auto"/>
                    </w:rPr>
                  </w:pPr>
                </w:p>
              </w:tc>
              <w:tc>
                <w:tcPr>
                  <w:tcW w:w="470" w:type="pct"/>
                  <w:vAlign w:val="center"/>
                </w:tcPr>
                <w:p w14:paraId="7B11D21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0EAC0A0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32户农户</w:t>
                  </w:r>
                </w:p>
              </w:tc>
              <w:tc>
                <w:tcPr>
                  <w:tcW w:w="552" w:type="pct"/>
                  <w:vAlign w:val="center"/>
                </w:tcPr>
                <w:p w14:paraId="0F86604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05B91CC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134-500</w:t>
                  </w:r>
                </w:p>
              </w:tc>
              <w:tc>
                <w:tcPr>
                  <w:tcW w:w="735" w:type="pct"/>
                  <w:vMerge w:val="continue"/>
                  <w:vAlign w:val="center"/>
                </w:tcPr>
                <w:p w14:paraId="5EA8470B">
                  <w:pPr>
                    <w:jc w:val="center"/>
                    <w:rPr>
                      <w:rFonts w:hint="default" w:ascii="Times New Roman" w:hAnsi="Times New Roman" w:eastAsia="宋体" w:cs="Times New Roman"/>
                      <w:color w:val="auto"/>
                    </w:rPr>
                  </w:pPr>
                </w:p>
              </w:tc>
            </w:tr>
            <w:tr w14:paraId="7F46C6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7F665FB2">
                  <w:pPr>
                    <w:jc w:val="center"/>
                    <w:rPr>
                      <w:rFonts w:hint="default" w:ascii="Times New Roman" w:hAnsi="Times New Roman" w:eastAsia="宋体" w:cs="Times New Roman"/>
                      <w:color w:val="auto"/>
                    </w:rPr>
                  </w:pPr>
                </w:p>
              </w:tc>
              <w:tc>
                <w:tcPr>
                  <w:tcW w:w="558" w:type="pct"/>
                  <w:vMerge w:val="restart"/>
                  <w:vAlign w:val="center"/>
                </w:tcPr>
                <w:p w14:paraId="3DC6D60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104.981311</w:t>
                  </w:r>
                </w:p>
              </w:tc>
              <w:tc>
                <w:tcPr>
                  <w:tcW w:w="491" w:type="pct"/>
                  <w:vMerge w:val="restart"/>
                  <w:vAlign w:val="center"/>
                </w:tcPr>
                <w:p w14:paraId="2CD051D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30.417461</w:t>
                  </w:r>
                </w:p>
              </w:tc>
              <w:tc>
                <w:tcPr>
                  <w:tcW w:w="474" w:type="pct"/>
                  <w:vMerge w:val="restart"/>
                  <w:vAlign w:val="center"/>
                </w:tcPr>
                <w:p w14:paraId="5F646AC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13#</w:t>
                  </w:r>
                </w:p>
              </w:tc>
              <w:tc>
                <w:tcPr>
                  <w:tcW w:w="470" w:type="pct"/>
                  <w:vAlign w:val="center"/>
                </w:tcPr>
                <w:p w14:paraId="0DC0053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3C24A28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32户农户</w:t>
                  </w:r>
                </w:p>
              </w:tc>
              <w:tc>
                <w:tcPr>
                  <w:tcW w:w="552" w:type="pct"/>
                  <w:vAlign w:val="center"/>
                </w:tcPr>
                <w:p w14:paraId="0F8C09D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北侧</w:t>
                  </w:r>
                </w:p>
              </w:tc>
              <w:tc>
                <w:tcPr>
                  <w:tcW w:w="582" w:type="pct"/>
                  <w:vAlign w:val="center"/>
                </w:tcPr>
                <w:p w14:paraId="6AE5C6F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153-435</w:t>
                  </w:r>
                </w:p>
              </w:tc>
              <w:tc>
                <w:tcPr>
                  <w:tcW w:w="735" w:type="pct"/>
                  <w:vMerge w:val="continue"/>
                  <w:vAlign w:val="center"/>
                </w:tcPr>
                <w:p w14:paraId="06922799">
                  <w:pPr>
                    <w:jc w:val="center"/>
                    <w:rPr>
                      <w:rFonts w:hint="default" w:ascii="Times New Roman" w:hAnsi="Times New Roman" w:eastAsia="宋体" w:cs="Times New Roman"/>
                      <w:color w:val="auto"/>
                    </w:rPr>
                  </w:pPr>
                </w:p>
              </w:tc>
            </w:tr>
            <w:tr w14:paraId="679D52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24CFD908">
                  <w:pPr>
                    <w:jc w:val="center"/>
                    <w:rPr>
                      <w:rFonts w:hint="default" w:ascii="Times New Roman" w:hAnsi="Times New Roman" w:eastAsia="宋体" w:cs="Times New Roman"/>
                      <w:color w:val="auto"/>
                    </w:rPr>
                  </w:pPr>
                </w:p>
              </w:tc>
              <w:tc>
                <w:tcPr>
                  <w:tcW w:w="558" w:type="pct"/>
                  <w:vMerge w:val="continue"/>
                  <w:vAlign w:val="center"/>
                </w:tcPr>
                <w:p w14:paraId="21B4EE88">
                  <w:pPr>
                    <w:jc w:val="center"/>
                    <w:rPr>
                      <w:rFonts w:hint="default" w:ascii="Times New Roman" w:hAnsi="Times New Roman" w:eastAsia="宋体" w:cs="Times New Roman"/>
                      <w:color w:val="auto"/>
                    </w:rPr>
                  </w:pPr>
                </w:p>
              </w:tc>
              <w:tc>
                <w:tcPr>
                  <w:tcW w:w="491" w:type="pct"/>
                  <w:vMerge w:val="continue"/>
                  <w:vAlign w:val="center"/>
                </w:tcPr>
                <w:p w14:paraId="33DF278A">
                  <w:pPr>
                    <w:jc w:val="center"/>
                    <w:rPr>
                      <w:rFonts w:hint="default" w:ascii="Times New Roman" w:hAnsi="Times New Roman" w:eastAsia="宋体" w:cs="Times New Roman"/>
                      <w:color w:val="auto"/>
                    </w:rPr>
                  </w:pPr>
                </w:p>
              </w:tc>
              <w:tc>
                <w:tcPr>
                  <w:tcW w:w="474" w:type="pct"/>
                  <w:vMerge w:val="continue"/>
                  <w:vAlign w:val="center"/>
                </w:tcPr>
                <w:p w14:paraId="41EAB3F7">
                  <w:pPr>
                    <w:jc w:val="center"/>
                    <w:rPr>
                      <w:rFonts w:hint="default" w:ascii="Times New Roman" w:hAnsi="Times New Roman" w:eastAsia="宋体" w:cs="Times New Roman"/>
                      <w:color w:val="auto"/>
                    </w:rPr>
                  </w:pPr>
                </w:p>
              </w:tc>
              <w:tc>
                <w:tcPr>
                  <w:tcW w:w="470" w:type="pct"/>
                  <w:vAlign w:val="center"/>
                </w:tcPr>
                <w:p w14:paraId="3C2969A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276B234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23户农户</w:t>
                  </w:r>
                </w:p>
              </w:tc>
              <w:tc>
                <w:tcPr>
                  <w:tcW w:w="552" w:type="pct"/>
                  <w:vAlign w:val="center"/>
                </w:tcPr>
                <w:p w14:paraId="77B3C41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西南侧</w:t>
                  </w:r>
                </w:p>
              </w:tc>
              <w:tc>
                <w:tcPr>
                  <w:tcW w:w="582" w:type="pct"/>
                  <w:vAlign w:val="center"/>
                </w:tcPr>
                <w:p w14:paraId="274F019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124-431</w:t>
                  </w:r>
                </w:p>
              </w:tc>
              <w:tc>
                <w:tcPr>
                  <w:tcW w:w="735" w:type="pct"/>
                  <w:vMerge w:val="continue"/>
                  <w:vAlign w:val="center"/>
                </w:tcPr>
                <w:p w14:paraId="62046EE7">
                  <w:pPr>
                    <w:jc w:val="center"/>
                    <w:rPr>
                      <w:rFonts w:hint="default" w:ascii="Times New Roman" w:hAnsi="Times New Roman" w:eastAsia="宋体" w:cs="Times New Roman"/>
                      <w:color w:val="auto"/>
                    </w:rPr>
                  </w:pPr>
                </w:p>
              </w:tc>
            </w:tr>
            <w:tr w14:paraId="22A196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160E17EA">
                  <w:pPr>
                    <w:jc w:val="center"/>
                    <w:rPr>
                      <w:rFonts w:hint="default" w:ascii="Times New Roman" w:hAnsi="Times New Roman" w:eastAsia="宋体" w:cs="Times New Roman"/>
                      <w:color w:val="auto"/>
                    </w:rPr>
                  </w:pPr>
                </w:p>
              </w:tc>
              <w:tc>
                <w:tcPr>
                  <w:tcW w:w="558" w:type="pct"/>
                  <w:vAlign w:val="center"/>
                </w:tcPr>
                <w:p w14:paraId="21C1EF6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104.983929</w:t>
                  </w:r>
                </w:p>
              </w:tc>
              <w:tc>
                <w:tcPr>
                  <w:tcW w:w="491" w:type="pct"/>
                  <w:vAlign w:val="center"/>
                </w:tcPr>
                <w:p w14:paraId="6FD2DDA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30.413084</w:t>
                  </w:r>
                </w:p>
              </w:tc>
              <w:tc>
                <w:tcPr>
                  <w:tcW w:w="474" w:type="pct"/>
                  <w:vAlign w:val="center"/>
                </w:tcPr>
                <w:p w14:paraId="0204068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14#</w:t>
                  </w:r>
                </w:p>
              </w:tc>
              <w:tc>
                <w:tcPr>
                  <w:tcW w:w="470" w:type="pct"/>
                  <w:vAlign w:val="center"/>
                </w:tcPr>
                <w:p w14:paraId="01D36A7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0F88A68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32户农户</w:t>
                  </w:r>
                </w:p>
              </w:tc>
              <w:tc>
                <w:tcPr>
                  <w:tcW w:w="552" w:type="pct"/>
                  <w:vAlign w:val="center"/>
                </w:tcPr>
                <w:p w14:paraId="57A4ED4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北侧</w:t>
                  </w:r>
                </w:p>
              </w:tc>
              <w:tc>
                <w:tcPr>
                  <w:tcW w:w="582" w:type="pct"/>
                  <w:vAlign w:val="center"/>
                </w:tcPr>
                <w:p w14:paraId="30629FE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134-412</w:t>
                  </w:r>
                </w:p>
              </w:tc>
              <w:tc>
                <w:tcPr>
                  <w:tcW w:w="735" w:type="pct"/>
                  <w:vMerge w:val="continue"/>
                  <w:vAlign w:val="center"/>
                </w:tcPr>
                <w:p w14:paraId="02D97B99">
                  <w:pPr>
                    <w:jc w:val="center"/>
                    <w:rPr>
                      <w:rFonts w:hint="default" w:ascii="Times New Roman" w:hAnsi="Times New Roman" w:eastAsia="宋体" w:cs="Times New Roman"/>
                      <w:color w:val="auto"/>
                    </w:rPr>
                  </w:pPr>
                </w:p>
              </w:tc>
            </w:tr>
            <w:tr w14:paraId="43680E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646F316A">
                  <w:pPr>
                    <w:jc w:val="center"/>
                    <w:rPr>
                      <w:rFonts w:hint="default" w:ascii="Times New Roman" w:hAnsi="Times New Roman" w:eastAsia="宋体" w:cs="Times New Roman"/>
                      <w:color w:val="auto"/>
                    </w:rPr>
                  </w:pPr>
                </w:p>
              </w:tc>
              <w:tc>
                <w:tcPr>
                  <w:tcW w:w="558" w:type="pct"/>
                  <w:vAlign w:val="center"/>
                </w:tcPr>
                <w:p w14:paraId="7045DAE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104.988950</w:t>
                  </w:r>
                </w:p>
              </w:tc>
              <w:tc>
                <w:tcPr>
                  <w:tcW w:w="491" w:type="pct"/>
                  <w:vAlign w:val="center"/>
                </w:tcPr>
                <w:p w14:paraId="48E8E3B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30.410316</w:t>
                  </w:r>
                </w:p>
              </w:tc>
              <w:tc>
                <w:tcPr>
                  <w:tcW w:w="474" w:type="pct"/>
                  <w:vAlign w:val="center"/>
                </w:tcPr>
                <w:p w14:paraId="6FAA868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15#</w:t>
                  </w:r>
                </w:p>
              </w:tc>
              <w:tc>
                <w:tcPr>
                  <w:tcW w:w="470" w:type="pct"/>
                  <w:vAlign w:val="center"/>
                </w:tcPr>
                <w:p w14:paraId="538F627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1D8CD91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41户农户</w:t>
                  </w:r>
                </w:p>
              </w:tc>
              <w:tc>
                <w:tcPr>
                  <w:tcW w:w="552" w:type="pct"/>
                  <w:vAlign w:val="center"/>
                </w:tcPr>
                <w:p w14:paraId="6E1B06E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6E88AEA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151-500</w:t>
                  </w:r>
                </w:p>
              </w:tc>
              <w:tc>
                <w:tcPr>
                  <w:tcW w:w="735" w:type="pct"/>
                  <w:vMerge w:val="continue"/>
                  <w:vAlign w:val="center"/>
                </w:tcPr>
                <w:p w14:paraId="1FC6051B">
                  <w:pPr>
                    <w:jc w:val="center"/>
                    <w:rPr>
                      <w:rFonts w:hint="default" w:ascii="Times New Roman" w:hAnsi="Times New Roman" w:eastAsia="宋体" w:cs="Times New Roman"/>
                      <w:color w:val="auto"/>
                    </w:rPr>
                  </w:pPr>
                </w:p>
              </w:tc>
            </w:tr>
            <w:tr w14:paraId="7BE85F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000" w:type="pct"/>
                  <w:gridSpan w:val="9"/>
                  <w:vAlign w:val="center"/>
                </w:tcPr>
                <w:p w14:paraId="71F422E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宝林镇</w:t>
                  </w:r>
                </w:p>
              </w:tc>
            </w:tr>
            <w:tr w14:paraId="5BE140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restart"/>
                  <w:vAlign w:val="center"/>
                </w:tcPr>
                <w:p w14:paraId="0E687C6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大气环境</w:t>
                  </w:r>
                </w:p>
              </w:tc>
              <w:tc>
                <w:tcPr>
                  <w:tcW w:w="558" w:type="pct"/>
                  <w:vMerge w:val="restart"/>
                  <w:vAlign w:val="center"/>
                </w:tcPr>
                <w:p w14:paraId="5C18F36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105.037840</w:t>
                  </w:r>
                </w:p>
              </w:tc>
              <w:tc>
                <w:tcPr>
                  <w:tcW w:w="491" w:type="pct"/>
                  <w:vMerge w:val="restart"/>
                  <w:vAlign w:val="center"/>
                </w:tcPr>
                <w:p w14:paraId="43C723F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30.3847591</w:t>
                  </w:r>
                </w:p>
              </w:tc>
              <w:tc>
                <w:tcPr>
                  <w:tcW w:w="474" w:type="pct"/>
                  <w:vMerge w:val="restart"/>
                  <w:vAlign w:val="center"/>
                </w:tcPr>
                <w:p w14:paraId="056B7C2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w:t>
                  </w:r>
                </w:p>
              </w:tc>
              <w:tc>
                <w:tcPr>
                  <w:tcW w:w="470" w:type="pct"/>
                  <w:vAlign w:val="center"/>
                </w:tcPr>
                <w:p w14:paraId="66D1999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21EE859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8户农户</w:t>
                  </w:r>
                </w:p>
              </w:tc>
              <w:tc>
                <w:tcPr>
                  <w:tcW w:w="552" w:type="pct"/>
                  <w:vAlign w:val="center"/>
                </w:tcPr>
                <w:p w14:paraId="17D171D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4F98E32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126-500</w:t>
                  </w:r>
                </w:p>
              </w:tc>
              <w:tc>
                <w:tcPr>
                  <w:tcW w:w="735" w:type="pct"/>
                  <w:vMerge w:val="restart"/>
                  <w:vAlign w:val="center"/>
                </w:tcPr>
                <w:p w14:paraId="4C0FA45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《环境空气质量标准》（GB3095-2012）中二级标准</w:t>
                  </w:r>
                </w:p>
              </w:tc>
            </w:tr>
            <w:tr w14:paraId="0D930A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5D42DEE7">
                  <w:pPr>
                    <w:jc w:val="center"/>
                    <w:rPr>
                      <w:rFonts w:hint="default" w:ascii="Times New Roman" w:hAnsi="Times New Roman" w:eastAsia="宋体" w:cs="Times New Roman"/>
                      <w:color w:val="auto"/>
                    </w:rPr>
                  </w:pPr>
                </w:p>
              </w:tc>
              <w:tc>
                <w:tcPr>
                  <w:tcW w:w="558" w:type="pct"/>
                  <w:vMerge w:val="continue"/>
                  <w:vAlign w:val="center"/>
                </w:tcPr>
                <w:p w14:paraId="54DB5E59">
                  <w:pPr>
                    <w:jc w:val="center"/>
                    <w:rPr>
                      <w:rFonts w:hint="default" w:ascii="Times New Roman" w:hAnsi="Times New Roman" w:eastAsia="宋体" w:cs="Times New Roman"/>
                      <w:color w:val="auto"/>
                    </w:rPr>
                  </w:pPr>
                </w:p>
              </w:tc>
              <w:tc>
                <w:tcPr>
                  <w:tcW w:w="491" w:type="pct"/>
                  <w:vMerge w:val="continue"/>
                  <w:vAlign w:val="center"/>
                </w:tcPr>
                <w:p w14:paraId="658F8D1D">
                  <w:pPr>
                    <w:jc w:val="center"/>
                    <w:rPr>
                      <w:rFonts w:hint="default" w:ascii="Times New Roman" w:hAnsi="Times New Roman" w:eastAsia="宋体" w:cs="Times New Roman"/>
                      <w:color w:val="auto"/>
                    </w:rPr>
                  </w:pPr>
                </w:p>
              </w:tc>
              <w:tc>
                <w:tcPr>
                  <w:tcW w:w="474" w:type="pct"/>
                  <w:vMerge w:val="continue"/>
                  <w:vAlign w:val="center"/>
                </w:tcPr>
                <w:p w14:paraId="7E2E20B9">
                  <w:pPr>
                    <w:jc w:val="center"/>
                    <w:rPr>
                      <w:rFonts w:hint="default" w:ascii="Times New Roman" w:hAnsi="Times New Roman" w:eastAsia="宋体" w:cs="Times New Roman"/>
                      <w:color w:val="auto"/>
                    </w:rPr>
                  </w:pPr>
                </w:p>
              </w:tc>
              <w:tc>
                <w:tcPr>
                  <w:tcW w:w="470" w:type="pct"/>
                  <w:vAlign w:val="center"/>
                </w:tcPr>
                <w:p w14:paraId="5DCD111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72E039B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9户农户</w:t>
                  </w:r>
                </w:p>
              </w:tc>
              <w:tc>
                <w:tcPr>
                  <w:tcW w:w="552" w:type="pct"/>
                  <w:vAlign w:val="center"/>
                </w:tcPr>
                <w:p w14:paraId="5409E94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东南侧</w:t>
                  </w:r>
                </w:p>
              </w:tc>
              <w:tc>
                <w:tcPr>
                  <w:tcW w:w="582" w:type="pct"/>
                  <w:vAlign w:val="center"/>
                </w:tcPr>
                <w:p w14:paraId="0D9CCFC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123-500</w:t>
                  </w:r>
                </w:p>
              </w:tc>
              <w:tc>
                <w:tcPr>
                  <w:tcW w:w="735" w:type="pct"/>
                  <w:vMerge w:val="continue"/>
                  <w:vAlign w:val="center"/>
                </w:tcPr>
                <w:p w14:paraId="0A65260F">
                  <w:pPr>
                    <w:jc w:val="center"/>
                    <w:rPr>
                      <w:rFonts w:hint="default" w:ascii="Times New Roman" w:hAnsi="Times New Roman" w:eastAsia="宋体" w:cs="Times New Roman"/>
                      <w:color w:val="auto"/>
                    </w:rPr>
                  </w:pPr>
                </w:p>
              </w:tc>
            </w:tr>
            <w:tr w14:paraId="1211DE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34FF3752">
                  <w:pPr>
                    <w:jc w:val="center"/>
                    <w:rPr>
                      <w:rFonts w:hint="default" w:ascii="Times New Roman" w:hAnsi="Times New Roman" w:eastAsia="宋体" w:cs="Times New Roman"/>
                      <w:color w:val="auto"/>
                    </w:rPr>
                  </w:pPr>
                </w:p>
              </w:tc>
              <w:tc>
                <w:tcPr>
                  <w:tcW w:w="558" w:type="pct"/>
                  <w:vMerge w:val="continue"/>
                  <w:vAlign w:val="center"/>
                </w:tcPr>
                <w:p w14:paraId="611D30FB">
                  <w:pPr>
                    <w:jc w:val="center"/>
                    <w:rPr>
                      <w:rFonts w:hint="default" w:ascii="Times New Roman" w:hAnsi="Times New Roman" w:eastAsia="宋体" w:cs="Times New Roman"/>
                      <w:color w:val="auto"/>
                    </w:rPr>
                  </w:pPr>
                </w:p>
              </w:tc>
              <w:tc>
                <w:tcPr>
                  <w:tcW w:w="491" w:type="pct"/>
                  <w:vMerge w:val="continue"/>
                  <w:vAlign w:val="center"/>
                </w:tcPr>
                <w:p w14:paraId="14883586">
                  <w:pPr>
                    <w:jc w:val="center"/>
                    <w:rPr>
                      <w:rFonts w:hint="default" w:ascii="Times New Roman" w:hAnsi="Times New Roman" w:eastAsia="宋体" w:cs="Times New Roman"/>
                      <w:color w:val="auto"/>
                    </w:rPr>
                  </w:pPr>
                </w:p>
              </w:tc>
              <w:tc>
                <w:tcPr>
                  <w:tcW w:w="474" w:type="pct"/>
                  <w:vMerge w:val="continue"/>
                  <w:vAlign w:val="center"/>
                </w:tcPr>
                <w:p w14:paraId="31206327">
                  <w:pPr>
                    <w:jc w:val="center"/>
                    <w:rPr>
                      <w:rFonts w:hint="default" w:ascii="Times New Roman" w:hAnsi="Times New Roman" w:eastAsia="宋体" w:cs="Times New Roman"/>
                      <w:color w:val="auto"/>
                    </w:rPr>
                  </w:pPr>
                </w:p>
              </w:tc>
              <w:tc>
                <w:tcPr>
                  <w:tcW w:w="470" w:type="pct"/>
                  <w:vAlign w:val="center"/>
                </w:tcPr>
                <w:p w14:paraId="353C3E6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618B59E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7户农户</w:t>
                  </w:r>
                </w:p>
              </w:tc>
              <w:tc>
                <w:tcPr>
                  <w:tcW w:w="552" w:type="pct"/>
                  <w:vAlign w:val="center"/>
                </w:tcPr>
                <w:p w14:paraId="07E0742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南侧</w:t>
                  </w:r>
                </w:p>
              </w:tc>
              <w:tc>
                <w:tcPr>
                  <w:tcW w:w="582" w:type="pct"/>
                  <w:vAlign w:val="center"/>
                </w:tcPr>
                <w:p w14:paraId="5A7D09A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103-500</w:t>
                  </w:r>
                </w:p>
              </w:tc>
              <w:tc>
                <w:tcPr>
                  <w:tcW w:w="735" w:type="pct"/>
                  <w:vMerge w:val="continue"/>
                  <w:vAlign w:val="center"/>
                </w:tcPr>
                <w:p w14:paraId="1ED58884">
                  <w:pPr>
                    <w:jc w:val="center"/>
                    <w:rPr>
                      <w:rFonts w:hint="default" w:ascii="Times New Roman" w:hAnsi="Times New Roman" w:eastAsia="宋体" w:cs="Times New Roman"/>
                      <w:color w:val="auto"/>
                    </w:rPr>
                  </w:pPr>
                </w:p>
              </w:tc>
            </w:tr>
            <w:tr w14:paraId="0FB26B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6A25C24A">
                  <w:pPr>
                    <w:jc w:val="center"/>
                    <w:rPr>
                      <w:rFonts w:hint="default" w:ascii="Times New Roman" w:hAnsi="Times New Roman" w:eastAsia="宋体" w:cs="Times New Roman"/>
                      <w:color w:val="auto"/>
                    </w:rPr>
                  </w:pPr>
                </w:p>
              </w:tc>
              <w:tc>
                <w:tcPr>
                  <w:tcW w:w="558" w:type="pct"/>
                  <w:vMerge w:val="continue"/>
                  <w:vAlign w:val="center"/>
                </w:tcPr>
                <w:p w14:paraId="77A3E5A7">
                  <w:pPr>
                    <w:jc w:val="center"/>
                    <w:rPr>
                      <w:rFonts w:hint="default" w:ascii="Times New Roman" w:hAnsi="Times New Roman" w:eastAsia="宋体" w:cs="Times New Roman"/>
                      <w:color w:val="auto"/>
                    </w:rPr>
                  </w:pPr>
                </w:p>
              </w:tc>
              <w:tc>
                <w:tcPr>
                  <w:tcW w:w="491" w:type="pct"/>
                  <w:vMerge w:val="continue"/>
                  <w:vAlign w:val="center"/>
                </w:tcPr>
                <w:p w14:paraId="096E8989">
                  <w:pPr>
                    <w:jc w:val="center"/>
                    <w:rPr>
                      <w:rFonts w:hint="default" w:ascii="Times New Roman" w:hAnsi="Times New Roman" w:eastAsia="宋体" w:cs="Times New Roman"/>
                      <w:color w:val="auto"/>
                    </w:rPr>
                  </w:pPr>
                </w:p>
              </w:tc>
              <w:tc>
                <w:tcPr>
                  <w:tcW w:w="474" w:type="pct"/>
                  <w:vMerge w:val="continue"/>
                  <w:vAlign w:val="center"/>
                </w:tcPr>
                <w:p w14:paraId="0F11C1AD">
                  <w:pPr>
                    <w:jc w:val="center"/>
                    <w:rPr>
                      <w:rFonts w:hint="default" w:ascii="Times New Roman" w:hAnsi="Times New Roman" w:eastAsia="宋体" w:cs="Times New Roman"/>
                      <w:color w:val="auto"/>
                    </w:rPr>
                  </w:pPr>
                </w:p>
              </w:tc>
              <w:tc>
                <w:tcPr>
                  <w:tcW w:w="470" w:type="pct"/>
                  <w:vAlign w:val="center"/>
                </w:tcPr>
                <w:p w14:paraId="469AF08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2D58E8F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13户农户</w:t>
                  </w:r>
                </w:p>
              </w:tc>
              <w:tc>
                <w:tcPr>
                  <w:tcW w:w="552" w:type="pct"/>
                  <w:vAlign w:val="center"/>
                </w:tcPr>
                <w:p w14:paraId="0D385D5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796E339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98-500</w:t>
                  </w:r>
                </w:p>
              </w:tc>
              <w:tc>
                <w:tcPr>
                  <w:tcW w:w="735" w:type="pct"/>
                  <w:vMerge w:val="continue"/>
                  <w:vAlign w:val="center"/>
                </w:tcPr>
                <w:p w14:paraId="7977DA60">
                  <w:pPr>
                    <w:jc w:val="center"/>
                    <w:rPr>
                      <w:rFonts w:hint="default" w:ascii="Times New Roman" w:hAnsi="Times New Roman" w:eastAsia="宋体" w:cs="Times New Roman"/>
                      <w:color w:val="auto"/>
                    </w:rPr>
                  </w:pPr>
                </w:p>
              </w:tc>
            </w:tr>
            <w:tr w14:paraId="0FA70A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756E0AF2">
                  <w:pPr>
                    <w:jc w:val="center"/>
                    <w:rPr>
                      <w:rFonts w:hint="default" w:ascii="Times New Roman" w:hAnsi="Times New Roman" w:eastAsia="宋体" w:cs="Times New Roman"/>
                      <w:color w:val="auto"/>
                    </w:rPr>
                  </w:pPr>
                </w:p>
              </w:tc>
              <w:tc>
                <w:tcPr>
                  <w:tcW w:w="558" w:type="pct"/>
                  <w:vMerge w:val="restart"/>
                  <w:vAlign w:val="center"/>
                </w:tcPr>
                <w:p w14:paraId="6F7E822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105.031575</w:t>
                  </w:r>
                </w:p>
              </w:tc>
              <w:tc>
                <w:tcPr>
                  <w:tcW w:w="491" w:type="pct"/>
                  <w:vMerge w:val="restart"/>
                  <w:vAlign w:val="center"/>
                </w:tcPr>
                <w:p w14:paraId="761DF31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30.381669</w:t>
                  </w:r>
                </w:p>
              </w:tc>
              <w:tc>
                <w:tcPr>
                  <w:tcW w:w="474" w:type="pct"/>
                  <w:vMerge w:val="restart"/>
                  <w:vAlign w:val="center"/>
                </w:tcPr>
                <w:p w14:paraId="4AE866B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w:t>
                  </w:r>
                </w:p>
              </w:tc>
              <w:tc>
                <w:tcPr>
                  <w:tcW w:w="470" w:type="pct"/>
                  <w:vAlign w:val="center"/>
                </w:tcPr>
                <w:p w14:paraId="0A9834E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71EBBDF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7户农户</w:t>
                  </w:r>
                </w:p>
              </w:tc>
              <w:tc>
                <w:tcPr>
                  <w:tcW w:w="552" w:type="pct"/>
                  <w:vAlign w:val="center"/>
                </w:tcPr>
                <w:p w14:paraId="5C748D8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1A65D57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105-500</w:t>
                  </w:r>
                </w:p>
              </w:tc>
              <w:tc>
                <w:tcPr>
                  <w:tcW w:w="735" w:type="pct"/>
                  <w:vMerge w:val="continue"/>
                  <w:vAlign w:val="center"/>
                </w:tcPr>
                <w:p w14:paraId="481A37E0">
                  <w:pPr>
                    <w:jc w:val="center"/>
                    <w:rPr>
                      <w:rFonts w:hint="default" w:ascii="Times New Roman" w:hAnsi="Times New Roman" w:eastAsia="宋体" w:cs="Times New Roman"/>
                      <w:color w:val="auto"/>
                    </w:rPr>
                  </w:pPr>
                </w:p>
              </w:tc>
            </w:tr>
            <w:tr w14:paraId="113786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62024153">
                  <w:pPr>
                    <w:jc w:val="center"/>
                    <w:rPr>
                      <w:rFonts w:hint="default" w:ascii="Times New Roman" w:hAnsi="Times New Roman" w:eastAsia="宋体" w:cs="Times New Roman"/>
                      <w:color w:val="auto"/>
                    </w:rPr>
                  </w:pPr>
                </w:p>
              </w:tc>
              <w:tc>
                <w:tcPr>
                  <w:tcW w:w="558" w:type="pct"/>
                  <w:vMerge w:val="continue"/>
                  <w:vAlign w:val="center"/>
                </w:tcPr>
                <w:p w14:paraId="1E576F6F">
                  <w:pPr>
                    <w:jc w:val="center"/>
                    <w:rPr>
                      <w:rFonts w:hint="default" w:ascii="Times New Roman" w:hAnsi="Times New Roman" w:eastAsia="宋体" w:cs="Times New Roman"/>
                      <w:color w:val="auto"/>
                    </w:rPr>
                  </w:pPr>
                </w:p>
              </w:tc>
              <w:tc>
                <w:tcPr>
                  <w:tcW w:w="491" w:type="pct"/>
                  <w:vMerge w:val="continue"/>
                  <w:vAlign w:val="center"/>
                </w:tcPr>
                <w:p w14:paraId="2D5CDCEE">
                  <w:pPr>
                    <w:jc w:val="center"/>
                    <w:rPr>
                      <w:rFonts w:hint="default" w:ascii="Times New Roman" w:hAnsi="Times New Roman" w:eastAsia="宋体" w:cs="Times New Roman"/>
                      <w:color w:val="auto"/>
                    </w:rPr>
                  </w:pPr>
                </w:p>
              </w:tc>
              <w:tc>
                <w:tcPr>
                  <w:tcW w:w="474" w:type="pct"/>
                  <w:vMerge w:val="continue"/>
                  <w:vAlign w:val="center"/>
                </w:tcPr>
                <w:p w14:paraId="35E9B279">
                  <w:pPr>
                    <w:jc w:val="center"/>
                    <w:rPr>
                      <w:rFonts w:hint="default" w:ascii="Times New Roman" w:hAnsi="Times New Roman" w:eastAsia="宋体" w:cs="Times New Roman"/>
                      <w:color w:val="auto"/>
                    </w:rPr>
                  </w:pPr>
                </w:p>
              </w:tc>
              <w:tc>
                <w:tcPr>
                  <w:tcW w:w="470" w:type="pct"/>
                  <w:vAlign w:val="center"/>
                </w:tcPr>
                <w:p w14:paraId="1010324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5689F82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5户农户</w:t>
                  </w:r>
                </w:p>
              </w:tc>
              <w:tc>
                <w:tcPr>
                  <w:tcW w:w="552" w:type="pct"/>
                  <w:vAlign w:val="center"/>
                </w:tcPr>
                <w:p w14:paraId="55C2B0F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34FED87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97-500</w:t>
                  </w:r>
                </w:p>
              </w:tc>
              <w:tc>
                <w:tcPr>
                  <w:tcW w:w="735" w:type="pct"/>
                  <w:vMerge w:val="continue"/>
                  <w:vAlign w:val="center"/>
                </w:tcPr>
                <w:p w14:paraId="2879EA84">
                  <w:pPr>
                    <w:jc w:val="center"/>
                    <w:rPr>
                      <w:rFonts w:hint="default" w:ascii="Times New Roman" w:hAnsi="Times New Roman" w:eastAsia="宋体" w:cs="Times New Roman"/>
                      <w:color w:val="auto"/>
                    </w:rPr>
                  </w:pPr>
                </w:p>
              </w:tc>
            </w:tr>
            <w:tr w14:paraId="754549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5081421E">
                  <w:pPr>
                    <w:jc w:val="center"/>
                    <w:rPr>
                      <w:rFonts w:hint="default" w:ascii="Times New Roman" w:hAnsi="Times New Roman" w:eastAsia="宋体" w:cs="Times New Roman"/>
                      <w:color w:val="auto"/>
                    </w:rPr>
                  </w:pPr>
                </w:p>
              </w:tc>
              <w:tc>
                <w:tcPr>
                  <w:tcW w:w="558" w:type="pct"/>
                  <w:vMerge w:val="restart"/>
                  <w:vAlign w:val="center"/>
                </w:tcPr>
                <w:p w14:paraId="715FBED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105.044449</w:t>
                  </w:r>
                </w:p>
              </w:tc>
              <w:tc>
                <w:tcPr>
                  <w:tcW w:w="491" w:type="pct"/>
                  <w:vMerge w:val="restart"/>
                  <w:vAlign w:val="center"/>
                </w:tcPr>
                <w:p w14:paraId="1EC85CE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30.387720</w:t>
                  </w:r>
                </w:p>
              </w:tc>
              <w:tc>
                <w:tcPr>
                  <w:tcW w:w="474" w:type="pct"/>
                  <w:vMerge w:val="restart"/>
                  <w:vAlign w:val="center"/>
                </w:tcPr>
                <w:p w14:paraId="301B8CB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w:t>
                  </w:r>
                </w:p>
              </w:tc>
              <w:tc>
                <w:tcPr>
                  <w:tcW w:w="470" w:type="pct"/>
                  <w:vAlign w:val="center"/>
                </w:tcPr>
                <w:p w14:paraId="1E95998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0732430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7户农户</w:t>
                  </w:r>
                </w:p>
              </w:tc>
              <w:tc>
                <w:tcPr>
                  <w:tcW w:w="552" w:type="pct"/>
                  <w:vAlign w:val="center"/>
                </w:tcPr>
                <w:p w14:paraId="5A1CABF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北侧</w:t>
                  </w:r>
                </w:p>
              </w:tc>
              <w:tc>
                <w:tcPr>
                  <w:tcW w:w="582" w:type="pct"/>
                  <w:vAlign w:val="center"/>
                </w:tcPr>
                <w:p w14:paraId="5E0FF99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122-500</w:t>
                  </w:r>
                </w:p>
              </w:tc>
              <w:tc>
                <w:tcPr>
                  <w:tcW w:w="735" w:type="pct"/>
                  <w:vMerge w:val="continue"/>
                  <w:vAlign w:val="center"/>
                </w:tcPr>
                <w:p w14:paraId="391AA318">
                  <w:pPr>
                    <w:jc w:val="center"/>
                    <w:rPr>
                      <w:rFonts w:hint="default" w:ascii="Times New Roman" w:hAnsi="Times New Roman" w:eastAsia="宋体" w:cs="Times New Roman"/>
                      <w:color w:val="auto"/>
                    </w:rPr>
                  </w:pPr>
                </w:p>
              </w:tc>
            </w:tr>
            <w:tr w14:paraId="0604EF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787DE910">
                  <w:pPr>
                    <w:jc w:val="center"/>
                    <w:rPr>
                      <w:rFonts w:hint="default" w:ascii="Times New Roman" w:hAnsi="Times New Roman" w:eastAsia="宋体" w:cs="Times New Roman"/>
                      <w:color w:val="auto"/>
                    </w:rPr>
                  </w:pPr>
                </w:p>
              </w:tc>
              <w:tc>
                <w:tcPr>
                  <w:tcW w:w="558" w:type="pct"/>
                  <w:vMerge w:val="continue"/>
                  <w:vAlign w:val="center"/>
                </w:tcPr>
                <w:p w14:paraId="3BCB72D4">
                  <w:pPr>
                    <w:jc w:val="center"/>
                    <w:rPr>
                      <w:rFonts w:hint="default" w:ascii="Times New Roman" w:hAnsi="Times New Roman" w:eastAsia="宋体" w:cs="Times New Roman"/>
                      <w:color w:val="auto"/>
                    </w:rPr>
                  </w:pPr>
                </w:p>
              </w:tc>
              <w:tc>
                <w:tcPr>
                  <w:tcW w:w="491" w:type="pct"/>
                  <w:vMerge w:val="continue"/>
                  <w:vAlign w:val="center"/>
                </w:tcPr>
                <w:p w14:paraId="6560545B">
                  <w:pPr>
                    <w:jc w:val="center"/>
                    <w:rPr>
                      <w:rFonts w:hint="default" w:ascii="Times New Roman" w:hAnsi="Times New Roman" w:eastAsia="宋体" w:cs="Times New Roman"/>
                      <w:color w:val="auto"/>
                    </w:rPr>
                  </w:pPr>
                </w:p>
              </w:tc>
              <w:tc>
                <w:tcPr>
                  <w:tcW w:w="474" w:type="pct"/>
                  <w:vMerge w:val="continue"/>
                  <w:vAlign w:val="center"/>
                </w:tcPr>
                <w:p w14:paraId="5A324423">
                  <w:pPr>
                    <w:jc w:val="center"/>
                    <w:rPr>
                      <w:rFonts w:hint="default" w:ascii="Times New Roman" w:hAnsi="Times New Roman" w:eastAsia="宋体" w:cs="Times New Roman"/>
                      <w:color w:val="auto"/>
                    </w:rPr>
                  </w:pPr>
                </w:p>
              </w:tc>
              <w:tc>
                <w:tcPr>
                  <w:tcW w:w="470" w:type="pct"/>
                  <w:vAlign w:val="center"/>
                </w:tcPr>
                <w:p w14:paraId="2CEACFF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61319BE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6户农户</w:t>
                  </w:r>
                </w:p>
              </w:tc>
              <w:tc>
                <w:tcPr>
                  <w:tcW w:w="552" w:type="pct"/>
                  <w:vAlign w:val="center"/>
                </w:tcPr>
                <w:p w14:paraId="64F778D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南侧</w:t>
                  </w:r>
                </w:p>
              </w:tc>
              <w:tc>
                <w:tcPr>
                  <w:tcW w:w="582" w:type="pct"/>
                  <w:vAlign w:val="center"/>
                </w:tcPr>
                <w:p w14:paraId="4F53151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136-500</w:t>
                  </w:r>
                </w:p>
              </w:tc>
              <w:tc>
                <w:tcPr>
                  <w:tcW w:w="735" w:type="pct"/>
                  <w:vMerge w:val="continue"/>
                  <w:vAlign w:val="center"/>
                </w:tcPr>
                <w:p w14:paraId="15951C58">
                  <w:pPr>
                    <w:jc w:val="center"/>
                    <w:rPr>
                      <w:rFonts w:hint="default" w:ascii="Times New Roman" w:hAnsi="Times New Roman" w:eastAsia="宋体" w:cs="Times New Roman"/>
                      <w:color w:val="auto"/>
                    </w:rPr>
                  </w:pPr>
                </w:p>
              </w:tc>
            </w:tr>
            <w:tr w14:paraId="6E1E3E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256" w:type="pct"/>
                  <w:vMerge w:val="continue"/>
                  <w:vAlign w:val="center"/>
                </w:tcPr>
                <w:p w14:paraId="1D5D70CD">
                  <w:pPr>
                    <w:jc w:val="center"/>
                    <w:rPr>
                      <w:rFonts w:hint="default" w:ascii="Times New Roman" w:hAnsi="Times New Roman" w:eastAsia="宋体" w:cs="Times New Roman"/>
                      <w:color w:val="auto"/>
                    </w:rPr>
                  </w:pPr>
                </w:p>
              </w:tc>
              <w:tc>
                <w:tcPr>
                  <w:tcW w:w="558" w:type="pct"/>
                  <w:vMerge w:val="restart"/>
                  <w:vAlign w:val="center"/>
                </w:tcPr>
                <w:p w14:paraId="260D15D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105.055393</w:t>
                  </w:r>
                </w:p>
              </w:tc>
              <w:tc>
                <w:tcPr>
                  <w:tcW w:w="491" w:type="pct"/>
                  <w:vMerge w:val="restart"/>
                  <w:vAlign w:val="center"/>
                </w:tcPr>
                <w:p w14:paraId="6523943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30.387548</w:t>
                  </w:r>
                </w:p>
              </w:tc>
              <w:tc>
                <w:tcPr>
                  <w:tcW w:w="474" w:type="pct"/>
                  <w:vMerge w:val="restart"/>
                  <w:vAlign w:val="center"/>
                </w:tcPr>
                <w:p w14:paraId="3E3DB4B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4#</w:t>
                  </w:r>
                </w:p>
              </w:tc>
              <w:tc>
                <w:tcPr>
                  <w:tcW w:w="470" w:type="pct"/>
                  <w:vAlign w:val="center"/>
                </w:tcPr>
                <w:p w14:paraId="7FB3E4A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23F01CE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11户农户</w:t>
                  </w:r>
                </w:p>
              </w:tc>
              <w:tc>
                <w:tcPr>
                  <w:tcW w:w="552" w:type="pct"/>
                  <w:vAlign w:val="center"/>
                </w:tcPr>
                <w:p w14:paraId="6F0B2D7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北侧</w:t>
                  </w:r>
                </w:p>
              </w:tc>
              <w:tc>
                <w:tcPr>
                  <w:tcW w:w="582" w:type="pct"/>
                  <w:vAlign w:val="center"/>
                </w:tcPr>
                <w:p w14:paraId="170CDF2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121-500</w:t>
                  </w:r>
                </w:p>
              </w:tc>
              <w:tc>
                <w:tcPr>
                  <w:tcW w:w="735" w:type="pct"/>
                  <w:vMerge w:val="continue"/>
                  <w:vAlign w:val="center"/>
                </w:tcPr>
                <w:p w14:paraId="51B9BFBE">
                  <w:pPr>
                    <w:jc w:val="center"/>
                    <w:rPr>
                      <w:rFonts w:hint="default" w:ascii="Times New Roman" w:hAnsi="Times New Roman" w:eastAsia="宋体" w:cs="Times New Roman"/>
                      <w:color w:val="auto"/>
                    </w:rPr>
                  </w:pPr>
                </w:p>
              </w:tc>
            </w:tr>
            <w:tr w14:paraId="651159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604CAD26">
                  <w:pPr>
                    <w:jc w:val="center"/>
                    <w:rPr>
                      <w:rFonts w:hint="default" w:ascii="Times New Roman" w:hAnsi="Times New Roman" w:eastAsia="宋体" w:cs="Times New Roman"/>
                      <w:color w:val="auto"/>
                    </w:rPr>
                  </w:pPr>
                </w:p>
              </w:tc>
              <w:tc>
                <w:tcPr>
                  <w:tcW w:w="558" w:type="pct"/>
                  <w:vMerge w:val="continue"/>
                  <w:vAlign w:val="center"/>
                </w:tcPr>
                <w:p w14:paraId="6ACD4DFF">
                  <w:pPr>
                    <w:jc w:val="center"/>
                    <w:rPr>
                      <w:rFonts w:hint="default" w:ascii="Times New Roman" w:hAnsi="Times New Roman" w:eastAsia="宋体" w:cs="Times New Roman"/>
                      <w:color w:val="auto"/>
                    </w:rPr>
                  </w:pPr>
                </w:p>
              </w:tc>
              <w:tc>
                <w:tcPr>
                  <w:tcW w:w="491" w:type="pct"/>
                  <w:vMerge w:val="continue"/>
                  <w:vAlign w:val="center"/>
                </w:tcPr>
                <w:p w14:paraId="73B665F3">
                  <w:pPr>
                    <w:jc w:val="center"/>
                    <w:rPr>
                      <w:rFonts w:hint="default" w:ascii="Times New Roman" w:hAnsi="Times New Roman" w:eastAsia="宋体" w:cs="Times New Roman"/>
                      <w:color w:val="auto"/>
                    </w:rPr>
                  </w:pPr>
                </w:p>
              </w:tc>
              <w:tc>
                <w:tcPr>
                  <w:tcW w:w="474" w:type="pct"/>
                  <w:vMerge w:val="continue"/>
                  <w:vAlign w:val="center"/>
                </w:tcPr>
                <w:p w14:paraId="06E690A0">
                  <w:pPr>
                    <w:jc w:val="center"/>
                    <w:rPr>
                      <w:rFonts w:hint="default" w:ascii="Times New Roman" w:hAnsi="Times New Roman" w:eastAsia="宋体" w:cs="Times New Roman"/>
                      <w:color w:val="auto"/>
                    </w:rPr>
                  </w:pPr>
                </w:p>
              </w:tc>
              <w:tc>
                <w:tcPr>
                  <w:tcW w:w="470" w:type="pct"/>
                  <w:vAlign w:val="center"/>
                </w:tcPr>
                <w:p w14:paraId="49D5BF9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32DB2B1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7户农户</w:t>
                  </w:r>
                </w:p>
              </w:tc>
              <w:tc>
                <w:tcPr>
                  <w:tcW w:w="552" w:type="pct"/>
                  <w:vAlign w:val="center"/>
                </w:tcPr>
                <w:p w14:paraId="0BA2921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南侧</w:t>
                  </w:r>
                </w:p>
              </w:tc>
              <w:tc>
                <w:tcPr>
                  <w:tcW w:w="582" w:type="pct"/>
                  <w:vAlign w:val="center"/>
                </w:tcPr>
                <w:p w14:paraId="620BB98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103-500</w:t>
                  </w:r>
                </w:p>
              </w:tc>
              <w:tc>
                <w:tcPr>
                  <w:tcW w:w="735" w:type="pct"/>
                  <w:vMerge w:val="continue"/>
                  <w:vAlign w:val="center"/>
                </w:tcPr>
                <w:p w14:paraId="59094C3C">
                  <w:pPr>
                    <w:jc w:val="center"/>
                    <w:rPr>
                      <w:rFonts w:hint="default" w:ascii="Times New Roman" w:hAnsi="Times New Roman" w:eastAsia="宋体" w:cs="Times New Roman"/>
                      <w:color w:val="auto"/>
                    </w:rPr>
                  </w:pPr>
                </w:p>
              </w:tc>
            </w:tr>
            <w:tr w14:paraId="7B959E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6E91D3CC">
                  <w:pPr>
                    <w:jc w:val="center"/>
                    <w:rPr>
                      <w:rFonts w:hint="default" w:ascii="Times New Roman" w:hAnsi="Times New Roman" w:eastAsia="宋体" w:cs="Times New Roman"/>
                      <w:color w:val="auto"/>
                    </w:rPr>
                  </w:pPr>
                </w:p>
              </w:tc>
              <w:tc>
                <w:tcPr>
                  <w:tcW w:w="558" w:type="pct"/>
                  <w:vMerge w:val="restart"/>
                  <w:vAlign w:val="center"/>
                </w:tcPr>
                <w:p w14:paraId="01E4EE5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105.052603</w:t>
                  </w:r>
                </w:p>
              </w:tc>
              <w:tc>
                <w:tcPr>
                  <w:tcW w:w="491" w:type="pct"/>
                  <w:vMerge w:val="restart"/>
                  <w:vAlign w:val="center"/>
                </w:tcPr>
                <w:p w14:paraId="7A005D3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30.393385</w:t>
                  </w:r>
                </w:p>
              </w:tc>
              <w:tc>
                <w:tcPr>
                  <w:tcW w:w="474" w:type="pct"/>
                  <w:vMerge w:val="restart"/>
                  <w:vAlign w:val="center"/>
                </w:tcPr>
                <w:p w14:paraId="7FBE7C2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5#</w:t>
                  </w:r>
                </w:p>
              </w:tc>
              <w:tc>
                <w:tcPr>
                  <w:tcW w:w="470" w:type="pct"/>
                  <w:vAlign w:val="center"/>
                </w:tcPr>
                <w:p w14:paraId="6407FC4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2023200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8户农户</w:t>
                  </w:r>
                </w:p>
              </w:tc>
              <w:tc>
                <w:tcPr>
                  <w:tcW w:w="552" w:type="pct"/>
                  <w:vAlign w:val="center"/>
                </w:tcPr>
                <w:p w14:paraId="2724FE8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0446764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136-500</w:t>
                  </w:r>
                </w:p>
              </w:tc>
              <w:tc>
                <w:tcPr>
                  <w:tcW w:w="735" w:type="pct"/>
                  <w:vMerge w:val="continue"/>
                  <w:vAlign w:val="center"/>
                </w:tcPr>
                <w:p w14:paraId="31E788BC">
                  <w:pPr>
                    <w:jc w:val="center"/>
                    <w:rPr>
                      <w:rFonts w:hint="default" w:ascii="Times New Roman" w:hAnsi="Times New Roman" w:eastAsia="宋体" w:cs="Times New Roman"/>
                      <w:color w:val="auto"/>
                    </w:rPr>
                  </w:pPr>
                </w:p>
              </w:tc>
            </w:tr>
            <w:tr w14:paraId="70D0F3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463189ED">
                  <w:pPr>
                    <w:jc w:val="center"/>
                    <w:rPr>
                      <w:rFonts w:hint="default" w:ascii="Times New Roman" w:hAnsi="Times New Roman" w:eastAsia="宋体" w:cs="Times New Roman"/>
                      <w:color w:val="auto"/>
                    </w:rPr>
                  </w:pPr>
                </w:p>
              </w:tc>
              <w:tc>
                <w:tcPr>
                  <w:tcW w:w="558" w:type="pct"/>
                  <w:vMerge w:val="continue"/>
                  <w:vAlign w:val="center"/>
                </w:tcPr>
                <w:p w14:paraId="76B5599B">
                  <w:pPr>
                    <w:jc w:val="center"/>
                    <w:rPr>
                      <w:rFonts w:hint="default" w:ascii="Times New Roman" w:hAnsi="Times New Roman" w:eastAsia="宋体" w:cs="Times New Roman"/>
                      <w:color w:val="auto"/>
                    </w:rPr>
                  </w:pPr>
                </w:p>
              </w:tc>
              <w:tc>
                <w:tcPr>
                  <w:tcW w:w="491" w:type="pct"/>
                  <w:vMerge w:val="continue"/>
                  <w:vAlign w:val="center"/>
                </w:tcPr>
                <w:p w14:paraId="420E1FA9">
                  <w:pPr>
                    <w:jc w:val="center"/>
                    <w:rPr>
                      <w:rFonts w:hint="default" w:ascii="Times New Roman" w:hAnsi="Times New Roman" w:eastAsia="宋体" w:cs="Times New Roman"/>
                      <w:color w:val="auto"/>
                    </w:rPr>
                  </w:pPr>
                </w:p>
              </w:tc>
              <w:tc>
                <w:tcPr>
                  <w:tcW w:w="474" w:type="pct"/>
                  <w:vMerge w:val="continue"/>
                  <w:vAlign w:val="center"/>
                </w:tcPr>
                <w:p w14:paraId="693BD0D8">
                  <w:pPr>
                    <w:jc w:val="center"/>
                    <w:rPr>
                      <w:rFonts w:hint="default" w:ascii="Times New Roman" w:hAnsi="Times New Roman" w:eastAsia="宋体" w:cs="Times New Roman"/>
                      <w:color w:val="auto"/>
                    </w:rPr>
                  </w:pPr>
                </w:p>
              </w:tc>
              <w:tc>
                <w:tcPr>
                  <w:tcW w:w="470" w:type="pct"/>
                  <w:vAlign w:val="center"/>
                </w:tcPr>
                <w:p w14:paraId="08DC724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24C9785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9户农户</w:t>
                  </w:r>
                </w:p>
              </w:tc>
              <w:tc>
                <w:tcPr>
                  <w:tcW w:w="552" w:type="pct"/>
                  <w:vAlign w:val="center"/>
                </w:tcPr>
                <w:p w14:paraId="6AD099D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70EEF86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132-500</w:t>
                  </w:r>
                </w:p>
              </w:tc>
              <w:tc>
                <w:tcPr>
                  <w:tcW w:w="735" w:type="pct"/>
                  <w:vMerge w:val="continue"/>
                  <w:vAlign w:val="center"/>
                </w:tcPr>
                <w:p w14:paraId="4E6DAB74">
                  <w:pPr>
                    <w:jc w:val="center"/>
                    <w:rPr>
                      <w:rFonts w:hint="default" w:ascii="Times New Roman" w:hAnsi="Times New Roman" w:eastAsia="宋体" w:cs="Times New Roman"/>
                      <w:color w:val="auto"/>
                    </w:rPr>
                  </w:pPr>
                </w:p>
              </w:tc>
            </w:tr>
            <w:tr w14:paraId="4B7E73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47C7EA2F">
                  <w:pPr>
                    <w:jc w:val="center"/>
                    <w:rPr>
                      <w:rFonts w:hint="default" w:ascii="Times New Roman" w:hAnsi="Times New Roman" w:eastAsia="宋体" w:cs="Times New Roman"/>
                      <w:color w:val="auto"/>
                    </w:rPr>
                  </w:pPr>
                </w:p>
              </w:tc>
              <w:tc>
                <w:tcPr>
                  <w:tcW w:w="558" w:type="pct"/>
                  <w:vMerge w:val="restart"/>
                  <w:vAlign w:val="center"/>
                </w:tcPr>
                <w:p w14:paraId="5472567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105.027798</w:t>
                  </w:r>
                </w:p>
              </w:tc>
              <w:tc>
                <w:tcPr>
                  <w:tcW w:w="491" w:type="pct"/>
                  <w:vMerge w:val="restart"/>
                  <w:vAlign w:val="center"/>
                </w:tcPr>
                <w:p w14:paraId="46D2744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30.391110</w:t>
                  </w:r>
                </w:p>
              </w:tc>
              <w:tc>
                <w:tcPr>
                  <w:tcW w:w="474" w:type="pct"/>
                  <w:vMerge w:val="restart"/>
                  <w:vAlign w:val="center"/>
                </w:tcPr>
                <w:p w14:paraId="71E6DA6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6#</w:t>
                  </w:r>
                </w:p>
              </w:tc>
              <w:tc>
                <w:tcPr>
                  <w:tcW w:w="470" w:type="pct"/>
                  <w:vAlign w:val="center"/>
                </w:tcPr>
                <w:p w14:paraId="7987868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08B4060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9户农户</w:t>
                  </w:r>
                </w:p>
              </w:tc>
              <w:tc>
                <w:tcPr>
                  <w:tcW w:w="552" w:type="pct"/>
                  <w:vAlign w:val="center"/>
                </w:tcPr>
                <w:p w14:paraId="7375F7E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北侧</w:t>
                  </w:r>
                </w:p>
              </w:tc>
              <w:tc>
                <w:tcPr>
                  <w:tcW w:w="582" w:type="pct"/>
                  <w:vAlign w:val="center"/>
                </w:tcPr>
                <w:p w14:paraId="53575D9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129-500</w:t>
                  </w:r>
                </w:p>
              </w:tc>
              <w:tc>
                <w:tcPr>
                  <w:tcW w:w="735" w:type="pct"/>
                  <w:vMerge w:val="continue"/>
                  <w:vAlign w:val="center"/>
                </w:tcPr>
                <w:p w14:paraId="45A0282C">
                  <w:pPr>
                    <w:jc w:val="center"/>
                    <w:rPr>
                      <w:rFonts w:hint="default" w:ascii="Times New Roman" w:hAnsi="Times New Roman" w:eastAsia="宋体" w:cs="Times New Roman"/>
                      <w:color w:val="auto"/>
                    </w:rPr>
                  </w:pPr>
                </w:p>
              </w:tc>
            </w:tr>
            <w:tr w14:paraId="395E42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72A8EC20">
                  <w:pPr>
                    <w:jc w:val="center"/>
                    <w:rPr>
                      <w:rFonts w:hint="default" w:ascii="Times New Roman" w:hAnsi="Times New Roman" w:eastAsia="宋体" w:cs="Times New Roman"/>
                      <w:color w:val="auto"/>
                    </w:rPr>
                  </w:pPr>
                </w:p>
              </w:tc>
              <w:tc>
                <w:tcPr>
                  <w:tcW w:w="558" w:type="pct"/>
                  <w:vMerge w:val="continue"/>
                  <w:vAlign w:val="center"/>
                </w:tcPr>
                <w:p w14:paraId="5861D48A">
                  <w:pPr>
                    <w:jc w:val="center"/>
                    <w:rPr>
                      <w:rFonts w:hint="default" w:ascii="Times New Roman" w:hAnsi="Times New Roman" w:eastAsia="宋体" w:cs="Times New Roman"/>
                      <w:color w:val="auto"/>
                    </w:rPr>
                  </w:pPr>
                </w:p>
              </w:tc>
              <w:tc>
                <w:tcPr>
                  <w:tcW w:w="491" w:type="pct"/>
                  <w:vMerge w:val="continue"/>
                  <w:vAlign w:val="center"/>
                </w:tcPr>
                <w:p w14:paraId="76AD0ADC">
                  <w:pPr>
                    <w:jc w:val="center"/>
                    <w:rPr>
                      <w:rFonts w:hint="default" w:ascii="Times New Roman" w:hAnsi="Times New Roman" w:eastAsia="宋体" w:cs="Times New Roman"/>
                      <w:color w:val="auto"/>
                    </w:rPr>
                  </w:pPr>
                </w:p>
              </w:tc>
              <w:tc>
                <w:tcPr>
                  <w:tcW w:w="474" w:type="pct"/>
                  <w:vMerge w:val="continue"/>
                  <w:vAlign w:val="center"/>
                </w:tcPr>
                <w:p w14:paraId="050D83AD">
                  <w:pPr>
                    <w:jc w:val="center"/>
                    <w:rPr>
                      <w:rFonts w:hint="default" w:ascii="Times New Roman" w:hAnsi="Times New Roman" w:eastAsia="宋体" w:cs="Times New Roman"/>
                      <w:color w:val="auto"/>
                    </w:rPr>
                  </w:pPr>
                </w:p>
              </w:tc>
              <w:tc>
                <w:tcPr>
                  <w:tcW w:w="470" w:type="pct"/>
                  <w:vAlign w:val="center"/>
                </w:tcPr>
                <w:p w14:paraId="46C70A5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5F2EBEC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5户农户</w:t>
                  </w:r>
                </w:p>
              </w:tc>
              <w:tc>
                <w:tcPr>
                  <w:tcW w:w="552" w:type="pct"/>
                  <w:vAlign w:val="center"/>
                </w:tcPr>
                <w:p w14:paraId="6DFD2F9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南侧</w:t>
                  </w:r>
                </w:p>
              </w:tc>
              <w:tc>
                <w:tcPr>
                  <w:tcW w:w="582" w:type="pct"/>
                  <w:vAlign w:val="center"/>
                </w:tcPr>
                <w:p w14:paraId="5186CF8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125-500</w:t>
                  </w:r>
                </w:p>
              </w:tc>
              <w:tc>
                <w:tcPr>
                  <w:tcW w:w="735" w:type="pct"/>
                  <w:vMerge w:val="continue"/>
                  <w:vAlign w:val="center"/>
                </w:tcPr>
                <w:p w14:paraId="4B5CB6FA">
                  <w:pPr>
                    <w:jc w:val="center"/>
                    <w:rPr>
                      <w:rFonts w:hint="default" w:ascii="Times New Roman" w:hAnsi="Times New Roman" w:eastAsia="宋体" w:cs="Times New Roman"/>
                      <w:color w:val="auto"/>
                    </w:rPr>
                  </w:pPr>
                </w:p>
              </w:tc>
            </w:tr>
            <w:tr w14:paraId="44EB86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73DB1F1A">
                  <w:pPr>
                    <w:jc w:val="center"/>
                    <w:rPr>
                      <w:rFonts w:hint="default" w:ascii="Times New Roman" w:hAnsi="Times New Roman" w:eastAsia="宋体" w:cs="Times New Roman"/>
                      <w:color w:val="auto"/>
                    </w:rPr>
                  </w:pPr>
                </w:p>
              </w:tc>
              <w:tc>
                <w:tcPr>
                  <w:tcW w:w="558" w:type="pct"/>
                  <w:vMerge w:val="restart"/>
                  <w:vAlign w:val="center"/>
                </w:tcPr>
                <w:p w14:paraId="3181DBC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105.022648</w:t>
                  </w:r>
                </w:p>
              </w:tc>
              <w:tc>
                <w:tcPr>
                  <w:tcW w:w="491" w:type="pct"/>
                  <w:vMerge w:val="restart"/>
                  <w:vAlign w:val="center"/>
                </w:tcPr>
                <w:p w14:paraId="78BF6C0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30.391797</w:t>
                  </w:r>
                </w:p>
              </w:tc>
              <w:tc>
                <w:tcPr>
                  <w:tcW w:w="474" w:type="pct"/>
                  <w:vMerge w:val="restart"/>
                  <w:vAlign w:val="center"/>
                </w:tcPr>
                <w:p w14:paraId="79A9443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7#</w:t>
                  </w:r>
                </w:p>
              </w:tc>
              <w:tc>
                <w:tcPr>
                  <w:tcW w:w="470" w:type="pct"/>
                  <w:vAlign w:val="center"/>
                </w:tcPr>
                <w:p w14:paraId="6AA3025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4337118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8户农户</w:t>
                  </w:r>
                </w:p>
              </w:tc>
              <w:tc>
                <w:tcPr>
                  <w:tcW w:w="552" w:type="pct"/>
                  <w:vAlign w:val="center"/>
                </w:tcPr>
                <w:p w14:paraId="6037159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7ED1F42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121-500</w:t>
                  </w:r>
                </w:p>
              </w:tc>
              <w:tc>
                <w:tcPr>
                  <w:tcW w:w="735" w:type="pct"/>
                  <w:vMerge w:val="continue"/>
                  <w:vAlign w:val="center"/>
                </w:tcPr>
                <w:p w14:paraId="70FC7ED7">
                  <w:pPr>
                    <w:jc w:val="center"/>
                    <w:rPr>
                      <w:rFonts w:hint="default" w:ascii="Times New Roman" w:hAnsi="Times New Roman" w:eastAsia="宋体" w:cs="Times New Roman"/>
                      <w:color w:val="auto"/>
                    </w:rPr>
                  </w:pPr>
                </w:p>
              </w:tc>
            </w:tr>
            <w:tr w14:paraId="740EAB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420F18AF">
                  <w:pPr>
                    <w:jc w:val="center"/>
                    <w:rPr>
                      <w:rFonts w:hint="default" w:ascii="Times New Roman" w:hAnsi="Times New Roman" w:eastAsia="宋体" w:cs="Times New Roman"/>
                      <w:color w:val="auto"/>
                    </w:rPr>
                  </w:pPr>
                </w:p>
              </w:tc>
              <w:tc>
                <w:tcPr>
                  <w:tcW w:w="558" w:type="pct"/>
                  <w:vMerge w:val="continue"/>
                  <w:vAlign w:val="center"/>
                </w:tcPr>
                <w:p w14:paraId="7FC30088">
                  <w:pPr>
                    <w:jc w:val="center"/>
                    <w:rPr>
                      <w:rFonts w:hint="default" w:ascii="Times New Roman" w:hAnsi="Times New Roman" w:eastAsia="宋体" w:cs="Times New Roman"/>
                      <w:color w:val="auto"/>
                    </w:rPr>
                  </w:pPr>
                </w:p>
              </w:tc>
              <w:tc>
                <w:tcPr>
                  <w:tcW w:w="491" w:type="pct"/>
                  <w:vMerge w:val="continue"/>
                  <w:vAlign w:val="center"/>
                </w:tcPr>
                <w:p w14:paraId="003BEE9A">
                  <w:pPr>
                    <w:jc w:val="center"/>
                    <w:rPr>
                      <w:rFonts w:hint="default" w:ascii="Times New Roman" w:hAnsi="Times New Roman" w:eastAsia="宋体" w:cs="Times New Roman"/>
                      <w:color w:val="auto"/>
                    </w:rPr>
                  </w:pPr>
                </w:p>
              </w:tc>
              <w:tc>
                <w:tcPr>
                  <w:tcW w:w="474" w:type="pct"/>
                  <w:vMerge w:val="continue"/>
                  <w:vAlign w:val="center"/>
                </w:tcPr>
                <w:p w14:paraId="758CD1F0">
                  <w:pPr>
                    <w:jc w:val="center"/>
                    <w:rPr>
                      <w:rFonts w:hint="default" w:ascii="Times New Roman" w:hAnsi="Times New Roman" w:eastAsia="宋体" w:cs="Times New Roman"/>
                      <w:color w:val="auto"/>
                    </w:rPr>
                  </w:pPr>
                </w:p>
              </w:tc>
              <w:tc>
                <w:tcPr>
                  <w:tcW w:w="470" w:type="pct"/>
                  <w:vAlign w:val="center"/>
                </w:tcPr>
                <w:p w14:paraId="081445C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60013AD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6户农户</w:t>
                  </w:r>
                </w:p>
              </w:tc>
              <w:tc>
                <w:tcPr>
                  <w:tcW w:w="552" w:type="pct"/>
                  <w:vAlign w:val="center"/>
                </w:tcPr>
                <w:p w14:paraId="2E5952F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南侧</w:t>
                  </w:r>
                </w:p>
              </w:tc>
              <w:tc>
                <w:tcPr>
                  <w:tcW w:w="582" w:type="pct"/>
                  <w:vAlign w:val="center"/>
                </w:tcPr>
                <w:p w14:paraId="38EFC8A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156-500</w:t>
                  </w:r>
                </w:p>
              </w:tc>
              <w:tc>
                <w:tcPr>
                  <w:tcW w:w="735" w:type="pct"/>
                  <w:vMerge w:val="continue"/>
                  <w:vAlign w:val="center"/>
                </w:tcPr>
                <w:p w14:paraId="2F43012D">
                  <w:pPr>
                    <w:jc w:val="center"/>
                    <w:rPr>
                      <w:rFonts w:hint="default" w:ascii="Times New Roman" w:hAnsi="Times New Roman" w:eastAsia="宋体" w:cs="Times New Roman"/>
                      <w:color w:val="auto"/>
                    </w:rPr>
                  </w:pPr>
                </w:p>
              </w:tc>
            </w:tr>
            <w:tr w14:paraId="2138AF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12E30ED7">
                  <w:pPr>
                    <w:jc w:val="center"/>
                    <w:rPr>
                      <w:rFonts w:hint="default" w:ascii="Times New Roman" w:hAnsi="Times New Roman" w:eastAsia="宋体" w:cs="Times New Roman"/>
                      <w:color w:val="auto"/>
                    </w:rPr>
                  </w:pPr>
                </w:p>
              </w:tc>
              <w:tc>
                <w:tcPr>
                  <w:tcW w:w="558" w:type="pct"/>
                  <w:vMerge w:val="continue"/>
                  <w:vAlign w:val="center"/>
                </w:tcPr>
                <w:p w14:paraId="03C85068">
                  <w:pPr>
                    <w:jc w:val="center"/>
                    <w:rPr>
                      <w:rFonts w:hint="default" w:ascii="Times New Roman" w:hAnsi="Times New Roman" w:eastAsia="宋体" w:cs="Times New Roman"/>
                      <w:color w:val="auto"/>
                    </w:rPr>
                  </w:pPr>
                </w:p>
              </w:tc>
              <w:tc>
                <w:tcPr>
                  <w:tcW w:w="491" w:type="pct"/>
                  <w:vMerge w:val="continue"/>
                  <w:vAlign w:val="center"/>
                </w:tcPr>
                <w:p w14:paraId="1691141E">
                  <w:pPr>
                    <w:jc w:val="center"/>
                    <w:rPr>
                      <w:rFonts w:hint="default" w:ascii="Times New Roman" w:hAnsi="Times New Roman" w:eastAsia="宋体" w:cs="Times New Roman"/>
                      <w:color w:val="auto"/>
                    </w:rPr>
                  </w:pPr>
                </w:p>
              </w:tc>
              <w:tc>
                <w:tcPr>
                  <w:tcW w:w="474" w:type="pct"/>
                  <w:vMerge w:val="continue"/>
                  <w:vAlign w:val="center"/>
                </w:tcPr>
                <w:p w14:paraId="19D3F23C">
                  <w:pPr>
                    <w:jc w:val="center"/>
                    <w:rPr>
                      <w:rFonts w:hint="default" w:ascii="Times New Roman" w:hAnsi="Times New Roman" w:eastAsia="宋体" w:cs="Times New Roman"/>
                      <w:color w:val="auto"/>
                    </w:rPr>
                  </w:pPr>
                </w:p>
              </w:tc>
              <w:tc>
                <w:tcPr>
                  <w:tcW w:w="470" w:type="pct"/>
                  <w:vAlign w:val="center"/>
                </w:tcPr>
                <w:p w14:paraId="7FDD3CA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05CE3FF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15户农户</w:t>
                  </w:r>
                </w:p>
              </w:tc>
              <w:tc>
                <w:tcPr>
                  <w:tcW w:w="552" w:type="pct"/>
                  <w:vAlign w:val="center"/>
                </w:tcPr>
                <w:p w14:paraId="3E6637C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25FD8A1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103-500</w:t>
                  </w:r>
                </w:p>
              </w:tc>
              <w:tc>
                <w:tcPr>
                  <w:tcW w:w="735" w:type="pct"/>
                  <w:vMerge w:val="continue"/>
                  <w:vAlign w:val="center"/>
                </w:tcPr>
                <w:p w14:paraId="28B975CC">
                  <w:pPr>
                    <w:jc w:val="center"/>
                    <w:rPr>
                      <w:rFonts w:hint="default" w:ascii="Times New Roman" w:hAnsi="Times New Roman" w:eastAsia="宋体" w:cs="Times New Roman"/>
                      <w:color w:val="auto"/>
                    </w:rPr>
                  </w:pPr>
                </w:p>
              </w:tc>
            </w:tr>
            <w:tr w14:paraId="5023D8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300A3398">
                  <w:pPr>
                    <w:jc w:val="center"/>
                    <w:rPr>
                      <w:rFonts w:hint="default" w:ascii="Times New Roman" w:hAnsi="Times New Roman" w:eastAsia="宋体" w:cs="Times New Roman"/>
                      <w:color w:val="auto"/>
                    </w:rPr>
                  </w:pPr>
                </w:p>
              </w:tc>
              <w:tc>
                <w:tcPr>
                  <w:tcW w:w="558" w:type="pct"/>
                  <w:vMerge w:val="restart"/>
                  <w:vAlign w:val="center"/>
                </w:tcPr>
                <w:p w14:paraId="38B913A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105.015739</w:t>
                  </w:r>
                </w:p>
              </w:tc>
              <w:tc>
                <w:tcPr>
                  <w:tcW w:w="491" w:type="pct"/>
                  <w:vMerge w:val="restart"/>
                  <w:vAlign w:val="center"/>
                </w:tcPr>
                <w:p w14:paraId="3576037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30.381325</w:t>
                  </w:r>
                </w:p>
              </w:tc>
              <w:tc>
                <w:tcPr>
                  <w:tcW w:w="474" w:type="pct"/>
                  <w:vMerge w:val="restart"/>
                  <w:vAlign w:val="center"/>
                </w:tcPr>
                <w:p w14:paraId="1558EA4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8#</w:t>
                  </w:r>
                </w:p>
              </w:tc>
              <w:tc>
                <w:tcPr>
                  <w:tcW w:w="470" w:type="pct"/>
                  <w:vAlign w:val="center"/>
                </w:tcPr>
                <w:p w14:paraId="1DBE60F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1E32C33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7户农户</w:t>
                  </w:r>
                </w:p>
              </w:tc>
              <w:tc>
                <w:tcPr>
                  <w:tcW w:w="552" w:type="pct"/>
                  <w:vAlign w:val="center"/>
                </w:tcPr>
                <w:p w14:paraId="6C3249D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北侧</w:t>
                  </w:r>
                </w:p>
              </w:tc>
              <w:tc>
                <w:tcPr>
                  <w:tcW w:w="582" w:type="pct"/>
                  <w:vAlign w:val="center"/>
                </w:tcPr>
                <w:p w14:paraId="5787D62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115-500</w:t>
                  </w:r>
                </w:p>
              </w:tc>
              <w:tc>
                <w:tcPr>
                  <w:tcW w:w="735" w:type="pct"/>
                  <w:vMerge w:val="continue"/>
                  <w:vAlign w:val="center"/>
                </w:tcPr>
                <w:p w14:paraId="6DB75A59">
                  <w:pPr>
                    <w:jc w:val="center"/>
                    <w:rPr>
                      <w:rFonts w:hint="default" w:ascii="Times New Roman" w:hAnsi="Times New Roman" w:eastAsia="宋体" w:cs="Times New Roman"/>
                      <w:color w:val="auto"/>
                    </w:rPr>
                  </w:pPr>
                </w:p>
              </w:tc>
            </w:tr>
            <w:tr w14:paraId="2B2AEF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04F96D32">
                  <w:pPr>
                    <w:jc w:val="center"/>
                    <w:rPr>
                      <w:rFonts w:hint="default" w:ascii="Times New Roman" w:hAnsi="Times New Roman" w:eastAsia="宋体" w:cs="Times New Roman"/>
                      <w:color w:val="auto"/>
                    </w:rPr>
                  </w:pPr>
                </w:p>
              </w:tc>
              <w:tc>
                <w:tcPr>
                  <w:tcW w:w="558" w:type="pct"/>
                  <w:vMerge w:val="continue"/>
                  <w:vAlign w:val="center"/>
                </w:tcPr>
                <w:p w14:paraId="733C2E2B">
                  <w:pPr>
                    <w:jc w:val="center"/>
                    <w:rPr>
                      <w:rFonts w:hint="default" w:ascii="Times New Roman" w:hAnsi="Times New Roman" w:eastAsia="宋体" w:cs="Times New Roman"/>
                      <w:color w:val="auto"/>
                    </w:rPr>
                  </w:pPr>
                </w:p>
              </w:tc>
              <w:tc>
                <w:tcPr>
                  <w:tcW w:w="491" w:type="pct"/>
                  <w:vMerge w:val="continue"/>
                  <w:vAlign w:val="center"/>
                </w:tcPr>
                <w:p w14:paraId="2F700029">
                  <w:pPr>
                    <w:jc w:val="center"/>
                    <w:rPr>
                      <w:rFonts w:hint="default" w:ascii="Times New Roman" w:hAnsi="Times New Roman" w:eastAsia="宋体" w:cs="Times New Roman"/>
                      <w:color w:val="auto"/>
                    </w:rPr>
                  </w:pPr>
                </w:p>
              </w:tc>
              <w:tc>
                <w:tcPr>
                  <w:tcW w:w="474" w:type="pct"/>
                  <w:vMerge w:val="continue"/>
                  <w:vAlign w:val="center"/>
                </w:tcPr>
                <w:p w14:paraId="190875E0">
                  <w:pPr>
                    <w:jc w:val="center"/>
                    <w:rPr>
                      <w:rFonts w:hint="default" w:ascii="Times New Roman" w:hAnsi="Times New Roman" w:eastAsia="宋体" w:cs="Times New Roman"/>
                      <w:color w:val="auto"/>
                    </w:rPr>
                  </w:pPr>
                </w:p>
              </w:tc>
              <w:tc>
                <w:tcPr>
                  <w:tcW w:w="470" w:type="pct"/>
                  <w:vAlign w:val="center"/>
                </w:tcPr>
                <w:p w14:paraId="0C1294C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2E775FC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8户农户</w:t>
                  </w:r>
                </w:p>
              </w:tc>
              <w:tc>
                <w:tcPr>
                  <w:tcW w:w="552" w:type="pct"/>
                  <w:vAlign w:val="center"/>
                </w:tcPr>
                <w:p w14:paraId="502C9B9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南侧</w:t>
                  </w:r>
                </w:p>
              </w:tc>
              <w:tc>
                <w:tcPr>
                  <w:tcW w:w="582" w:type="pct"/>
                  <w:vAlign w:val="center"/>
                </w:tcPr>
                <w:p w14:paraId="578A505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125-500</w:t>
                  </w:r>
                </w:p>
              </w:tc>
              <w:tc>
                <w:tcPr>
                  <w:tcW w:w="735" w:type="pct"/>
                  <w:vMerge w:val="continue"/>
                  <w:vAlign w:val="center"/>
                </w:tcPr>
                <w:p w14:paraId="11F23417">
                  <w:pPr>
                    <w:jc w:val="center"/>
                    <w:rPr>
                      <w:rFonts w:hint="default" w:ascii="Times New Roman" w:hAnsi="Times New Roman" w:eastAsia="宋体" w:cs="Times New Roman"/>
                      <w:color w:val="auto"/>
                    </w:rPr>
                  </w:pPr>
                </w:p>
              </w:tc>
            </w:tr>
            <w:tr w14:paraId="7D0FAE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0B512D13">
                  <w:pPr>
                    <w:jc w:val="center"/>
                    <w:rPr>
                      <w:rFonts w:hint="default" w:ascii="Times New Roman" w:hAnsi="Times New Roman" w:eastAsia="宋体" w:cs="Times New Roman"/>
                      <w:color w:val="auto"/>
                    </w:rPr>
                  </w:pPr>
                </w:p>
              </w:tc>
              <w:tc>
                <w:tcPr>
                  <w:tcW w:w="558" w:type="pct"/>
                  <w:vMerge w:val="restart"/>
                  <w:vAlign w:val="center"/>
                </w:tcPr>
                <w:p w14:paraId="72DE954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105.024408</w:t>
                  </w:r>
                </w:p>
              </w:tc>
              <w:tc>
                <w:tcPr>
                  <w:tcW w:w="491" w:type="pct"/>
                  <w:vMerge w:val="restart"/>
                  <w:vAlign w:val="center"/>
                </w:tcPr>
                <w:p w14:paraId="0C62B73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30.38227</w:t>
                  </w:r>
                </w:p>
              </w:tc>
              <w:tc>
                <w:tcPr>
                  <w:tcW w:w="474" w:type="pct"/>
                  <w:vMerge w:val="restart"/>
                  <w:vAlign w:val="center"/>
                </w:tcPr>
                <w:p w14:paraId="49D92F2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9#</w:t>
                  </w:r>
                </w:p>
              </w:tc>
              <w:tc>
                <w:tcPr>
                  <w:tcW w:w="470" w:type="pct"/>
                  <w:vAlign w:val="center"/>
                </w:tcPr>
                <w:p w14:paraId="7AA5565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7E01F49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5户农户</w:t>
                  </w:r>
                </w:p>
              </w:tc>
              <w:tc>
                <w:tcPr>
                  <w:tcW w:w="552" w:type="pct"/>
                  <w:vAlign w:val="center"/>
                </w:tcPr>
                <w:p w14:paraId="32E0031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北侧</w:t>
                  </w:r>
                </w:p>
              </w:tc>
              <w:tc>
                <w:tcPr>
                  <w:tcW w:w="582" w:type="pct"/>
                  <w:vAlign w:val="center"/>
                </w:tcPr>
                <w:p w14:paraId="57ADD42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121-500</w:t>
                  </w:r>
                </w:p>
              </w:tc>
              <w:tc>
                <w:tcPr>
                  <w:tcW w:w="735" w:type="pct"/>
                  <w:vMerge w:val="continue"/>
                  <w:vAlign w:val="center"/>
                </w:tcPr>
                <w:p w14:paraId="0E88BA23">
                  <w:pPr>
                    <w:jc w:val="center"/>
                    <w:rPr>
                      <w:rFonts w:hint="default" w:ascii="Times New Roman" w:hAnsi="Times New Roman" w:eastAsia="宋体" w:cs="Times New Roman"/>
                      <w:color w:val="auto"/>
                    </w:rPr>
                  </w:pPr>
                </w:p>
              </w:tc>
            </w:tr>
            <w:tr w14:paraId="37FF62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0770FAB8">
                  <w:pPr>
                    <w:jc w:val="center"/>
                    <w:rPr>
                      <w:rFonts w:hint="default" w:ascii="Times New Roman" w:hAnsi="Times New Roman" w:eastAsia="宋体" w:cs="Times New Roman"/>
                      <w:color w:val="auto"/>
                    </w:rPr>
                  </w:pPr>
                </w:p>
              </w:tc>
              <w:tc>
                <w:tcPr>
                  <w:tcW w:w="558" w:type="pct"/>
                  <w:vMerge w:val="continue"/>
                  <w:vAlign w:val="center"/>
                </w:tcPr>
                <w:p w14:paraId="2A0A36BF">
                  <w:pPr>
                    <w:jc w:val="center"/>
                    <w:rPr>
                      <w:rFonts w:hint="default" w:ascii="Times New Roman" w:hAnsi="Times New Roman" w:eastAsia="宋体" w:cs="Times New Roman"/>
                      <w:color w:val="auto"/>
                    </w:rPr>
                  </w:pPr>
                </w:p>
              </w:tc>
              <w:tc>
                <w:tcPr>
                  <w:tcW w:w="491" w:type="pct"/>
                  <w:vMerge w:val="continue"/>
                  <w:vAlign w:val="center"/>
                </w:tcPr>
                <w:p w14:paraId="333A2FE2">
                  <w:pPr>
                    <w:jc w:val="center"/>
                    <w:rPr>
                      <w:rFonts w:hint="default" w:ascii="Times New Roman" w:hAnsi="Times New Roman" w:eastAsia="宋体" w:cs="Times New Roman"/>
                      <w:color w:val="auto"/>
                    </w:rPr>
                  </w:pPr>
                </w:p>
              </w:tc>
              <w:tc>
                <w:tcPr>
                  <w:tcW w:w="474" w:type="pct"/>
                  <w:vMerge w:val="continue"/>
                  <w:vAlign w:val="center"/>
                </w:tcPr>
                <w:p w14:paraId="7D28D7C4">
                  <w:pPr>
                    <w:jc w:val="center"/>
                    <w:rPr>
                      <w:rFonts w:hint="default" w:ascii="Times New Roman" w:hAnsi="Times New Roman" w:eastAsia="宋体" w:cs="Times New Roman"/>
                      <w:color w:val="auto"/>
                    </w:rPr>
                  </w:pPr>
                </w:p>
              </w:tc>
              <w:tc>
                <w:tcPr>
                  <w:tcW w:w="470" w:type="pct"/>
                  <w:vAlign w:val="center"/>
                </w:tcPr>
                <w:p w14:paraId="352B595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40D5FDF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5户农户</w:t>
                  </w:r>
                </w:p>
              </w:tc>
              <w:tc>
                <w:tcPr>
                  <w:tcW w:w="552" w:type="pct"/>
                  <w:vAlign w:val="center"/>
                </w:tcPr>
                <w:p w14:paraId="03A59C4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7998B8F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78-500</w:t>
                  </w:r>
                </w:p>
              </w:tc>
              <w:tc>
                <w:tcPr>
                  <w:tcW w:w="735" w:type="pct"/>
                  <w:vMerge w:val="continue"/>
                  <w:vAlign w:val="center"/>
                </w:tcPr>
                <w:p w14:paraId="4D90F645">
                  <w:pPr>
                    <w:jc w:val="center"/>
                    <w:rPr>
                      <w:rFonts w:hint="default" w:ascii="Times New Roman" w:hAnsi="Times New Roman" w:eastAsia="宋体" w:cs="Times New Roman"/>
                      <w:color w:val="auto"/>
                    </w:rPr>
                  </w:pPr>
                </w:p>
              </w:tc>
            </w:tr>
            <w:tr w14:paraId="3E9B12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22748F30">
                  <w:pPr>
                    <w:jc w:val="center"/>
                    <w:rPr>
                      <w:rFonts w:hint="default" w:ascii="Times New Roman" w:hAnsi="Times New Roman" w:eastAsia="宋体" w:cs="Times New Roman"/>
                      <w:color w:val="auto"/>
                    </w:rPr>
                  </w:pPr>
                </w:p>
              </w:tc>
              <w:tc>
                <w:tcPr>
                  <w:tcW w:w="558" w:type="pct"/>
                  <w:vMerge w:val="continue"/>
                  <w:vAlign w:val="center"/>
                </w:tcPr>
                <w:p w14:paraId="3A888E24">
                  <w:pPr>
                    <w:jc w:val="center"/>
                    <w:rPr>
                      <w:rFonts w:hint="default" w:ascii="Times New Roman" w:hAnsi="Times New Roman" w:eastAsia="宋体" w:cs="Times New Roman"/>
                      <w:color w:val="auto"/>
                    </w:rPr>
                  </w:pPr>
                </w:p>
              </w:tc>
              <w:tc>
                <w:tcPr>
                  <w:tcW w:w="491" w:type="pct"/>
                  <w:vMerge w:val="continue"/>
                  <w:vAlign w:val="center"/>
                </w:tcPr>
                <w:p w14:paraId="5AF934B6">
                  <w:pPr>
                    <w:jc w:val="center"/>
                    <w:rPr>
                      <w:rFonts w:hint="default" w:ascii="Times New Roman" w:hAnsi="Times New Roman" w:eastAsia="宋体" w:cs="Times New Roman"/>
                      <w:color w:val="auto"/>
                    </w:rPr>
                  </w:pPr>
                </w:p>
              </w:tc>
              <w:tc>
                <w:tcPr>
                  <w:tcW w:w="474" w:type="pct"/>
                  <w:vMerge w:val="continue"/>
                  <w:vAlign w:val="center"/>
                </w:tcPr>
                <w:p w14:paraId="06AEE559">
                  <w:pPr>
                    <w:jc w:val="center"/>
                    <w:rPr>
                      <w:rFonts w:hint="default" w:ascii="Times New Roman" w:hAnsi="Times New Roman" w:eastAsia="宋体" w:cs="Times New Roman"/>
                      <w:color w:val="auto"/>
                    </w:rPr>
                  </w:pPr>
                </w:p>
              </w:tc>
              <w:tc>
                <w:tcPr>
                  <w:tcW w:w="470" w:type="pct"/>
                  <w:vAlign w:val="center"/>
                </w:tcPr>
                <w:p w14:paraId="79C4FE4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40DE4A5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6户农户</w:t>
                  </w:r>
                </w:p>
              </w:tc>
              <w:tc>
                <w:tcPr>
                  <w:tcW w:w="552" w:type="pct"/>
                  <w:vAlign w:val="center"/>
                </w:tcPr>
                <w:p w14:paraId="7F512DB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南西侧</w:t>
                  </w:r>
                </w:p>
              </w:tc>
              <w:tc>
                <w:tcPr>
                  <w:tcW w:w="582" w:type="pct"/>
                  <w:vAlign w:val="center"/>
                </w:tcPr>
                <w:p w14:paraId="1F2ECBA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91-500</w:t>
                  </w:r>
                </w:p>
              </w:tc>
              <w:tc>
                <w:tcPr>
                  <w:tcW w:w="735" w:type="pct"/>
                  <w:vMerge w:val="continue"/>
                  <w:vAlign w:val="center"/>
                </w:tcPr>
                <w:p w14:paraId="3C038556">
                  <w:pPr>
                    <w:jc w:val="center"/>
                    <w:rPr>
                      <w:rFonts w:hint="default" w:ascii="Times New Roman" w:hAnsi="Times New Roman" w:eastAsia="宋体" w:cs="Times New Roman"/>
                      <w:color w:val="auto"/>
                    </w:rPr>
                  </w:pPr>
                </w:p>
              </w:tc>
            </w:tr>
            <w:tr w14:paraId="2E39F3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41A55B85">
                  <w:pPr>
                    <w:jc w:val="center"/>
                    <w:rPr>
                      <w:rFonts w:hint="default" w:ascii="Times New Roman" w:hAnsi="Times New Roman" w:eastAsia="宋体" w:cs="Times New Roman"/>
                      <w:color w:val="auto"/>
                    </w:rPr>
                  </w:pPr>
                </w:p>
              </w:tc>
              <w:tc>
                <w:tcPr>
                  <w:tcW w:w="558" w:type="pct"/>
                  <w:vMerge w:val="restart"/>
                  <w:vAlign w:val="center"/>
                </w:tcPr>
                <w:p w14:paraId="6585F46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105.020803</w:t>
                  </w:r>
                </w:p>
              </w:tc>
              <w:tc>
                <w:tcPr>
                  <w:tcW w:w="491" w:type="pct"/>
                  <w:vMerge w:val="restart"/>
                  <w:vAlign w:val="center"/>
                </w:tcPr>
                <w:p w14:paraId="3530DFB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30.375704</w:t>
                  </w:r>
                </w:p>
              </w:tc>
              <w:tc>
                <w:tcPr>
                  <w:tcW w:w="474" w:type="pct"/>
                  <w:vMerge w:val="restart"/>
                  <w:vAlign w:val="center"/>
                </w:tcPr>
                <w:p w14:paraId="331F794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w:t>
                  </w:r>
                </w:p>
              </w:tc>
              <w:tc>
                <w:tcPr>
                  <w:tcW w:w="470" w:type="pct"/>
                  <w:vAlign w:val="center"/>
                </w:tcPr>
                <w:p w14:paraId="413613D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741743F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21户农户</w:t>
                  </w:r>
                </w:p>
              </w:tc>
              <w:tc>
                <w:tcPr>
                  <w:tcW w:w="552" w:type="pct"/>
                  <w:vAlign w:val="center"/>
                </w:tcPr>
                <w:p w14:paraId="4E971F1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259093F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131-500</w:t>
                  </w:r>
                </w:p>
              </w:tc>
              <w:tc>
                <w:tcPr>
                  <w:tcW w:w="735" w:type="pct"/>
                  <w:vMerge w:val="continue"/>
                  <w:vAlign w:val="center"/>
                </w:tcPr>
                <w:p w14:paraId="7842793B">
                  <w:pPr>
                    <w:jc w:val="center"/>
                    <w:rPr>
                      <w:rFonts w:hint="default" w:ascii="Times New Roman" w:hAnsi="Times New Roman" w:eastAsia="宋体" w:cs="Times New Roman"/>
                      <w:color w:val="auto"/>
                    </w:rPr>
                  </w:pPr>
                </w:p>
              </w:tc>
            </w:tr>
            <w:tr w14:paraId="16432E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4C322E70">
                  <w:pPr>
                    <w:jc w:val="center"/>
                    <w:rPr>
                      <w:rFonts w:hint="default" w:ascii="Times New Roman" w:hAnsi="Times New Roman" w:eastAsia="宋体" w:cs="Times New Roman"/>
                      <w:color w:val="auto"/>
                    </w:rPr>
                  </w:pPr>
                </w:p>
              </w:tc>
              <w:tc>
                <w:tcPr>
                  <w:tcW w:w="558" w:type="pct"/>
                  <w:vMerge w:val="continue"/>
                  <w:vAlign w:val="center"/>
                </w:tcPr>
                <w:p w14:paraId="1BF190DD">
                  <w:pPr>
                    <w:jc w:val="center"/>
                    <w:rPr>
                      <w:rFonts w:hint="default" w:ascii="Times New Roman" w:hAnsi="Times New Roman" w:eastAsia="宋体" w:cs="Times New Roman"/>
                      <w:color w:val="auto"/>
                    </w:rPr>
                  </w:pPr>
                </w:p>
              </w:tc>
              <w:tc>
                <w:tcPr>
                  <w:tcW w:w="491" w:type="pct"/>
                  <w:vMerge w:val="continue"/>
                  <w:vAlign w:val="center"/>
                </w:tcPr>
                <w:p w14:paraId="27F057C9">
                  <w:pPr>
                    <w:jc w:val="center"/>
                    <w:rPr>
                      <w:rFonts w:hint="default" w:ascii="Times New Roman" w:hAnsi="Times New Roman" w:eastAsia="宋体" w:cs="Times New Roman"/>
                      <w:color w:val="auto"/>
                    </w:rPr>
                  </w:pPr>
                </w:p>
              </w:tc>
              <w:tc>
                <w:tcPr>
                  <w:tcW w:w="474" w:type="pct"/>
                  <w:vMerge w:val="continue"/>
                  <w:vAlign w:val="center"/>
                </w:tcPr>
                <w:p w14:paraId="131DDA64">
                  <w:pPr>
                    <w:jc w:val="center"/>
                    <w:rPr>
                      <w:rFonts w:hint="default" w:ascii="Times New Roman" w:hAnsi="Times New Roman" w:eastAsia="宋体" w:cs="Times New Roman"/>
                      <w:color w:val="auto"/>
                    </w:rPr>
                  </w:pPr>
                </w:p>
              </w:tc>
              <w:tc>
                <w:tcPr>
                  <w:tcW w:w="470" w:type="pct"/>
                  <w:vAlign w:val="center"/>
                </w:tcPr>
                <w:p w14:paraId="1416900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2EF8001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8户农户</w:t>
                  </w:r>
                </w:p>
              </w:tc>
              <w:tc>
                <w:tcPr>
                  <w:tcW w:w="552" w:type="pct"/>
                  <w:vAlign w:val="center"/>
                </w:tcPr>
                <w:p w14:paraId="72208E7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4BDE693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93-500</w:t>
                  </w:r>
                </w:p>
              </w:tc>
              <w:tc>
                <w:tcPr>
                  <w:tcW w:w="735" w:type="pct"/>
                  <w:vMerge w:val="continue"/>
                  <w:vAlign w:val="center"/>
                </w:tcPr>
                <w:p w14:paraId="55CF59DB">
                  <w:pPr>
                    <w:jc w:val="center"/>
                    <w:rPr>
                      <w:rFonts w:hint="default" w:ascii="Times New Roman" w:hAnsi="Times New Roman" w:eastAsia="宋体" w:cs="Times New Roman"/>
                      <w:color w:val="auto"/>
                    </w:rPr>
                  </w:pPr>
                </w:p>
              </w:tc>
            </w:tr>
            <w:tr w14:paraId="7E4862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21C3503A">
                  <w:pPr>
                    <w:jc w:val="center"/>
                    <w:rPr>
                      <w:rFonts w:hint="default" w:ascii="Times New Roman" w:hAnsi="Times New Roman" w:eastAsia="宋体" w:cs="Times New Roman"/>
                      <w:color w:val="auto"/>
                    </w:rPr>
                  </w:pPr>
                </w:p>
              </w:tc>
              <w:tc>
                <w:tcPr>
                  <w:tcW w:w="558" w:type="pct"/>
                  <w:vMerge w:val="restart"/>
                  <w:vAlign w:val="center"/>
                </w:tcPr>
                <w:p w14:paraId="37F53A0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105.0370684</w:t>
                  </w:r>
                </w:p>
              </w:tc>
              <w:tc>
                <w:tcPr>
                  <w:tcW w:w="491" w:type="pct"/>
                  <w:vMerge w:val="restart"/>
                  <w:vAlign w:val="center"/>
                </w:tcPr>
                <w:p w14:paraId="61450D0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30.385016</w:t>
                  </w:r>
                </w:p>
              </w:tc>
              <w:tc>
                <w:tcPr>
                  <w:tcW w:w="474" w:type="pct"/>
                  <w:vMerge w:val="restart"/>
                  <w:vAlign w:val="center"/>
                </w:tcPr>
                <w:p w14:paraId="35F425A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11#</w:t>
                  </w:r>
                </w:p>
              </w:tc>
              <w:tc>
                <w:tcPr>
                  <w:tcW w:w="470" w:type="pct"/>
                  <w:vAlign w:val="center"/>
                </w:tcPr>
                <w:p w14:paraId="0BA3F78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5588608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9户农户</w:t>
                  </w:r>
                </w:p>
              </w:tc>
              <w:tc>
                <w:tcPr>
                  <w:tcW w:w="552" w:type="pct"/>
                  <w:vAlign w:val="center"/>
                </w:tcPr>
                <w:p w14:paraId="15D3CA3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北侧</w:t>
                  </w:r>
                </w:p>
              </w:tc>
              <w:tc>
                <w:tcPr>
                  <w:tcW w:w="582" w:type="pct"/>
                  <w:vAlign w:val="center"/>
                </w:tcPr>
                <w:p w14:paraId="5D9A617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125-500</w:t>
                  </w:r>
                </w:p>
              </w:tc>
              <w:tc>
                <w:tcPr>
                  <w:tcW w:w="735" w:type="pct"/>
                  <w:vMerge w:val="continue"/>
                  <w:vAlign w:val="center"/>
                </w:tcPr>
                <w:p w14:paraId="6A727B00">
                  <w:pPr>
                    <w:jc w:val="center"/>
                    <w:rPr>
                      <w:rFonts w:hint="default" w:ascii="Times New Roman" w:hAnsi="Times New Roman" w:eastAsia="宋体" w:cs="Times New Roman"/>
                      <w:color w:val="auto"/>
                    </w:rPr>
                  </w:pPr>
                </w:p>
              </w:tc>
            </w:tr>
            <w:tr w14:paraId="56F749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725800E0">
                  <w:pPr>
                    <w:jc w:val="center"/>
                    <w:rPr>
                      <w:rFonts w:hint="default" w:ascii="Times New Roman" w:hAnsi="Times New Roman" w:eastAsia="宋体" w:cs="Times New Roman"/>
                      <w:color w:val="auto"/>
                    </w:rPr>
                  </w:pPr>
                </w:p>
              </w:tc>
              <w:tc>
                <w:tcPr>
                  <w:tcW w:w="558" w:type="pct"/>
                  <w:vMerge w:val="continue"/>
                  <w:vAlign w:val="center"/>
                </w:tcPr>
                <w:p w14:paraId="2528097B">
                  <w:pPr>
                    <w:jc w:val="center"/>
                    <w:rPr>
                      <w:rFonts w:hint="default" w:ascii="Times New Roman" w:hAnsi="Times New Roman" w:eastAsia="宋体" w:cs="Times New Roman"/>
                      <w:color w:val="auto"/>
                    </w:rPr>
                  </w:pPr>
                </w:p>
              </w:tc>
              <w:tc>
                <w:tcPr>
                  <w:tcW w:w="491" w:type="pct"/>
                  <w:vMerge w:val="continue"/>
                  <w:vAlign w:val="center"/>
                </w:tcPr>
                <w:p w14:paraId="5885A6AD">
                  <w:pPr>
                    <w:jc w:val="center"/>
                    <w:rPr>
                      <w:rFonts w:hint="default" w:ascii="Times New Roman" w:hAnsi="Times New Roman" w:eastAsia="宋体" w:cs="Times New Roman"/>
                      <w:color w:val="auto"/>
                    </w:rPr>
                  </w:pPr>
                </w:p>
              </w:tc>
              <w:tc>
                <w:tcPr>
                  <w:tcW w:w="474" w:type="pct"/>
                  <w:vMerge w:val="continue"/>
                  <w:vAlign w:val="center"/>
                </w:tcPr>
                <w:p w14:paraId="645E7B0A">
                  <w:pPr>
                    <w:jc w:val="center"/>
                    <w:rPr>
                      <w:rFonts w:hint="default" w:ascii="Times New Roman" w:hAnsi="Times New Roman" w:eastAsia="宋体" w:cs="Times New Roman"/>
                      <w:color w:val="auto"/>
                    </w:rPr>
                  </w:pPr>
                </w:p>
              </w:tc>
              <w:tc>
                <w:tcPr>
                  <w:tcW w:w="470" w:type="pct"/>
                  <w:vAlign w:val="center"/>
                </w:tcPr>
                <w:p w14:paraId="3211B59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61965F1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8户农户</w:t>
                  </w:r>
                </w:p>
              </w:tc>
              <w:tc>
                <w:tcPr>
                  <w:tcW w:w="552" w:type="pct"/>
                  <w:vAlign w:val="center"/>
                </w:tcPr>
                <w:p w14:paraId="07C3A46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南侧</w:t>
                  </w:r>
                </w:p>
              </w:tc>
              <w:tc>
                <w:tcPr>
                  <w:tcW w:w="582" w:type="pct"/>
                  <w:vAlign w:val="center"/>
                </w:tcPr>
                <w:p w14:paraId="4475D72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95-500</w:t>
                  </w:r>
                </w:p>
              </w:tc>
              <w:tc>
                <w:tcPr>
                  <w:tcW w:w="735" w:type="pct"/>
                  <w:vMerge w:val="continue"/>
                  <w:vAlign w:val="center"/>
                </w:tcPr>
                <w:p w14:paraId="5E953E85">
                  <w:pPr>
                    <w:jc w:val="center"/>
                    <w:rPr>
                      <w:rFonts w:hint="default" w:ascii="Times New Roman" w:hAnsi="Times New Roman" w:eastAsia="宋体" w:cs="Times New Roman"/>
                      <w:color w:val="auto"/>
                    </w:rPr>
                  </w:pPr>
                </w:p>
              </w:tc>
            </w:tr>
            <w:tr w14:paraId="49BFAC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6F7BFEA1">
                  <w:pPr>
                    <w:jc w:val="center"/>
                    <w:rPr>
                      <w:rFonts w:hint="default" w:ascii="Times New Roman" w:hAnsi="Times New Roman" w:eastAsia="宋体" w:cs="Times New Roman"/>
                      <w:color w:val="auto"/>
                    </w:rPr>
                  </w:pPr>
                </w:p>
              </w:tc>
              <w:tc>
                <w:tcPr>
                  <w:tcW w:w="558" w:type="pct"/>
                  <w:vMerge w:val="restart"/>
                  <w:vAlign w:val="center"/>
                </w:tcPr>
                <w:p w14:paraId="257C2B7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105.043763</w:t>
                  </w:r>
                </w:p>
              </w:tc>
              <w:tc>
                <w:tcPr>
                  <w:tcW w:w="491" w:type="pct"/>
                  <w:vMerge w:val="restart"/>
                  <w:vAlign w:val="center"/>
                </w:tcPr>
                <w:p w14:paraId="4B8A7AA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30.383257</w:t>
                  </w:r>
                </w:p>
              </w:tc>
              <w:tc>
                <w:tcPr>
                  <w:tcW w:w="474" w:type="pct"/>
                  <w:vMerge w:val="restart"/>
                  <w:vAlign w:val="center"/>
                </w:tcPr>
                <w:p w14:paraId="0F73710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12#、13#</w:t>
                  </w:r>
                </w:p>
              </w:tc>
              <w:tc>
                <w:tcPr>
                  <w:tcW w:w="470" w:type="pct"/>
                  <w:vAlign w:val="center"/>
                </w:tcPr>
                <w:p w14:paraId="196B2A8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66CBF12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7户农户</w:t>
                  </w:r>
                </w:p>
              </w:tc>
              <w:tc>
                <w:tcPr>
                  <w:tcW w:w="552" w:type="pct"/>
                  <w:vAlign w:val="center"/>
                </w:tcPr>
                <w:p w14:paraId="281EA81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14B29FC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97-500</w:t>
                  </w:r>
                </w:p>
              </w:tc>
              <w:tc>
                <w:tcPr>
                  <w:tcW w:w="735" w:type="pct"/>
                  <w:vMerge w:val="continue"/>
                  <w:vAlign w:val="center"/>
                </w:tcPr>
                <w:p w14:paraId="797F2AFA">
                  <w:pPr>
                    <w:jc w:val="center"/>
                    <w:rPr>
                      <w:rFonts w:hint="default" w:ascii="Times New Roman" w:hAnsi="Times New Roman" w:eastAsia="宋体" w:cs="Times New Roman"/>
                      <w:color w:val="auto"/>
                    </w:rPr>
                  </w:pPr>
                </w:p>
              </w:tc>
            </w:tr>
            <w:tr w14:paraId="3DE931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60091E29">
                  <w:pPr>
                    <w:jc w:val="center"/>
                    <w:rPr>
                      <w:rFonts w:hint="default" w:ascii="Times New Roman" w:hAnsi="Times New Roman" w:eastAsia="宋体" w:cs="Times New Roman"/>
                      <w:color w:val="auto"/>
                    </w:rPr>
                  </w:pPr>
                </w:p>
              </w:tc>
              <w:tc>
                <w:tcPr>
                  <w:tcW w:w="558" w:type="pct"/>
                  <w:vMerge w:val="continue"/>
                  <w:vAlign w:val="center"/>
                </w:tcPr>
                <w:p w14:paraId="62CB095B">
                  <w:pPr>
                    <w:jc w:val="center"/>
                    <w:rPr>
                      <w:rFonts w:hint="default" w:ascii="Times New Roman" w:hAnsi="Times New Roman" w:eastAsia="宋体" w:cs="Times New Roman"/>
                      <w:color w:val="auto"/>
                    </w:rPr>
                  </w:pPr>
                </w:p>
              </w:tc>
              <w:tc>
                <w:tcPr>
                  <w:tcW w:w="491" w:type="pct"/>
                  <w:vMerge w:val="continue"/>
                  <w:vAlign w:val="center"/>
                </w:tcPr>
                <w:p w14:paraId="2B489492">
                  <w:pPr>
                    <w:jc w:val="center"/>
                    <w:rPr>
                      <w:rFonts w:hint="default" w:ascii="Times New Roman" w:hAnsi="Times New Roman" w:eastAsia="宋体" w:cs="Times New Roman"/>
                      <w:color w:val="auto"/>
                    </w:rPr>
                  </w:pPr>
                </w:p>
              </w:tc>
              <w:tc>
                <w:tcPr>
                  <w:tcW w:w="474" w:type="pct"/>
                  <w:vMerge w:val="continue"/>
                  <w:vAlign w:val="center"/>
                </w:tcPr>
                <w:p w14:paraId="04C877B9">
                  <w:pPr>
                    <w:jc w:val="center"/>
                    <w:rPr>
                      <w:rFonts w:hint="default" w:ascii="Times New Roman" w:hAnsi="Times New Roman" w:eastAsia="宋体" w:cs="Times New Roman"/>
                      <w:color w:val="auto"/>
                    </w:rPr>
                  </w:pPr>
                </w:p>
              </w:tc>
              <w:tc>
                <w:tcPr>
                  <w:tcW w:w="470" w:type="pct"/>
                  <w:vAlign w:val="center"/>
                </w:tcPr>
                <w:p w14:paraId="67A766F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12234F8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5户农户</w:t>
                  </w:r>
                </w:p>
              </w:tc>
              <w:tc>
                <w:tcPr>
                  <w:tcW w:w="552" w:type="pct"/>
                  <w:vAlign w:val="center"/>
                </w:tcPr>
                <w:p w14:paraId="50C1DBF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176BCD8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71-389</w:t>
                  </w:r>
                </w:p>
              </w:tc>
              <w:tc>
                <w:tcPr>
                  <w:tcW w:w="735" w:type="pct"/>
                  <w:vMerge w:val="continue"/>
                  <w:vAlign w:val="center"/>
                </w:tcPr>
                <w:p w14:paraId="497EB635">
                  <w:pPr>
                    <w:jc w:val="center"/>
                    <w:rPr>
                      <w:rFonts w:hint="default" w:ascii="Times New Roman" w:hAnsi="Times New Roman" w:eastAsia="宋体" w:cs="Times New Roman"/>
                      <w:color w:val="auto"/>
                    </w:rPr>
                  </w:pPr>
                </w:p>
              </w:tc>
            </w:tr>
            <w:tr w14:paraId="74AD76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48A8A905">
                  <w:pPr>
                    <w:jc w:val="center"/>
                    <w:rPr>
                      <w:rFonts w:hint="default" w:ascii="Times New Roman" w:hAnsi="Times New Roman" w:eastAsia="宋体" w:cs="Times New Roman"/>
                      <w:color w:val="auto"/>
                    </w:rPr>
                  </w:pPr>
                </w:p>
              </w:tc>
              <w:tc>
                <w:tcPr>
                  <w:tcW w:w="558" w:type="pct"/>
                  <w:vMerge w:val="continue"/>
                  <w:vAlign w:val="center"/>
                </w:tcPr>
                <w:p w14:paraId="183B99DC">
                  <w:pPr>
                    <w:jc w:val="center"/>
                    <w:rPr>
                      <w:rFonts w:hint="default" w:ascii="Times New Roman" w:hAnsi="Times New Roman" w:eastAsia="宋体" w:cs="Times New Roman"/>
                      <w:color w:val="auto"/>
                    </w:rPr>
                  </w:pPr>
                </w:p>
              </w:tc>
              <w:tc>
                <w:tcPr>
                  <w:tcW w:w="491" w:type="pct"/>
                  <w:vMerge w:val="continue"/>
                  <w:vAlign w:val="center"/>
                </w:tcPr>
                <w:p w14:paraId="538A6CB6">
                  <w:pPr>
                    <w:jc w:val="center"/>
                    <w:rPr>
                      <w:rFonts w:hint="default" w:ascii="Times New Roman" w:hAnsi="Times New Roman" w:eastAsia="宋体" w:cs="Times New Roman"/>
                      <w:color w:val="auto"/>
                    </w:rPr>
                  </w:pPr>
                </w:p>
              </w:tc>
              <w:tc>
                <w:tcPr>
                  <w:tcW w:w="474" w:type="pct"/>
                  <w:vMerge w:val="continue"/>
                  <w:vAlign w:val="center"/>
                </w:tcPr>
                <w:p w14:paraId="778A1BD4">
                  <w:pPr>
                    <w:jc w:val="center"/>
                    <w:rPr>
                      <w:rFonts w:hint="default" w:ascii="Times New Roman" w:hAnsi="Times New Roman" w:eastAsia="宋体" w:cs="Times New Roman"/>
                      <w:color w:val="auto"/>
                    </w:rPr>
                  </w:pPr>
                </w:p>
              </w:tc>
              <w:tc>
                <w:tcPr>
                  <w:tcW w:w="470" w:type="pct"/>
                  <w:vAlign w:val="center"/>
                </w:tcPr>
                <w:p w14:paraId="0B7B780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5F9C395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11户农户</w:t>
                  </w:r>
                </w:p>
              </w:tc>
              <w:tc>
                <w:tcPr>
                  <w:tcW w:w="552" w:type="pct"/>
                  <w:vAlign w:val="center"/>
                </w:tcPr>
                <w:p w14:paraId="1476402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3EF663D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101-500</w:t>
                  </w:r>
                </w:p>
              </w:tc>
              <w:tc>
                <w:tcPr>
                  <w:tcW w:w="735" w:type="pct"/>
                  <w:vMerge w:val="continue"/>
                  <w:vAlign w:val="center"/>
                </w:tcPr>
                <w:p w14:paraId="0FD4A62F">
                  <w:pPr>
                    <w:jc w:val="center"/>
                    <w:rPr>
                      <w:rFonts w:hint="default" w:ascii="Times New Roman" w:hAnsi="Times New Roman" w:eastAsia="宋体" w:cs="Times New Roman"/>
                      <w:color w:val="auto"/>
                    </w:rPr>
                  </w:pPr>
                </w:p>
              </w:tc>
            </w:tr>
            <w:tr w14:paraId="45711F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2F5A8A24">
                  <w:pPr>
                    <w:jc w:val="center"/>
                    <w:rPr>
                      <w:rFonts w:hint="default" w:ascii="Times New Roman" w:hAnsi="Times New Roman" w:eastAsia="宋体" w:cs="Times New Roman"/>
                      <w:color w:val="auto"/>
                    </w:rPr>
                  </w:pPr>
                </w:p>
              </w:tc>
              <w:tc>
                <w:tcPr>
                  <w:tcW w:w="558" w:type="pct"/>
                  <w:vMerge w:val="restart"/>
                  <w:vAlign w:val="center"/>
                </w:tcPr>
                <w:p w14:paraId="38F6604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105.047282</w:t>
                  </w:r>
                </w:p>
              </w:tc>
              <w:tc>
                <w:tcPr>
                  <w:tcW w:w="491" w:type="pct"/>
                  <w:vMerge w:val="restart"/>
                  <w:vAlign w:val="center"/>
                </w:tcPr>
                <w:p w14:paraId="05518AF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度30.381969</w:t>
                  </w:r>
                </w:p>
              </w:tc>
              <w:tc>
                <w:tcPr>
                  <w:tcW w:w="474" w:type="pct"/>
                  <w:vMerge w:val="restart"/>
                  <w:vAlign w:val="center"/>
                </w:tcPr>
                <w:p w14:paraId="5FD4B49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14#</w:t>
                  </w:r>
                </w:p>
              </w:tc>
              <w:tc>
                <w:tcPr>
                  <w:tcW w:w="470" w:type="pct"/>
                  <w:vAlign w:val="center"/>
                </w:tcPr>
                <w:p w14:paraId="00EB799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22355F2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21户农户</w:t>
                  </w:r>
                </w:p>
              </w:tc>
              <w:tc>
                <w:tcPr>
                  <w:tcW w:w="552" w:type="pct"/>
                  <w:vAlign w:val="center"/>
                </w:tcPr>
                <w:p w14:paraId="3A188F4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6779349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124-500</w:t>
                  </w:r>
                </w:p>
              </w:tc>
              <w:tc>
                <w:tcPr>
                  <w:tcW w:w="735" w:type="pct"/>
                  <w:vMerge w:val="continue"/>
                  <w:vAlign w:val="center"/>
                </w:tcPr>
                <w:p w14:paraId="38A22B45">
                  <w:pPr>
                    <w:jc w:val="center"/>
                    <w:rPr>
                      <w:rFonts w:hint="default" w:ascii="Times New Roman" w:hAnsi="Times New Roman" w:eastAsia="宋体" w:cs="Times New Roman"/>
                      <w:color w:val="auto"/>
                    </w:rPr>
                  </w:pPr>
                </w:p>
              </w:tc>
            </w:tr>
            <w:tr w14:paraId="54F1DB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6A9780E4">
                  <w:pPr>
                    <w:jc w:val="center"/>
                    <w:rPr>
                      <w:rFonts w:hint="default" w:ascii="Times New Roman" w:hAnsi="Times New Roman" w:eastAsia="宋体" w:cs="Times New Roman"/>
                      <w:color w:val="auto"/>
                    </w:rPr>
                  </w:pPr>
                </w:p>
              </w:tc>
              <w:tc>
                <w:tcPr>
                  <w:tcW w:w="558" w:type="pct"/>
                  <w:vMerge w:val="continue"/>
                  <w:vAlign w:val="center"/>
                </w:tcPr>
                <w:p w14:paraId="3232CBA4">
                  <w:pPr>
                    <w:jc w:val="center"/>
                    <w:rPr>
                      <w:rFonts w:hint="default" w:ascii="Times New Roman" w:hAnsi="Times New Roman" w:eastAsia="宋体" w:cs="Times New Roman"/>
                      <w:color w:val="auto"/>
                    </w:rPr>
                  </w:pPr>
                </w:p>
              </w:tc>
              <w:tc>
                <w:tcPr>
                  <w:tcW w:w="491" w:type="pct"/>
                  <w:vMerge w:val="continue"/>
                  <w:vAlign w:val="center"/>
                </w:tcPr>
                <w:p w14:paraId="6BC9703B">
                  <w:pPr>
                    <w:jc w:val="center"/>
                    <w:rPr>
                      <w:rFonts w:hint="default" w:ascii="Times New Roman" w:hAnsi="Times New Roman" w:eastAsia="宋体" w:cs="Times New Roman"/>
                      <w:color w:val="auto"/>
                    </w:rPr>
                  </w:pPr>
                </w:p>
              </w:tc>
              <w:tc>
                <w:tcPr>
                  <w:tcW w:w="474" w:type="pct"/>
                  <w:vMerge w:val="continue"/>
                  <w:vAlign w:val="center"/>
                </w:tcPr>
                <w:p w14:paraId="4AD223EB">
                  <w:pPr>
                    <w:jc w:val="center"/>
                    <w:rPr>
                      <w:rFonts w:hint="default" w:ascii="Times New Roman" w:hAnsi="Times New Roman" w:eastAsia="宋体" w:cs="Times New Roman"/>
                      <w:color w:val="auto"/>
                    </w:rPr>
                  </w:pPr>
                </w:p>
              </w:tc>
              <w:tc>
                <w:tcPr>
                  <w:tcW w:w="470" w:type="pct"/>
                  <w:vAlign w:val="center"/>
                </w:tcPr>
                <w:p w14:paraId="13727E6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67E0CF0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25户农户</w:t>
                  </w:r>
                </w:p>
              </w:tc>
              <w:tc>
                <w:tcPr>
                  <w:tcW w:w="552" w:type="pct"/>
                  <w:vAlign w:val="center"/>
                </w:tcPr>
                <w:p w14:paraId="08A66CB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78E0FBC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135-500</w:t>
                  </w:r>
                </w:p>
              </w:tc>
              <w:tc>
                <w:tcPr>
                  <w:tcW w:w="735" w:type="pct"/>
                  <w:vMerge w:val="continue"/>
                  <w:vAlign w:val="center"/>
                </w:tcPr>
                <w:p w14:paraId="633B8EEC">
                  <w:pPr>
                    <w:jc w:val="center"/>
                    <w:rPr>
                      <w:rFonts w:hint="default" w:ascii="Times New Roman" w:hAnsi="Times New Roman" w:eastAsia="宋体" w:cs="Times New Roman"/>
                      <w:color w:val="auto"/>
                    </w:rPr>
                  </w:pPr>
                </w:p>
              </w:tc>
            </w:tr>
            <w:tr w14:paraId="52E36E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03325C94">
                  <w:pPr>
                    <w:jc w:val="center"/>
                    <w:rPr>
                      <w:rFonts w:hint="default" w:ascii="Times New Roman" w:hAnsi="Times New Roman" w:eastAsia="宋体" w:cs="Times New Roman"/>
                      <w:color w:val="auto"/>
                    </w:rPr>
                  </w:pPr>
                </w:p>
              </w:tc>
              <w:tc>
                <w:tcPr>
                  <w:tcW w:w="558" w:type="pct"/>
                  <w:vMerge w:val="restart"/>
                  <w:vAlign w:val="center"/>
                </w:tcPr>
                <w:p w14:paraId="1042505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105.057152</w:t>
                  </w:r>
                </w:p>
              </w:tc>
              <w:tc>
                <w:tcPr>
                  <w:tcW w:w="491" w:type="pct"/>
                  <w:vMerge w:val="restart"/>
                  <w:vAlign w:val="center"/>
                </w:tcPr>
                <w:p w14:paraId="0518E1F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30.386304</w:t>
                  </w:r>
                </w:p>
              </w:tc>
              <w:tc>
                <w:tcPr>
                  <w:tcW w:w="474" w:type="pct"/>
                  <w:vMerge w:val="restart"/>
                  <w:vAlign w:val="center"/>
                </w:tcPr>
                <w:p w14:paraId="4251924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15#</w:t>
                  </w:r>
                </w:p>
              </w:tc>
              <w:tc>
                <w:tcPr>
                  <w:tcW w:w="470" w:type="pct"/>
                  <w:vAlign w:val="center"/>
                </w:tcPr>
                <w:p w14:paraId="0A99A37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397FCB7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7户农户</w:t>
                  </w:r>
                </w:p>
              </w:tc>
              <w:tc>
                <w:tcPr>
                  <w:tcW w:w="552" w:type="pct"/>
                  <w:vAlign w:val="center"/>
                </w:tcPr>
                <w:p w14:paraId="7C06C3B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6D44C24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121-500</w:t>
                  </w:r>
                </w:p>
              </w:tc>
              <w:tc>
                <w:tcPr>
                  <w:tcW w:w="735" w:type="pct"/>
                  <w:vMerge w:val="continue"/>
                  <w:vAlign w:val="center"/>
                </w:tcPr>
                <w:p w14:paraId="11634429">
                  <w:pPr>
                    <w:jc w:val="center"/>
                    <w:rPr>
                      <w:rFonts w:hint="default" w:ascii="Times New Roman" w:hAnsi="Times New Roman" w:eastAsia="宋体" w:cs="Times New Roman"/>
                      <w:color w:val="auto"/>
                    </w:rPr>
                  </w:pPr>
                </w:p>
              </w:tc>
            </w:tr>
            <w:tr w14:paraId="42706A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24EA7829">
                  <w:pPr>
                    <w:jc w:val="center"/>
                    <w:rPr>
                      <w:rFonts w:hint="default" w:ascii="Times New Roman" w:hAnsi="Times New Roman" w:eastAsia="宋体" w:cs="Times New Roman"/>
                      <w:color w:val="auto"/>
                    </w:rPr>
                  </w:pPr>
                </w:p>
              </w:tc>
              <w:tc>
                <w:tcPr>
                  <w:tcW w:w="558" w:type="pct"/>
                  <w:vMerge w:val="continue"/>
                  <w:vAlign w:val="center"/>
                </w:tcPr>
                <w:p w14:paraId="0304FEE6">
                  <w:pPr>
                    <w:jc w:val="center"/>
                    <w:rPr>
                      <w:rFonts w:hint="default" w:ascii="Times New Roman" w:hAnsi="Times New Roman" w:eastAsia="宋体" w:cs="Times New Roman"/>
                      <w:color w:val="auto"/>
                    </w:rPr>
                  </w:pPr>
                </w:p>
              </w:tc>
              <w:tc>
                <w:tcPr>
                  <w:tcW w:w="491" w:type="pct"/>
                  <w:vMerge w:val="continue"/>
                  <w:vAlign w:val="center"/>
                </w:tcPr>
                <w:p w14:paraId="7F2CF2A3">
                  <w:pPr>
                    <w:jc w:val="center"/>
                    <w:rPr>
                      <w:rFonts w:hint="default" w:ascii="Times New Roman" w:hAnsi="Times New Roman" w:eastAsia="宋体" w:cs="Times New Roman"/>
                      <w:color w:val="auto"/>
                    </w:rPr>
                  </w:pPr>
                </w:p>
              </w:tc>
              <w:tc>
                <w:tcPr>
                  <w:tcW w:w="474" w:type="pct"/>
                  <w:vMerge w:val="continue"/>
                  <w:vAlign w:val="center"/>
                </w:tcPr>
                <w:p w14:paraId="6542E70A">
                  <w:pPr>
                    <w:jc w:val="center"/>
                    <w:rPr>
                      <w:rFonts w:hint="default" w:ascii="Times New Roman" w:hAnsi="Times New Roman" w:eastAsia="宋体" w:cs="Times New Roman"/>
                      <w:color w:val="auto"/>
                    </w:rPr>
                  </w:pPr>
                </w:p>
              </w:tc>
              <w:tc>
                <w:tcPr>
                  <w:tcW w:w="470" w:type="pct"/>
                  <w:vAlign w:val="center"/>
                </w:tcPr>
                <w:p w14:paraId="3DEFC75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2CC8CDB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8户农户</w:t>
                  </w:r>
                </w:p>
              </w:tc>
              <w:tc>
                <w:tcPr>
                  <w:tcW w:w="552" w:type="pct"/>
                  <w:vAlign w:val="center"/>
                </w:tcPr>
                <w:p w14:paraId="21C4368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547A216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126-500</w:t>
                  </w:r>
                </w:p>
              </w:tc>
              <w:tc>
                <w:tcPr>
                  <w:tcW w:w="735" w:type="pct"/>
                  <w:vMerge w:val="continue"/>
                  <w:vAlign w:val="center"/>
                </w:tcPr>
                <w:p w14:paraId="255E5106">
                  <w:pPr>
                    <w:jc w:val="center"/>
                    <w:rPr>
                      <w:rFonts w:hint="default" w:ascii="Times New Roman" w:hAnsi="Times New Roman" w:eastAsia="宋体" w:cs="Times New Roman"/>
                      <w:color w:val="auto"/>
                    </w:rPr>
                  </w:pPr>
                </w:p>
              </w:tc>
            </w:tr>
            <w:tr w14:paraId="595133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01426DF6">
                  <w:pPr>
                    <w:jc w:val="center"/>
                    <w:rPr>
                      <w:rFonts w:hint="default" w:ascii="Times New Roman" w:hAnsi="Times New Roman" w:eastAsia="宋体" w:cs="Times New Roman"/>
                      <w:color w:val="auto"/>
                    </w:rPr>
                  </w:pPr>
                </w:p>
              </w:tc>
              <w:tc>
                <w:tcPr>
                  <w:tcW w:w="558" w:type="pct"/>
                  <w:vAlign w:val="center"/>
                </w:tcPr>
                <w:p w14:paraId="79DA2DB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105.059599</w:t>
                  </w:r>
                </w:p>
              </w:tc>
              <w:tc>
                <w:tcPr>
                  <w:tcW w:w="491" w:type="pct"/>
                  <w:vAlign w:val="center"/>
                </w:tcPr>
                <w:p w14:paraId="3A3B468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30.391711</w:t>
                  </w:r>
                </w:p>
              </w:tc>
              <w:tc>
                <w:tcPr>
                  <w:tcW w:w="474" w:type="pct"/>
                  <w:vAlign w:val="center"/>
                </w:tcPr>
                <w:p w14:paraId="7ECCE57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16#</w:t>
                  </w:r>
                </w:p>
              </w:tc>
              <w:tc>
                <w:tcPr>
                  <w:tcW w:w="470" w:type="pct"/>
                  <w:vAlign w:val="center"/>
                </w:tcPr>
                <w:p w14:paraId="570C6FF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6A6F0C3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11户农户</w:t>
                  </w:r>
                </w:p>
              </w:tc>
              <w:tc>
                <w:tcPr>
                  <w:tcW w:w="552" w:type="pct"/>
                  <w:vAlign w:val="center"/>
                </w:tcPr>
                <w:p w14:paraId="6BFFB2E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73E8D27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134-500</w:t>
                  </w:r>
                </w:p>
              </w:tc>
              <w:tc>
                <w:tcPr>
                  <w:tcW w:w="735" w:type="pct"/>
                  <w:vMerge w:val="continue"/>
                  <w:vAlign w:val="center"/>
                </w:tcPr>
                <w:p w14:paraId="18127D10">
                  <w:pPr>
                    <w:jc w:val="center"/>
                    <w:rPr>
                      <w:rFonts w:hint="default" w:ascii="Times New Roman" w:hAnsi="Times New Roman" w:eastAsia="宋体" w:cs="Times New Roman"/>
                      <w:color w:val="auto"/>
                    </w:rPr>
                  </w:pPr>
                </w:p>
              </w:tc>
            </w:tr>
            <w:tr w14:paraId="69B5C3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2DE79FC9">
                  <w:pPr>
                    <w:jc w:val="center"/>
                    <w:rPr>
                      <w:rFonts w:hint="default" w:ascii="Times New Roman" w:hAnsi="Times New Roman" w:eastAsia="宋体" w:cs="Times New Roman"/>
                      <w:color w:val="auto"/>
                    </w:rPr>
                  </w:pPr>
                </w:p>
              </w:tc>
              <w:tc>
                <w:tcPr>
                  <w:tcW w:w="558" w:type="pct"/>
                  <w:vMerge w:val="restart"/>
                  <w:vAlign w:val="center"/>
                </w:tcPr>
                <w:p w14:paraId="3DF5F95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105.056165</w:t>
                  </w:r>
                </w:p>
              </w:tc>
              <w:tc>
                <w:tcPr>
                  <w:tcW w:w="491" w:type="pct"/>
                  <w:vMerge w:val="restart"/>
                  <w:vAlign w:val="center"/>
                </w:tcPr>
                <w:p w14:paraId="44D0B51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30.392998</w:t>
                  </w:r>
                </w:p>
              </w:tc>
              <w:tc>
                <w:tcPr>
                  <w:tcW w:w="474" w:type="pct"/>
                  <w:vMerge w:val="restart"/>
                  <w:vAlign w:val="center"/>
                </w:tcPr>
                <w:p w14:paraId="7F5238E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17#</w:t>
                  </w:r>
                </w:p>
              </w:tc>
              <w:tc>
                <w:tcPr>
                  <w:tcW w:w="470" w:type="pct"/>
                  <w:vAlign w:val="center"/>
                </w:tcPr>
                <w:p w14:paraId="10C8184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08A510C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11户农户</w:t>
                  </w:r>
                </w:p>
              </w:tc>
              <w:tc>
                <w:tcPr>
                  <w:tcW w:w="552" w:type="pct"/>
                  <w:vAlign w:val="center"/>
                </w:tcPr>
                <w:p w14:paraId="26B8A46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728B439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99-500</w:t>
                  </w:r>
                </w:p>
              </w:tc>
              <w:tc>
                <w:tcPr>
                  <w:tcW w:w="735" w:type="pct"/>
                  <w:vMerge w:val="continue"/>
                  <w:vAlign w:val="center"/>
                </w:tcPr>
                <w:p w14:paraId="20795250">
                  <w:pPr>
                    <w:jc w:val="center"/>
                    <w:rPr>
                      <w:rFonts w:hint="default" w:ascii="Times New Roman" w:hAnsi="Times New Roman" w:eastAsia="宋体" w:cs="Times New Roman"/>
                      <w:color w:val="auto"/>
                    </w:rPr>
                  </w:pPr>
                </w:p>
              </w:tc>
            </w:tr>
            <w:tr w14:paraId="697B60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43D1F2DC">
                  <w:pPr>
                    <w:jc w:val="center"/>
                    <w:rPr>
                      <w:rFonts w:hint="default" w:ascii="Times New Roman" w:hAnsi="Times New Roman" w:eastAsia="宋体" w:cs="Times New Roman"/>
                      <w:color w:val="auto"/>
                    </w:rPr>
                  </w:pPr>
                </w:p>
              </w:tc>
              <w:tc>
                <w:tcPr>
                  <w:tcW w:w="558" w:type="pct"/>
                  <w:vMerge w:val="continue"/>
                  <w:vAlign w:val="center"/>
                </w:tcPr>
                <w:p w14:paraId="3141D0B2">
                  <w:pPr>
                    <w:jc w:val="center"/>
                    <w:rPr>
                      <w:rFonts w:hint="default" w:ascii="Times New Roman" w:hAnsi="Times New Roman" w:eastAsia="宋体" w:cs="Times New Roman"/>
                      <w:color w:val="auto"/>
                    </w:rPr>
                  </w:pPr>
                </w:p>
              </w:tc>
              <w:tc>
                <w:tcPr>
                  <w:tcW w:w="491" w:type="pct"/>
                  <w:vMerge w:val="continue"/>
                  <w:vAlign w:val="center"/>
                </w:tcPr>
                <w:p w14:paraId="5D2935F8">
                  <w:pPr>
                    <w:jc w:val="center"/>
                    <w:rPr>
                      <w:rFonts w:hint="default" w:ascii="Times New Roman" w:hAnsi="Times New Roman" w:eastAsia="宋体" w:cs="Times New Roman"/>
                      <w:color w:val="auto"/>
                    </w:rPr>
                  </w:pPr>
                </w:p>
              </w:tc>
              <w:tc>
                <w:tcPr>
                  <w:tcW w:w="474" w:type="pct"/>
                  <w:vMerge w:val="continue"/>
                  <w:vAlign w:val="center"/>
                </w:tcPr>
                <w:p w14:paraId="335AAABF">
                  <w:pPr>
                    <w:jc w:val="center"/>
                    <w:rPr>
                      <w:rFonts w:hint="default" w:ascii="Times New Roman" w:hAnsi="Times New Roman" w:eastAsia="宋体" w:cs="Times New Roman"/>
                      <w:color w:val="auto"/>
                    </w:rPr>
                  </w:pPr>
                </w:p>
              </w:tc>
              <w:tc>
                <w:tcPr>
                  <w:tcW w:w="470" w:type="pct"/>
                  <w:vAlign w:val="center"/>
                </w:tcPr>
                <w:p w14:paraId="78640C5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1BB81D2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15户农户</w:t>
                  </w:r>
                </w:p>
              </w:tc>
              <w:tc>
                <w:tcPr>
                  <w:tcW w:w="552" w:type="pct"/>
                  <w:vAlign w:val="center"/>
                </w:tcPr>
                <w:p w14:paraId="7C58774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692957E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105-500</w:t>
                  </w:r>
                </w:p>
              </w:tc>
              <w:tc>
                <w:tcPr>
                  <w:tcW w:w="735" w:type="pct"/>
                  <w:vMerge w:val="continue"/>
                  <w:vAlign w:val="center"/>
                </w:tcPr>
                <w:p w14:paraId="421CB953">
                  <w:pPr>
                    <w:jc w:val="center"/>
                    <w:rPr>
                      <w:rFonts w:hint="default" w:ascii="Times New Roman" w:hAnsi="Times New Roman" w:eastAsia="宋体" w:cs="Times New Roman"/>
                      <w:color w:val="auto"/>
                    </w:rPr>
                  </w:pPr>
                </w:p>
              </w:tc>
            </w:tr>
            <w:tr w14:paraId="55065A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6A12A7AD">
                  <w:pPr>
                    <w:jc w:val="center"/>
                    <w:rPr>
                      <w:rFonts w:hint="default" w:ascii="Times New Roman" w:hAnsi="Times New Roman" w:eastAsia="宋体" w:cs="Times New Roman"/>
                      <w:color w:val="auto"/>
                    </w:rPr>
                  </w:pPr>
                </w:p>
              </w:tc>
              <w:tc>
                <w:tcPr>
                  <w:tcW w:w="558" w:type="pct"/>
                  <w:vMerge w:val="restart"/>
                  <w:vAlign w:val="center"/>
                </w:tcPr>
                <w:p w14:paraId="652C87C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105.031017</w:t>
                  </w:r>
                </w:p>
              </w:tc>
              <w:tc>
                <w:tcPr>
                  <w:tcW w:w="491" w:type="pct"/>
                  <w:vMerge w:val="restart"/>
                  <w:vAlign w:val="center"/>
                </w:tcPr>
                <w:p w14:paraId="42D2FEA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30.394586</w:t>
                  </w:r>
                </w:p>
              </w:tc>
              <w:tc>
                <w:tcPr>
                  <w:tcW w:w="474" w:type="pct"/>
                  <w:vMerge w:val="restart"/>
                  <w:vAlign w:val="center"/>
                </w:tcPr>
                <w:p w14:paraId="1CF781A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18#</w:t>
                  </w:r>
                </w:p>
              </w:tc>
              <w:tc>
                <w:tcPr>
                  <w:tcW w:w="470" w:type="pct"/>
                  <w:vAlign w:val="center"/>
                </w:tcPr>
                <w:p w14:paraId="0BE811D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1576A7C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11户农户</w:t>
                  </w:r>
                </w:p>
              </w:tc>
              <w:tc>
                <w:tcPr>
                  <w:tcW w:w="552" w:type="pct"/>
                  <w:vAlign w:val="center"/>
                </w:tcPr>
                <w:p w14:paraId="6C7A8F0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3BC99D5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132-500</w:t>
                  </w:r>
                </w:p>
              </w:tc>
              <w:tc>
                <w:tcPr>
                  <w:tcW w:w="735" w:type="pct"/>
                  <w:vMerge w:val="continue"/>
                  <w:vAlign w:val="center"/>
                </w:tcPr>
                <w:p w14:paraId="0CCAFDEC">
                  <w:pPr>
                    <w:jc w:val="center"/>
                    <w:rPr>
                      <w:rFonts w:hint="default" w:ascii="Times New Roman" w:hAnsi="Times New Roman" w:eastAsia="宋体" w:cs="Times New Roman"/>
                      <w:color w:val="auto"/>
                    </w:rPr>
                  </w:pPr>
                </w:p>
              </w:tc>
            </w:tr>
            <w:tr w14:paraId="713529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5519E4E9">
                  <w:pPr>
                    <w:jc w:val="center"/>
                    <w:rPr>
                      <w:rFonts w:hint="default" w:ascii="Times New Roman" w:hAnsi="Times New Roman" w:eastAsia="宋体" w:cs="Times New Roman"/>
                      <w:color w:val="auto"/>
                    </w:rPr>
                  </w:pPr>
                </w:p>
              </w:tc>
              <w:tc>
                <w:tcPr>
                  <w:tcW w:w="558" w:type="pct"/>
                  <w:vMerge w:val="continue"/>
                  <w:vAlign w:val="center"/>
                </w:tcPr>
                <w:p w14:paraId="47CEB674">
                  <w:pPr>
                    <w:jc w:val="center"/>
                    <w:rPr>
                      <w:rFonts w:hint="default" w:ascii="Times New Roman" w:hAnsi="Times New Roman" w:eastAsia="宋体" w:cs="Times New Roman"/>
                      <w:color w:val="auto"/>
                    </w:rPr>
                  </w:pPr>
                </w:p>
              </w:tc>
              <w:tc>
                <w:tcPr>
                  <w:tcW w:w="491" w:type="pct"/>
                  <w:vMerge w:val="continue"/>
                  <w:vAlign w:val="center"/>
                </w:tcPr>
                <w:p w14:paraId="251A924D">
                  <w:pPr>
                    <w:jc w:val="center"/>
                    <w:rPr>
                      <w:rFonts w:hint="default" w:ascii="Times New Roman" w:hAnsi="Times New Roman" w:eastAsia="宋体" w:cs="Times New Roman"/>
                      <w:color w:val="auto"/>
                    </w:rPr>
                  </w:pPr>
                </w:p>
              </w:tc>
              <w:tc>
                <w:tcPr>
                  <w:tcW w:w="474" w:type="pct"/>
                  <w:vMerge w:val="continue"/>
                  <w:vAlign w:val="center"/>
                </w:tcPr>
                <w:p w14:paraId="4ADB8B8B">
                  <w:pPr>
                    <w:jc w:val="center"/>
                    <w:rPr>
                      <w:rFonts w:hint="default" w:ascii="Times New Roman" w:hAnsi="Times New Roman" w:eastAsia="宋体" w:cs="Times New Roman"/>
                      <w:color w:val="auto"/>
                    </w:rPr>
                  </w:pPr>
                </w:p>
              </w:tc>
              <w:tc>
                <w:tcPr>
                  <w:tcW w:w="470" w:type="pct"/>
                  <w:vAlign w:val="center"/>
                </w:tcPr>
                <w:p w14:paraId="0E94D0A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3FAB8A1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9户农户</w:t>
                  </w:r>
                </w:p>
              </w:tc>
              <w:tc>
                <w:tcPr>
                  <w:tcW w:w="552" w:type="pct"/>
                  <w:vAlign w:val="center"/>
                </w:tcPr>
                <w:p w14:paraId="25330BC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512E3FE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127-500</w:t>
                  </w:r>
                </w:p>
              </w:tc>
              <w:tc>
                <w:tcPr>
                  <w:tcW w:w="735" w:type="pct"/>
                  <w:vMerge w:val="continue"/>
                  <w:vAlign w:val="center"/>
                </w:tcPr>
                <w:p w14:paraId="39EA4E23">
                  <w:pPr>
                    <w:jc w:val="center"/>
                    <w:rPr>
                      <w:rFonts w:hint="default" w:ascii="Times New Roman" w:hAnsi="Times New Roman" w:eastAsia="宋体" w:cs="Times New Roman"/>
                      <w:color w:val="auto"/>
                    </w:rPr>
                  </w:pPr>
                </w:p>
              </w:tc>
            </w:tr>
            <w:tr w14:paraId="7811B7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1D254710">
                  <w:pPr>
                    <w:jc w:val="center"/>
                    <w:rPr>
                      <w:rFonts w:hint="default" w:ascii="Times New Roman" w:hAnsi="Times New Roman" w:eastAsia="宋体" w:cs="Times New Roman"/>
                      <w:color w:val="auto"/>
                    </w:rPr>
                  </w:pPr>
                </w:p>
              </w:tc>
              <w:tc>
                <w:tcPr>
                  <w:tcW w:w="558" w:type="pct"/>
                  <w:vAlign w:val="center"/>
                </w:tcPr>
                <w:p w14:paraId="67D53ED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105.022219</w:t>
                  </w:r>
                </w:p>
              </w:tc>
              <w:tc>
                <w:tcPr>
                  <w:tcW w:w="491" w:type="pct"/>
                  <w:vAlign w:val="center"/>
                </w:tcPr>
                <w:p w14:paraId="5C8E41F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30.392440</w:t>
                  </w:r>
                </w:p>
              </w:tc>
              <w:tc>
                <w:tcPr>
                  <w:tcW w:w="474" w:type="pct"/>
                  <w:vAlign w:val="center"/>
                </w:tcPr>
                <w:p w14:paraId="75C4BAD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19#</w:t>
                  </w:r>
                </w:p>
              </w:tc>
              <w:tc>
                <w:tcPr>
                  <w:tcW w:w="470" w:type="pct"/>
                  <w:vAlign w:val="center"/>
                </w:tcPr>
                <w:p w14:paraId="3155A1E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5ED4D71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18户农户</w:t>
                  </w:r>
                </w:p>
              </w:tc>
              <w:tc>
                <w:tcPr>
                  <w:tcW w:w="552" w:type="pct"/>
                  <w:vAlign w:val="center"/>
                </w:tcPr>
                <w:p w14:paraId="615CEB8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西南侧</w:t>
                  </w:r>
                </w:p>
              </w:tc>
              <w:tc>
                <w:tcPr>
                  <w:tcW w:w="582" w:type="pct"/>
                  <w:vAlign w:val="center"/>
                </w:tcPr>
                <w:p w14:paraId="279A9BD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124-500</w:t>
                  </w:r>
                </w:p>
              </w:tc>
              <w:tc>
                <w:tcPr>
                  <w:tcW w:w="735" w:type="pct"/>
                  <w:vMerge w:val="continue"/>
                  <w:vAlign w:val="center"/>
                </w:tcPr>
                <w:p w14:paraId="56D30D7A">
                  <w:pPr>
                    <w:jc w:val="center"/>
                    <w:rPr>
                      <w:rFonts w:hint="default" w:ascii="Times New Roman" w:hAnsi="Times New Roman" w:eastAsia="宋体" w:cs="Times New Roman"/>
                      <w:color w:val="auto"/>
                    </w:rPr>
                  </w:pPr>
                </w:p>
              </w:tc>
            </w:tr>
            <w:tr w14:paraId="667408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04B97806">
                  <w:pPr>
                    <w:jc w:val="center"/>
                    <w:rPr>
                      <w:rFonts w:hint="default" w:ascii="Times New Roman" w:hAnsi="Times New Roman" w:eastAsia="宋体" w:cs="Times New Roman"/>
                      <w:color w:val="auto"/>
                    </w:rPr>
                  </w:pPr>
                </w:p>
              </w:tc>
              <w:tc>
                <w:tcPr>
                  <w:tcW w:w="558" w:type="pct"/>
                  <w:vMerge w:val="restart"/>
                  <w:vAlign w:val="center"/>
                </w:tcPr>
                <w:p w14:paraId="2786EDE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105.027498</w:t>
                  </w:r>
                </w:p>
              </w:tc>
              <w:tc>
                <w:tcPr>
                  <w:tcW w:w="491" w:type="pct"/>
                  <w:vMerge w:val="restart"/>
                  <w:vAlign w:val="center"/>
                </w:tcPr>
                <w:p w14:paraId="0920199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30.377549</w:t>
                  </w:r>
                </w:p>
              </w:tc>
              <w:tc>
                <w:tcPr>
                  <w:tcW w:w="474" w:type="pct"/>
                  <w:vMerge w:val="restart"/>
                  <w:vAlign w:val="center"/>
                </w:tcPr>
                <w:p w14:paraId="1558DFC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20#</w:t>
                  </w:r>
                </w:p>
              </w:tc>
              <w:tc>
                <w:tcPr>
                  <w:tcW w:w="470" w:type="pct"/>
                  <w:vAlign w:val="center"/>
                </w:tcPr>
                <w:p w14:paraId="03D21EB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697273B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4户农户</w:t>
                  </w:r>
                </w:p>
              </w:tc>
              <w:tc>
                <w:tcPr>
                  <w:tcW w:w="552" w:type="pct"/>
                  <w:vAlign w:val="center"/>
                </w:tcPr>
                <w:p w14:paraId="29132A6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0D27F67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167-500</w:t>
                  </w:r>
                </w:p>
              </w:tc>
              <w:tc>
                <w:tcPr>
                  <w:tcW w:w="735" w:type="pct"/>
                  <w:vMerge w:val="continue"/>
                  <w:vAlign w:val="center"/>
                </w:tcPr>
                <w:p w14:paraId="3D580007">
                  <w:pPr>
                    <w:jc w:val="center"/>
                    <w:rPr>
                      <w:rFonts w:hint="default" w:ascii="Times New Roman" w:hAnsi="Times New Roman" w:eastAsia="宋体" w:cs="Times New Roman"/>
                      <w:color w:val="auto"/>
                    </w:rPr>
                  </w:pPr>
                </w:p>
              </w:tc>
            </w:tr>
            <w:tr w14:paraId="0FF242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0A556FCD">
                  <w:pPr>
                    <w:jc w:val="center"/>
                    <w:rPr>
                      <w:rFonts w:hint="default" w:ascii="Times New Roman" w:hAnsi="Times New Roman" w:eastAsia="宋体" w:cs="Times New Roman"/>
                      <w:color w:val="auto"/>
                    </w:rPr>
                  </w:pPr>
                </w:p>
              </w:tc>
              <w:tc>
                <w:tcPr>
                  <w:tcW w:w="558" w:type="pct"/>
                  <w:vMerge w:val="continue"/>
                  <w:vAlign w:val="center"/>
                </w:tcPr>
                <w:p w14:paraId="439FD87A">
                  <w:pPr>
                    <w:jc w:val="center"/>
                    <w:rPr>
                      <w:rFonts w:hint="default" w:ascii="Times New Roman" w:hAnsi="Times New Roman" w:eastAsia="宋体" w:cs="Times New Roman"/>
                      <w:color w:val="auto"/>
                    </w:rPr>
                  </w:pPr>
                </w:p>
              </w:tc>
              <w:tc>
                <w:tcPr>
                  <w:tcW w:w="491" w:type="pct"/>
                  <w:vMerge w:val="continue"/>
                  <w:vAlign w:val="center"/>
                </w:tcPr>
                <w:p w14:paraId="243DF406">
                  <w:pPr>
                    <w:jc w:val="center"/>
                    <w:rPr>
                      <w:rFonts w:hint="default" w:ascii="Times New Roman" w:hAnsi="Times New Roman" w:eastAsia="宋体" w:cs="Times New Roman"/>
                      <w:color w:val="auto"/>
                    </w:rPr>
                  </w:pPr>
                </w:p>
              </w:tc>
              <w:tc>
                <w:tcPr>
                  <w:tcW w:w="474" w:type="pct"/>
                  <w:vMerge w:val="continue"/>
                  <w:vAlign w:val="center"/>
                </w:tcPr>
                <w:p w14:paraId="198660D4">
                  <w:pPr>
                    <w:jc w:val="center"/>
                    <w:rPr>
                      <w:rFonts w:hint="default" w:ascii="Times New Roman" w:hAnsi="Times New Roman" w:eastAsia="宋体" w:cs="Times New Roman"/>
                      <w:color w:val="auto"/>
                    </w:rPr>
                  </w:pPr>
                </w:p>
              </w:tc>
              <w:tc>
                <w:tcPr>
                  <w:tcW w:w="470" w:type="pct"/>
                  <w:vAlign w:val="center"/>
                </w:tcPr>
                <w:p w14:paraId="1D09D76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122692E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4户农户</w:t>
                  </w:r>
                </w:p>
              </w:tc>
              <w:tc>
                <w:tcPr>
                  <w:tcW w:w="552" w:type="pct"/>
                  <w:vAlign w:val="center"/>
                </w:tcPr>
                <w:p w14:paraId="5B7DA48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2583896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129-500</w:t>
                  </w:r>
                </w:p>
              </w:tc>
              <w:tc>
                <w:tcPr>
                  <w:tcW w:w="735" w:type="pct"/>
                  <w:vMerge w:val="continue"/>
                  <w:vAlign w:val="center"/>
                </w:tcPr>
                <w:p w14:paraId="0FA7E71A">
                  <w:pPr>
                    <w:jc w:val="center"/>
                    <w:rPr>
                      <w:rFonts w:hint="default" w:ascii="Times New Roman" w:hAnsi="Times New Roman" w:eastAsia="宋体" w:cs="Times New Roman"/>
                      <w:color w:val="auto"/>
                    </w:rPr>
                  </w:pPr>
                </w:p>
              </w:tc>
            </w:tr>
            <w:tr w14:paraId="756FAF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41898632">
                  <w:pPr>
                    <w:jc w:val="center"/>
                    <w:rPr>
                      <w:rFonts w:hint="default" w:ascii="Times New Roman" w:hAnsi="Times New Roman" w:eastAsia="宋体" w:cs="Times New Roman"/>
                      <w:color w:val="auto"/>
                    </w:rPr>
                  </w:pPr>
                </w:p>
              </w:tc>
              <w:tc>
                <w:tcPr>
                  <w:tcW w:w="558" w:type="pct"/>
                  <w:vAlign w:val="center"/>
                </w:tcPr>
                <w:p w14:paraId="628B151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105.036939</w:t>
                  </w:r>
                </w:p>
              </w:tc>
              <w:tc>
                <w:tcPr>
                  <w:tcW w:w="491" w:type="pct"/>
                  <w:vAlign w:val="center"/>
                </w:tcPr>
                <w:p w14:paraId="1FA3FD9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30.375146</w:t>
                  </w:r>
                </w:p>
              </w:tc>
              <w:tc>
                <w:tcPr>
                  <w:tcW w:w="474" w:type="pct"/>
                  <w:vAlign w:val="center"/>
                </w:tcPr>
                <w:p w14:paraId="4247DF2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21#</w:t>
                  </w:r>
                </w:p>
              </w:tc>
              <w:tc>
                <w:tcPr>
                  <w:tcW w:w="470" w:type="pct"/>
                  <w:vAlign w:val="center"/>
                </w:tcPr>
                <w:p w14:paraId="5286E8F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4C98BEC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6户农户</w:t>
                  </w:r>
                </w:p>
              </w:tc>
              <w:tc>
                <w:tcPr>
                  <w:tcW w:w="552" w:type="pct"/>
                  <w:vAlign w:val="center"/>
                </w:tcPr>
                <w:p w14:paraId="283E57B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4A09CF9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156-500</w:t>
                  </w:r>
                </w:p>
              </w:tc>
              <w:tc>
                <w:tcPr>
                  <w:tcW w:w="735" w:type="pct"/>
                  <w:vMerge w:val="continue"/>
                  <w:vAlign w:val="center"/>
                </w:tcPr>
                <w:p w14:paraId="66B4E191">
                  <w:pPr>
                    <w:jc w:val="center"/>
                    <w:rPr>
                      <w:rFonts w:hint="default" w:ascii="Times New Roman" w:hAnsi="Times New Roman" w:eastAsia="宋体" w:cs="Times New Roman"/>
                      <w:color w:val="auto"/>
                    </w:rPr>
                  </w:pPr>
                </w:p>
              </w:tc>
            </w:tr>
            <w:tr w14:paraId="7092EF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25BCCCD0">
                  <w:pPr>
                    <w:jc w:val="center"/>
                    <w:rPr>
                      <w:rFonts w:hint="default" w:ascii="Times New Roman" w:hAnsi="Times New Roman" w:eastAsia="宋体" w:cs="Times New Roman"/>
                      <w:color w:val="auto"/>
                    </w:rPr>
                  </w:pPr>
                </w:p>
              </w:tc>
              <w:tc>
                <w:tcPr>
                  <w:tcW w:w="558" w:type="pct"/>
                  <w:vMerge w:val="restart"/>
                  <w:vAlign w:val="center"/>
                </w:tcPr>
                <w:p w14:paraId="37BD89C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105.034364</w:t>
                  </w:r>
                </w:p>
              </w:tc>
              <w:tc>
                <w:tcPr>
                  <w:tcW w:w="491" w:type="pct"/>
                  <w:vMerge w:val="restart"/>
                  <w:vAlign w:val="center"/>
                </w:tcPr>
                <w:p w14:paraId="1876A80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30.374631</w:t>
                  </w:r>
                </w:p>
              </w:tc>
              <w:tc>
                <w:tcPr>
                  <w:tcW w:w="474" w:type="pct"/>
                  <w:vMerge w:val="restart"/>
                  <w:vAlign w:val="center"/>
                </w:tcPr>
                <w:p w14:paraId="5E21094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22#</w:t>
                  </w:r>
                </w:p>
              </w:tc>
              <w:tc>
                <w:tcPr>
                  <w:tcW w:w="470" w:type="pct"/>
                  <w:vAlign w:val="center"/>
                </w:tcPr>
                <w:p w14:paraId="6C76760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561D073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11户农户</w:t>
                  </w:r>
                </w:p>
              </w:tc>
              <w:tc>
                <w:tcPr>
                  <w:tcW w:w="552" w:type="pct"/>
                  <w:vAlign w:val="center"/>
                </w:tcPr>
                <w:p w14:paraId="4C2BEE5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6142D96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108-500</w:t>
                  </w:r>
                </w:p>
              </w:tc>
              <w:tc>
                <w:tcPr>
                  <w:tcW w:w="735" w:type="pct"/>
                  <w:vMerge w:val="continue"/>
                  <w:vAlign w:val="center"/>
                </w:tcPr>
                <w:p w14:paraId="187754F1">
                  <w:pPr>
                    <w:jc w:val="center"/>
                    <w:rPr>
                      <w:rFonts w:hint="default" w:ascii="Times New Roman" w:hAnsi="Times New Roman" w:eastAsia="宋体" w:cs="Times New Roman"/>
                      <w:color w:val="auto"/>
                    </w:rPr>
                  </w:pPr>
                </w:p>
              </w:tc>
            </w:tr>
            <w:tr w14:paraId="514F08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256" w:type="pct"/>
                  <w:vMerge w:val="continue"/>
                  <w:vAlign w:val="center"/>
                </w:tcPr>
                <w:p w14:paraId="4DF6D258">
                  <w:pPr>
                    <w:jc w:val="center"/>
                    <w:rPr>
                      <w:rFonts w:hint="default" w:ascii="Times New Roman" w:hAnsi="Times New Roman" w:eastAsia="宋体" w:cs="Times New Roman"/>
                      <w:color w:val="auto"/>
                    </w:rPr>
                  </w:pPr>
                </w:p>
              </w:tc>
              <w:tc>
                <w:tcPr>
                  <w:tcW w:w="558" w:type="pct"/>
                  <w:vMerge w:val="continue"/>
                  <w:vAlign w:val="center"/>
                </w:tcPr>
                <w:p w14:paraId="125DD0C1">
                  <w:pPr>
                    <w:jc w:val="center"/>
                    <w:rPr>
                      <w:rFonts w:hint="default" w:ascii="Times New Roman" w:hAnsi="Times New Roman" w:eastAsia="宋体" w:cs="Times New Roman"/>
                      <w:color w:val="auto"/>
                    </w:rPr>
                  </w:pPr>
                </w:p>
              </w:tc>
              <w:tc>
                <w:tcPr>
                  <w:tcW w:w="491" w:type="pct"/>
                  <w:vMerge w:val="continue"/>
                  <w:vAlign w:val="center"/>
                </w:tcPr>
                <w:p w14:paraId="524FDF00">
                  <w:pPr>
                    <w:jc w:val="center"/>
                    <w:rPr>
                      <w:rFonts w:hint="default" w:ascii="Times New Roman" w:hAnsi="Times New Roman" w:eastAsia="宋体" w:cs="Times New Roman"/>
                      <w:color w:val="auto"/>
                    </w:rPr>
                  </w:pPr>
                </w:p>
              </w:tc>
              <w:tc>
                <w:tcPr>
                  <w:tcW w:w="474" w:type="pct"/>
                  <w:vMerge w:val="continue"/>
                  <w:vAlign w:val="center"/>
                </w:tcPr>
                <w:p w14:paraId="422C6687">
                  <w:pPr>
                    <w:jc w:val="center"/>
                    <w:rPr>
                      <w:rFonts w:hint="default" w:ascii="Times New Roman" w:hAnsi="Times New Roman" w:eastAsia="宋体" w:cs="Times New Roman"/>
                      <w:color w:val="auto"/>
                    </w:rPr>
                  </w:pPr>
                </w:p>
              </w:tc>
              <w:tc>
                <w:tcPr>
                  <w:tcW w:w="470" w:type="pct"/>
                  <w:vAlign w:val="center"/>
                </w:tcPr>
                <w:p w14:paraId="6E12EF1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4D89BD0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13户农户</w:t>
                  </w:r>
                </w:p>
              </w:tc>
              <w:tc>
                <w:tcPr>
                  <w:tcW w:w="552" w:type="pct"/>
                  <w:vAlign w:val="center"/>
                </w:tcPr>
                <w:p w14:paraId="68C483C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48A4096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106-500</w:t>
                  </w:r>
                </w:p>
              </w:tc>
              <w:tc>
                <w:tcPr>
                  <w:tcW w:w="735" w:type="pct"/>
                  <w:vMerge w:val="continue"/>
                  <w:vAlign w:val="center"/>
                </w:tcPr>
                <w:p w14:paraId="3194BF0C">
                  <w:pPr>
                    <w:jc w:val="center"/>
                    <w:rPr>
                      <w:rFonts w:hint="default" w:ascii="Times New Roman" w:hAnsi="Times New Roman" w:eastAsia="宋体" w:cs="Times New Roman"/>
                      <w:color w:val="auto"/>
                    </w:rPr>
                  </w:pPr>
                </w:p>
              </w:tc>
            </w:tr>
            <w:tr w14:paraId="03C4F0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6A8586CE">
                  <w:pPr>
                    <w:jc w:val="center"/>
                    <w:rPr>
                      <w:rFonts w:hint="default" w:ascii="Times New Roman" w:hAnsi="Times New Roman" w:eastAsia="宋体" w:cs="Times New Roman"/>
                      <w:color w:val="auto"/>
                    </w:rPr>
                  </w:pPr>
                </w:p>
              </w:tc>
              <w:tc>
                <w:tcPr>
                  <w:tcW w:w="558" w:type="pct"/>
                  <w:vMerge w:val="restart"/>
                  <w:vAlign w:val="center"/>
                </w:tcPr>
                <w:p w14:paraId="0DFCF59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105.050114</w:t>
                  </w:r>
                </w:p>
              </w:tc>
              <w:tc>
                <w:tcPr>
                  <w:tcW w:w="491" w:type="pct"/>
                  <w:vMerge w:val="restart"/>
                  <w:vAlign w:val="center"/>
                </w:tcPr>
                <w:p w14:paraId="22C66E4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30.377978</w:t>
                  </w:r>
                </w:p>
              </w:tc>
              <w:tc>
                <w:tcPr>
                  <w:tcW w:w="474" w:type="pct"/>
                  <w:vMerge w:val="restart"/>
                  <w:vAlign w:val="center"/>
                </w:tcPr>
                <w:p w14:paraId="1E3761C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23#</w:t>
                  </w:r>
                </w:p>
              </w:tc>
              <w:tc>
                <w:tcPr>
                  <w:tcW w:w="470" w:type="pct"/>
                  <w:vAlign w:val="center"/>
                </w:tcPr>
                <w:p w14:paraId="443F6FE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2CAEBF8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14户农户</w:t>
                  </w:r>
                </w:p>
              </w:tc>
              <w:tc>
                <w:tcPr>
                  <w:tcW w:w="552" w:type="pct"/>
                  <w:vAlign w:val="center"/>
                </w:tcPr>
                <w:p w14:paraId="4230743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北侧</w:t>
                  </w:r>
                </w:p>
              </w:tc>
              <w:tc>
                <w:tcPr>
                  <w:tcW w:w="582" w:type="pct"/>
                  <w:vAlign w:val="center"/>
                </w:tcPr>
                <w:p w14:paraId="2282FC6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139-500</w:t>
                  </w:r>
                </w:p>
              </w:tc>
              <w:tc>
                <w:tcPr>
                  <w:tcW w:w="735" w:type="pct"/>
                  <w:vMerge w:val="continue"/>
                  <w:vAlign w:val="center"/>
                </w:tcPr>
                <w:p w14:paraId="778B6FC6">
                  <w:pPr>
                    <w:jc w:val="center"/>
                    <w:rPr>
                      <w:rFonts w:hint="default" w:ascii="Times New Roman" w:hAnsi="Times New Roman" w:eastAsia="宋体" w:cs="Times New Roman"/>
                      <w:color w:val="auto"/>
                    </w:rPr>
                  </w:pPr>
                </w:p>
              </w:tc>
            </w:tr>
            <w:tr w14:paraId="6E28EA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1D1046B1">
                  <w:pPr>
                    <w:jc w:val="center"/>
                    <w:rPr>
                      <w:rFonts w:hint="default" w:ascii="Times New Roman" w:hAnsi="Times New Roman" w:eastAsia="宋体" w:cs="Times New Roman"/>
                      <w:color w:val="auto"/>
                    </w:rPr>
                  </w:pPr>
                </w:p>
              </w:tc>
              <w:tc>
                <w:tcPr>
                  <w:tcW w:w="558" w:type="pct"/>
                  <w:vMerge w:val="continue"/>
                  <w:vAlign w:val="center"/>
                </w:tcPr>
                <w:p w14:paraId="0444E034">
                  <w:pPr>
                    <w:jc w:val="center"/>
                    <w:rPr>
                      <w:rFonts w:hint="default" w:ascii="Times New Roman" w:hAnsi="Times New Roman" w:eastAsia="宋体" w:cs="Times New Roman"/>
                      <w:color w:val="auto"/>
                    </w:rPr>
                  </w:pPr>
                </w:p>
              </w:tc>
              <w:tc>
                <w:tcPr>
                  <w:tcW w:w="491" w:type="pct"/>
                  <w:vMerge w:val="continue"/>
                  <w:vAlign w:val="center"/>
                </w:tcPr>
                <w:p w14:paraId="51AD29CB">
                  <w:pPr>
                    <w:jc w:val="center"/>
                    <w:rPr>
                      <w:rFonts w:hint="default" w:ascii="Times New Roman" w:hAnsi="Times New Roman" w:eastAsia="宋体" w:cs="Times New Roman"/>
                      <w:color w:val="auto"/>
                    </w:rPr>
                  </w:pPr>
                </w:p>
              </w:tc>
              <w:tc>
                <w:tcPr>
                  <w:tcW w:w="474" w:type="pct"/>
                  <w:vMerge w:val="continue"/>
                  <w:vAlign w:val="center"/>
                </w:tcPr>
                <w:p w14:paraId="6FD010C0">
                  <w:pPr>
                    <w:jc w:val="center"/>
                    <w:rPr>
                      <w:rFonts w:hint="default" w:ascii="Times New Roman" w:hAnsi="Times New Roman" w:eastAsia="宋体" w:cs="Times New Roman"/>
                      <w:color w:val="auto"/>
                    </w:rPr>
                  </w:pPr>
                </w:p>
              </w:tc>
              <w:tc>
                <w:tcPr>
                  <w:tcW w:w="470" w:type="pct"/>
                  <w:vAlign w:val="center"/>
                </w:tcPr>
                <w:p w14:paraId="733568E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0E2B372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16户农户</w:t>
                  </w:r>
                </w:p>
              </w:tc>
              <w:tc>
                <w:tcPr>
                  <w:tcW w:w="552" w:type="pct"/>
                  <w:vAlign w:val="center"/>
                </w:tcPr>
                <w:p w14:paraId="5A31856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南侧</w:t>
                  </w:r>
                </w:p>
              </w:tc>
              <w:tc>
                <w:tcPr>
                  <w:tcW w:w="582" w:type="pct"/>
                  <w:vAlign w:val="center"/>
                </w:tcPr>
                <w:p w14:paraId="1A648E0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115-500</w:t>
                  </w:r>
                </w:p>
              </w:tc>
              <w:tc>
                <w:tcPr>
                  <w:tcW w:w="735" w:type="pct"/>
                  <w:vMerge w:val="continue"/>
                  <w:vAlign w:val="center"/>
                </w:tcPr>
                <w:p w14:paraId="3F2B9A9F">
                  <w:pPr>
                    <w:jc w:val="center"/>
                    <w:rPr>
                      <w:rFonts w:hint="default" w:ascii="Times New Roman" w:hAnsi="Times New Roman" w:eastAsia="宋体" w:cs="Times New Roman"/>
                      <w:color w:val="auto"/>
                    </w:rPr>
                  </w:pPr>
                </w:p>
              </w:tc>
            </w:tr>
            <w:tr w14:paraId="4F8106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56BCFE73">
                  <w:pPr>
                    <w:jc w:val="center"/>
                    <w:rPr>
                      <w:rFonts w:hint="default" w:ascii="Times New Roman" w:hAnsi="Times New Roman" w:eastAsia="宋体" w:cs="Times New Roman"/>
                      <w:color w:val="auto"/>
                    </w:rPr>
                  </w:pPr>
                </w:p>
              </w:tc>
              <w:tc>
                <w:tcPr>
                  <w:tcW w:w="558" w:type="pct"/>
                  <w:vMerge w:val="restart"/>
                  <w:vAlign w:val="center"/>
                </w:tcPr>
                <w:p w14:paraId="2AE69EA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105.048998</w:t>
                  </w:r>
                </w:p>
              </w:tc>
              <w:tc>
                <w:tcPr>
                  <w:tcW w:w="491" w:type="pct"/>
                  <w:vMerge w:val="restart"/>
                  <w:vAlign w:val="center"/>
                </w:tcPr>
                <w:p w14:paraId="187AF38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30.377420</w:t>
                  </w:r>
                </w:p>
              </w:tc>
              <w:tc>
                <w:tcPr>
                  <w:tcW w:w="474" w:type="pct"/>
                  <w:vMerge w:val="restart"/>
                  <w:vAlign w:val="center"/>
                </w:tcPr>
                <w:p w14:paraId="1D62EE6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24#</w:t>
                  </w:r>
                </w:p>
              </w:tc>
              <w:tc>
                <w:tcPr>
                  <w:tcW w:w="470" w:type="pct"/>
                  <w:vAlign w:val="center"/>
                </w:tcPr>
                <w:p w14:paraId="4436C1B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6EBAA63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17户农户</w:t>
                  </w:r>
                </w:p>
              </w:tc>
              <w:tc>
                <w:tcPr>
                  <w:tcW w:w="552" w:type="pct"/>
                  <w:vAlign w:val="center"/>
                </w:tcPr>
                <w:p w14:paraId="5C44195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北侧</w:t>
                  </w:r>
                </w:p>
              </w:tc>
              <w:tc>
                <w:tcPr>
                  <w:tcW w:w="582" w:type="pct"/>
                  <w:vAlign w:val="center"/>
                </w:tcPr>
                <w:p w14:paraId="3598041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131-500</w:t>
                  </w:r>
                </w:p>
              </w:tc>
              <w:tc>
                <w:tcPr>
                  <w:tcW w:w="735" w:type="pct"/>
                  <w:vMerge w:val="continue"/>
                  <w:vAlign w:val="center"/>
                </w:tcPr>
                <w:p w14:paraId="1D6B78BA">
                  <w:pPr>
                    <w:jc w:val="center"/>
                    <w:rPr>
                      <w:rFonts w:hint="default" w:ascii="Times New Roman" w:hAnsi="Times New Roman" w:eastAsia="宋体" w:cs="Times New Roman"/>
                      <w:color w:val="auto"/>
                    </w:rPr>
                  </w:pPr>
                </w:p>
              </w:tc>
            </w:tr>
            <w:tr w14:paraId="544679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5D96F1AE">
                  <w:pPr>
                    <w:jc w:val="center"/>
                    <w:rPr>
                      <w:rFonts w:hint="default" w:ascii="Times New Roman" w:hAnsi="Times New Roman" w:eastAsia="宋体" w:cs="Times New Roman"/>
                      <w:color w:val="auto"/>
                    </w:rPr>
                  </w:pPr>
                </w:p>
              </w:tc>
              <w:tc>
                <w:tcPr>
                  <w:tcW w:w="558" w:type="pct"/>
                  <w:vMerge w:val="continue"/>
                  <w:vAlign w:val="center"/>
                </w:tcPr>
                <w:p w14:paraId="74B61C7B">
                  <w:pPr>
                    <w:jc w:val="center"/>
                    <w:rPr>
                      <w:rFonts w:hint="default" w:ascii="Times New Roman" w:hAnsi="Times New Roman" w:eastAsia="宋体" w:cs="Times New Roman"/>
                      <w:color w:val="auto"/>
                    </w:rPr>
                  </w:pPr>
                </w:p>
              </w:tc>
              <w:tc>
                <w:tcPr>
                  <w:tcW w:w="491" w:type="pct"/>
                  <w:vMerge w:val="continue"/>
                  <w:vAlign w:val="center"/>
                </w:tcPr>
                <w:p w14:paraId="4E6EB197">
                  <w:pPr>
                    <w:jc w:val="center"/>
                    <w:rPr>
                      <w:rFonts w:hint="default" w:ascii="Times New Roman" w:hAnsi="Times New Roman" w:eastAsia="宋体" w:cs="Times New Roman"/>
                      <w:color w:val="auto"/>
                    </w:rPr>
                  </w:pPr>
                </w:p>
              </w:tc>
              <w:tc>
                <w:tcPr>
                  <w:tcW w:w="474" w:type="pct"/>
                  <w:vMerge w:val="continue"/>
                  <w:vAlign w:val="center"/>
                </w:tcPr>
                <w:p w14:paraId="5E718CA7">
                  <w:pPr>
                    <w:jc w:val="center"/>
                    <w:rPr>
                      <w:rFonts w:hint="default" w:ascii="Times New Roman" w:hAnsi="Times New Roman" w:eastAsia="宋体" w:cs="Times New Roman"/>
                      <w:color w:val="auto"/>
                    </w:rPr>
                  </w:pPr>
                </w:p>
              </w:tc>
              <w:tc>
                <w:tcPr>
                  <w:tcW w:w="470" w:type="pct"/>
                  <w:vAlign w:val="center"/>
                </w:tcPr>
                <w:p w14:paraId="22396B3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05A0FB1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23户农户</w:t>
                  </w:r>
                </w:p>
              </w:tc>
              <w:tc>
                <w:tcPr>
                  <w:tcW w:w="552" w:type="pct"/>
                  <w:vAlign w:val="center"/>
                </w:tcPr>
                <w:p w14:paraId="0CDDB30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南侧</w:t>
                  </w:r>
                </w:p>
              </w:tc>
              <w:tc>
                <w:tcPr>
                  <w:tcW w:w="582" w:type="pct"/>
                  <w:vAlign w:val="center"/>
                </w:tcPr>
                <w:p w14:paraId="1CFE5FB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96-500</w:t>
                  </w:r>
                </w:p>
              </w:tc>
              <w:tc>
                <w:tcPr>
                  <w:tcW w:w="735" w:type="pct"/>
                  <w:vMerge w:val="continue"/>
                  <w:vAlign w:val="center"/>
                </w:tcPr>
                <w:p w14:paraId="73D07E82">
                  <w:pPr>
                    <w:jc w:val="center"/>
                    <w:rPr>
                      <w:rFonts w:hint="default" w:ascii="Times New Roman" w:hAnsi="Times New Roman" w:eastAsia="宋体" w:cs="Times New Roman"/>
                      <w:color w:val="auto"/>
                    </w:rPr>
                  </w:pPr>
                </w:p>
              </w:tc>
            </w:tr>
            <w:tr w14:paraId="3EA717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6D2CE789">
                  <w:pPr>
                    <w:jc w:val="center"/>
                    <w:rPr>
                      <w:rFonts w:hint="default" w:ascii="Times New Roman" w:hAnsi="Times New Roman" w:eastAsia="宋体" w:cs="Times New Roman"/>
                      <w:color w:val="auto"/>
                    </w:rPr>
                  </w:pPr>
                </w:p>
              </w:tc>
              <w:tc>
                <w:tcPr>
                  <w:tcW w:w="558" w:type="pct"/>
                  <w:vMerge w:val="restart"/>
                  <w:vAlign w:val="center"/>
                </w:tcPr>
                <w:p w14:paraId="19A0DC7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105.060800</w:t>
                  </w:r>
                </w:p>
              </w:tc>
              <w:tc>
                <w:tcPr>
                  <w:tcW w:w="491" w:type="pct"/>
                  <w:vMerge w:val="restart"/>
                  <w:vAlign w:val="center"/>
                </w:tcPr>
                <w:p w14:paraId="3A48A58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30.379180</w:t>
                  </w:r>
                </w:p>
              </w:tc>
              <w:tc>
                <w:tcPr>
                  <w:tcW w:w="474" w:type="pct"/>
                  <w:vMerge w:val="restart"/>
                  <w:vAlign w:val="center"/>
                </w:tcPr>
                <w:p w14:paraId="1096B3B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25#</w:t>
                  </w:r>
                </w:p>
              </w:tc>
              <w:tc>
                <w:tcPr>
                  <w:tcW w:w="470" w:type="pct"/>
                  <w:vAlign w:val="center"/>
                </w:tcPr>
                <w:p w14:paraId="06E83A7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05051AE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13户农户</w:t>
                  </w:r>
                </w:p>
              </w:tc>
              <w:tc>
                <w:tcPr>
                  <w:tcW w:w="552" w:type="pct"/>
                  <w:vAlign w:val="center"/>
                </w:tcPr>
                <w:p w14:paraId="2DF4EBF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3A90712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104-500</w:t>
                  </w:r>
                </w:p>
              </w:tc>
              <w:tc>
                <w:tcPr>
                  <w:tcW w:w="735" w:type="pct"/>
                  <w:vMerge w:val="continue"/>
                  <w:vAlign w:val="center"/>
                </w:tcPr>
                <w:p w14:paraId="400BB66E">
                  <w:pPr>
                    <w:jc w:val="center"/>
                    <w:rPr>
                      <w:rFonts w:hint="default" w:ascii="Times New Roman" w:hAnsi="Times New Roman" w:eastAsia="宋体" w:cs="Times New Roman"/>
                      <w:color w:val="auto"/>
                    </w:rPr>
                  </w:pPr>
                </w:p>
              </w:tc>
            </w:tr>
            <w:tr w14:paraId="52F444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5816C3FD">
                  <w:pPr>
                    <w:jc w:val="center"/>
                    <w:rPr>
                      <w:rFonts w:hint="default" w:ascii="Times New Roman" w:hAnsi="Times New Roman" w:eastAsia="宋体" w:cs="Times New Roman"/>
                      <w:color w:val="auto"/>
                    </w:rPr>
                  </w:pPr>
                </w:p>
              </w:tc>
              <w:tc>
                <w:tcPr>
                  <w:tcW w:w="558" w:type="pct"/>
                  <w:vMerge w:val="continue"/>
                  <w:vAlign w:val="center"/>
                </w:tcPr>
                <w:p w14:paraId="28B1A2CE">
                  <w:pPr>
                    <w:jc w:val="center"/>
                    <w:rPr>
                      <w:rFonts w:hint="default" w:ascii="Times New Roman" w:hAnsi="Times New Roman" w:eastAsia="宋体" w:cs="Times New Roman"/>
                      <w:color w:val="auto"/>
                    </w:rPr>
                  </w:pPr>
                </w:p>
              </w:tc>
              <w:tc>
                <w:tcPr>
                  <w:tcW w:w="491" w:type="pct"/>
                  <w:vMerge w:val="continue"/>
                  <w:vAlign w:val="center"/>
                </w:tcPr>
                <w:p w14:paraId="4B9117BC">
                  <w:pPr>
                    <w:jc w:val="center"/>
                    <w:rPr>
                      <w:rFonts w:hint="default" w:ascii="Times New Roman" w:hAnsi="Times New Roman" w:eastAsia="宋体" w:cs="Times New Roman"/>
                      <w:color w:val="auto"/>
                    </w:rPr>
                  </w:pPr>
                </w:p>
              </w:tc>
              <w:tc>
                <w:tcPr>
                  <w:tcW w:w="474" w:type="pct"/>
                  <w:vMerge w:val="continue"/>
                  <w:vAlign w:val="center"/>
                </w:tcPr>
                <w:p w14:paraId="3AD0CFC0">
                  <w:pPr>
                    <w:jc w:val="center"/>
                    <w:rPr>
                      <w:rFonts w:hint="default" w:ascii="Times New Roman" w:hAnsi="Times New Roman" w:eastAsia="宋体" w:cs="Times New Roman"/>
                      <w:color w:val="auto"/>
                    </w:rPr>
                  </w:pPr>
                </w:p>
              </w:tc>
              <w:tc>
                <w:tcPr>
                  <w:tcW w:w="470" w:type="pct"/>
                  <w:vAlign w:val="center"/>
                </w:tcPr>
                <w:p w14:paraId="2D93062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7A4BB81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15户农户</w:t>
                  </w:r>
                </w:p>
              </w:tc>
              <w:tc>
                <w:tcPr>
                  <w:tcW w:w="552" w:type="pct"/>
                  <w:vAlign w:val="center"/>
                </w:tcPr>
                <w:p w14:paraId="6440F22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71737BA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121-500</w:t>
                  </w:r>
                </w:p>
              </w:tc>
              <w:tc>
                <w:tcPr>
                  <w:tcW w:w="735" w:type="pct"/>
                  <w:vMerge w:val="continue"/>
                  <w:vAlign w:val="center"/>
                </w:tcPr>
                <w:p w14:paraId="7FA14F90">
                  <w:pPr>
                    <w:jc w:val="center"/>
                    <w:rPr>
                      <w:rFonts w:hint="default" w:ascii="Times New Roman" w:hAnsi="Times New Roman" w:eastAsia="宋体" w:cs="Times New Roman"/>
                      <w:color w:val="auto"/>
                    </w:rPr>
                  </w:pPr>
                </w:p>
              </w:tc>
            </w:tr>
            <w:tr w14:paraId="0D52F2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62DB5023">
                  <w:pPr>
                    <w:jc w:val="center"/>
                    <w:rPr>
                      <w:rFonts w:hint="default" w:ascii="Times New Roman" w:hAnsi="Times New Roman" w:eastAsia="宋体" w:cs="Times New Roman"/>
                      <w:color w:val="auto"/>
                    </w:rPr>
                  </w:pPr>
                </w:p>
              </w:tc>
              <w:tc>
                <w:tcPr>
                  <w:tcW w:w="558" w:type="pct"/>
                  <w:vAlign w:val="center"/>
                </w:tcPr>
                <w:p w14:paraId="0B703FE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105.068868</w:t>
                  </w:r>
                </w:p>
              </w:tc>
              <w:tc>
                <w:tcPr>
                  <w:tcW w:w="491" w:type="pct"/>
                  <w:vAlign w:val="center"/>
                </w:tcPr>
                <w:p w14:paraId="2121344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30.382098</w:t>
                  </w:r>
                </w:p>
              </w:tc>
              <w:tc>
                <w:tcPr>
                  <w:tcW w:w="474" w:type="pct"/>
                  <w:vAlign w:val="center"/>
                </w:tcPr>
                <w:p w14:paraId="0CDB2F8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26#</w:t>
                  </w:r>
                </w:p>
              </w:tc>
              <w:tc>
                <w:tcPr>
                  <w:tcW w:w="470" w:type="pct"/>
                  <w:vAlign w:val="center"/>
                </w:tcPr>
                <w:p w14:paraId="6A69A12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291FB5C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18户农户</w:t>
                  </w:r>
                </w:p>
              </w:tc>
              <w:tc>
                <w:tcPr>
                  <w:tcW w:w="552" w:type="pct"/>
                  <w:vAlign w:val="center"/>
                </w:tcPr>
                <w:p w14:paraId="28D4A50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64CF8AD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123-500</w:t>
                  </w:r>
                </w:p>
              </w:tc>
              <w:tc>
                <w:tcPr>
                  <w:tcW w:w="735" w:type="pct"/>
                  <w:vMerge w:val="continue"/>
                  <w:vAlign w:val="center"/>
                </w:tcPr>
                <w:p w14:paraId="03060988">
                  <w:pPr>
                    <w:jc w:val="center"/>
                    <w:rPr>
                      <w:rFonts w:hint="default" w:ascii="Times New Roman" w:hAnsi="Times New Roman" w:eastAsia="宋体" w:cs="Times New Roman"/>
                      <w:color w:val="auto"/>
                    </w:rPr>
                  </w:pPr>
                </w:p>
              </w:tc>
            </w:tr>
            <w:tr w14:paraId="49CC5B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3F1BD29C">
                  <w:pPr>
                    <w:jc w:val="center"/>
                    <w:rPr>
                      <w:rFonts w:hint="default" w:ascii="Times New Roman" w:hAnsi="Times New Roman" w:eastAsia="宋体" w:cs="Times New Roman"/>
                      <w:color w:val="auto"/>
                    </w:rPr>
                  </w:pPr>
                </w:p>
              </w:tc>
              <w:tc>
                <w:tcPr>
                  <w:tcW w:w="558" w:type="pct"/>
                  <w:vMerge w:val="restart"/>
                  <w:vAlign w:val="center"/>
                </w:tcPr>
                <w:p w14:paraId="2FD1FF7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105.057882</w:t>
                  </w:r>
                </w:p>
              </w:tc>
              <w:tc>
                <w:tcPr>
                  <w:tcW w:w="491" w:type="pct"/>
                  <w:vMerge w:val="restart"/>
                  <w:vAlign w:val="center"/>
                </w:tcPr>
                <w:p w14:paraId="3574AC0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30.385317</w:t>
                  </w:r>
                </w:p>
              </w:tc>
              <w:tc>
                <w:tcPr>
                  <w:tcW w:w="474" w:type="pct"/>
                  <w:vMerge w:val="restart"/>
                  <w:vAlign w:val="center"/>
                </w:tcPr>
                <w:p w14:paraId="6950934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27#</w:t>
                  </w:r>
                </w:p>
              </w:tc>
              <w:tc>
                <w:tcPr>
                  <w:tcW w:w="470" w:type="pct"/>
                  <w:vAlign w:val="center"/>
                </w:tcPr>
                <w:p w14:paraId="5B4F8A0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215B642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15户农户</w:t>
                  </w:r>
                </w:p>
              </w:tc>
              <w:tc>
                <w:tcPr>
                  <w:tcW w:w="552" w:type="pct"/>
                  <w:vAlign w:val="center"/>
                </w:tcPr>
                <w:p w14:paraId="49D2252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6485E76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74-500</w:t>
                  </w:r>
                </w:p>
              </w:tc>
              <w:tc>
                <w:tcPr>
                  <w:tcW w:w="735" w:type="pct"/>
                  <w:vMerge w:val="continue"/>
                  <w:vAlign w:val="center"/>
                </w:tcPr>
                <w:p w14:paraId="2CE9BD9F">
                  <w:pPr>
                    <w:jc w:val="center"/>
                    <w:rPr>
                      <w:rFonts w:hint="default" w:ascii="Times New Roman" w:hAnsi="Times New Roman" w:eastAsia="宋体" w:cs="Times New Roman"/>
                      <w:color w:val="auto"/>
                    </w:rPr>
                  </w:pPr>
                </w:p>
              </w:tc>
            </w:tr>
            <w:tr w14:paraId="45793D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3024AA84">
                  <w:pPr>
                    <w:jc w:val="center"/>
                    <w:rPr>
                      <w:rFonts w:hint="default" w:ascii="Times New Roman" w:hAnsi="Times New Roman" w:eastAsia="宋体" w:cs="Times New Roman"/>
                      <w:color w:val="auto"/>
                    </w:rPr>
                  </w:pPr>
                </w:p>
              </w:tc>
              <w:tc>
                <w:tcPr>
                  <w:tcW w:w="558" w:type="pct"/>
                  <w:vMerge w:val="continue"/>
                  <w:vAlign w:val="center"/>
                </w:tcPr>
                <w:p w14:paraId="7152AF7E">
                  <w:pPr>
                    <w:jc w:val="center"/>
                    <w:rPr>
                      <w:rFonts w:hint="default" w:ascii="Times New Roman" w:hAnsi="Times New Roman" w:eastAsia="宋体" w:cs="Times New Roman"/>
                      <w:color w:val="auto"/>
                    </w:rPr>
                  </w:pPr>
                </w:p>
              </w:tc>
              <w:tc>
                <w:tcPr>
                  <w:tcW w:w="491" w:type="pct"/>
                  <w:vMerge w:val="continue"/>
                  <w:vAlign w:val="center"/>
                </w:tcPr>
                <w:p w14:paraId="421CD871">
                  <w:pPr>
                    <w:jc w:val="center"/>
                    <w:rPr>
                      <w:rFonts w:hint="default" w:ascii="Times New Roman" w:hAnsi="Times New Roman" w:eastAsia="宋体" w:cs="Times New Roman"/>
                      <w:color w:val="auto"/>
                    </w:rPr>
                  </w:pPr>
                </w:p>
              </w:tc>
              <w:tc>
                <w:tcPr>
                  <w:tcW w:w="474" w:type="pct"/>
                  <w:vMerge w:val="continue"/>
                  <w:vAlign w:val="center"/>
                </w:tcPr>
                <w:p w14:paraId="68DC6039">
                  <w:pPr>
                    <w:jc w:val="center"/>
                    <w:rPr>
                      <w:rFonts w:hint="default" w:ascii="Times New Roman" w:hAnsi="Times New Roman" w:eastAsia="宋体" w:cs="Times New Roman"/>
                      <w:color w:val="auto"/>
                    </w:rPr>
                  </w:pPr>
                </w:p>
              </w:tc>
              <w:tc>
                <w:tcPr>
                  <w:tcW w:w="470" w:type="pct"/>
                  <w:vAlign w:val="center"/>
                </w:tcPr>
                <w:p w14:paraId="565202E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206A9CD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51户农户</w:t>
                  </w:r>
                </w:p>
              </w:tc>
              <w:tc>
                <w:tcPr>
                  <w:tcW w:w="552" w:type="pct"/>
                  <w:vAlign w:val="center"/>
                </w:tcPr>
                <w:p w14:paraId="3A851FB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西南侧</w:t>
                  </w:r>
                </w:p>
              </w:tc>
              <w:tc>
                <w:tcPr>
                  <w:tcW w:w="582" w:type="pct"/>
                  <w:vAlign w:val="center"/>
                </w:tcPr>
                <w:p w14:paraId="01FC178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41-500</w:t>
                  </w:r>
                </w:p>
              </w:tc>
              <w:tc>
                <w:tcPr>
                  <w:tcW w:w="735" w:type="pct"/>
                  <w:vMerge w:val="continue"/>
                  <w:vAlign w:val="center"/>
                </w:tcPr>
                <w:p w14:paraId="392E1C49">
                  <w:pPr>
                    <w:jc w:val="center"/>
                    <w:rPr>
                      <w:rFonts w:hint="default" w:ascii="Times New Roman" w:hAnsi="Times New Roman" w:eastAsia="宋体" w:cs="Times New Roman"/>
                      <w:color w:val="auto"/>
                    </w:rPr>
                  </w:pPr>
                </w:p>
              </w:tc>
            </w:tr>
            <w:tr w14:paraId="03410C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62F37759">
                  <w:pPr>
                    <w:jc w:val="center"/>
                    <w:rPr>
                      <w:rFonts w:hint="default" w:ascii="Times New Roman" w:hAnsi="Times New Roman" w:eastAsia="宋体" w:cs="Times New Roman"/>
                      <w:color w:val="auto"/>
                    </w:rPr>
                  </w:pPr>
                </w:p>
              </w:tc>
              <w:tc>
                <w:tcPr>
                  <w:tcW w:w="558" w:type="pct"/>
                  <w:vMerge w:val="restart"/>
                  <w:vAlign w:val="center"/>
                </w:tcPr>
                <w:p w14:paraId="2982E8D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105.039042</w:t>
                  </w:r>
                </w:p>
              </w:tc>
              <w:tc>
                <w:tcPr>
                  <w:tcW w:w="491" w:type="pct"/>
                  <w:vMerge w:val="restart"/>
                  <w:vAlign w:val="center"/>
                </w:tcPr>
                <w:p w14:paraId="4B5944F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30.379866</w:t>
                  </w:r>
                </w:p>
              </w:tc>
              <w:tc>
                <w:tcPr>
                  <w:tcW w:w="474" w:type="pct"/>
                  <w:vMerge w:val="restart"/>
                  <w:vAlign w:val="center"/>
                </w:tcPr>
                <w:p w14:paraId="0260445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28#</w:t>
                  </w:r>
                </w:p>
              </w:tc>
              <w:tc>
                <w:tcPr>
                  <w:tcW w:w="470" w:type="pct"/>
                  <w:vAlign w:val="center"/>
                </w:tcPr>
                <w:p w14:paraId="4B71B74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126535C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7户农户</w:t>
                  </w:r>
                </w:p>
              </w:tc>
              <w:tc>
                <w:tcPr>
                  <w:tcW w:w="552" w:type="pct"/>
                  <w:vAlign w:val="center"/>
                </w:tcPr>
                <w:p w14:paraId="6F65C4F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东北侧</w:t>
                  </w:r>
                </w:p>
              </w:tc>
              <w:tc>
                <w:tcPr>
                  <w:tcW w:w="582" w:type="pct"/>
                  <w:vAlign w:val="center"/>
                </w:tcPr>
                <w:p w14:paraId="393D99F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105-500</w:t>
                  </w:r>
                </w:p>
              </w:tc>
              <w:tc>
                <w:tcPr>
                  <w:tcW w:w="735" w:type="pct"/>
                  <w:vMerge w:val="continue"/>
                  <w:vAlign w:val="center"/>
                </w:tcPr>
                <w:p w14:paraId="192D605B">
                  <w:pPr>
                    <w:jc w:val="center"/>
                    <w:rPr>
                      <w:rFonts w:hint="default" w:ascii="Times New Roman" w:hAnsi="Times New Roman" w:eastAsia="宋体" w:cs="Times New Roman"/>
                      <w:color w:val="auto"/>
                    </w:rPr>
                  </w:pPr>
                </w:p>
              </w:tc>
            </w:tr>
            <w:tr w14:paraId="64CE50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6DF6E182">
                  <w:pPr>
                    <w:jc w:val="center"/>
                    <w:rPr>
                      <w:rFonts w:hint="default" w:ascii="Times New Roman" w:hAnsi="Times New Roman" w:eastAsia="宋体" w:cs="Times New Roman"/>
                      <w:color w:val="auto"/>
                    </w:rPr>
                  </w:pPr>
                </w:p>
              </w:tc>
              <w:tc>
                <w:tcPr>
                  <w:tcW w:w="558" w:type="pct"/>
                  <w:vMerge w:val="continue"/>
                  <w:vAlign w:val="center"/>
                </w:tcPr>
                <w:p w14:paraId="657576E2">
                  <w:pPr>
                    <w:jc w:val="center"/>
                    <w:rPr>
                      <w:rFonts w:hint="default" w:ascii="Times New Roman" w:hAnsi="Times New Roman" w:eastAsia="宋体" w:cs="Times New Roman"/>
                      <w:color w:val="auto"/>
                    </w:rPr>
                  </w:pPr>
                </w:p>
              </w:tc>
              <w:tc>
                <w:tcPr>
                  <w:tcW w:w="491" w:type="pct"/>
                  <w:vMerge w:val="continue"/>
                  <w:vAlign w:val="center"/>
                </w:tcPr>
                <w:p w14:paraId="7E9B7F41">
                  <w:pPr>
                    <w:jc w:val="center"/>
                    <w:rPr>
                      <w:rFonts w:hint="default" w:ascii="Times New Roman" w:hAnsi="Times New Roman" w:eastAsia="宋体" w:cs="Times New Roman"/>
                      <w:color w:val="auto"/>
                    </w:rPr>
                  </w:pPr>
                </w:p>
              </w:tc>
              <w:tc>
                <w:tcPr>
                  <w:tcW w:w="474" w:type="pct"/>
                  <w:vMerge w:val="continue"/>
                  <w:vAlign w:val="center"/>
                </w:tcPr>
                <w:p w14:paraId="2602F671">
                  <w:pPr>
                    <w:jc w:val="center"/>
                    <w:rPr>
                      <w:rFonts w:hint="default" w:ascii="Times New Roman" w:hAnsi="Times New Roman" w:eastAsia="宋体" w:cs="Times New Roman"/>
                      <w:color w:val="auto"/>
                    </w:rPr>
                  </w:pPr>
                </w:p>
              </w:tc>
              <w:tc>
                <w:tcPr>
                  <w:tcW w:w="470" w:type="pct"/>
                  <w:vAlign w:val="center"/>
                </w:tcPr>
                <w:p w14:paraId="418EC42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004C23B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12户农户</w:t>
                  </w:r>
                </w:p>
              </w:tc>
              <w:tc>
                <w:tcPr>
                  <w:tcW w:w="552" w:type="pct"/>
                  <w:vAlign w:val="center"/>
                </w:tcPr>
                <w:p w14:paraId="3EE7414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55322E7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101-500</w:t>
                  </w:r>
                </w:p>
              </w:tc>
              <w:tc>
                <w:tcPr>
                  <w:tcW w:w="735" w:type="pct"/>
                  <w:vMerge w:val="continue"/>
                  <w:vAlign w:val="center"/>
                </w:tcPr>
                <w:p w14:paraId="1F9354E3">
                  <w:pPr>
                    <w:jc w:val="center"/>
                    <w:rPr>
                      <w:rFonts w:hint="default" w:ascii="Times New Roman" w:hAnsi="Times New Roman" w:eastAsia="宋体" w:cs="Times New Roman"/>
                      <w:color w:val="auto"/>
                    </w:rPr>
                  </w:pPr>
                </w:p>
              </w:tc>
            </w:tr>
            <w:tr w14:paraId="50AFB8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56890E04">
                  <w:pPr>
                    <w:jc w:val="center"/>
                    <w:rPr>
                      <w:rFonts w:hint="default" w:ascii="Times New Roman" w:hAnsi="Times New Roman" w:eastAsia="宋体" w:cs="Times New Roman"/>
                      <w:color w:val="auto"/>
                    </w:rPr>
                  </w:pPr>
                </w:p>
              </w:tc>
              <w:tc>
                <w:tcPr>
                  <w:tcW w:w="558" w:type="pct"/>
                  <w:vMerge w:val="continue"/>
                  <w:vAlign w:val="center"/>
                </w:tcPr>
                <w:p w14:paraId="17688210">
                  <w:pPr>
                    <w:jc w:val="center"/>
                    <w:rPr>
                      <w:rFonts w:hint="default" w:ascii="Times New Roman" w:hAnsi="Times New Roman" w:eastAsia="宋体" w:cs="Times New Roman"/>
                      <w:color w:val="auto"/>
                    </w:rPr>
                  </w:pPr>
                </w:p>
              </w:tc>
              <w:tc>
                <w:tcPr>
                  <w:tcW w:w="491" w:type="pct"/>
                  <w:vMerge w:val="continue"/>
                  <w:vAlign w:val="center"/>
                </w:tcPr>
                <w:p w14:paraId="3CCAA70E">
                  <w:pPr>
                    <w:jc w:val="center"/>
                    <w:rPr>
                      <w:rFonts w:hint="default" w:ascii="Times New Roman" w:hAnsi="Times New Roman" w:eastAsia="宋体" w:cs="Times New Roman"/>
                      <w:color w:val="auto"/>
                    </w:rPr>
                  </w:pPr>
                </w:p>
              </w:tc>
              <w:tc>
                <w:tcPr>
                  <w:tcW w:w="474" w:type="pct"/>
                  <w:vMerge w:val="continue"/>
                  <w:vAlign w:val="center"/>
                </w:tcPr>
                <w:p w14:paraId="6FC8B73C">
                  <w:pPr>
                    <w:jc w:val="center"/>
                    <w:rPr>
                      <w:rFonts w:hint="default" w:ascii="Times New Roman" w:hAnsi="Times New Roman" w:eastAsia="宋体" w:cs="Times New Roman"/>
                      <w:color w:val="auto"/>
                    </w:rPr>
                  </w:pPr>
                </w:p>
              </w:tc>
              <w:tc>
                <w:tcPr>
                  <w:tcW w:w="470" w:type="pct"/>
                  <w:vAlign w:val="center"/>
                </w:tcPr>
                <w:p w14:paraId="2116481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333B4DA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17户农户</w:t>
                  </w:r>
                </w:p>
              </w:tc>
              <w:tc>
                <w:tcPr>
                  <w:tcW w:w="552" w:type="pct"/>
                  <w:vAlign w:val="center"/>
                </w:tcPr>
                <w:p w14:paraId="4887268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61F2791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110-500</w:t>
                  </w:r>
                </w:p>
              </w:tc>
              <w:tc>
                <w:tcPr>
                  <w:tcW w:w="735" w:type="pct"/>
                  <w:vMerge w:val="continue"/>
                  <w:vAlign w:val="center"/>
                </w:tcPr>
                <w:p w14:paraId="379EC4DC">
                  <w:pPr>
                    <w:jc w:val="center"/>
                    <w:rPr>
                      <w:rFonts w:hint="default" w:ascii="Times New Roman" w:hAnsi="Times New Roman" w:eastAsia="宋体" w:cs="Times New Roman"/>
                      <w:color w:val="auto"/>
                    </w:rPr>
                  </w:pPr>
                </w:p>
              </w:tc>
            </w:tr>
            <w:tr w14:paraId="3F797F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1B42D2A6">
                  <w:pPr>
                    <w:jc w:val="center"/>
                    <w:rPr>
                      <w:rFonts w:hint="default" w:ascii="Times New Roman" w:hAnsi="Times New Roman" w:eastAsia="宋体" w:cs="Times New Roman"/>
                      <w:color w:val="auto"/>
                    </w:rPr>
                  </w:pPr>
                </w:p>
              </w:tc>
              <w:tc>
                <w:tcPr>
                  <w:tcW w:w="558" w:type="pct"/>
                  <w:vMerge w:val="restart"/>
                  <w:vAlign w:val="center"/>
                </w:tcPr>
                <w:p w14:paraId="5073AAD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105.024794</w:t>
                  </w:r>
                </w:p>
              </w:tc>
              <w:tc>
                <w:tcPr>
                  <w:tcW w:w="491" w:type="pct"/>
                  <w:vMerge w:val="restart"/>
                  <w:vAlign w:val="center"/>
                </w:tcPr>
                <w:p w14:paraId="088A9AF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30.372056</w:t>
                  </w:r>
                </w:p>
              </w:tc>
              <w:tc>
                <w:tcPr>
                  <w:tcW w:w="474" w:type="pct"/>
                  <w:vMerge w:val="restart"/>
                  <w:vAlign w:val="center"/>
                </w:tcPr>
                <w:p w14:paraId="759F6C7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29#</w:t>
                  </w:r>
                </w:p>
              </w:tc>
              <w:tc>
                <w:tcPr>
                  <w:tcW w:w="470" w:type="pct"/>
                  <w:vAlign w:val="center"/>
                </w:tcPr>
                <w:p w14:paraId="639705E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400C168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19户农户</w:t>
                  </w:r>
                </w:p>
              </w:tc>
              <w:tc>
                <w:tcPr>
                  <w:tcW w:w="552" w:type="pct"/>
                  <w:vAlign w:val="center"/>
                </w:tcPr>
                <w:p w14:paraId="60A6733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4D20FE2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102-500</w:t>
                  </w:r>
                </w:p>
              </w:tc>
              <w:tc>
                <w:tcPr>
                  <w:tcW w:w="735" w:type="pct"/>
                  <w:vMerge w:val="continue"/>
                  <w:vAlign w:val="center"/>
                </w:tcPr>
                <w:p w14:paraId="6AECAD0E">
                  <w:pPr>
                    <w:jc w:val="center"/>
                    <w:rPr>
                      <w:rFonts w:hint="default" w:ascii="Times New Roman" w:hAnsi="Times New Roman" w:eastAsia="宋体" w:cs="Times New Roman"/>
                      <w:color w:val="auto"/>
                    </w:rPr>
                  </w:pPr>
                </w:p>
              </w:tc>
            </w:tr>
            <w:tr w14:paraId="0230FF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6F04899B">
                  <w:pPr>
                    <w:jc w:val="center"/>
                    <w:rPr>
                      <w:rFonts w:hint="default" w:ascii="Times New Roman" w:hAnsi="Times New Roman" w:eastAsia="宋体" w:cs="Times New Roman"/>
                      <w:color w:val="auto"/>
                    </w:rPr>
                  </w:pPr>
                </w:p>
              </w:tc>
              <w:tc>
                <w:tcPr>
                  <w:tcW w:w="558" w:type="pct"/>
                  <w:vMerge w:val="continue"/>
                  <w:vAlign w:val="center"/>
                </w:tcPr>
                <w:p w14:paraId="6563F457">
                  <w:pPr>
                    <w:jc w:val="center"/>
                    <w:rPr>
                      <w:rFonts w:hint="default" w:ascii="Times New Roman" w:hAnsi="Times New Roman" w:eastAsia="宋体" w:cs="Times New Roman"/>
                      <w:color w:val="auto"/>
                    </w:rPr>
                  </w:pPr>
                </w:p>
              </w:tc>
              <w:tc>
                <w:tcPr>
                  <w:tcW w:w="491" w:type="pct"/>
                  <w:vMerge w:val="continue"/>
                  <w:vAlign w:val="center"/>
                </w:tcPr>
                <w:p w14:paraId="74041E72">
                  <w:pPr>
                    <w:jc w:val="center"/>
                    <w:rPr>
                      <w:rFonts w:hint="default" w:ascii="Times New Roman" w:hAnsi="Times New Roman" w:eastAsia="宋体" w:cs="Times New Roman"/>
                      <w:color w:val="auto"/>
                    </w:rPr>
                  </w:pPr>
                </w:p>
              </w:tc>
              <w:tc>
                <w:tcPr>
                  <w:tcW w:w="474" w:type="pct"/>
                  <w:vMerge w:val="continue"/>
                  <w:vAlign w:val="center"/>
                </w:tcPr>
                <w:p w14:paraId="42256B6F">
                  <w:pPr>
                    <w:jc w:val="center"/>
                    <w:rPr>
                      <w:rFonts w:hint="default" w:ascii="Times New Roman" w:hAnsi="Times New Roman" w:eastAsia="宋体" w:cs="Times New Roman"/>
                      <w:color w:val="auto"/>
                    </w:rPr>
                  </w:pPr>
                </w:p>
              </w:tc>
              <w:tc>
                <w:tcPr>
                  <w:tcW w:w="470" w:type="pct"/>
                  <w:vAlign w:val="center"/>
                </w:tcPr>
                <w:p w14:paraId="754D975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102AD70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21户农户</w:t>
                  </w:r>
                </w:p>
              </w:tc>
              <w:tc>
                <w:tcPr>
                  <w:tcW w:w="552" w:type="pct"/>
                  <w:vAlign w:val="center"/>
                </w:tcPr>
                <w:p w14:paraId="457BD9E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36B6F1F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98-500</w:t>
                  </w:r>
                </w:p>
              </w:tc>
              <w:tc>
                <w:tcPr>
                  <w:tcW w:w="735" w:type="pct"/>
                  <w:vMerge w:val="continue"/>
                  <w:vAlign w:val="center"/>
                </w:tcPr>
                <w:p w14:paraId="4E181EDC">
                  <w:pPr>
                    <w:jc w:val="center"/>
                    <w:rPr>
                      <w:rFonts w:hint="default" w:ascii="Times New Roman" w:hAnsi="Times New Roman" w:eastAsia="宋体" w:cs="Times New Roman"/>
                      <w:color w:val="auto"/>
                    </w:rPr>
                  </w:pPr>
                </w:p>
              </w:tc>
            </w:tr>
            <w:tr w14:paraId="760EBD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2965FC2E">
                  <w:pPr>
                    <w:jc w:val="center"/>
                    <w:rPr>
                      <w:rFonts w:hint="default" w:ascii="Times New Roman" w:hAnsi="Times New Roman" w:eastAsia="宋体" w:cs="Times New Roman"/>
                      <w:color w:val="auto"/>
                    </w:rPr>
                  </w:pPr>
                </w:p>
              </w:tc>
              <w:tc>
                <w:tcPr>
                  <w:tcW w:w="558" w:type="pct"/>
                  <w:vMerge w:val="restart"/>
                  <w:vAlign w:val="center"/>
                </w:tcPr>
                <w:p w14:paraId="20A15FA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105.021790</w:t>
                  </w:r>
                </w:p>
              </w:tc>
              <w:tc>
                <w:tcPr>
                  <w:tcW w:w="491" w:type="pct"/>
                  <w:vMerge w:val="restart"/>
                  <w:vAlign w:val="center"/>
                </w:tcPr>
                <w:p w14:paraId="7EDE683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30.366348</w:t>
                  </w:r>
                </w:p>
              </w:tc>
              <w:tc>
                <w:tcPr>
                  <w:tcW w:w="474" w:type="pct"/>
                  <w:vMerge w:val="restart"/>
                  <w:vAlign w:val="center"/>
                </w:tcPr>
                <w:p w14:paraId="120145C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w:t>
                  </w:r>
                </w:p>
              </w:tc>
              <w:tc>
                <w:tcPr>
                  <w:tcW w:w="470" w:type="pct"/>
                  <w:vAlign w:val="center"/>
                </w:tcPr>
                <w:p w14:paraId="33A0EF4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10C2573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16户农户</w:t>
                  </w:r>
                </w:p>
              </w:tc>
              <w:tc>
                <w:tcPr>
                  <w:tcW w:w="552" w:type="pct"/>
                  <w:vAlign w:val="center"/>
                </w:tcPr>
                <w:p w14:paraId="2579693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北侧</w:t>
                  </w:r>
                </w:p>
              </w:tc>
              <w:tc>
                <w:tcPr>
                  <w:tcW w:w="582" w:type="pct"/>
                  <w:vAlign w:val="center"/>
                </w:tcPr>
                <w:p w14:paraId="6934774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131-500</w:t>
                  </w:r>
                </w:p>
              </w:tc>
              <w:tc>
                <w:tcPr>
                  <w:tcW w:w="735" w:type="pct"/>
                  <w:vMerge w:val="continue"/>
                  <w:vAlign w:val="center"/>
                </w:tcPr>
                <w:p w14:paraId="4D5E1778">
                  <w:pPr>
                    <w:jc w:val="center"/>
                    <w:rPr>
                      <w:rFonts w:hint="default" w:ascii="Times New Roman" w:hAnsi="Times New Roman" w:eastAsia="宋体" w:cs="Times New Roman"/>
                      <w:color w:val="auto"/>
                    </w:rPr>
                  </w:pPr>
                </w:p>
              </w:tc>
            </w:tr>
            <w:tr w14:paraId="2ECB49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2FA79DFE">
                  <w:pPr>
                    <w:jc w:val="center"/>
                    <w:rPr>
                      <w:rFonts w:hint="default" w:ascii="Times New Roman" w:hAnsi="Times New Roman" w:eastAsia="宋体" w:cs="Times New Roman"/>
                      <w:color w:val="auto"/>
                    </w:rPr>
                  </w:pPr>
                </w:p>
              </w:tc>
              <w:tc>
                <w:tcPr>
                  <w:tcW w:w="558" w:type="pct"/>
                  <w:vMerge w:val="continue"/>
                  <w:vAlign w:val="center"/>
                </w:tcPr>
                <w:p w14:paraId="20799A19">
                  <w:pPr>
                    <w:jc w:val="center"/>
                    <w:rPr>
                      <w:rFonts w:hint="default" w:ascii="Times New Roman" w:hAnsi="Times New Roman" w:eastAsia="宋体" w:cs="Times New Roman"/>
                      <w:color w:val="auto"/>
                    </w:rPr>
                  </w:pPr>
                </w:p>
              </w:tc>
              <w:tc>
                <w:tcPr>
                  <w:tcW w:w="491" w:type="pct"/>
                  <w:vMerge w:val="continue"/>
                  <w:vAlign w:val="center"/>
                </w:tcPr>
                <w:p w14:paraId="1841F479">
                  <w:pPr>
                    <w:jc w:val="center"/>
                    <w:rPr>
                      <w:rFonts w:hint="default" w:ascii="Times New Roman" w:hAnsi="Times New Roman" w:eastAsia="宋体" w:cs="Times New Roman"/>
                      <w:color w:val="auto"/>
                    </w:rPr>
                  </w:pPr>
                </w:p>
              </w:tc>
              <w:tc>
                <w:tcPr>
                  <w:tcW w:w="474" w:type="pct"/>
                  <w:vMerge w:val="continue"/>
                  <w:vAlign w:val="center"/>
                </w:tcPr>
                <w:p w14:paraId="52AB83FF">
                  <w:pPr>
                    <w:jc w:val="center"/>
                    <w:rPr>
                      <w:rFonts w:hint="default" w:ascii="Times New Roman" w:hAnsi="Times New Roman" w:eastAsia="宋体" w:cs="Times New Roman"/>
                      <w:color w:val="auto"/>
                    </w:rPr>
                  </w:pPr>
                </w:p>
              </w:tc>
              <w:tc>
                <w:tcPr>
                  <w:tcW w:w="470" w:type="pct"/>
                  <w:vAlign w:val="center"/>
                </w:tcPr>
                <w:p w14:paraId="2274B2A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256CDF7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17户农户</w:t>
                  </w:r>
                </w:p>
              </w:tc>
              <w:tc>
                <w:tcPr>
                  <w:tcW w:w="552" w:type="pct"/>
                  <w:vAlign w:val="center"/>
                </w:tcPr>
                <w:p w14:paraId="09C3978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南侧</w:t>
                  </w:r>
                </w:p>
              </w:tc>
              <w:tc>
                <w:tcPr>
                  <w:tcW w:w="582" w:type="pct"/>
                  <w:vAlign w:val="center"/>
                </w:tcPr>
                <w:p w14:paraId="7127AF7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122-500</w:t>
                  </w:r>
                </w:p>
              </w:tc>
              <w:tc>
                <w:tcPr>
                  <w:tcW w:w="735" w:type="pct"/>
                  <w:vMerge w:val="continue"/>
                  <w:vAlign w:val="center"/>
                </w:tcPr>
                <w:p w14:paraId="3382392B">
                  <w:pPr>
                    <w:jc w:val="center"/>
                    <w:rPr>
                      <w:rFonts w:hint="default" w:ascii="Times New Roman" w:hAnsi="Times New Roman" w:eastAsia="宋体" w:cs="Times New Roman"/>
                      <w:color w:val="auto"/>
                    </w:rPr>
                  </w:pPr>
                </w:p>
              </w:tc>
            </w:tr>
            <w:tr w14:paraId="752B10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0E25578F">
                  <w:pPr>
                    <w:jc w:val="center"/>
                    <w:rPr>
                      <w:rFonts w:hint="default" w:ascii="Times New Roman" w:hAnsi="Times New Roman" w:eastAsia="宋体" w:cs="Times New Roman"/>
                      <w:color w:val="auto"/>
                    </w:rPr>
                  </w:pPr>
                </w:p>
              </w:tc>
              <w:tc>
                <w:tcPr>
                  <w:tcW w:w="558" w:type="pct"/>
                  <w:vAlign w:val="center"/>
                </w:tcPr>
                <w:p w14:paraId="6C9F440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105.012263</w:t>
                  </w:r>
                </w:p>
              </w:tc>
              <w:tc>
                <w:tcPr>
                  <w:tcW w:w="491" w:type="pct"/>
                  <w:vAlign w:val="center"/>
                </w:tcPr>
                <w:p w14:paraId="622FB34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30.362099</w:t>
                  </w:r>
                </w:p>
              </w:tc>
              <w:tc>
                <w:tcPr>
                  <w:tcW w:w="474" w:type="pct"/>
                  <w:vAlign w:val="center"/>
                </w:tcPr>
                <w:p w14:paraId="348AA0E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31#</w:t>
                  </w:r>
                </w:p>
              </w:tc>
              <w:tc>
                <w:tcPr>
                  <w:tcW w:w="470" w:type="pct"/>
                  <w:vAlign w:val="center"/>
                </w:tcPr>
                <w:p w14:paraId="763F012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1F264AA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31户农户</w:t>
                  </w:r>
                </w:p>
              </w:tc>
              <w:tc>
                <w:tcPr>
                  <w:tcW w:w="552" w:type="pct"/>
                  <w:vAlign w:val="center"/>
                </w:tcPr>
                <w:p w14:paraId="50F4B68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256B166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85-500</w:t>
                  </w:r>
                </w:p>
              </w:tc>
              <w:tc>
                <w:tcPr>
                  <w:tcW w:w="735" w:type="pct"/>
                  <w:vMerge w:val="continue"/>
                  <w:vAlign w:val="center"/>
                </w:tcPr>
                <w:p w14:paraId="553B7D2F">
                  <w:pPr>
                    <w:jc w:val="center"/>
                    <w:rPr>
                      <w:rFonts w:hint="default" w:ascii="Times New Roman" w:hAnsi="Times New Roman" w:eastAsia="宋体" w:cs="Times New Roman"/>
                      <w:color w:val="auto"/>
                    </w:rPr>
                  </w:pPr>
                </w:p>
              </w:tc>
            </w:tr>
            <w:tr w14:paraId="2F6995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3B4CB76C">
                  <w:pPr>
                    <w:jc w:val="center"/>
                    <w:rPr>
                      <w:rFonts w:hint="default" w:ascii="Times New Roman" w:hAnsi="Times New Roman" w:eastAsia="宋体" w:cs="Times New Roman"/>
                      <w:color w:val="auto"/>
                    </w:rPr>
                  </w:pPr>
                </w:p>
              </w:tc>
              <w:tc>
                <w:tcPr>
                  <w:tcW w:w="558" w:type="pct"/>
                  <w:vMerge w:val="restart"/>
                  <w:vAlign w:val="center"/>
                </w:tcPr>
                <w:p w14:paraId="1D48B1E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105.016855</w:t>
                  </w:r>
                </w:p>
              </w:tc>
              <w:tc>
                <w:tcPr>
                  <w:tcW w:w="491" w:type="pct"/>
                  <w:vMerge w:val="restart"/>
                  <w:vAlign w:val="center"/>
                </w:tcPr>
                <w:p w14:paraId="56484B6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30.361627</w:t>
                  </w:r>
                </w:p>
              </w:tc>
              <w:tc>
                <w:tcPr>
                  <w:tcW w:w="474" w:type="pct"/>
                  <w:vMerge w:val="restart"/>
                  <w:vAlign w:val="center"/>
                </w:tcPr>
                <w:p w14:paraId="343488C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32#</w:t>
                  </w:r>
                </w:p>
              </w:tc>
              <w:tc>
                <w:tcPr>
                  <w:tcW w:w="470" w:type="pct"/>
                  <w:vAlign w:val="center"/>
                </w:tcPr>
                <w:p w14:paraId="168D945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0076957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11户农户</w:t>
                  </w:r>
                </w:p>
              </w:tc>
              <w:tc>
                <w:tcPr>
                  <w:tcW w:w="552" w:type="pct"/>
                  <w:vAlign w:val="center"/>
                </w:tcPr>
                <w:p w14:paraId="2420D20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南侧</w:t>
                  </w:r>
                </w:p>
              </w:tc>
              <w:tc>
                <w:tcPr>
                  <w:tcW w:w="582" w:type="pct"/>
                  <w:vAlign w:val="center"/>
                </w:tcPr>
                <w:p w14:paraId="7F000F9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73-500</w:t>
                  </w:r>
                </w:p>
              </w:tc>
              <w:tc>
                <w:tcPr>
                  <w:tcW w:w="735" w:type="pct"/>
                  <w:vMerge w:val="continue"/>
                  <w:vAlign w:val="center"/>
                </w:tcPr>
                <w:p w14:paraId="419B0A71">
                  <w:pPr>
                    <w:jc w:val="center"/>
                    <w:rPr>
                      <w:rFonts w:hint="default" w:ascii="Times New Roman" w:hAnsi="Times New Roman" w:eastAsia="宋体" w:cs="Times New Roman"/>
                      <w:color w:val="auto"/>
                    </w:rPr>
                  </w:pPr>
                </w:p>
              </w:tc>
            </w:tr>
            <w:tr w14:paraId="480E5B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56BC46CC">
                  <w:pPr>
                    <w:jc w:val="center"/>
                    <w:rPr>
                      <w:rFonts w:hint="default" w:ascii="Times New Roman" w:hAnsi="Times New Roman" w:eastAsia="宋体" w:cs="Times New Roman"/>
                      <w:color w:val="auto"/>
                    </w:rPr>
                  </w:pPr>
                </w:p>
              </w:tc>
              <w:tc>
                <w:tcPr>
                  <w:tcW w:w="558" w:type="pct"/>
                  <w:vMerge w:val="continue"/>
                  <w:vAlign w:val="center"/>
                </w:tcPr>
                <w:p w14:paraId="2BD4FD28">
                  <w:pPr>
                    <w:jc w:val="center"/>
                    <w:rPr>
                      <w:rFonts w:hint="default" w:ascii="Times New Roman" w:hAnsi="Times New Roman" w:eastAsia="宋体" w:cs="Times New Roman"/>
                      <w:color w:val="auto"/>
                    </w:rPr>
                  </w:pPr>
                </w:p>
              </w:tc>
              <w:tc>
                <w:tcPr>
                  <w:tcW w:w="491" w:type="pct"/>
                  <w:vMerge w:val="continue"/>
                  <w:vAlign w:val="center"/>
                </w:tcPr>
                <w:p w14:paraId="5280C336">
                  <w:pPr>
                    <w:jc w:val="center"/>
                    <w:rPr>
                      <w:rFonts w:hint="default" w:ascii="Times New Roman" w:hAnsi="Times New Roman" w:eastAsia="宋体" w:cs="Times New Roman"/>
                      <w:color w:val="auto"/>
                    </w:rPr>
                  </w:pPr>
                </w:p>
              </w:tc>
              <w:tc>
                <w:tcPr>
                  <w:tcW w:w="474" w:type="pct"/>
                  <w:vMerge w:val="continue"/>
                  <w:vAlign w:val="center"/>
                </w:tcPr>
                <w:p w14:paraId="10DE1904">
                  <w:pPr>
                    <w:jc w:val="center"/>
                    <w:rPr>
                      <w:rFonts w:hint="default" w:ascii="Times New Roman" w:hAnsi="Times New Roman" w:eastAsia="宋体" w:cs="Times New Roman"/>
                      <w:color w:val="auto"/>
                    </w:rPr>
                  </w:pPr>
                </w:p>
              </w:tc>
              <w:tc>
                <w:tcPr>
                  <w:tcW w:w="470" w:type="pct"/>
                  <w:vAlign w:val="center"/>
                </w:tcPr>
                <w:p w14:paraId="3D3325A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03848BE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5户农户</w:t>
                  </w:r>
                </w:p>
              </w:tc>
              <w:tc>
                <w:tcPr>
                  <w:tcW w:w="552" w:type="pct"/>
                  <w:vAlign w:val="center"/>
                </w:tcPr>
                <w:p w14:paraId="2DC4985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北侧</w:t>
                  </w:r>
                </w:p>
              </w:tc>
              <w:tc>
                <w:tcPr>
                  <w:tcW w:w="582" w:type="pct"/>
                  <w:vAlign w:val="center"/>
                </w:tcPr>
                <w:p w14:paraId="5380378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71-321</w:t>
                  </w:r>
                </w:p>
              </w:tc>
              <w:tc>
                <w:tcPr>
                  <w:tcW w:w="735" w:type="pct"/>
                  <w:vMerge w:val="continue"/>
                  <w:vAlign w:val="center"/>
                </w:tcPr>
                <w:p w14:paraId="2D224CC4">
                  <w:pPr>
                    <w:jc w:val="center"/>
                    <w:rPr>
                      <w:rFonts w:hint="default" w:ascii="Times New Roman" w:hAnsi="Times New Roman" w:eastAsia="宋体" w:cs="Times New Roman"/>
                      <w:color w:val="auto"/>
                    </w:rPr>
                  </w:pPr>
                </w:p>
              </w:tc>
            </w:tr>
            <w:tr w14:paraId="41D744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20B00CF4">
                  <w:pPr>
                    <w:jc w:val="center"/>
                    <w:rPr>
                      <w:rFonts w:hint="default" w:ascii="Times New Roman" w:hAnsi="Times New Roman" w:eastAsia="宋体" w:cs="Times New Roman"/>
                      <w:color w:val="auto"/>
                    </w:rPr>
                  </w:pPr>
                </w:p>
              </w:tc>
              <w:tc>
                <w:tcPr>
                  <w:tcW w:w="558" w:type="pct"/>
                  <w:vMerge w:val="restart"/>
                  <w:vAlign w:val="center"/>
                </w:tcPr>
                <w:p w14:paraId="6FB50EC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105.007006</w:t>
                  </w:r>
                </w:p>
              </w:tc>
              <w:tc>
                <w:tcPr>
                  <w:tcW w:w="491" w:type="pct"/>
                  <w:vMerge w:val="restart"/>
                  <w:vAlign w:val="center"/>
                </w:tcPr>
                <w:p w14:paraId="1E28A03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30.362421</w:t>
                  </w:r>
                </w:p>
              </w:tc>
              <w:tc>
                <w:tcPr>
                  <w:tcW w:w="474" w:type="pct"/>
                  <w:vMerge w:val="restart"/>
                  <w:vAlign w:val="center"/>
                </w:tcPr>
                <w:p w14:paraId="6B14C5F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33#</w:t>
                  </w:r>
                </w:p>
              </w:tc>
              <w:tc>
                <w:tcPr>
                  <w:tcW w:w="470" w:type="pct"/>
                  <w:vAlign w:val="center"/>
                </w:tcPr>
                <w:p w14:paraId="607CEE3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5193B5B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12户农户</w:t>
                  </w:r>
                </w:p>
              </w:tc>
              <w:tc>
                <w:tcPr>
                  <w:tcW w:w="552" w:type="pct"/>
                  <w:vAlign w:val="center"/>
                </w:tcPr>
                <w:p w14:paraId="2133E75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0B8B03A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108-500</w:t>
                  </w:r>
                </w:p>
              </w:tc>
              <w:tc>
                <w:tcPr>
                  <w:tcW w:w="735" w:type="pct"/>
                  <w:vMerge w:val="continue"/>
                  <w:vAlign w:val="center"/>
                </w:tcPr>
                <w:p w14:paraId="2D178DDE">
                  <w:pPr>
                    <w:jc w:val="center"/>
                    <w:rPr>
                      <w:rFonts w:hint="default" w:ascii="Times New Roman" w:hAnsi="Times New Roman" w:eastAsia="宋体" w:cs="Times New Roman"/>
                      <w:color w:val="auto"/>
                    </w:rPr>
                  </w:pPr>
                </w:p>
              </w:tc>
            </w:tr>
            <w:tr w14:paraId="07795C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3241DE6E">
                  <w:pPr>
                    <w:jc w:val="center"/>
                    <w:rPr>
                      <w:rFonts w:hint="default" w:ascii="Times New Roman" w:hAnsi="Times New Roman" w:eastAsia="宋体" w:cs="Times New Roman"/>
                      <w:color w:val="auto"/>
                    </w:rPr>
                  </w:pPr>
                </w:p>
              </w:tc>
              <w:tc>
                <w:tcPr>
                  <w:tcW w:w="558" w:type="pct"/>
                  <w:vMerge w:val="continue"/>
                  <w:vAlign w:val="center"/>
                </w:tcPr>
                <w:p w14:paraId="6EFC2D85">
                  <w:pPr>
                    <w:jc w:val="center"/>
                    <w:rPr>
                      <w:rFonts w:hint="default" w:ascii="Times New Roman" w:hAnsi="Times New Roman" w:eastAsia="宋体" w:cs="Times New Roman"/>
                      <w:color w:val="auto"/>
                    </w:rPr>
                  </w:pPr>
                </w:p>
              </w:tc>
              <w:tc>
                <w:tcPr>
                  <w:tcW w:w="491" w:type="pct"/>
                  <w:vMerge w:val="continue"/>
                  <w:vAlign w:val="center"/>
                </w:tcPr>
                <w:p w14:paraId="2CFEB878">
                  <w:pPr>
                    <w:jc w:val="center"/>
                    <w:rPr>
                      <w:rFonts w:hint="default" w:ascii="Times New Roman" w:hAnsi="Times New Roman" w:eastAsia="宋体" w:cs="Times New Roman"/>
                      <w:color w:val="auto"/>
                    </w:rPr>
                  </w:pPr>
                </w:p>
              </w:tc>
              <w:tc>
                <w:tcPr>
                  <w:tcW w:w="474" w:type="pct"/>
                  <w:vMerge w:val="continue"/>
                  <w:vAlign w:val="center"/>
                </w:tcPr>
                <w:p w14:paraId="7990B07B">
                  <w:pPr>
                    <w:jc w:val="center"/>
                    <w:rPr>
                      <w:rFonts w:hint="default" w:ascii="Times New Roman" w:hAnsi="Times New Roman" w:eastAsia="宋体" w:cs="Times New Roman"/>
                      <w:color w:val="auto"/>
                    </w:rPr>
                  </w:pPr>
                </w:p>
              </w:tc>
              <w:tc>
                <w:tcPr>
                  <w:tcW w:w="470" w:type="pct"/>
                  <w:vAlign w:val="center"/>
                </w:tcPr>
                <w:p w14:paraId="40143ED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23CA84A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21户农户</w:t>
                  </w:r>
                </w:p>
              </w:tc>
              <w:tc>
                <w:tcPr>
                  <w:tcW w:w="552" w:type="pct"/>
                  <w:vAlign w:val="center"/>
                </w:tcPr>
                <w:p w14:paraId="1C35529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6A2C8D1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87-500</w:t>
                  </w:r>
                </w:p>
              </w:tc>
              <w:tc>
                <w:tcPr>
                  <w:tcW w:w="735" w:type="pct"/>
                  <w:vMerge w:val="continue"/>
                  <w:vAlign w:val="center"/>
                </w:tcPr>
                <w:p w14:paraId="0C956B6C">
                  <w:pPr>
                    <w:jc w:val="center"/>
                    <w:rPr>
                      <w:rFonts w:hint="default" w:ascii="Times New Roman" w:hAnsi="Times New Roman" w:eastAsia="宋体" w:cs="Times New Roman"/>
                      <w:color w:val="auto"/>
                    </w:rPr>
                  </w:pPr>
                </w:p>
              </w:tc>
            </w:tr>
            <w:tr w14:paraId="264087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149368A8">
                  <w:pPr>
                    <w:jc w:val="center"/>
                    <w:rPr>
                      <w:rFonts w:hint="default" w:ascii="Times New Roman" w:hAnsi="Times New Roman" w:eastAsia="宋体" w:cs="Times New Roman"/>
                      <w:color w:val="auto"/>
                    </w:rPr>
                  </w:pPr>
                </w:p>
              </w:tc>
              <w:tc>
                <w:tcPr>
                  <w:tcW w:w="558" w:type="pct"/>
                  <w:vMerge w:val="restart"/>
                  <w:vAlign w:val="center"/>
                </w:tcPr>
                <w:p w14:paraId="1A74EB8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105.016769</w:t>
                  </w:r>
                </w:p>
              </w:tc>
              <w:tc>
                <w:tcPr>
                  <w:tcW w:w="491" w:type="pct"/>
                  <w:vMerge w:val="restart"/>
                  <w:vAlign w:val="center"/>
                </w:tcPr>
                <w:p w14:paraId="6BD2E4C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30.365018</w:t>
                  </w:r>
                </w:p>
              </w:tc>
              <w:tc>
                <w:tcPr>
                  <w:tcW w:w="474" w:type="pct"/>
                  <w:vMerge w:val="restart"/>
                  <w:vAlign w:val="center"/>
                </w:tcPr>
                <w:p w14:paraId="0788A91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34#</w:t>
                  </w:r>
                </w:p>
              </w:tc>
              <w:tc>
                <w:tcPr>
                  <w:tcW w:w="470" w:type="pct"/>
                  <w:vAlign w:val="center"/>
                </w:tcPr>
                <w:p w14:paraId="6491885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66FB0D7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7户农户</w:t>
                  </w:r>
                </w:p>
              </w:tc>
              <w:tc>
                <w:tcPr>
                  <w:tcW w:w="552" w:type="pct"/>
                  <w:vAlign w:val="center"/>
                </w:tcPr>
                <w:p w14:paraId="3039BEE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6284FC4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86-500</w:t>
                  </w:r>
                </w:p>
              </w:tc>
              <w:tc>
                <w:tcPr>
                  <w:tcW w:w="735" w:type="pct"/>
                  <w:vMerge w:val="continue"/>
                  <w:vAlign w:val="center"/>
                </w:tcPr>
                <w:p w14:paraId="419A2BB3">
                  <w:pPr>
                    <w:jc w:val="center"/>
                    <w:rPr>
                      <w:rFonts w:hint="default" w:ascii="Times New Roman" w:hAnsi="Times New Roman" w:eastAsia="宋体" w:cs="Times New Roman"/>
                      <w:color w:val="auto"/>
                    </w:rPr>
                  </w:pPr>
                </w:p>
              </w:tc>
            </w:tr>
            <w:tr w14:paraId="3815FA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54C4331E">
                  <w:pPr>
                    <w:jc w:val="center"/>
                    <w:rPr>
                      <w:rFonts w:hint="default" w:ascii="Times New Roman" w:hAnsi="Times New Roman" w:eastAsia="宋体" w:cs="Times New Roman"/>
                      <w:color w:val="auto"/>
                    </w:rPr>
                  </w:pPr>
                </w:p>
              </w:tc>
              <w:tc>
                <w:tcPr>
                  <w:tcW w:w="558" w:type="pct"/>
                  <w:vMerge w:val="continue"/>
                  <w:vAlign w:val="center"/>
                </w:tcPr>
                <w:p w14:paraId="7F6AF509">
                  <w:pPr>
                    <w:jc w:val="center"/>
                    <w:rPr>
                      <w:rFonts w:hint="default" w:ascii="Times New Roman" w:hAnsi="Times New Roman" w:eastAsia="宋体" w:cs="Times New Roman"/>
                      <w:color w:val="auto"/>
                    </w:rPr>
                  </w:pPr>
                </w:p>
              </w:tc>
              <w:tc>
                <w:tcPr>
                  <w:tcW w:w="491" w:type="pct"/>
                  <w:vMerge w:val="continue"/>
                  <w:vAlign w:val="center"/>
                </w:tcPr>
                <w:p w14:paraId="27E1E431">
                  <w:pPr>
                    <w:jc w:val="center"/>
                    <w:rPr>
                      <w:rFonts w:hint="default" w:ascii="Times New Roman" w:hAnsi="Times New Roman" w:eastAsia="宋体" w:cs="Times New Roman"/>
                      <w:color w:val="auto"/>
                    </w:rPr>
                  </w:pPr>
                </w:p>
              </w:tc>
              <w:tc>
                <w:tcPr>
                  <w:tcW w:w="474" w:type="pct"/>
                  <w:vMerge w:val="continue"/>
                  <w:vAlign w:val="center"/>
                </w:tcPr>
                <w:p w14:paraId="5776E45F">
                  <w:pPr>
                    <w:jc w:val="center"/>
                    <w:rPr>
                      <w:rFonts w:hint="default" w:ascii="Times New Roman" w:hAnsi="Times New Roman" w:eastAsia="宋体" w:cs="Times New Roman"/>
                      <w:color w:val="auto"/>
                    </w:rPr>
                  </w:pPr>
                </w:p>
              </w:tc>
              <w:tc>
                <w:tcPr>
                  <w:tcW w:w="470" w:type="pct"/>
                  <w:vAlign w:val="center"/>
                </w:tcPr>
                <w:p w14:paraId="3876AF8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2BFD6F8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15户农户</w:t>
                  </w:r>
                </w:p>
              </w:tc>
              <w:tc>
                <w:tcPr>
                  <w:tcW w:w="552" w:type="pct"/>
                  <w:vAlign w:val="center"/>
                </w:tcPr>
                <w:p w14:paraId="7686D0C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02F5D73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97-500</w:t>
                  </w:r>
                </w:p>
              </w:tc>
              <w:tc>
                <w:tcPr>
                  <w:tcW w:w="735" w:type="pct"/>
                  <w:vMerge w:val="continue"/>
                  <w:vAlign w:val="center"/>
                </w:tcPr>
                <w:p w14:paraId="14C1FC7D">
                  <w:pPr>
                    <w:jc w:val="center"/>
                    <w:rPr>
                      <w:rFonts w:hint="default" w:ascii="Times New Roman" w:hAnsi="Times New Roman" w:eastAsia="宋体" w:cs="Times New Roman"/>
                      <w:color w:val="auto"/>
                    </w:rPr>
                  </w:pPr>
                </w:p>
              </w:tc>
            </w:tr>
            <w:tr w14:paraId="6589A8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342D6404">
                  <w:pPr>
                    <w:jc w:val="center"/>
                    <w:rPr>
                      <w:rFonts w:hint="default" w:ascii="Times New Roman" w:hAnsi="Times New Roman" w:eastAsia="宋体" w:cs="Times New Roman"/>
                      <w:color w:val="auto"/>
                    </w:rPr>
                  </w:pPr>
                </w:p>
              </w:tc>
              <w:tc>
                <w:tcPr>
                  <w:tcW w:w="558" w:type="pct"/>
                  <w:vMerge w:val="restart"/>
                  <w:vAlign w:val="center"/>
                </w:tcPr>
                <w:p w14:paraId="7613DFE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105.020975</w:t>
                  </w:r>
                </w:p>
              </w:tc>
              <w:tc>
                <w:tcPr>
                  <w:tcW w:w="491" w:type="pct"/>
                  <w:vMerge w:val="restart"/>
                  <w:vAlign w:val="center"/>
                </w:tcPr>
                <w:p w14:paraId="44EA810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30.365661</w:t>
                  </w:r>
                </w:p>
              </w:tc>
              <w:tc>
                <w:tcPr>
                  <w:tcW w:w="474" w:type="pct"/>
                  <w:vMerge w:val="restart"/>
                  <w:vAlign w:val="center"/>
                </w:tcPr>
                <w:p w14:paraId="19B1503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35#</w:t>
                  </w:r>
                </w:p>
              </w:tc>
              <w:tc>
                <w:tcPr>
                  <w:tcW w:w="470" w:type="pct"/>
                  <w:vAlign w:val="center"/>
                </w:tcPr>
                <w:p w14:paraId="30BB6E0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390056C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12户农户</w:t>
                  </w:r>
                </w:p>
              </w:tc>
              <w:tc>
                <w:tcPr>
                  <w:tcW w:w="552" w:type="pct"/>
                  <w:vAlign w:val="center"/>
                </w:tcPr>
                <w:p w14:paraId="41FA526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7FFDD5E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106-500</w:t>
                  </w:r>
                </w:p>
              </w:tc>
              <w:tc>
                <w:tcPr>
                  <w:tcW w:w="735" w:type="pct"/>
                  <w:vMerge w:val="continue"/>
                  <w:vAlign w:val="center"/>
                </w:tcPr>
                <w:p w14:paraId="333232DF">
                  <w:pPr>
                    <w:jc w:val="center"/>
                    <w:rPr>
                      <w:rFonts w:hint="default" w:ascii="Times New Roman" w:hAnsi="Times New Roman" w:eastAsia="宋体" w:cs="Times New Roman"/>
                      <w:color w:val="auto"/>
                    </w:rPr>
                  </w:pPr>
                </w:p>
              </w:tc>
            </w:tr>
            <w:tr w14:paraId="42B2DD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4782B246">
                  <w:pPr>
                    <w:jc w:val="center"/>
                    <w:rPr>
                      <w:rFonts w:hint="default" w:ascii="Times New Roman" w:hAnsi="Times New Roman" w:eastAsia="宋体" w:cs="Times New Roman"/>
                      <w:color w:val="auto"/>
                    </w:rPr>
                  </w:pPr>
                </w:p>
              </w:tc>
              <w:tc>
                <w:tcPr>
                  <w:tcW w:w="558" w:type="pct"/>
                  <w:vMerge w:val="continue"/>
                  <w:vAlign w:val="center"/>
                </w:tcPr>
                <w:p w14:paraId="40AB7E69">
                  <w:pPr>
                    <w:jc w:val="center"/>
                    <w:rPr>
                      <w:rFonts w:hint="default" w:ascii="Times New Roman" w:hAnsi="Times New Roman" w:eastAsia="宋体" w:cs="Times New Roman"/>
                      <w:color w:val="auto"/>
                    </w:rPr>
                  </w:pPr>
                </w:p>
              </w:tc>
              <w:tc>
                <w:tcPr>
                  <w:tcW w:w="491" w:type="pct"/>
                  <w:vMerge w:val="continue"/>
                  <w:vAlign w:val="center"/>
                </w:tcPr>
                <w:p w14:paraId="056D99E8">
                  <w:pPr>
                    <w:jc w:val="center"/>
                    <w:rPr>
                      <w:rFonts w:hint="default" w:ascii="Times New Roman" w:hAnsi="Times New Roman" w:eastAsia="宋体" w:cs="Times New Roman"/>
                      <w:color w:val="auto"/>
                    </w:rPr>
                  </w:pPr>
                </w:p>
              </w:tc>
              <w:tc>
                <w:tcPr>
                  <w:tcW w:w="474" w:type="pct"/>
                  <w:vMerge w:val="continue"/>
                  <w:vAlign w:val="center"/>
                </w:tcPr>
                <w:p w14:paraId="70712483">
                  <w:pPr>
                    <w:jc w:val="center"/>
                    <w:rPr>
                      <w:rFonts w:hint="default" w:ascii="Times New Roman" w:hAnsi="Times New Roman" w:eastAsia="宋体" w:cs="Times New Roman"/>
                      <w:color w:val="auto"/>
                    </w:rPr>
                  </w:pPr>
                </w:p>
              </w:tc>
              <w:tc>
                <w:tcPr>
                  <w:tcW w:w="470" w:type="pct"/>
                  <w:vAlign w:val="center"/>
                </w:tcPr>
                <w:p w14:paraId="533CF51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15B5966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11户农户</w:t>
                  </w:r>
                </w:p>
              </w:tc>
              <w:tc>
                <w:tcPr>
                  <w:tcW w:w="552" w:type="pct"/>
                  <w:vAlign w:val="center"/>
                </w:tcPr>
                <w:p w14:paraId="7BFA2CD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562D1E9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97-500</w:t>
                  </w:r>
                </w:p>
              </w:tc>
              <w:tc>
                <w:tcPr>
                  <w:tcW w:w="735" w:type="pct"/>
                  <w:vMerge w:val="continue"/>
                  <w:vAlign w:val="center"/>
                </w:tcPr>
                <w:p w14:paraId="47035F23">
                  <w:pPr>
                    <w:jc w:val="center"/>
                    <w:rPr>
                      <w:rFonts w:hint="default" w:ascii="Times New Roman" w:hAnsi="Times New Roman" w:eastAsia="宋体" w:cs="Times New Roman"/>
                      <w:color w:val="auto"/>
                    </w:rPr>
                  </w:pPr>
                </w:p>
              </w:tc>
            </w:tr>
            <w:tr w14:paraId="4C9EF7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000" w:type="pct"/>
                  <w:gridSpan w:val="9"/>
                  <w:vAlign w:val="center"/>
                </w:tcPr>
                <w:p w14:paraId="2F7B414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高寺镇</w:t>
                  </w:r>
                </w:p>
              </w:tc>
            </w:tr>
            <w:tr w14:paraId="131CC6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restart"/>
                  <w:vAlign w:val="center"/>
                </w:tcPr>
                <w:p w14:paraId="55DB2A7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大气环境</w:t>
                  </w:r>
                </w:p>
              </w:tc>
              <w:tc>
                <w:tcPr>
                  <w:tcW w:w="558" w:type="pct"/>
                  <w:vMerge w:val="restart"/>
                  <w:vAlign w:val="center"/>
                </w:tcPr>
                <w:p w14:paraId="7B310E1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104.811424</w:t>
                  </w:r>
                </w:p>
              </w:tc>
              <w:tc>
                <w:tcPr>
                  <w:tcW w:w="491" w:type="pct"/>
                  <w:vMerge w:val="restart"/>
                  <w:vAlign w:val="center"/>
                </w:tcPr>
                <w:p w14:paraId="7CEE898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30274801</w:t>
                  </w:r>
                </w:p>
              </w:tc>
              <w:tc>
                <w:tcPr>
                  <w:tcW w:w="474" w:type="pct"/>
                  <w:vMerge w:val="restart"/>
                  <w:vAlign w:val="center"/>
                </w:tcPr>
                <w:p w14:paraId="07B1F8C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w:t>
                  </w:r>
                </w:p>
              </w:tc>
              <w:tc>
                <w:tcPr>
                  <w:tcW w:w="470" w:type="pct"/>
                  <w:vAlign w:val="center"/>
                </w:tcPr>
                <w:p w14:paraId="064B980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3329B63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33户农户</w:t>
                  </w:r>
                </w:p>
              </w:tc>
              <w:tc>
                <w:tcPr>
                  <w:tcW w:w="552" w:type="pct"/>
                  <w:vAlign w:val="center"/>
                </w:tcPr>
                <w:p w14:paraId="01A136B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北侧</w:t>
                  </w:r>
                </w:p>
              </w:tc>
              <w:tc>
                <w:tcPr>
                  <w:tcW w:w="582" w:type="pct"/>
                  <w:vAlign w:val="center"/>
                </w:tcPr>
                <w:p w14:paraId="5935378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241-500</w:t>
                  </w:r>
                </w:p>
              </w:tc>
              <w:tc>
                <w:tcPr>
                  <w:tcW w:w="735" w:type="pct"/>
                  <w:vMerge w:val="restart"/>
                  <w:vAlign w:val="center"/>
                </w:tcPr>
                <w:p w14:paraId="42A9A60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《环境空气质量标准》（GB3095-2012）中二级标准</w:t>
                  </w:r>
                </w:p>
              </w:tc>
            </w:tr>
            <w:tr w14:paraId="1B394F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256" w:type="pct"/>
                  <w:vMerge w:val="continue"/>
                  <w:vAlign w:val="center"/>
                </w:tcPr>
                <w:p w14:paraId="4ABFA3AE">
                  <w:pPr>
                    <w:jc w:val="center"/>
                    <w:rPr>
                      <w:rFonts w:hint="default" w:ascii="Times New Roman" w:hAnsi="Times New Roman" w:eastAsia="宋体" w:cs="Times New Roman"/>
                      <w:color w:val="auto"/>
                    </w:rPr>
                  </w:pPr>
                </w:p>
              </w:tc>
              <w:tc>
                <w:tcPr>
                  <w:tcW w:w="558" w:type="pct"/>
                  <w:vMerge w:val="continue"/>
                  <w:vAlign w:val="center"/>
                </w:tcPr>
                <w:p w14:paraId="723982D8">
                  <w:pPr>
                    <w:jc w:val="center"/>
                    <w:rPr>
                      <w:rFonts w:hint="default" w:ascii="Times New Roman" w:hAnsi="Times New Roman" w:eastAsia="宋体" w:cs="Times New Roman"/>
                      <w:color w:val="auto"/>
                    </w:rPr>
                  </w:pPr>
                </w:p>
              </w:tc>
              <w:tc>
                <w:tcPr>
                  <w:tcW w:w="491" w:type="pct"/>
                  <w:vMerge w:val="continue"/>
                  <w:vAlign w:val="center"/>
                </w:tcPr>
                <w:p w14:paraId="6329A6E0">
                  <w:pPr>
                    <w:jc w:val="center"/>
                    <w:rPr>
                      <w:rFonts w:hint="default" w:ascii="Times New Roman" w:hAnsi="Times New Roman" w:eastAsia="宋体" w:cs="Times New Roman"/>
                      <w:color w:val="auto"/>
                    </w:rPr>
                  </w:pPr>
                </w:p>
              </w:tc>
              <w:tc>
                <w:tcPr>
                  <w:tcW w:w="474" w:type="pct"/>
                  <w:vMerge w:val="continue"/>
                  <w:vAlign w:val="center"/>
                </w:tcPr>
                <w:p w14:paraId="444C3614">
                  <w:pPr>
                    <w:jc w:val="center"/>
                    <w:rPr>
                      <w:rFonts w:hint="default" w:ascii="Times New Roman" w:hAnsi="Times New Roman" w:eastAsia="宋体" w:cs="Times New Roman"/>
                      <w:color w:val="auto"/>
                    </w:rPr>
                  </w:pPr>
                </w:p>
              </w:tc>
              <w:tc>
                <w:tcPr>
                  <w:tcW w:w="470" w:type="pct"/>
                  <w:vAlign w:val="center"/>
                </w:tcPr>
                <w:p w14:paraId="60843F5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2825A46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27户农户</w:t>
                  </w:r>
                </w:p>
              </w:tc>
              <w:tc>
                <w:tcPr>
                  <w:tcW w:w="552" w:type="pct"/>
                  <w:vAlign w:val="center"/>
                </w:tcPr>
                <w:p w14:paraId="0300EF8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南侧</w:t>
                  </w:r>
                </w:p>
              </w:tc>
              <w:tc>
                <w:tcPr>
                  <w:tcW w:w="582" w:type="pct"/>
                  <w:vAlign w:val="center"/>
                </w:tcPr>
                <w:p w14:paraId="1F6AC5C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231-500</w:t>
                  </w:r>
                </w:p>
              </w:tc>
              <w:tc>
                <w:tcPr>
                  <w:tcW w:w="735" w:type="pct"/>
                  <w:vMerge w:val="continue"/>
                  <w:vAlign w:val="center"/>
                </w:tcPr>
                <w:p w14:paraId="46454A2A">
                  <w:pPr>
                    <w:jc w:val="center"/>
                    <w:rPr>
                      <w:rFonts w:hint="default" w:ascii="Times New Roman" w:hAnsi="Times New Roman" w:eastAsia="宋体" w:cs="Times New Roman"/>
                      <w:color w:val="auto"/>
                    </w:rPr>
                  </w:pPr>
                </w:p>
              </w:tc>
            </w:tr>
            <w:tr w14:paraId="024953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0A84ACC9">
                  <w:pPr>
                    <w:jc w:val="center"/>
                    <w:rPr>
                      <w:rFonts w:hint="default" w:ascii="Times New Roman" w:hAnsi="Times New Roman" w:eastAsia="宋体" w:cs="Times New Roman"/>
                      <w:color w:val="auto"/>
                    </w:rPr>
                  </w:pPr>
                </w:p>
              </w:tc>
              <w:tc>
                <w:tcPr>
                  <w:tcW w:w="558" w:type="pct"/>
                  <w:vMerge w:val="restart"/>
                  <w:vAlign w:val="center"/>
                </w:tcPr>
                <w:p w14:paraId="37A95F3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104.809450</w:t>
                  </w:r>
                </w:p>
              </w:tc>
              <w:tc>
                <w:tcPr>
                  <w:tcW w:w="491" w:type="pct"/>
                  <w:vMerge w:val="restart"/>
                  <w:vAlign w:val="center"/>
                </w:tcPr>
                <w:p w14:paraId="1F57128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30.276518</w:t>
                  </w:r>
                </w:p>
              </w:tc>
              <w:tc>
                <w:tcPr>
                  <w:tcW w:w="474" w:type="pct"/>
                  <w:vMerge w:val="restart"/>
                  <w:vAlign w:val="center"/>
                </w:tcPr>
                <w:p w14:paraId="554BEC8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5#</w:t>
                  </w:r>
                </w:p>
              </w:tc>
              <w:tc>
                <w:tcPr>
                  <w:tcW w:w="470" w:type="pct"/>
                  <w:vAlign w:val="center"/>
                </w:tcPr>
                <w:p w14:paraId="79A8A0D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7A99266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35户农户</w:t>
                  </w:r>
                </w:p>
              </w:tc>
              <w:tc>
                <w:tcPr>
                  <w:tcW w:w="552" w:type="pct"/>
                  <w:vAlign w:val="center"/>
                </w:tcPr>
                <w:p w14:paraId="766BF1A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2F1B1BB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234-500</w:t>
                  </w:r>
                </w:p>
              </w:tc>
              <w:tc>
                <w:tcPr>
                  <w:tcW w:w="735" w:type="pct"/>
                  <w:vMerge w:val="continue"/>
                  <w:vAlign w:val="center"/>
                </w:tcPr>
                <w:p w14:paraId="5C07A475">
                  <w:pPr>
                    <w:jc w:val="center"/>
                    <w:rPr>
                      <w:rFonts w:hint="default" w:ascii="Times New Roman" w:hAnsi="Times New Roman" w:eastAsia="宋体" w:cs="Times New Roman"/>
                      <w:color w:val="auto"/>
                    </w:rPr>
                  </w:pPr>
                </w:p>
              </w:tc>
            </w:tr>
            <w:tr w14:paraId="54D377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30B78E1C">
                  <w:pPr>
                    <w:jc w:val="center"/>
                    <w:rPr>
                      <w:rFonts w:hint="default" w:ascii="Times New Roman" w:hAnsi="Times New Roman" w:eastAsia="宋体" w:cs="Times New Roman"/>
                      <w:color w:val="auto"/>
                    </w:rPr>
                  </w:pPr>
                </w:p>
              </w:tc>
              <w:tc>
                <w:tcPr>
                  <w:tcW w:w="558" w:type="pct"/>
                  <w:vMerge w:val="continue"/>
                  <w:vAlign w:val="center"/>
                </w:tcPr>
                <w:p w14:paraId="52D3D990">
                  <w:pPr>
                    <w:jc w:val="center"/>
                    <w:rPr>
                      <w:rFonts w:hint="default" w:ascii="Times New Roman" w:hAnsi="Times New Roman" w:eastAsia="宋体" w:cs="Times New Roman"/>
                      <w:color w:val="auto"/>
                    </w:rPr>
                  </w:pPr>
                </w:p>
              </w:tc>
              <w:tc>
                <w:tcPr>
                  <w:tcW w:w="491" w:type="pct"/>
                  <w:vMerge w:val="continue"/>
                  <w:vAlign w:val="center"/>
                </w:tcPr>
                <w:p w14:paraId="1681D76C">
                  <w:pPr>
                    <w:jc w:val="center"/>
                    <w:rPr>
                      <w:rFonts w:hint="default" w:ascii="Times New Roman" w:hAnsi="Times New Roman" w:eastAsia="宋体" w:cs="Times New Roman"/>
                      <w:color w:val="auto"/>
                    </w:rPr>
                  </w:pPr>
                </w:p>
              </w:tc>
              <w:tc>
                <w:tcPr>
                  <w:tcW w:w="474" w:type="pct"/>
                  <w:vMerge w:val="continue"/>
                  <w:vAlign w:val="center"/>
                </w:tcPr>
                <w:p w14:paraId="13FE1C60">
                  <w:pPr>
                    <w:jc w:val="center"/>
                    <w:rPr>
                      <w:rFonts w:hint="default" w:ascii="Times New Roman" w:hAnsi="Times New Roman" w:eastAsia="宋体" w:cs="Times New Roman"/>
                      <w:color w:val="auto"/>
                    </w:rPr>
                  </w:pPr>
                </w:p>
              </w:tc>
              <w:tc>
                <w:tcPr>
                  <w:tcW w:w="470" w:type="pct"/>
                  <w:vAlign w:val="center"/>
                </w:tcPr>
                <w:p w14:paraId="6C46EA7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1BDD7CE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25户农户</w:t>
                  </w:r>
                </w:p>
              </w:tc>
              <w:tc>
                <w:tcPr>
                  <w:tcW w:w="552" w:type="pct"/>
                  <w:vAlign w:val="center"/>
                </w:tcPr>
                <w:p w14:paraId="43849FC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7CD419E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232-500</w:t>
                  </w:r>
                </w:p>
              </w:tc>
              <w:tc>
                <w:tcPr>
                  <w:tcW w:w="735" w:type="pct"/>
                  <w:vMerge w:val="continue"/>
                  <w:vAlign w:val="center"/>
                </w:tcPr>
                <w:p w14:paraId="44F50DB2">
                  <w:pPr>
                    <w:jc w:val="center"/>
                    <w:rPr>
                      <w:rFonts w:hint="default" w:ascii="Times New Roman" w:hAnsi="Times New Roman" w:eastAsia="宋体" w:cs="Times New Roman"/>
                      <w:color w:val="auto"/>
                    </w:rPr>
                  </w:pPr>
                </w:p>
              </w:tc>
            </w:tr>
            <w:tr w14:paraId="67445C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751DD50E">
                  <w:pPr>
                    <w:jc w:val="center"/>
                    <w:rPr>
                      <w:rFonts w:hint="default" w:ascii="Times New Roman" w:hAnsi="Times New Roman" w:eastAsia="宋体" w:cs="Times New Roman"/>
                      <w:color w:val="auto"/>
                    </w:rPr>
                  </w:pPr>
                </w:p>
              </w:tc>
              <w:tc>
                <w:tcPr>
                  <w:tcW w:w="558" w:type="pct"/>
                  <w:vAlign w:val="center"/>
                </w:tcPr>
                <w:p w14:paraId="31A90D8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104.825929</w:t>
                  </w:r>
                </w:p>
              </w:tc>
              <w:tc>
                <w:tcPr>
                  <w:tcW w:w="491" w:type="pct"/>
                  <w:vAlign w:val="center"/>
                </w:tcPr>
                <w:p w14:paraId="6D305A3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30278320</w:t>
                  </w:r>
                </w:p>
              </w:tc>
              <w:tc>
                <w:tcPr>
                  <w:tcW w:w="474" w:type="pct"/>
                  <w:vAlign w:val="center"/>
                </w:tcPr>
                <w:p w14:paraId="2CA3BE6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6#</w:t>
                  </w:r>
                </w:p>
              </w:tc>
              <w:tc>
                <w:tcPr>
                  <w:tcW w:w="470" w:type="pct"/>
                  <w:vAlign w:val="center"/>
                </w:tcPr>
                <w:p w14:paraId="043C625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44147A4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33户农户</w:t>
                  </w:r>
                </w:p>
              </w:tc>
              <w:tc>
                <w:tcPr>
                  <w:tcW w:w="552" w:type="pct"/>
                  <w:vAlign w:val="center"/>
                </w:tcPr>
                <w:p w14:paraId="0ADA24D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东北侧</w:t>
                  </w:r>
                </w:p>
              </w:tc>
              <w:tc>
                <w:tcPr>
                  <w:tcW w:w="582" w:type="pct"/>
                  <w:vAlign w:val="center"/>
                </w:tcPr>
                <w:p w14:paraId="57A092F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161-50</w:t>
                  </w:r>
                </w:p>
              </w:tc>
              <w:tc>
                <w:tcPr>
                  <w:tcW w:w="735" w:type="pct"/>
                  <w:vMerge w:val="continue"/>
                  <w:vAlign w:val="center"/>
                </w:tcPr>
                <w:p w14:paraId="41579DB7">
                  <w:pPr>
                    <w:jc w:val="center"/>
                    <w:rPr>
                      <w:rFonts w:hint="default" w:ascii="Times New Roman" w:hAnsi="Times New Roman" w:eastAsia="宋体" w:cs="Times New Roman"/>
                      <w:color w:val="auto"/>
                    </w:rPr>
                  </w:pPr>
                </w:p>
              </w:tc>
            </w:tr>
            <w:tr w14:paraId="363B99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28F3E97E">
                  <w:pPr>
                    <w:jc w:val="center"/>
                    <w:rPr>
                      <w:rFonts w:hint="default" w:ascii="Times New Roman" w:hAnsi="Times New Roman" w:eastAsia="宋体" w:cs="Times New Roman"/>
                      <w:color w:val="auto"/>
                    </w:rPr>
                  </w:pPr>
                </w:p>
              </w:tc>
              <w:tc>
                <w:tcPr>
                  <w:tcW w:w="558" w:type="pct"/>
                  <w:vAlign w:val="center"/>
                </w:tcPr>
                <w:p w14:paraId="30AB0BC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104.813226</w:t>
                  </w:r>
                </w:p>
              </w:tc>
              <w:tc>
                <w:tcPr>
                  <w:tcW w:w="491" w:type="pct"/>
                  <w:vAlign w:val="center"/>
                </w:tcPr>
                <w:p w14:paraId="75B5548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30.282011</w:t>
                  </w:r>
                </w:p>
              </w:tc>
              <w:tc>
                <w:tcPr>
                  <w:tcW w:w="474" w:type="pct"/>
                  <w:vAlign w:val="center"/>
                </w:tcPr>
                <w:p w14:paraId="1353C7F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9#、10#</w:t>
                  </w:r>
                </w:p>
              </w:tc>
              <w:tc>
                <w:tcPr>
                  <w:tcW w:w="470" w:type="pct"/>
                  <w:vAlign w:val="center"/>
                </w:tcPr>
                <w:p w14:paraId="32BA75A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714EF0B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31户农户</w:t>
                  </w:r>
                </w:p>
              </w:tc>
              <w:tc>
                <w:tcPr>
                  <w:tcW w:w="552" w:type="pct"/>
                  <w:vAlign w:val="center"/>
                </w:tcPr>
                <w:p w14:paraId="492DC95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南侧</w:t>
                  </w:r>
                </w:p>
              </w:tc>
              <w:tc>
                <w:tcPr>
                  <w:tcW w:w="582" w:type="pct"/>
                  <w:vAlign w:val="center"/>
                </w:tcPr>
                <w:p w14:paraId="1164FA4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167-500</w:t>
                  </w:r>
                </w:p>
              </w:tc>
              <w:tc>
                <w:tcPr>
                  <w:tcW w:w="735" w:type="pct"/>
                  <w:vMerge w:val="continue"/>
                  <w:vAlign w:val="center"/>
                </w:tcPr>
                <w:p w14:paraId="1D4C6D7B">
                  <w:pPr>
                    <w:jc w:val="center"/>
                    <w:rPr>
                      <w:rFonts w:hint="default" w:ascii="Times New Roman" w:hAnsi="Times New Roman" w:eastAsia="宋体" w:cs="Times New Roman"/>
                      <w:color w:val="auto"/>
                    </w:rPr>
                  </w:pPr>
                </w:p>
              </w:tc>
            </w:tr>
            <w:tr w14:paraId="46DD2C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435F08BF">
                  <w:pPr>
                    <w:jc w:val="center"/>
                    <w:rPr>
                      <w:rFonts w:hint="default" w:ascii="Times New Roman" w:hAnsi="Times New Roman" w:eastAsia="宋体" w:cs="Times New Roman"/>
                      <w:color w:val="auto"/>
                    </w:rPr>
                  </w:pPr>
                </w:p>
              </w:tc>
              <w:tc>
                <w:tcPr>
                  <w:tcW w:w="558" w:type="pct"/>
                  <w:vAlign w:val="center"/>
                </w:tcPr>
                <w:p w14:paraId="7D80A05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104.830307</w:t>
                  </w:r>
                </w:p>
              </w:tc>
              <w:tc>
                <w:tcPr>
                  <w:tcW w:w="491" w:type="pct"/>
                  <w:vAlign w:val="center"/>
                </w:tcPr>
                <w:p w14:paraId="661D1BF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30.289907</w:t>
                  </w:r>
                </w:p>
              </w:tc>
              <w:tc>
                <w:tcPr>
                  <w:tcW w:w="474" w:type="pct"/>
                  <w:vAlign w:val="center"/>
                </w:tcPr>
                <w:p w14:paraId="1798E55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w:t>
                  </w:r>
                </w:p>
              </w:tc>
              <w:tc>
                <w:tcPr>
                  <w:tcW w:w="470" w:type="pct"/>
                  <w:vAlign w:val="center"/>
                </w:tcPr>
                <w:p w14:paraId="40735E2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3AA639B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15户农户</w:t>
                  </w:r>
                </w:p>
              </w:tc>
              <w:tc>
                <w:tcPr>
                  <w:tcW w:w="552" w:type="pct"/>
                  <w:vAlign w:val="center"/>
                </w:tcPr>
                <w:p w14:paraId="36818D5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西北侧</w:t>
                  </w:r>
                </w:p>
              </w:tc>
              <w:tc>
                <w:tcPr>
                  <w:tcW w:w="582" w:type="pct"/>
                  <w:vAlign w:val="center"/>
                </w:tcPr>
                <w:p w14:paraId="21B3D78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136-500</w:t>
                  </w:r>
                </w:p>
              </w:tc>
              <w:tc>
                <w:tcPr>
                  <w:tcW w:w="735" w:type="pct"/>
                  <w:vMerge w:val="continue"/>
                  <w:vAlign w:val="center"/>
                </w:tcPr>
                <w:p w14:paraId="3D319152">
                  <w:pPr>
                    <w:jc w:val="center"/>
                    <w:rPr>
                      <w:rFonts w:hint="default" w:ascii="Times New Roman" w:hAnsi="Times New Roman" w:eastAsia="宋体" w:cs="Times New Roman"/>
                      <w:color w:val="auto"/>
                    </w:rPr>
                  </w:pPr>
                </w:p>
              </w:tc>
            </w:tr>
            <w:tr w14:paraId="68E385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25295F83">
                  <w:pPr>
                    <w:jc w:val="center"/>
                    <w:rPr>
                      <w:rFonts w:hint="default" w:ascii="Times New Roman" w:hAnsi="Times New Roman" w:eastAsia="宋体" w:cs="Times New Roman"/>
                      <w:color w:val="auto"/>
                    </w:rPr>
                  </w:pPr>
                </w:p>
              </w:tc>
              <w:tc>
                <w:tcPr>
                  <w:tcW w:w="558" w:type="pct"/>
                  <w:vAlign w:val="center"/>
                </w:tcPr>
                <w:p w14:paraId="55A1586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104.843782</w:t>
                  </w:r>
                </w:p>
              </w:tc>
              <w:tc>
                <w:tcPr>
                  <w:tcW w:w="491" w:type="pct"/>
                  <w:vAlign w:val="center"/>
                </w:tcPr>
                <w:p w14:paraId="2FD6931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30.296774</w:t>
                  </w:r>
                </w:p>
              </w:tc>
              <w:tc>
                <w:tcPr>
                  <w:tcW w:w="474" w:type="pct"/>
                  <w:vAlign w:val="center"/>
                </w:tcPr>
                <w:p w14:paraId="123A927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13#</w:t>
                  </w:r>
                </w:p>
              </w:tc>
              <w:tc>
                <w:tcPr>
                  <w:tcW w:w="470" w:type="pct"/>
                  <w:vAlign w:val="center"/>
                </w:tcPr>
                <w:p w14:paraId="3D8BB2D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186D6E3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23户农户</w:t>
                  </w:r>
                </w:p>
              </w:tc>
              <w:tc>
                <w:tcPr>
                  <w:tcW w:w="552" w:type="pct"/>
                  <w:vAlign w:val="center"/>
                </w:tcPr>
                <w:p w14:paraId="1194E47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4D1CA67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154-500</w:t>
                  </w:r>
                </w:p>
              </w:tc>
              <w:tc>
                <w:tcPr>
                  <w:tcW w:w="735" w:type="pct"/>
                  <w:vMerge w:val="continue"/>
                  <w:vAlign w:val="center"/>
                </w:tcPr>
                <w:p w14:paraId="0D853D20">
                  <w:pPr>
                    <w:jc w:val="center"/>
                    <w:rPr>
                      <w:rFonts w:hint="default" w:ascii="Times New Roman" w:hAnsi="Times New Roman" w:eastAsia="宋体" w:cs="Times New Roman"/>
                      <w:color w:val="auto"/>
                    </w:rPr>
                  </w:pPr>
                </w:p>
              </w:tc>
            </w:tr>
            <w:tr w14:paraId="1A9292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3A1A7305">
                  <w:pPr>
                    <w:jc w:val="center"/>
                    <w:rPr>
                      <w:rFonts w:hint="default" w:ascii="Times New Roman" w:hAnsi="Times New Roman" w:eastAsia="宋体" w:cs="Times New Roman"/>
                      <w:color w:val="auto"/>
                    </w:rPr>
                  </w:pPr>
                </w:p>
              </w:tc>
              <w:tc>
                <w:tcPr>
                  <w:tcW w:w="558" w:type="pct"/>
                  <w:vAlign w:val="center"/>
                </w:tcPr>
                <w:p w14:paraId="7F9E0D9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104.859661</w:t>
                  </w:r>
                </w:p>
              </w:tc>
              <w:tc>
                <w:tcPr>
                  <w:tcW w:w="491" w:type="pct"/>
                  <w:vAlign w:val="center"/>
                </w:tcPr>
                <w:p w14:paraId="04045CE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104.859661</w:t>
                  </w:r>
                </w:p>
              </w:tc>
              <w:tc>
                <w:tcPr>
                  <w:tcW w:w="474" w:type="pct"/>
                  <w:vAlign w:val="center"/>
                </w:tcPr>
                <w:p w14:paraId="7AD5528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15#</w:t>
                  </w:r>
                </w:p>
              </w:tc>
              <w:tc>
                <w:tcPr>
                  <w:tcW w:w="470" w:type="pct"/>
                  <w:vAlign w:val="center"/>
                </w:tcPr>
                <w:p w14:paraId="0D43CB2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5CF1E5C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41户农户</w:t>
                  </w:r>
                </w:p>
              </w:tc>
              <w:tc>
                <w:tcPr>
                  <w:tcW w:w="552" w:type="pct"/>
                  <w:vAlign w:val="center"/>
                </w:tcPr>
                <w:p w14:paraId="5A6705F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7C98035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196-500</w:t>
                  </w:r>
                </w:p>
              </w:tc>
              <w:tc>
                <w:tcPr>
                  <w:tcW w:w="735" w:type="pct"/>
                  <w:vMerge w:val="continue"/>
                  <w:vAlign w:val="center"/>
                </w:tcPr>
                <w:p w14:paraId="23F84D9F">
                  <w:pPr>
                    <w:jc w:val="center"/>
                    <w:rPr>
                      <w:rFonts w:hint="default" w:ascii="Times New Roman" w:hAnsi="Times New Roman" w:eastAsia="宋体" w:cs="Times New Roman"/>
                      <w:color w:val="auto"/>
                    </w:rPr>
                  </w:pPr>
                </w:p>
              </w:tc>
            </w:tr>
            <w:tr w14:paraId="54962A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6B9C3753">
                  <w:pPr>
                    <w:jc w:val="center"/>
                    <w:rPr>
                      <w:rFonts w:hint="default" w:ascii="Times New Roman" w:hAnsi="Times New Roman" w:eastAsia="宋体" w:cs="Times New Roman"/>
                      <w:color w:val="auto"/>
                    </w:rPr>
                  </w:pPr>
                </w:p>
              </w:tc>
              <w:tc>
                <w:tcPr>
                  <w:tcW w:w="558" w:type="pct"/>
                  <w:vAlign w:val="center"/>
                </w:tcPr>
                <w:p w14:paraId="6A9A218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104.859661</w:t>
                  </w:r>
                </w:p>
              </w:tc>
              <w:tc>
                <w:tcPr>
                  <w:tcW w:w="491" w:type="pct"/>
                  <w:vAlign w:val="center"/>
                </w:tcPr>
                <w:p w14:paraId="3482769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104.859661</w:t>
                  </w:r>
                </w:p>
              </w:tc>
              <w:tc>
                <w:tcPr>
                  <w:tcW w:w="474" w:type="pct"/>
                  <w:vAlign w:val="center"/>
                </w:tcPr>
                <w:p w14:paraId="2AB4A8B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17#</w:t>
                  </w:r>
                </w:p>
              </w:tc>
              <w:tc>
                <w:tcPr>
                  <w:tcW w:w="470" w:type="pct"/>
                  <w:vAlign w:val="center"/>
                </w:tcPr>
                <w:p w14:paraId="0B59129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17E7F87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15户农户</w:t>
                  </w:r>
                </w:p>
              </w:tc>
              <w:tc>
                <w:tcPr>
                  <w:tcW w:w="552" w:type="pct"/>
                  <w:vAlign w:val="center"/>
                </w:tcPr>
                <w:p w14:paraId="6C28E90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1948986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235-500</w:t>
                  </w:r>
                </w:p>
              </w:tc>
              <w:tc>
                <w:tcPr>
                  <w:tcW w:w="735" w:type="pct"/>
                  <w:vMerge w:val="continue"/>
                  <w:vAlign w:val="center"/>
                </w:tcPr>
                <w:p w14:paraId="0263625B">
                  <w:pPr>
                    <w:jc w:val="center"/>
                    <w:rPr>
                      <w:rFonts w:hint="default" w:ascii="Times New Roman" w:hAnsi="Times New Roman" w:eastAsia="宋体" w:cs="Times New Roman"/>
                      <w:color w:val="auto"/>
                    </w:rPr>
                  </w:pPr>
                </w:p>
              </w:tc>
            </w:tr>
            <w:tr w14:paraId="51263C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5582C3D3">
                  <w:pPr>
                    <w:jc w:val="center"/>
                    <w:rPr>
                      <w:rFonts w:hint="default" w:ascii="Times New Roman" w:hAnsi="Times New Roman" w:eastAsia="宋体" w:cs="Times New Roman"/>
                      <w:color w:val="auto"/>
                    </w:rPr>
                  </w:pPr>
                </w:p>
              </w:tc>
              <w:tc>
                <w:tcPr>
                  <w:tcW w:w="558" w:type="pct"/>
                  <w:vMerge w:val="restart"/>
                  <w:vAlign w:val="center"/>
                </w:tcPr>
                <w:p w14:paraId="621C6C8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104.859661</w:t>
                  </w:r>
                </w:p>
              </w:tc>
              <w:tc>
                <w:tcPr>
                  <w:tcW w:w="491" w:type="pct"/>
                  <w:vMerge w:val="restart"/>
                  <w:vAlign w:val="center"/>
                </w:tcPr>
                <w:p w14:paraId="1BF65B3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104.859661</w:t>
                  </w:r>
                </w:p>
              </w:tc>
              <w:tc>
                <w:tcPr>
                  <w:tcW w:w="474" w:type="pct"/>
                  <w:vMerge w:val="restart"/>
                  <w:vAlign w:val="center"/>
                </w:tcPr>
                <w:p w14:paraId="46BCEB5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18#</w:t>
                  </w:r>
                </w:p>
              </w:tc>
              <w:tc>
                <w:tcPr>
                  <w:tcW w:w="470" w:type="pct"/>
                  <w:vAlign w:val="center"/>
                </w:tcPr>
                <w:p w14:paraId="409E9B4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4A31F0C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2户农户</w:t>
                  </w:r>
                </w:p>
              </w:tc>
              <w:tc>
                <w:tcPr>
                  <w:tcW w:w="552" w:type="pct"/>
                  <w:vAlign w:val="center"/>
                </w:tcPr>
                <w:p w14:paraId="4F73D70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北侧</w:t>
                  </w:r>
                </w:p>
              </w:tc>
              <w:tc>
                <w:tcPr>
                  <w:tcW w:w="582" w:type="pct"/>
                  <w:vAlign w:val="center"/>
                </w:tcPr>
                <w:p w14:paraId="6F4D2DB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32-500</w:t>
                  </w:r>
                </w:p>
              </w:tc>
              <w:tc>
                <w:tcPr>
                  <w:tcW w:w="735" w:type="pct"/>
                  <w:vMerge w:val="continue"/>
                  <w:vAlign w:val="center"/>
                </w:tcPr>
                <w:p w14:paraId="2FB47BBC">
                  <w:pPr>
                    <w:jc w:val="center"/>
                    <w:rPr>
                      <w:rFonts w:hint="default" w:ascii="Times New Roman" w:hAnsi="Times New Roman" w:eastAsia="宋体" w:cs="Times New Roman"/>
                      <w:color w:val="auto"/>
                    </w:rPr>
                  </w:pPr>
                </w:p>
              </w:tc>
            </w:tr>
            <w:tr w14:paraId="37F7B4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7A6F3B33">
                  <w:pPr>
                    <w:jc w:val="center"/>
                    <w:rPr>
                      <w:rFonts w:hint="default" w:ascii="Times New Roman" w:hAnsi="Times New Roman" w:eastAsia="宋体" w:cs="Times New Roman"/>
                      <w:color w:val="auto"/>
                    </w:rPr>
                  </w:pPr>
                </w:p>
              </w:tc>
              <w:tc>
                <w:tcPr>
                  <w:tcW w:w="558" w:type="pct"/>
                  <w:vMerge w:val="continue"/>
                  <w:vAlign w:val="center"/>
                </w:tcPr>
                <w:p w14:paraId="39FFB348">
                  <w:pPr>
                    <w:jc w:val="center"/>
                    <w:rPr>
                      <w:rFonts w:hint="default" w:ascii="Times New Roman" w:hAnsi="Times New Roman" w:eastAsia="宋体" w:cs="Times New Roman"/>
                      <w:color w:val="auto"/>
                    </w:rPr>
                  </w:pPr>
                </w:p>
              </w:tc>
              <w:tc>
                <w:tcPr>
                  <w:tcW w:w="491" w:type="pct"/>
                  <w:vMerge w:val="continue"/>
                  <w:vAlign w:val="center"/>
                </w:tcPr>
                <w:p w14:paraId="38173FCE">
                  <w:pPr>
                    <w:jc w:val="center"/>
                    <w:rPr>
                      <w:rFonts w:hint="default" w:ascii="Times New Roman" w:hAnsi="Times New Roman" w:eastAsia="宋体" w:cs="Times New Roman"/>
                      <w:color w:val="auto"/>
                    </w:rPr>
                  </w:pPr>
                </w:p>
              </w:tc>
              <w:tc>
                <w:tcPr>
                  <w:tcW w:w="474" w:type="pct"/>
                  <w:vMerge w:val="continue"/>
                  <w:vAlign w:val="center"/>
                </w:tcPr>
                <w:p w14:paraId="3F0DD4A8">
                  <w:pPr>
                    <w:jc w:val="center"/>
                    <w:rPr>
                      <w:rFonts w:hint="default" w:ascii="Times New Roman" w:hAnsi="Times New Roman" w:eastAsia="宋体" w:cs="Times New Roman"/>
                      <w:color w:val="auto"/>
                    </w:rPr>
                  </w:pPr>
                </w:p>
              </w:tc>
              <w:tc>
                <w:tcPr>
                  <w:tcW w:w="470" w:type="pct"/>
                  <w:vAlign w:val="center"/>
                </w:tcPr>
                <w:p w14:paraId="4AF011F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6457FC1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15户农户</w:t>
                  </w:r>
                </w:p>
              </w:tc>
              <w:tc>
                <w:tcPr>
                  <w:tcW w:w="552" w:type="pct"/>
                  <w:vAlign w:val="center"/>
                </w:tcPr>
                <w:p w14:paraId="0F494EB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南侧</w:t>
                  </w:r>
                </w:p>
              </w:tc>
              <w:tc>
                <w:tcPr>
                  <w:tcW w:w="582" w:type="pct"/>
                  <w:vAlign w:val="center"/>
                </w:tcPr>
                <w:p w14:paraId="79DBA28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158-500</w:t>
                  </w:r>
                </w:p>
              </w:tc>
              <w:tc>
                <w:tcPr>
                  <w:tcW w:w="735" w:type="pct"/>
                  <w:vMerge w:val="continue"/>
                  <w:vAlign w:val="center"/>
                </w:tcPr>
                <w:p w14:paraId="64313D37">
                  <w:pPr>
                    <w:jc w:val="center"/>
                    <w:rPr>
                      <w:rFonts w:hint="default" w:ascii="Times New Roman" w:hAnsi="Times New Roman" w:eastAsia="宋体" w:cs="Times New Roman"/>
                      <w:color w:val="auto"/>
                    </w:rPr>
                  </w:pPr>
                </w:p>
              </w:tc>
            </w:tr>
            <w:tr w14:paraId="39837A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1FF5BD67">
                  <w:pPr>
                    <w:jc w:val="center"/>
                    <w:rPr>
                      <w:rFonts w:hint="default" w:ascii="Times New Roman" w:hAnsi="Times New Roman" w:eastAsia="宋体" w:cs="Times New Roman"/>
                      <w:color w:val="auto"/>
                    </w:rPr>
                  </w:pPr>
                </w:p>
              </w:tc>
              <w:tc>
                <w:tcPr>
                  <w:tcW w:w="558" w:type="pct"/>
                  <w:vMerge w:val="restart"/>
                  <w:vAlign w:val="center"/>
                </w:tcPr>
                <w:p w14:paraId="3FBCC8F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104.859661</w:t>
                  </w:r>
                </w:p>
              </w:tc>
              <w:tc>
                <w:tcPr>
                  <w:tcW w:w="491" w:type="pct"/>
                  <w:vMerge w:val="restart"/>
                  <w:vAlign w:val="center"/>
                </w:tcPr>
                <w:p w14:paraId="64C2294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104.859661</w:t>
                  </w:r>
                </w:p>
              </w:tc>
              <w:tc>
                <w:tcPr>
                  <w:tcW w:w="474" w:type="pct"/>
                  <w:vMerge w:val="restart"/>
                  <w:vAlign w:val="center"/>
                </w:tcPr>
                <w:p w14:paraId="37D52F3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19#</w:t>
                  </w:r>
                </w:p>
              </w:tc>
              <w:tc>
                <w:tcPr>
                  <w:tcW w:w="470" w:type="pct"/>
                  <w:vAlign w:val="center"/>
                </w:tcPr>
                <w:p w14:paraId="4C60C8C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09D7F78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25户农户</w:t>
                  </w:r>
                </w:p>
              </w:tc>
              <w:tc>
                <w:tcPr>
                  <w:tcW w:w="552" w:type="pct"/>
                  <w:vAlign w:val="center"/>
                </w:tcPr>
                <w:p w14:paraId="6468E97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北侧</w:t>
                  </w:r>
                </w:p>
              </w:tc>
              <w:tc>
                <w:tcPr>
                  <w:tcW w:w="582" w:type="pct"/>
                  <w:vAlign w:val="center"/>
                </w:tcPr>
                <w:p w14:paraId="045236B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196-500</w:t>
                  </w:r>
                </w:p>
              </w:tc>
              <w:tc>
                <w:tcPr>
                  <w:tcW w:w="735" w:type="pct"/>
                  <w:vMerge w:val="continue"/>
                  <w:vAlign w:val="center"/>
                </w:tcPr>
                <w:p w14:paraId="5643F247">
                  <w:pPr>
                    <w:jc w:val="center"/>
                    <w:rPr>
                      <w:rFonts w:hint="default" w:ascii="Times New Roman" w:hAnsi="Times New Roman" w:eastAsia="宋体" w:cs="Times New Roman"/>
                      <w:color w:val="auto"/>
                    </w:rPr>
                  </w:pPr>
                </w:p>
              </w:tc>
            </w:tr>
            <w:tr w14:paraId="49487B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256" w:type="pct"/>
                  <w:vMerge w:val="continue"/>
                  <w:vAlign w:val="center"/>
                </w:tcPr>
                <w:p w14:paraId="77BC4BFA">
                  <w:pPr>
                    <w:jc w:val="center"/>
                    <w:rPr>
                      <w:rFonts w:hint="default" w:ascii="Times New Roman" w:hAnsi="Times New Roman" w:eastAsia="宋体" w:cs="Times New Roman"/>
                      <w:color w:val="auto"/>
                    </w:rPr>
                  </w:pPr>
                </w:p>
              </w:tc>
              <w:tc>
                <w:tcPr>
                  <w:tcW w:w="558" w:type="pct"/>
                  <w:vMerge w:val="continue"/>
                  <w:vAlign w:val="center"/>
                </w:tcPr>
                <w:p w14:paraId="660BA892">
                  <w:pPr>
                    <w:jc w:val="center"/>
                    <w:rPr>
                      <w:rFonts w:hint="default" w:ascii="Times New Roman" w:hAnsi="Times New Roman" w:eastAsia="宋体" w:cs="Times New Roman"/>
                      <w:color w:val="auto"/>
                    </w:rPr>
                  </w:pPr>
                </w:p>
              </w:tc>
              <w:tc>
                <w:tcPr>
                  <w:tcW w:w="491" w:type="pct"/>
                  <w:vMerge w:val="continue"/>
                  <w:vAlign w:val="center"/>
                </w:tcPr>
                <w:p w14:paraId="79BB01A5">
                  <w:pPr>
                    <w:jc w:val="center"/>
                    <w:rPr>
                      <w:rFonts w:hint="default" w:ascii="Times New Roman" w:hAnsi="Times New Roman" w:eastAsia="宋体" w:cs="Times New Roman"/>
                      <w:color w:val="auto"/>
                    </w:rPr>
                  </w:pPr>
                </w:p>
              </w:tc>
              <w:tc>
                <w:tcPr>
                  <w:tcW w:w="474" w:type="pct"/>
                  <w:vMerge w:val="continue"/>
                  <w:vAlign w:val="center"/>
                </w:tcPr>
                <w:p w14:paraId="26EA3BF2">
                  <w:pPr>
                    <w:jc w:val="center"/>
                    <w:rPr>
                      <w:rFonts w:hint="default" w:ascii="Times New Roman" w:hAnsi="Times New Roman" w:eastAsia="宋体" w:cs="Times New Roman"/>
                      <w:color w:val="auto"/>
                    </w:rPr>
                  </w:pPr>
                </w:p>
              </w:tc>
              <w:tc>
                <w:tcPr>
                  <w:tcW w:w="470" w:type="pct"/>
                  <w:vAlign w:val="center"/>
                </w:tcPr>
                <w:p w14:paraId="05E61B5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150FF52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31户农户</w:t>
                  </w:r>
                </w:p>
              </w:tc>
              <w:tc>
                <w:tcPr>
                  <w:tcW w:w="552" w:type="pct"/>
                  <w:vAlign w:val="center"/>
                </w:tcPr>
                <w:p w14:paraId="247F3EC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北侧</w:t>
                  </w:r>
                </w:p>
              </w:tc>
              <w:tc>
                <w:tcPr>
                  <w:tcW w:w="582" w:type="pct"/>
                  <w:vAlign w:val="center"/>
                </w:tcPr>
                <w:p w14:paraId="38A5551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153-500</w:t>
                  </w:r>
                </w:p>
              </w:tc>
              <w:tc>
                <w:tcPr>
                  <w:tcW w:w="735" w:type="pct"/>
                  <w:vMerge w:val="continue"/>
                  <w:vAlign w:val="center"/>
                </w:tcPr>
                <w:p w14:paraId="5364BC3D">
                  <w:pPr>
                    <w:jc w:val="center"/>
                    <w:rPr>
                      <w:rFonts w:hint="default" w:ascii="Times New Roman" w:hAnsi="Times New Roman" w:eastAsia="宋体" w:cs="Times New Roman"/>
                      <w:color w:val="auto"/>
                    </w:rPr>
                  </w:pPr>
                </w:p>
              </w:tc>
            </w:tr>
            <w:tr w14:paraId="74865E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4D36829D">
                  <w:pPr>
                    <w:jc w:val="center"/>
                    <w:rPr>
                      <w:rFonts w:hint="default" w:ascii="Times New Roman" w:hAnsi="Times New Roman" w:eastAsia="宋体" w:cs="Times New Roman"/>
                      <w:color w:val="auto"/>
                    </w:rPr>
                  </w:pPr>
                </w:p>
              </w:tc>
              <w:tc>
                <w:tcPr>
                  <w:tcW w:w="558" w:type="pct"/>
                  <w:vMerge w:val="continue"/>
                  <w:vAlign w:val="center"/>
                </w:tcPr>
                <w:p w14:paraId="2849F9E8">
                  <w:pPr>
                    <w:jc w:val="center"/>
                    <w:rPr>
                      <w:rFonts w:hint="default" w:ascii="Times New Roman" w:hAnsi="Times New Roman" w:eastAsia="宋体" w:cs="Times New Roman"/>
                      <w:color w:val="auto"/>
                    </w:rPr>
                  </w:pPr>
                </w:p>
              </w:tc>
              <w:tc>
                <w:tcPr>
                  <w:tcW w:w="491" w:type="pct"/>
                  <w:vMerge w:val="continue"/>
                  <w:vAlign w:val="center"/>
                </w:tcPr>
                <w:p w14:paraId="52BC87B8">
                  <w:pPr>
                    <w:jc w:val="center"/>
                    <w:rPr>
                      <w:rFonts w:hint="default" w:ascii="Times New Roman" w:hAnsi="Times New Roman" w:eastAsia="宋体" w:cs="Times New Roman"/>
                      <w:color w:val="auto"/>
                    </w:rPr>
                  </w:pPr>
                </w:p>
              </w:tc>
              <w:tc>
                <w:tcPr>
                  <w:tcW w:w="474" w:type="pct"/>
                  <w:vMerge w:val="continue"/>
                  <w:vAlign w:val="center"/>
                </w:tcPr>
                <w:p w14:paraId="59AE2073">
                  <w:pPr>
                    <w:jc w:val="center"/>
                    <w:rPr>
                      <w:rFonts w:hint="default" w:ascii="Times New Roman" w:hAnsi="Times New Roman" w:eastAsia="宋体" w:cs="Times New Roman"/>
                      <w:color w:val="auto"/>
                    </w:rPr>
                  </w:pPr>
                </w:p>
              </w:tc>
              <w:tc>
                <w:tcPr>
                  <w:tcW w:w="470" w:type="pct"/>
                  <w:vAlign w:val="center"/>
                </w:tcPr>
                <w:p w14:paraId="4D03569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40AED3A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27户农户</w:t>
                  </w:r>
                </w:p>
              </w:tc>
              <w:tc>
                <w:tcPr>
                  <w:tcW w:w="552" w:type="pct"/>
                  <w:vAlign w:val="center"/>
                </w:tcPr>
                <w:p w14:paraId="39D5EE8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北侧</w:t>
                  </w:r>
                </w:p>
              </w:tc>
              <w:tc>
                <w:tcPr>
                  <w:tcW w:w="582" w:type="pct"/>
                  <w:vAlign w:val="center"/>
                </w:tcPr>
                <w:p w14:paraId="1D14E10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184-500</w:t>
                  </w:r>
                </w:p>
              </w:tc>
              <w:tc>
                <w:tcPr>
                  <w:tcW w:w="735" w:type="pct"/>
                  <w:vMerge w:val="continue"/>
                  <w:vAlign w:val="center"/>
                </w:tcPr>
                <w:p w14:paraId="3C2AACA6">
                  <w:pPr>
                    <w:jc w:val="center"/>
                    <w:rPr>
                      <w:rFonts w:hint="default" w:ascii="Times New Roman" w:hAnsi="Times New Roman" w:eastAsia="宋体" w:cs="Times New Roman"/>
                      <w:color w:val="auto"/>
                    </w:rPr>
                  </w:pPr>
                </w:p>
              </w:tc>
            </w:tr>
            <w:tr w14:paraId="2994F1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531C62A8">
                  <w:pPr>
                    <w:jc w:val="center"/>
                    <w:rPr>
                      <w:rFonts w:hint="default" w:ascii="Times New Roman" w:hAnsi="Times New Roman" w:eastAsia="宋体" w:cs="Times New Roman"/>
                      <w:color w:val="auto"/>
                    </w:rPr>
                  </w:pPr>
                </w:p>
              </w:tc>
              <w:tc>
                <w:tcPr>
                  <w:tcW w:w="558" w:type="pct"/>
                  <w:vMerge w:val="continue"/>
                  <w:vAlign w:val="center"/>
                </w:tcPr>
                <w:p w14:paraId="53FD1DAC">
                  <w:pPr>
                    <w:jc w:val="center"/>
                    <w:rPr>
                      <w:rFonts w:hint="default" w:ascii="Times New Roman" w:hAnsi="Times New Roman" w:eastAsia="宋体" w:cs="Times New Roman"/>
                      <w:color w:val="auto"/>
                    </w:rPr>
                  </w:pPr>
                </w:p>
              </w:tc>
              <w:tc>
                <w:tcPr>
                  <w:tcW w:w="491" w:type="pct"/>
                  <w:vMerge w:val="continue"/>
                  <w:vAlign w:val="center"/>
                </w:tcPr>
                <w:p w14:paraId="78702984">
                  <w:pPr>
                    <w:jc w:val="center"/>
                    <w:rPr>
                      <w:rFonts w:hint="default" w:ascii="Times New Roman" w:hAnsi="Times New Roman" w:eastAsia="宋体" w:cs="Times New Roman"/>
                      <w:color w:val="auto"/>
                    </w:rPr>
                  </w:pPr>
                </w:p>
              </w:tc>
              <w:tc>
                <w:tcPr>
                  <w:tcW w:w="474" w:type="pct"/>
                  <w:vMerge w:val="continue"/>
                  <w:vAlign w:val="center"/>
                </w:tcPr>
                <w:p w14:paraId="2B74C4BA">
                  <w:pPr>
                    <w:jc w:val="center"/>
                    <w:rPr>
                      <w:rFonts w:hint="default" w:ascii="Times New Roman" w:hAnsi="Times New Roman" w:eastAsia="宋体" w:cs="Times New Roman"/>
                      <w:color w:val="auto"/>
                    </w:rPr>
                  </w:pPr>
                </w:p>
              </w:tc>
              <w:tc>
                <w:tcPr>
                  <w:tcW w:w="470" w:type="pct"/>
                  <w:vAlign w:val="center"/>
                </w:tcPr>
                <w:p w14:paraId="09F3AB9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42432ED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33户农户</w:t>
                  </w:r>
                </w:p>
              </w:tc>
              <w:tc>
                <w:tcPr>
                  <w:tcW w:w="552" w:type="pct"/>
                  <w:vAlign w:val="center"/>
                </w:tcPr>
                <w:p w14:paraId="793D6E2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01FF0CE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541-500</w:t>
                  </w:r>
                </w:p>
              </w:tc>
              <w:tc>
                <w:tcPr>
                  <w:tcW w:w="735" w:type="pct"/>
                  <w:vMerge w:val="continue"/>
                  <w:vAlign w:val="center"/>
                </w:tcPr>
                <w:p w14:paraId="045F131B">
                  <w:pPr>
                    <w:jc w:val="center"/>
                    <w:rPr>
                      <w:rFonts w:hint="default" w:ascii="Times New Roman" w:hAnsi="Times New Roman" w:eastAsia="宋体" w:cs="Times New Roman"/>
                      <w:color w:val="auto"/>
                    </w:rPr>
                  </w:pPr>
                </w:p>
              </w:tc>
            </w:tr>
            <w:tr w14:paraId="47F1C1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67F86251">
                  <w:pPr>
                    <w:jc w:val="center"/>
                    <w:rPr>
                      <w:rFonts w:hint="default" w:ascii="Times New Roman" w:hAnsi="Times New Roman" w:eastAsia="宋体" w:cs="Times New Roman"/>
                      <w:color w:val="auto"/>
                    </w:rPr>
                  </w:pPr>
                </w:p>
              </w:tc>
              <w:tc>
                <w:tcPr>
                  <w:tcW w:w="558" w:type="pct"/>
                  <w:vMerge w:val="restart"/>
                  <w:vAlign w:val="center"/>
                </w:tcPr>
                <w:p w14:paraId="5D207C9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104.859661</w:t>
                  </w:r>
                </w:p>
              </w:tc>
              <w:tc>
                <w:tcPr>
                  <w:tcW w:w="491" w:type="pct"/>
                  <w:vMerge w:val="restart"/>
                  <w:vAlign w:val="center"/>
                </w:tcPr>
                <w:p w14:paraId="0AE1030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104.859661</w:t>
                  </w:r>
                </w:p>
              </w:tc>
              <w:tc>
                <w:tcPr>
                  <w:tcW w:w="474" w:type="pct"/>
                  <w:vMerge w:val="restart"/>
                  <w:vAlign w:val="center"/>
                </w:tcPr>
                <w:p w14:paraId="125E804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20#</w:t>
                  </w:r>
                </w:p>
              </w:tc>
              <w:tc>
                <w:tcPr>
                  <w:tcW w:w="470" w:type="pct"/>
                  <w:vAlign w:val="center"/>
                </w:tcPr>
                <w:p w14:paraId="3EF57B3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6FF4A0E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21户农户</w:t>
                  </w:r>
                </w:p>
              </w:tc>
              <w:tc>
                <w:tcPr>
                  <w:tcW w:w="552" w:type="pct"/>
                  <w:vAlign w:val="center"/>
                </w:tcPr>
                <w:p w14:paraId="0992020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北侧</w:t>
                  </w:r>
                </w:p>
              </w:tc>
              <w:tc>
                <w:tcPr>
                  <w:tcW w:w="582" w:type="pct"/>
                  <w:vAlign w:val="center"/>
                </w:tcPr>
                <w:p w14:paraId="1A89142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233-500</w:t>
                  </w:r>
                </w:p>
              </w:tc>
              <w:tc>
                <w:tcPr>
                  <w:tcW w:w="735" w:type="pct"/>
                  <w:vMerge w:val="continue"/>
                  <w:vAlign w:val="center"/>
                </w:tcPr>
                <w:p w14:paraId="6AE15500">
                  <w:pPr>
                    <w:jc w:val="center"/>
                    <w:rPr>
                      <w:rFonts w:hint="default" w:ascii="Times New Roman" w:hAnsi="Times New Roman" w:eastAsia="宋体" w:cs="Times New Roman"/>
                      <w:color w:val="auto"/>
                    </w:rPr>
                  </w:pPr>
                </w:p>
              </w:tc>
            </w:tr>
            <w:tr w14:paraId="43B005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7DB3F99C">
                  <w:pPr>
                    <w:jc w:val="center"/>
                    <w:rPr>
                      <w:rFonts w:hint="default" w:ascii="Times New Roman" w:hAnsi="Times New Roman" w:eastAsia="宋体" w:cs="Times New Roman"/>
                      <w:color w:val="auto"/>
                    </w:rPr>
                  </w:pPr>
                </w:p>
              </w:tc>
              <w:tc>
                <w:tcPr>
                  <w:tcW w:w="558" w:type="pct"/>
                  <w:vMerge w:val="continue"/>
                  <w:vAlign w:val="center"/>
                </w:tcPr>
                <w:p w14:paraId="6DABDDF3">
                  <w:pPr>
                    <w:jc w:val="center"/>
                    <w:rPr>
                      <w:rFonts w:hint="default" w:ascii="Times New Roman" w:hAnsi="Times New Roman" w:eastAsia="宋体" w:cs="Times New Roman"/>
                      <w:color w:val="auto"/>
                    </w:rPr>
                  </w:pPr>
                </w:p>
              </w:tc>
              <w:tc>
                <w:tcPr>
                  <w:tcW w:w="491" w:type="pct"/>
                  <w:vMerge w:val="continue"/>
                  <w:vAlign w:val="center"/>
                </w:tcPr>
                <w:p w14:paraId="579A9DF2">
                  <w:pPr>
                    <w:jc w:val="center"/>
                    <w:rPr>
                      <w:rFonts w:hint="default" w:ascii="Times New Roman" w:hAnsi="Times New Roman" w:eastAsia="宋体" w:cs="Times New Roman"/>
                      <w:color w:val="auto"/>
                    </w:rPr>
                  </w:pPr>
                </w:p>
              </w:tc>
              <w:tc>
                <w:tcPr>
                  <w:tcW w:w="474" w:type="pct"/>
                  <w:vMerge w:val="continue"/>
                  <w:vAlign w:val="center"/>
                </w:tcPr>
                <w:p w14:paraId="67E41D20">
                  <w:pPr>
                    <w:jc w:val="center"/>
                    <w:rPr>
                      <w:rFonts w:hint="default" w:ascii="Times New Roman" w:hAnsi="Times New Roman" w:eastAsia="宋体" w:cs="Times New Roman"/>
                      <w:color w:val="auto"/>
                    </w:rPr>
                  </w:pPr>
                </w:p>
              </w:tc>
              <w:tc>
                <w:tcPr>
                  <w:tcW w:w="470" w:type="pct"/>
                  <w:vAlign w:val="center"/>
                </w:tcPr>
                <w:p w14:paraId="224D51D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24ABB61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19户农户</w:t>
                  </w:r>
                </w:p>
              </w:tc>
              <w:tc>
                <w:tcPr>
                  <w:tcW w:w="552" w:type="pct"/>
                  <w:vAlign w:val="center"/>
                </w:tcPr>
                <w:p w14:paraId="3F25263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南侧</w:t>
                  </w:r>
                </w:p>
              </w:tc>
              <w:tc>
                <w:tcPr>
                  <w:tcW w:w="582" w:type="pct"/>
                  <w:vAlign w:val="center"/>
                </w:tcPr>
                <w:p w14:paraId="1449CD2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221-500</w:t>
                  </w:r>
                </w:p>
              </w:tc>
              <w:tc>
                <w:tcPr>
                  <w:tcW w:w="735" w:type="pct"/>
                  <w:vMerge w:val="continue"/>
                  <w:vAlign w:val="center"/>
                </w:tcPr>
                <w:p w14:paraId="2BFB2BA0">
                  <w:pPr>
                    <w:jc w:val="center"/>
                    <w:rPr>
                      <w:rFonts w:hint="default" w:ascii="Times New Roman" w:hAnsi="Times New Roman" w:eastAsia="宋体" w:cs="Times New Roman"/>
                      <w:color w:val="auto"/>
                    </w:rPr>
                  </w:pPr>
                </w:p>
              </w:tc>
            </w:tr>
            <w:tr w14:paraId="2F84FC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2AC22AA3">
                  <w:pPr>
                    <w:jc w:val="center"/>
                    <w:rPr>
                      <w:rFonts w:hint="default" w:ascii="Times New Roman" w:hAnsi="Times New Roman" w:eastAsia="宋体" w:cs="Times New Roman"/>
                      <w:color w:val="auto"/>
                    </w:rPr>
                  </w:pPr>
                </w:p>
              </w:tc>
              <w:tc>
                <w:tcPr>
                  <w:tcW w:w="558" w:type="pct"/>
                  <w:vAlign w:val="center"/>
                </w:tcPr>
                <w:p w14:paraId="42FAD6D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104.859661</w:t>
                  </w:r>
                </w:p>
              </w:tc>
              <w:tc>
                <w:tcPr>
                  <w:tcW w:w="491" w:type="pct"/>
                  <w:vAlign w:val="center"/>
                </w:tcPr>
                <w:p w14:paraId="7366AE8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104.859661</w:t>
                  </w:r>
                </w:p>
              </w:tc>
              <w:tc>
                <w:tcPr>
                  <w:tcW w:w="474" w:type="pct"/>
                  <w:vAlign w:val="center"/>
                </w:tcPr>
                <w:p w14:paraId="50C6C9C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21#</w:t>
                  </w:r>
                </w:p>
              </w:tc>
              <w:tc>
                <w:tcPr>
                  <w:tcW w:w="470" w:type="pct"/>
                  <w:vAlign w:val="center"/>
                </w:tcPr>
                <w:p w14:paraId="755F3AF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55D0FD7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15户农户</w:t>
                  </w:r>
                </w:p>
              </w:tc>
              <w:tc>
                <w:tcPr>
                  <w:tcW w:w="552" w:type="pct"/>
                  <w:vAlign w:val="center"/>
                </w:tcPr>
                <w:p w14:paraId="59EF7E2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49C6408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215-500</w:t>
                  </w:r>
                </w:p>
              </w:tc>
              <w:tc>
                <w:tcPr>
                  <w:tcW w:w="735" w:type="pct"/>
                  <w:vMerge w:val="continue"/>
                  <w:vAlign w:val="center"/>
                </w:tcPr>
                <w:p w14:paraId="68205FD3">
                  <w:pPr>
                    <w:jc w:val="center"/>
                    <w:rPr>
                      <w:rFonts w:hint="default" w:ascii="Times New Roman" w:hAnsi="Times New Roman" w:eastAsia="宋体" w:cs="Times New Roman"/>
                      <w:color w:val="auto"/>
                    </w:rPr>
                  </w:pPr>
                </w:p>
              </w:tc>
            </w:tr>
            <w:tr w14:paraId="52C12B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4B12BB0A">
                  <w:pPr>
                    <w:jc w:val="center"/>
                    <w:rPr>
                      <w:rFonts w:hint="default" w:ascii="Times New Roman" w:hAnsi="Times New Roman" w:eastAsia="宋体" w:cs="Times New Roman"/>
                      <w:color w:val="auto"/>
                    </w:rPr>
                  </w:pPr>
                </w:p>
              </w:tc>
              <w:tc>
                <w:tcPr>
                  <w:tcW w:w="558" w:type="pct"/>
                  <w:vAlign w:val="center"/>
                </w:tcPr>
                <w:p w14:paraId="7A7DA93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104.862493</w:t>
                  </w:r>
                </w:p>
              </w:tc>
              <w:tc>
                <w:tcPr>
                  <w:tcW w:w="491" w:type="pct"/>
                  <w:vAlign w:val="center"/>
                </w:tcPr>
                <w:p w14:paraId="0532F34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30.299864</w:t>
                  </w:r>
                </w:p>
              </w:tc>
              <w:tc>
                <w:tcPr>
                  <w:tcW w:w="474" w:type="pct"/>
                  <w:vAlign w:val="center"/>
                </w:tcPr>
                <w:p w14:paraId="47A13FB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22#</w:t>
                  </w:r>
                </w:p>
              </w:tc>
              <w:tc>
                <w:tcPr>
                  <w:tcW w:w="470" w:type="pct"/>
                  <w:vAlign w:val="center"/>
                </w:tcPr>
                <w:p w14:paraId="1ED3304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4D960CA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13户农户</w:t>
                  </w:r>
                </w:p>
              </w:tc>
              <w:tc>
                <w:tcPr>
                  <w:tcW w:w="552" w:type="pct"/>
                  <w:vAlign w:val="center"/>
                </w:tcPr>
                <w:p w14:paraId="139F61C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北侧</w:t>
                  </w:r>
                </w:p>
              </w:tc>
              <w:tc>
                <w:tcPr>
                  <w:tcW w:w="582" w:type="pct"/>
                  <w:vAlign w:val="center"/>
                </w:tcPr>
                <w:p w14:paraId="0EF94BB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214-500</w:t>
                  </w:r>
                </w:p>
              </w:tc>
              <w:tc>
                <w:tcPr>
                  <w:tcW w:w="735" w:type="pct"/>
                  <w:vMerge w:val="continue"/>
                  <w:vAlign w:val="center"/>
                </w:tcPr>
                <w:p w14:paraId="481C5074">
                  <w:pPr>
                    <w:jc w:val="center"/>
                    <w:rPr>
                      <w:rFonts w:hint="default" w:ascii="Times New Roman" w:hAnsi="Times New Roman" w:eastAsia="宋体" w:cs="Times New Roman"/>
                      <w:color w:val="auto"/>
                    </w:rPr>
                  </w:pPr>
                </w:p>
              </w:tc>
            </w:tr>
            <w:tr w14:paraId="560F44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4ED20B4A">
                  <w:pPr>
                    <w:jc w:val="center"/>
                    <w:rPr>
                      <w:rFonts w:hint="default" w:ascii="Times New Roman" w:hAnsi="Times New Roman" w:eastAsia="宋体" w:cs="Times New Roman"/>
                      <w:color w:val="auto"/>
                    </w:rPr>
                  </w:pPr>
                </w:p>
              </w:tc>
              <w:tc>
                <w:tcPr>
                  <w:tcW w:w="558" w:type="pct"/>
                  <w:vMerge w:val="restart"/>
                  <w:vAlign w:val="center"/>
                </w:tcPr>
                <w:p w14:paraId="6C2B5C7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104.853481</w:t>
                  </w:r>
                </w:p>
              </w:tc>
              <w:tc>
                <w:tcPr>
                  <w:tcW w:w="491" w:type="pct"/>
                  <w:vMerge w:val="restart"/>
                  <w:vAlign w:val="center"/>
                </w:tcPr>
                <w:p w14:paraId="0000A3F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30.292740</w:t>
                  </w:r>
                </w:p>
              </w:tc>
              <w:tc>
                <w:tcPr>
                  <w:tcW w:w="474" w:type="pct"/>
                  <w:vMerge w:val="restart"/>
                  <w:vAlign w:val="center"/>
                </w:tcPr>
                <w:p w14:paraId="0B863A0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23#</w:t>
                  </w:r>
                </w:p>
              </w:tc>
              <w:tc>
                <w:tcPr>
                  <w:tcW w:w="470" w:type="pct"/>
                  <w:vAlign w:val="center"/>
                </w:tcPr>
                <w:p w14:paraId="1D7BF5A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395FBB5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45户农户</w:t>
                  </w:r>
                </w:p>
              </w:tc>
              <w:tc>
                <w:tcPr>
                  <w:tcW w:w="552" w:type="pct"/>
                  <w:vAlign w:val="center"/>
                </w:tcPr>
                <w:p w14:paraId="3F08F5F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栋侧</w:t>
                  </w:r>
                </w:p>
              </w:tc>
              <w:tc>
                <w:tcPr>
                  <w:tcW w:w="582" w:type="pct"/>
                  <w:vAlign w:val="center"/>
                </w:tcPr>
                <w:p w14:paraId="7BC758E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231-500</w:t>
                  </w:r>
                </w:p>
              </w:tc>
              <w:tc>
                <w:tcPr>
                  <w:tcW w:w="735" w:type="pct"/>
                  <w:vMerge w:val="continue"/>
                  <w:vAlign w:val="center"/>
                </w:tcPr>
                <w:p w14:paraId="5B37910C">
                  <w:pPr>
                    <w:jc w:val="center"/>
                    <w:rPr>
                      <w:rFonts w:hint="default" w:ascii="Times New Roman" w:hAnsi="Times New Roman" w:eastAsia="宋体" w:cs="Times New Roman"/>
                      <w:color w:val="auto"/>
                    </w:rPr>
                  </w:pPr>
                </w:p>
              </w:tc>
            </w:tr>
            <w:tr w14:paraId="31F751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7F392A10">
                  <w:pPr>
                    <w:jc w:val="center"/>
                    <w:rPr>
                      <w:rFonts w:hint="default" w:ascii="Times New Roman" w:hAnsi="Times New Roman" w:eastAsia="宋体" w:cs="Times New Roman"/>
                      <w:color w:val="auto"/>
                    </w:rPr>
                  </w:pPr>
                </w:p>
              </w:tc>
              <w:tc>
                <w:tcPr>
                  <w:tcW w:w="558" w:type="pct"/>
                  <w:vMerge w:val="continue"/>
                  <w:vAlign w:val="center"/>
                </w:tcPr>
                <w:p w14:paraId="3C01CF5F">
                  <w:pPr>
                    <w:jc w:val="center"/>
                    <w:rPr>
                      <w:rFonts w:hint="default" w:ascii="Times New Roman" w:hAnsi="Times New Roman" w:eastAsia="宋体" w:cs="Times New Roman"/>
                      <w:color w:val="auto"/>
                    </w:rPr>
                  </w:pPr>
                </w:p>
              </w:tc>
              <w:tc>
                <w:tcPr>
                  <w:tcW w:w="491" w:type="pct"/>
                  <w:vMerge w:val="continue"/>
                  <w:vAlign w:val="center"/>
                </w:tcPr>
                <w:p w14:paraId="17FA9906">
                  <w:pPr>
                    <w:jc w:val="center"/>
                    <w:rPr>
                      <w:rFonts w:hint="default" w:ascii="Times New Roman" w:hAnsi="Times New Roman" w:eastAsia="宋体" w:cs="Times New Roman"/>
                      <w:color w:val="auto"/>
                    </w:rPr>
                  </w:pPr>
                </w:p>
              </w:tc>
              <w:tc>
                <w:tcPr>
                  <w:tcW w:w="474" w:type="pct"/>
                  <w:vMerge w:val="continue"/>
                  <w:vAlign w:val="center"/>
                </w:tcPr>
                <w:p w14:paraId="17620623">
                  <w:pPr>
                    <w:jc w:val="center"/>
                    <w:rPr>
                      <w:rFonts w:hint="default" w:ascii="Times New Roman" w:hAnsi="Times New Roman" w:eastAsia="宋体" w:cs="Times New Roman"/>
                      <w:color w:val="auto"/>
                    </w:rPr>
                  </w:pPr>
                </w:p>
              </w:tc>
              <w:tc>
                <w:tcPr>
                  <w:tcW w:w="470" w:type="pct"/>
                  <w:vAlign w:val="center"/>
                </w:tcPr>
                <w:p w14:paraId="476B3F2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563BADE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23户农户</w:t>
                  </w:r>
                </w:p>
              </w:tc>
              <w:tc>
                <w:tcPr>
                  <w:tcW w:w="552" w:type="pct"/>
                  <w:vAlign w:val="center"/>
                </w:tcPr>
                <w:p w14:paraId="013B1BA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40DF21D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216-500</w:t>
                  </w:r>
                </w:p>
              </w:tc>
              <w:tc>
                <w:tcPr>
                  <w:tcW w:w="735" w:type="pct"/>
                  <w:vMerge w:val="continue"/>
                  <w:vAlign w:val="center"/>
                </w:tcPr>
                <w:p w14:paraId="70E9025A">
                  <w:pPr>
                    <w:jc w:val="center"/>
                    <w:rPr>
                      <w:rFonts w:hint="default" w:ascii="Times New Roman" w:hAnsi="Times New Roman" w:eastAsia="宋体" w:cs="Times New Roman"/>
                      <w:color w:val="auto"/>
                    </w:rPr>
                  </w:pPr>
                </w:p>
              </w:tc>
            </w:tr>
            <w:tr w14:paraId="2DA8F1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07E2B195">
                  <w:pPr>
                    <w:jc w:val="center"/>
                    <w:rPr>
                      <w:rFonts w:hint="default" w:ascii="Times New Roman" w:hAnsi="Times New Roman" w:eastAsia="宋体" w:cs="Times New Roman"/>
                      <w:color w:val="auto"/>
                    </w:rPr>
                  </w:pPr>
                </w:p>
              </w:tc>
              <w:tc>
                <w:tcPr>
                  <w:tcW w:w="558" w:type="pct"/>
                  <w:vAlign w:val="center"/>
                </w:tcPr>
                <w:p w14:paraId="015C86D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104.878200</w:t>
                  </w:r>
                </w:p>
              </w:tc>
              <w:tc>
                <w:tcPr>
                  <w:tcW w:w="491" w:type="pct"/>
                  <w:vAlign w:val="center"/>
                </w:tcPr>
                <w:p w14:paraId="76E2B80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30.268106</w:t>
                  </w:r>
                </w:p>
              </w:tc>
              <w:tc>
                <w:tcPr>
                  <w:tcW w:w="474" w:type="pct"/>
                  <w:vAlign w:val="center"/>
                </w:tcPr>
                <w:p w14:paraId="6BB433C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24#</w:t>
                  </w:r>
                </w:p>
              </w:tc>
              <w:tc>
                <w:tcPr>
                  <w:tcW w:w="470" w:type="pct"/>
                  <w:vAlign w:val="center"/>
                </w:tcPr>
                <w:p w14:paraId="278A416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76312A3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10户农户</w:t>
                  </w:r>
                </w:p>
              </w:tc>
              <w:tc>
                <w:tcPr>
                  <w:tcW w:w="552" w:type="pct"/>
                  <w:vAlign w:val="center"/>
                </w:tcPr>
                <w:p w14:paraId="473B2BB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12BB993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141-500</w:t>
                  </w:r>
                </w:p>
              </w:tc>
              <w:tc>
                <w:tcPr>
                  <w:tcW w:w="735" w:type="pct"/>
                  <w:vMerge w:val="continue"/>
                  <w:vAlign w:val="center"/>
                </w:tcPr>
                <w:p w14:paraId="11AF8732">
                  <w:pPr>
                    <w:jc w:val="center"/>
                    <w:rPr>
                      <w:rFonts w:hint="default" w:ascii="Times New Roman" w:hAnsi="Times New Roman" w:eastAsia="宋体" w:cs="Times New Roman"/>
                      <w:color w:val="auto"/>
                    </w:rPr>
                  </w:pPr>
                </w:p>
              </w:tc>
            </w:tr>
            <w:tr w14:paraId="2C9457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6E45B79E">
                  <w:pPr>
                    <w:jc w:val="center"/>
                    <w:rPr>
                      <w:rFonts w:hint="default" w:ascii="Times New Roman" w:hAnsi="Times New Roman" w:eastAsia="宋体" w:cs="Times New Roman"/>
                      <w:color w:val="auto"/>
                    </w:rPr>
                  </w:pPr>
                </w:p>
              </w:tc>
              <w:tc>
                <w:tcPr>
                  <w:tcW w:w="558" w:type="pct"/>
                  <w:vMerge w:val="restart"/>
                  <w:vAlign w:val="center"/>
                </w:tcPr>
                <w:p w14:paraId="688F3B8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104.877084</w:t>
                  </w:r>
                </w:p>
              </w:tc>
              <w:tc>
                <w:tcPr>
                  <w:tcW w:w="491" w:type="pct"/>
                  <w:vMerge w:val="restart"/>
                  <w:vAlign w:val="center"/>
                </w:tcPr>
                <w:p w14:paraId="6805943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104.877084</w:t>
                  </w:r>
                </w:p>
              </w:tc>
              <w:tc>
                <w:tcPr>
                  <w:tcW w:w="474" w:type="pct"/>
                  <w:vMerge w:val="restart"/>
                  <w:vAlign w:val="center"/>
                </w:tcPr>
                <w:p w14:paraId="628EEE0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25#</w:t>
                  </w:r>
                </w:p>
              </w:tc>
              <w:tc>
                <w:tcPr>
                  <w:tcW w:w="470" w:type="pct"/>
                  <w:vAlign w:val="center"/>
                </w:tcPr>
                <w:p w14:paraId="335C5AB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3E74DF0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7户农户</w:t>
                  </w:r>
                </w:p>
              </w:tc>
              <w:tc>
                <w:tcPr>
                  <w:tcW w:w="552" w:type="pct"/>
                  <w:vAlign w:val="center"/>
                </w:tcPr>
                <w:p w14:paraId="3B8273D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北侧</w:t>
                  </w:r>
                </w:p>
              </w:tc>
              <w:tc>
                <w:tcPr>
                  <w:tcW w:w="582" w:type="pct"/>
                  <w:vAlign w:val="center"/>
                </w:tcPr>
                <w:p w14:paraId="43C08DB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108-500</w:t>
                  </w:r>
                </w:p>
              </w:tc>
              <w:tc>
                <w:tcPr>
                  <w:tcW w:w="735" w:type="pct"/>
                  <w:vMerge w:val="continue"/>
                  <w:vAlign w:val="center"/>
                </w:tcPr>
                <w:p w14:paraId="74B6218E">
                  <w:pPr>
                    <w:jc w:val="center"/>
                    <w:rPr>
                      <w:rFonts w:hint="default" w:ascii="Times New Roman" w:hAnsi="Times New Roman" w:eastAsia="宋体" w:cs="Times New Roman"/>
                      <w:color w:val="auto"/>
                    </w:rPr>
                  </w:pPr>
                </w:p>
              </w:tc>
            </w:tr>
            <w:tr w14:paraId="4C9391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017418E8">
                  <w:pPr>
                    <w:jc w:val="center"/>
                    <w:rPr>
                      <w:rFonts w:hint="default" w:ascii="Times New Roman" w:hAnsi="Times New Roman" w:eastAsia="宋体" w:cs="Times New Roman"/>
                      <w:color w:val="auto"/>
                    </w:rPr>
                  </w:pPr>
                </w:p>
              </w:tc>
              <w:tc>
                <w:tcPr>
                  <w:tcW w:w="558" w:type="pct"/>
                  <w:vMerge w:val="continue"/>
                  <w:vAlign w:val="center"/>
                </w:tcPr>
                <w:p w14:paraId="1BB241B5">
                  <w:pPr>
                    <w:jc w:val="center"/>
                    <w:rPr>
                      <w:rFonts w:hint="default" w:ascii="Times New Roman" w:hAnsi="Times New Roman" w:eastAsia="宋体" w:cs="Times New Roman"/>
                      <w:color w:val="auto"/>
                    </w:rPr>
                  </w:pPr>
                </w:p>
              </w:tc>
              <w:tc>
                <w:tcPr>
                  <w:tcW w:w="491" w:type="pct"/>
                  <w:vMerge w:val="continue"/>
                  <w:vAlign w:val="center"/>
                </w:tcPr>
                <w:p w14:paraId="57EEE182">
                  <w:pPr>
                    <w:jc w:val="center"/>
                    <w:rPr>
                      <w:rFonts w:hint="default" w:ascii="Times New Roman" w:hAnsi="Times New Roman" w:eastAsia="宋体" w:cs="Times New Roman"/>
                      <w:color w:val="auto"/>
                    </w:rPr>
                  </w:pPr>
                </w:p>
              </w:tc>
              <w:tc>
                <w:tcPr>
                  <w:tcW w:w="474" w:type="pct"/>
                  <w:vMerge w:val="continue"/>
                  <w:vAlign w:val="center"/>
                </w:tcPr>
                <w:p w14:paraId="298D94CC">
                  <w:pPr>
                    <w:jc w:val="center"/>
                    <w:rPr>
                      <w:rFonts w:hint="default" w:ascii="Times New Roman" w:hAnsi="Times New Roman" w:eastAsia="宋体" w:cs="Times New Roman"/>
                      <w:color w:val="auto"/>
                    </w:rPr>
                  </w:pPr>
                </w:p>
              </w:tc>
              <w:tc>
                <w:tcPr>
                  <w:tcW w:w="470" w:type="pct"/>
                  <w:vAlign w:val="center"/>
                </w:tcPr>
                <w:p w14:paraId="3AA2787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673EFE2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7户农户</w:t>
                  </w:r>
                </w:p>
              </w:tc>
              <w:tc>
                <w:tcPr>
                  <w:tcW w:w="552" w:type="pct"/>
                  <w:vAlign w:val="center"/>
                </w:tcPr>
                <w:p w14:paraId="746B679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4D31127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159-500</w:t>
                  </w:r>
                </w:p>
              </w:tc>
              <w:tc>
                <w:tcPr>
                  <w:tcW w:w="735" w:type="pct"/>
                  <w:vMerge w:val="continue"/>
                  <w:vAlign w:val="center"/>
                </w:tcPr>
                <w:p w14:paraId="3C180D89">
                  <w:pPr>
                    <w:jc w:val="center"/>
                    <w:rPr>
                      <w:rFonts w:hint="default" w:ascii="Times New Roman" w:hAnsi="Times New Roman" w:eastAsia="宋体" w:cs="Times New Roman"/>
                      <w:color w:val="auto"/>
                    </w:rPr>
                  </w:pPr>
                </w:p>
              </w:tc>
            </w:tr>
            <w:tr w14:paraId="312A0A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256" w:type="pct"/>
                  <w:vMerge w:val="continue"/>
                  <w:vAlign w:val="center"/>
                </w:tcPr>
                <w:p w14:paraId="33021741">
                  <w:pPr>
                    <w:jc w:val="center"/>
                    <w:rPr>
                      <w:rFonts w:hint="default" w:ascii="Times New Roman" w:hAnsi="Times New Roman" w:eastAsia="宋体" w:cs="Times New Roman"/>
                      <w:color w:val="auto"/>
                    </w:rPr>
                  </w:pPr>
                </w:p>
              </w:tc>
              <w:tc>
                <w:tcPr>
                  <w:tcW w:w="558" w:type="pct"/>
                  <w:vMerge w:val="continue"/>
                  <w:vAlign w:val="center"/>
                </w:tcPr>
                <w:p w14:paraId="61852B5F">
                  <w:pPr>
                    <w:jc w:val="center"/>
                    <w:rPr>
                      <w:rFonts w:hint="default" w:ascii="Times New Roman" w:hAnsi="Times New Roman" w:eastAsia="宋体" w:cs="Times New Roman"/>
                      <w:color w:val="auto"/>
                    </w:rPr>
                  </w:pPr>
                </w:p>
              </w:tc>
              <w:tc>
                <w:tcPr>
                  <w:tcW w:w="491" w:type="pct"/>
                  <w:vMerge w:val="continue"/>
                  <w:vAlign w:val="center"/>
                </w:tcPr>
                <w:p w14:paraId="1F282C35">
                  <w:pPr>
                    <w:jc w:val="center"/>
                    <w:rPr>
                      <w:rFonts w:hint="default" w:ascii="Times New Roman" w:hAnsi="Times New Roman" w:eastAsia="宋体" w:cs="Times New Roman"/>
                      <w:color w:val="auto"/>
                    </w:rPr>
                  </w:pPr>
                </w:p>
              </w:tc>
              <w:tc>
                <w:tcPr>
                  <w:tcW w:w="474" w:type="pct"/>
                  <w:vMerge w:val="continue"/>
                  <w:vAlign w:val="center"/>
                </w:tcPr>
                <w:p w14:paraId="37674DB1">
                  <w:pPr>
                    <w:jc w:val="center"/>
                    <w:rPr>
                      <w:rFonts w:hint="default" w:ascii="Times New Roman" w:hAnsi="Times New Roman" w:eastAsia="宋体" w:cs="Times New Roman"/>
                      <w:color w:val="auto"/>
                    </w:rPr>
                  </w:pPr>
                </w:p>
              </w:tc>
              <w:tc>
                <w:tcPr>
                  <w:tcW w:w="470" w:type="pct"/>
                  <w:vAlign w:val="center"/>
                </w:tcPr>
                <w:p w14:paraId="526F769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1DC155F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7户农户</w:t>
                  </w:r>
                </w:p>
              </w:tc>
              <w:tc>
                <w:tcPr>
                  <w:tcW w:w="552" w:type="pct"/>
                  <w:vAlign w:val="center"/>
                </w:tcPr>
                <w:p w14:paraId="46500B2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1D06B4D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121-500</w:t>
                  </w:r>
                </w:p>
              </w:tc>
              <w:tc>
                <w:tcPr>
                  <w:tcW w:w="735" w:type="pct"/>
                  <w:vMerge w:val="continue"/>
                  <w:vAlign w:val="center"/>
                </w:tcPr>
                <w:p w14:paraId="4D707CF7">
                  <w:pPr>
                    <w:jc w:val="center"/>
                    <w:rPr>
                      <w:rFonts w:hint="default" w:ascii="Times New Roman" w:hAnsi="Times New Roman" w:eastAsia="宋体" w:cs="Times New Roman"/>
                      <w:color w:val="auto"/>
                    </w:rPr>
                  </w:pPr>
                </w:p>
              </w:tc>
            </w:tr>
            <w:tr w14:paraId="1A2841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2DD8AFA7">
                  <w:pPr>
                    <w:jc w:val="center"/>
                    <w:rPr>
                      <w:rFonts w:hint="default" w:ascii="Times New Roman" w:hAnsi="Times New Roman" w:eastAsia="宋体" w:cs="Times New Roman"/>
                      <w:color w:val="auto"/>
                    </w:rPr>
                  </w:pPr>
                </w:p>
              </w:tc>
              <w:tc>
                <w:tcPr>
                  <w:tcW w:w="558" w:type="pct"/>
                  <w:vAlign w:val="center"/>
                </w:tcPr>
                <w:p w14:paraId="6104C2E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104.87665</w:t>
                  </w:r>
                </w:p>
              </w:tc>
              <w:tc>
                <w:tcPr>
                  <w:tcW w:w="491" w:type="pct"/>
                  <w:vAlign w:val="center"/>
                </w:tcPr>
                <w:p w14:paraId="0E13F02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30.310421</w:t>
                  </w:r>
                </w:p>
              </w:tc>
              <w:tc>
                <w:tcPr>
                  <w:tcW w:w="474" w:type="pct"/>
                  <w:vAlign w:val="center"/>
                </w:tcPr>
                <w:p w14:paraId="50F818A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26#</w:t>
                  </w:r>
                </w:p>
              </w:tc>
              <w:tc>
                <w:tcPr>
                  <w:tcW w:w="470" w:type="pct"/>
                  <w:vAlign w:val="center"/>
                </w:tcPr>
                <w:p w14:paraId="3D1270D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084AE80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15户农户</w:t>
                  </w:r>
                </w:p>
              </w:tc>
              <w:tc>
                <w:tcPr>
                  <w:tcW w:w="552" w:type="pct"/>
                  <w:vAlign w:val="center"/>
                </w:tcPr>
                <w:p w14:paraId="510D356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707D9D7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97-500</w:t>
                  </w:r>
                </w:p>
              </w:tc>
              <w:tc>
                <w:tcPr>
                  <w:tcW w:w="735" w:type="pct"/>
                  <w:vMerge w:val="continue"/>
                  <w:vAlign w:val="center"/>
                </w:tcPr>
                <w:p w14:paraId="78B034F4">
                  <w:pPr>
                    <w:jc w:val="center"/>
                    <w:rPr>
                      <w:rFonts w:hint="default" w:ascii="Times New Roman" w:hAnsi="Times New Roman" w:eastAsia="宋体" w:cs="Times New Roman"/>
                      <w:color w:val="auto"/>
                    </w:rPr>
                  </w:pPr>
                </w:p>
              </w:tc>
            </w:tr>
            <w:tr w14:paraId="1C7976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4E604E62">
                  <w:pPr>
                    <w:jc w:val="center"/>
                    <w:rPr>
                      <w:rFonts w:hint="default" w:ascii="Times New Roman" w:hAnsi="Times New Roman" w:eastAsia="宋体" w:cs="Times New Roman"/>
                      <w:color w:val="auto"/>
                    </w:rPr>
                  </w:pPr>
                </w:p>
              </w:tc>
              <w:tc>
                <w:tcPr>
                  <w:tcW w:w="558" w:type="pct"/>
                  <w:vAlign w:val="center"/>
                </w:tcPr>
                <w:p w14:paraId="49FFFAA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104.876140</w:t>
                  </w:r>
                </w:p>
              </w:tc>
              <w:tc>
                <w:tcPr>
                  <w:tcW w:w="491" w:type="pct"/>
                  <w:vAlign w:val="center"/>
                </w:tcPr>
                <w:p w14:paraId="00575F2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30.300121</w:t>
                  </w:r>
                </w:p>
              </w:tc>
              <w:tc>
                <w:tcPr>
                  <w:tcW w:w="474" w:type="pct"/>
                  <w:vAlign w:val="center"/>
                </w:tcPr>
                <w:p w14:paraId="3F996DD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27#</w:t>
                  </w:r>
                </w:p>
              </w:tc>
              <w:tc>
                <w:tcPr>
                  <w:tcW w:w="470" w:type="pct"/>
                  <w:vAlign w:val="center"/>
                </w:tcPr>
                <w:p w14:paraId="1997456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70D643A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10户农户</w:t>
                  </w:r>
                </w:p>
              </w:tc>
              <w:tc>
                <w:tcPr>
                  <w:tcW w:w="552" w:type="pct"/>
                  <w:vAlign w:val="center"/>
                </w:tcPr>
                <w:p w14:paraId="033F78E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6D47A67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256-500</w:t>
                  </w:r>
                </w:p>
              </w:tc>
              <w:tc>
                <w:tcPr>
                  <w:tcW w:w="735" w:type="pct"/>
                  <w:vMerge w:val="continue"/>
                  <w:vAlign w:val="center"/>
                </w:tcPr>
                <w:p w14:paraId="3E59603B">
                  <w:pPr>
                    <w:jc w:val="center"/>
                    <w:rPr>
                      <w:rFonts w:hint="default" w:ascii="Times New Roman" w:hAnsi="Times New Roman" w:eastAsia="宋体" w:cs="Times New Roman"/>
                      <w:color w:val="auto"/>
                    </w:rPr>
                  </w:pPr>
                </w:p>
              </w:tc>
            </w:tr>
            <w:tr w14:paraId="130B5A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1E41A278">
                  <w:pPr>
                    <w:jc w:val="center"/>
                    <w:rPr>
                      <w:rFonts w:hint="default" w:ascii="Times New Roman" w:hAnsi="Times New Roman" w:eastAsia="宋体" w:cs="Times New Roman"/>
                      <w:color w:val="auto"/>
                    </w:rPr>
                  </w:pPr>
                </w:p>
              </w:tc>
              <w:tc>
                <w:tcPr>
                  <w:tcW w:w="558" w:type="pct"/>
                  <w:vMerge w:val="restart"/>
                  <w:vAlign w:val="center"/>
                </w:tcPr>
                <w:p w14:paraId="2FE9A86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104.863437</w:t>
                  </w:r>
                </w:p>
              </w:tc>
              <w:tc>
                <w:tcPr>
                  <w:tcW w:w="491" w:type="pct"/>
                  <w:vMerge w:val="restart"/>
                  <w:vAlign w:val="center"/>
                </w:tcPr>
                <w:p w14:paraId="48FAC28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30.283041</w:t>
                  </w:r>
                </w:p>
              </w:tc>
              <w:tc>
                <w:tcPr>
                  <w:tcW w:w="474" w:type="pct"/>
                  <w:vMerge w:val="restart"/>
                  <w:vAlign w:val="center"/>
                </w:tcPr>
                <w:p w14:paraId="3CA9ECF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28#</w:t>
                  </w:r>
                </w:p>
              </w:tc>
              <w:tc>
                <w:tcPr>
                  <w:tcW w:w="470" w:type="pct"/>
                  <w:vAlign w:val="center"/>
                </w:tcPr>
                <w:p w14:paraId="4C729B8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2112CF4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10户农户</w:t>
                  </w:r>
                </w:p>
              </w:tc>
              <w:tc>
                <w:tcPr>
                  <w:tcW w:w="552" w:type="pct"/>
                  <w:vAlign w:val="center"/>
                </w:tcPr>
                <w:p w14:paraId="23D8A16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北侧</w:t>
                  </w:r>
                </w:p>
              </w:tc>
              <w:tc>
                <w:tcPr>
                  <w:tcW w:w="582" w:type="pct"/>
                  <w:vAlign w:val="center"/>
                </w:tcPr>
                <w:p w14:paraId="4DC1784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125-500</w:t>
                  </w:r>
                </w:p>
              </w:tc>
              <w:tc>
                <w:tcPr>
                  <w:tcW w:w="735" w:type="pct"/>
                  <w:vMerge w:val="continue"/>
                  <w:vAlign w:val="center"/>
                </w:tcPr>
                <w:p w14:paraId="2BF38636">
                  <w:pPr>
                    <w:jc w:val="center"/>
                    <w:rPr>
                      <w:rFonts w:hint="default" w:ascii="Times New Roman" w:hAnsi="Times New Roman" w:eastAsia="宋体" w:cs="Times New Roman"/>
                      <w:color w:val="auto"/>
                    </w:rPr>
                  </w:pPr>
                </w:p>
              </w:tc>
            </w:tr>
            <w:tr w14:paraId="71192F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7A87B423">
                  <w:pPr>
                    <w:jc w:val="center"/>
                    <w:rPr>
                      <w:rFonts w:hint="default" w:ascii="Times New Roman" w:hAnsi="Times New Roman" w:eastAsia="宋体" w:cs="Times New Roman"/>
                      <w:color w:val="auto"/>
                    </w:rPr>
                  </w:pPr>
                </w:p>
              </w:tc>
              <w:tc>
                <w:tcPr>
                  <w:tcW w:w="558" w:type="pct"/>
                  <w:vMerge w:val="continue"/>
                  <w:vAlign w:val="center"/>
                </w:tcPr>
                <w:p w14:paraId="582B4526">
                  <w:pPr>
                    <w:jc w:val="center"/>
                    <w:rPr>
                      <w:rFonts w:hint="default" w:ascii="Times New Roman" w:hAnsi="Times New Roman" w:eastAsia="宋体" w:cs="Times New Roman"/>
                      <w:color w:val="auto"/>
                    </w:rPr>
                  </w:pPr>
                </w:p>
              </w:tc>
              <w:tc>
                <w:tcPr>
                  <w:tcW w:w="491" w:type="pct"/>
                  <w:vMerge w:val="continue"/>
                  <w:vAlign w:val="center"/>
                </w:tcPr>
                <w:p w14:paraId="06434013">
                  <w:pPr>
                    <w:jc w:val="center"/>
                    <w:rPr>
                      <w:rFonts w:hint="default" w:ascii="Times New Roman" w:hAnsi="Times New Roman" w:eastAsia="宋体" w:cs="Times New Roman"/>
                      <w:color w:val="auto"/>
                    </w:rPr>
                  </w:pPr>
                </w:p>
              </w:tc>
              <w:tc>
                <w:tcPr>
                  <w:tcW w:w="474" w:type="pct"/>
                  <w:vMerge w:val="continue"/>
                  <w:vAlign w:val="center"/>
                </w:tcPr>
                <w:p w14:paraId="3F6CB69B">
                  <w:pPr>
                    <w:jc w:val="center"/>
                    <w:rPr>
                      <w:rFonts w:hint="default" w:ascii="Times New Roman" w:hAnsi="Times New Roman" w:eastAsia="宋体" w:cs="Times New Roman"/>
                      <w:color w:val="auto"/>
                    </w:rPr>
                  </w:pPr>
                </w:p>
              </w:tc>
              <w:tc>
                <w:tcPr>
                  <w:tcW w:w="470" w:type="pct"/>
                  <w:vAlign w:val="center"/>
                </w:tcPr>
                <w:p w14:paraId="38E98C5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2389664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5户农户</w:t>
                  </w:r>
                </w:p>
              </w:tc>
              <w:tc>
                <w:tcPr>
                  <w:tcW w:w="552" w:type="pct"/>
                  <w:vAlign w:val="center"/>
                </w:tcPr>
                <w:p w14:paraId="53DB34A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南侧</w:t>
                  </w:r>
                </w:p>
              </w:tc>
              <w:tc>
                <w:tcPr>
                  <w:tcW w:w="582" w:type="pct"/>
                  <w:vAlign w:val="center"/>
                </w:tcPr>
                <w:p w14:paraId="089698A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125-500</w:t>
                  </w:r>
                </w:p>
              </w:tc>
              <w:tc>
                <w:tcPr>
                  <w:tcW w:w="735" w:type="pct"/>
                  <w:vMerge w:val="continue"/>
                  <w:vAlign w:val="center"/>
                </w:tcPr>
                <w:p w14:paraId="56BDD780">
                  <w:pPr>
                    <w:jc w:val="center"/>
                    <w:rPr>
                      <w:rFonts w:hint="default" w:ascii="Times New Roman" w:hAnsi="Times New Roman" w:eastAsia="宋体" w:cs="Times New Roman"/>
                      <w:color w:val="auto"/>
                    </w:rPr>
                  </w:pPr>
                </w:p>
              </w:tc>
            </w:tr>
            <w:tr w14:paraId="22E335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2C461805">
                  <w:pPr>
                    <w:jc w:val="center"/>
                    <w:rPr>
                      <w:rFonts w:hint="default" w:ascii="Times New Roman" w:hAnsi="Times New Roman" w:eastAsia="宋体" w:cs="Times New Roman"/>
                      <w:color w:val="auto"/>
                    </w:rPr>
                  </w:pPr>
                </w:p>
              </w:tc>
              <w:tc>
                <w:tcPr>
                  <w:tcW w:w="558" w:type="pct"/>
                  <w:vMerge w:val="restart"/>
                  <w:vAlign w:val="center"/>
                </w:tcPr>
                <w:p w14:paraId="27AF625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104.848760</w:t>
                  </w:r>
                </w:p>
              </w:tc>
              <w:tc>
                <w:tcPr>
                  <w:tcW w:w="491" w:type="pct"/>
                  <w:vMerge w:val="restart"/>
                  <w:vAlign w:val="center"/>
                </w:tcPr>
                <w:p w14:paraId="3FCFDA7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30.292225</w:t>
                  </w:r>
                </w:p>
              </w:tc>
              <w:tc>
                <w:tcPr>
                  <w:tcW w:w="474" w:type="pct"/>
                  <w:vMerge w:val="restart"/>
                  <w:vAlign w:val="center"/>
                </w:tcPr>
                <w:p w14:paraId="3E21277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29#</w:t>
                  </w:r>
                </w:p>
              </w:tc>
              <w:tc>
                <w:tcPr>
                  <w:tcW w:w="470" w:type="pct"/>
                  <w:vAlign w:val="center"/>
                </w:tcPr>
                <w:p w14:paraId="2519431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714A4F2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11户农户</w:t>
                  </w:r>
                </w:p>
              </w:tc>
              <w:tc>
                <w:tcPr>
                  <w:tcW w:w="552" w:type="pct"/>
                  <w:vAlign w:val="center"/>
                </w:tcPr>
                <w:p w14:paraId="3E0981C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071CFFC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131-500</w:t>
                  </w:r>
                </w:p>
              </w:tc>
              <w:tc>
                <w:tcPr>
                  <w:tcW w:w="735" w:type="pct"/>
                  <w:vMerge w:val="continue"/>
                  <w:vAlign w:val="center"/>
                </w:tcPr>
                <w:p w14:paraId="022924B9">
                  <w:pPr>
                    <w:jc w:val="center"/>
                    <w:rPr>
                      <w:rFonts w:hint="default" w:ascii="Times New Roman" w:hAnsi="Times New Roman" w:eastAsia="宋体" w:cs="Times New Roman"/>
                      <w:color w:val="auto"/>
                    </w:rPr>
                  </w:pPr>
                </w:p>
              </w:tc>
            </w:tr>
            <w:tr w14:paraId="483869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4C2332AF">
                  <w:pPr>
                    <w:jc w:val="center"/>
                    <w:rPr>
                      <w:rFonts w:hint="default" w:ascii="Times New Roman" w:hAnsi="Times New Roman" w:eastAsia="宋体" w:cs="Times New Roman"/>
                      <w:color w:val="auto"/>
                    </w:rPr>
                  </w:pPr>
                </w:p>
              </w:tc>
              <w:tc>
                <w:tcPr>
                  <w:tcW w:w="558" w:type="pct"/>
                  <w:vMerge w:val="continue"/>
                  <w:vAlign w:val="center"/>
                </w:tcPr>
                <w:p w14:paraId="01A0E716">
                  <w:pPr>
                    <w:jc w:val="center"/>
                    <w:rPr>
                      <w:rFonts w:hint="default" w:ascii="Times New Roman" w:hAnsi="Times New Roman" w:eastAsia="宋体" w:cs="Times New Roman"/>
                      <w:color w:val="auto"/>
                    </w:rPr>
                  </w:pPr>
                </w:p>
              </w:tc>
              <w:tc>
                <w:tcPr>
                  <w:tcW w:w="491" w:type="pct"/>
                  <w:vMerge w:val="continue"/>
                  <w:vAlign w:val="center"/>
                </w:tcPr>
                <w:p w14:paraId="4EFEF494">
                  <w:pPr>
                    <w:jc w:val="center"/>
                    <w:rPr>
                      <w:rFonts w:hint="default" w:ascii="Times New Roman" w:hAnsi="Times New Roman" w:eastAsia="宋体" w:cs="Times New Roman"/>
                      <w:color w:val="auto"/>
                    </w:rPr>
                  </w:pPr>
                </w:p>
              </w:tc>
              <w:tc>
                <w:tcPr>
                  <w:tcW w:w="474" w:type="pct"/>
                  <w:vMerge w:val="continue"/>
                  <w:vAlign w:val="center"/>
                </w:tcPr>
                <w:p w14:paraId="139EC9E4">
                  <w:pPr>
                    <w:jc w:val="center"/>
                    <w:rPr>
                      <w:rFonts w:hint="default" w:ascii="Times New Roman" w:hAnsi="Times New Roman" w:eastAsia="宋体" w:cs="Times New Roman"/>
                      <w:color w:val="auto"/>
                    </w:rPr>
                  </w:pPr>
                </w:p>
              </w:tc>
              <w:tc>
                <w:tcPr>
                  <w:tcW w:w="470" w:type="pct"/>
                  <w:vAlign w:val="center"/>
                </w:tcPr>
                <w:p w14:paraId="2E97829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477B72C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9户农户</w:t>
                  </w:r>
                </w:p>
              </w:tc>
              <w:tc>
                <w:tcPr>
                  <w:tcW w:w="552" w:type="pct"/>
                  <w:vAlign w:val="center"/>
                </w:tcPr>
                <w:p w14:paraId="29BAB53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1F1351B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129-500</w:t>
                  </w:r>
                </w:p>
              </w:tc>
              <w:tc>
                <w:tcPr>
                  <w:tcW w:w="735" w:type="pct"/>
                  <w:vMerge w:val="continue"/>
                  <w:vAlign w:val="center"/>
                </w:tcPr>
                <w:p w14:paraId="3ACE1251">
                  <w:pPr>
                    <w:jc w:val="center"/>
                    <w:rPr>
                      <w:rFonts w:hint="default" w:ascii="Times New Roman" w:hAnsi="Times New Roman" w:eastAsia="宋体" w:cs="Times New Roman"/>
                      <w:color w:val="auto"/>
                    </w:rPr>
                  </w:pPr>
                </w:p>
              </w:tc>
            </w:tr>
            <w:tr w14:paraId="160411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256" w:type="pct"/>
                  <w:vMerge w:val="continue"/>
                  <w:vAlign w:val="center"/>
                </w:tcPr>
                <w:p w14:paraId="4D5F1849">
                  <w:pPr>
                    <w:jc w:val="center"/>
                    <w:rPr>
                      <w:rFonts w:hint="default" w:ascii="Times New Roman" w:hAnsi="Times New Roman" w:eastAsia="宋体" w:cs="Times New Roman"/>
                      <w:color w:val="auto"/>
                    </w:rPr>
                  </w:pPr>
                </w:p>
              </w:tc>
              <w:tc>
                <w:tcPr>
                  <w:tcW w:w="558" w:type="pct"/>
                  <w:vMerge w:val="restart"/>
                  <w:vAlign w:val="center"/>
                </w:tcPr>
                <w:p w14:paraId="155888B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104.842666</w:t>
                  </w:r>
                </w:p>
              </w:tc>
              <w:tc>
                <w:tcPr>
                  <w:tcW w:w="491" w:type="pct"/>
                  <w:vMerge w:val="restart"/>
                  <w:vAlign w:val="center"/>
                </w:tcPr>
                <w:p w14:paraId="191CB02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30.290594</w:t>
                  </w:r>
                </w:p>
              </w:tc>
              <w:tc>
                <w:tcPr>
                  <w:tcW w:w="474" w:type="pct"/>
                  <w:vMerge w:val="restart"/>
                  <w:vAlign w:val="center"/>
                </w:tcPr>
                <w:p w14:paraId="42B75A3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w:t>
                  </w:r>
                </w:p>
              </w:tc>
              <w:tc>
                <w:tcPr>
                  <w:tcW w:w="470" w:type="pct"/>
                  <w:vAlign w:val="center"/>
                </w:tcPr>
                <w:p w14:paraId="3C53248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3CCF1F2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13户农户</w:t>
                  </w:r>
                </w:p>
              </w:tc>
              <w:tc>
                <w:tcPr>
                  <w:tcW w:w="552" w:type="pct"/>
                  <w:vAlign w:val="center"/>
                </w:tcPr>
                <w:p w14:paraId="6535B0C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北侧</w:t>
                  </w:r>
                </w:p>
              </w:tc>
              <w:tc>
                <w:tcPr>
                  <w:tcW w:w="582" w:type="pct"/>
                  <w:vAlign w:val="center"/>
                </w:tcPr>
                <w:p w14:paraId="76924AB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298-500</w:t>
                  </w:r>
                </w:p>
              </w:tc>
              <w:tc>
                <w:tcPr>
                  <w:tcW w:w="735" w:type="pct"/>
                  <w:vMerge w:val="continue"/>
                  <w:vAlign w:val="center"/>
                </w:tcPr>
                <w:p w14:paraId="14AE961D">
                  <w:pPr>
                    <w:jc w:val="center"/>
                    <w:rPr>
                      <w:rFonts w:hint="default" w:ascii="Times New Roman" w:hAnsi="Times New Roman" w:eastAsia="宋体" w:cs="Times New Roman"/>
                      <w:color w:val="auto"/>
                    </w:rPr>
                  </w:pPr>
                </w:p>
              </w:tc>
            </w:tr>
            <w:tr w14:paraId="74E3A9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15D374D5">
                  <w:pPr>
                    <w:jc w:val="center"/>
                    <w:rPr>
                      <w:rFonts w:hint="default" w:ascii="Times New Roman" w:hAnsi="Times New Roman" w:eastAsia="宋体" w:cs="Times New Roman"/>
                      <w:color w:val="auto"/>
                    </w:rPr>
                  </w:pPr>
                </w:p>
              </w:tc>
              <w:tc>
                <w:tcPr>
                  <w:tcW w:w="558" w:type="pct"/>
                  <w:vMerge w:val="continue"/>
                  <w:vAlign w:val="center"/>
                </w:tcPr>
                <w:p w14:paraId="192F6241">
                  <w:pPr>
                    <w:jc w:val="center"/>
                    <w:rPr>
                      <w:rFonts w:hint="default" w:ascii="Times New Roman" w:hAnsi="Times New Roman" w:eastAsia="宋体" w:cs="Times New Roman"/>
                      <w:color w:val="auto"/>
                    </w:rPr>
                  </w:pPr>
                </w:p>
              </w:tc>
              <w:tc>
                <w:tcPr>
                  <w:tcW w:w="491" w:type="pct"/>
                  <w:vMerge w:val="continue"/>
                  <w:vAlign w:val="center"/>
                </w:tcPr>
                <w:p w14:paraId="40D8D56D">
                  <w:pPr>
                    <w:jc w:val="center"/>
                    <w:rPr>
                      <w:rFonts w:hint="default" w:ascii="Times New Roman" w:hAnsi="Times New Roman" w:eastAsia="宋体" w:cs="Times New Roman"/>
                      <w:color w:val="auto"/>
                    </w:rPr>
                  </w:pPr>
                </w:p>
              </w:tc>
              <w:tc>
                <w:tcPr>
                  <w:tcW w:w="474" w:type="pct"/>
                  <w:vMerge w:val="continue"/>
                  <w:vAlign w:val="center"/>
                </w:tcPr>
                <w:p w14:paraId="25356647">
                  <w:pPr>
                    <w:jc w:val="center"/>
                    <w:rPr>
                      <w:rFonts w:hint="default" w:ascii="Times New Roman" w:hAnsi="Times New Roman" w:eastAsia="宋体" w:cs="Times New Roman"/>
                      <w:color w:val="auto"/>
                    </w:rPr>
                  </w:pPr>
                </w:p>
              </w:tc>
              <w:tc>
                <w:tcPr>
                  <w:tcW w:w="470" w:type="pct"/>
                  <w:vAlign w:val="center"/>
                </w:tcPr>
                <w:p w14:paraId="69444C2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32A2C9D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15户农户</w:t>
                  </w:r>
                </w:p>
              </w:tc>
              <w:tc>
                <w:tcPr>
                  <w:tcW w:w="552" w:type="pct"/>
                  <w:vAlign w:val="center"/>
                </w:tcPr>
                <w:p w14:paraId="564E27F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南侧</w:t>
                  </w:r>
                </w:p>
              </w:tc>
              <w:tc>
                <w:tcPr>
                  <w:tcW w:w="582" w:type="pct"/>
                  <w:vAlign w:val="center"/>
                </w:tcPr>
                <w:p w14:paraId="5BBB810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232-500</w:t>
                  </w:r>
                </w:p>
              </w:tc>
              <w:tc>
                <w:tcPr>
                  <w:tcW w:w="735" w:type="pct"/>
                  <w:vMerge w:val="continue"/>
                  <w:vAlign w:val="center"/>
                </w:tcPr>
                <w:p w14:paraId="63B5D950">
                  <w:pPr>
                    <w:jc w:val="center"/>
                    <w:rPr>
                      <w:rFonts w:hint="default" w:ascii="Times New Roman" w:hAnsi="Times New Roman" w:eastAsia="宋体" w:cs="Times New Roman"/>
                      <w:color w:val="auto"/>
                    </w:rPr>
                  </w:pPr>
                </w:p>
              </w:tc>
            </w:tr>
            <w:tr w14:paraId="4D8BEE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2875BB3E">
                  <w:pPr>
                    <w:jc w:val="center"/>
                    <w:rPr>
                      <w:rFonts w:hint="default" w:ascii="Times New Roman" w:hAnsi="Times New Roman" w:eastAsia="宋体" w:cs="Times New Roman"/>
                      <w:color w:val="auto"/>
                    </w:rPr>
                  </w:pPr>
                </w:p>
              </w:tc>
              <w:tc>
                <w:tcPr>
                  <w:tcW w:w="558" w:type="pct"/>
                  <w:vMerge w:val="restart"/>
                  <w:vAlign w:val="center"/>
                </w:tcPr>
                <w:p w14:paraId="57F32FA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104.871634</w:t>
                  </w:r>
                </w:p>
              </w:tc>
              <w:tc>
                <w:tcPr>
                  <w:tcW w:w="491" w:type="pct"/>
                  <w:vMerge w:val="restart"/>
                  <w:vAlign w:val="center"/>
                </w:tcPr>
                <w:p w14:paraId="1FBF25E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30.289478</w:t>
                  </w:r>
                </w:p>
              </w:tc>
              <w:tc>
                <w:tcPr>
                  <w:tcW w:w="474" w:type="pct"/>
                  <w:vMerge w:val="restart"/>
                  <w:vAlign w:val="center"/>
                </w:tcPr>
                <w:p w14:paraId="48E2CF0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31#</w:t>
                  </w:r>
                </w:p>
              </w:tc>
              <w:tc>
                <w:tcPr>
                  <w:tcW w:w="470" w:type="pct"/>
                  <w:vAlign w:val="center"/>
                </w:tcPr>
                <w:p w14:paraId="310A9EA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5627416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2户农户</w:t>
                  </w:r>
                </w:p>
              </w:tc>
              <w:tc>
                <w:tcPr>
                  <w:tcW w:w="552" w:type="pct"/>
                  <w:vAlign w:val="center"/>
                </w:tcPr>
                <w:p w14:paraId="472242C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45F6FAD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213-500</w:t>
                  </w:r>
                </w:p>
              </w:tc>
              <w:tc>
                <w:tcPr>
                  <w:tcW w:w="735" w:type="pct"/>
                  <w:vMerge w:val="continue"/>
                  <w:vAlign w:val="center"/>
                </w:tcPr>
                <w:p w14:paraId="7B9F820D">
                  <w:pPr>
                    <w:jc w:val="center"/>
                    <w:rPr>
                      <w:rFonts w:hint="default" w:ascii="Times New Roman" w:hAnsi="Times New Roman" w:eastAsia="宋体" w:cs="Times New Roman"/>
                      <w:color w:val="auto"/>
                    </w:rPr>
                  </w:pPr>
                </w:p>
              </w:tc>
            </w:tr>
            <w:tr w14:paraId="1EB784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4C173CCA">
                  <w:pPr>
                    <w:jc w:val="center"/>
                    <w:rPr>
                      <w:rFonts w:hint="default" w:ascii="Times New Roman" w:hAnsi="Times New Roman" w:eastAsia="宋体" w:cs="Times New Roman"/>
                      <w:color w:val="auto"/>
                    </w:rPr>
                  </w:pPr>
                </w:p>
              </w:tc>
              <w:tc>
                <w:tcPr>
                  <w:tcW w:w="558" w:type="pct"/>
                  <w:vMerge w:val="continue"/>
                  <w:vAlign w:val="center"/>
                </w:tcPr>
                <w:p w14:paraId="300B706D">
                  <w:pPr>
                    <w:jc w:val="center"/>
                    <w:rPr>
                      <w:rFonts w:hint="default" w:ascii="Times New Roman" w:hAnsi="Times New Roman" w:eastAsia="宋体" w:cs="Times New Roman"/>
                      <w:color w:val="auto"/>
                    </w:rPr>
                  </w:pPr>
                </w:p>
              </w:tc>
              <w:tc>
                <w:tcPr>
                  <w:tcW w:w="491" w:type="pct"/>
                  <w:vMerge w:val="continue"/>
                  <w:vAlign w:val="center"/>
                </w:tcPr>
                <w:p w14:paraId="211C8D90">
                  <w:pPr>
                    <w:jc w:val="center"/>
                    <w:rPr>
                      <w:rFonts w:hint="default" w:ascii="Times New Roman" w:hAnsi="Times New Roman" w:eastAsia="宋体" w:cs="Times New Roman"/>
                      <w:color w:val="auto"/>
                    </w:rPr>
                  </w:pPr>
                </w:p>
              </w:tc>
              <w:tc>
                <w:tcPr>
                  <w:tcW w:w="474" w:type="pct"/>
                  <w:vMerge w:val="continue"/>
                  <w:vAlign w:val="center"/>
                </w:tcPr>
                <w:p w14:paraId="7F90A2D9">
                  <w:pPr>
                    <w:jc w:val="center"/>
                    <w:rPr>
                      <w:rFonts w:hint="default" w:ascii="Times New Roman" w:hAnsi="Times New Roman" w:eastAsia="宋体" w:cs="Times New Roman"/>
                      <w:color w:val="auto"/>
                    </w:rPr>
                  </w:pPr>
                </w:p>
              </w:tc>
              <w:tc>
                <w:tcPr>
                  <w:tcW w:w="470" w:type="pct"/>
                  <w:vAlign w:val="center"/>
                </w:tcPr>
                <w:p w14:paraId="25A9BE3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4F02692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15户农户</w:t>
                  </w:r>
                </w:p>
              </w:tc>
              <w:tc>
                <w:tcPr>
                  <w:tcW w:w="552" w:type="pct"/>
                  <w:vAlign w:val="center"/>
                </w:tcPr>
                <w:p w14:paraId="1435444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4A937C8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236-500</w:t>
                  </w:r>
                </w:p>
              </w:tc>
              <w:tc>
                <w:tcPr>
                  <w:tcW w:w="735" w:type="pct"/>
                  <w:vMerge w:val="continue"/>
                  <w:vAlign w:val="center"/>
                </w:tcPr>
                <w:p w14:paraId="379D6720">
                  <w:pPr>
                    <w:jc w:val="center"/>
                    <w:rPr>
                      <w:rFonts w:hint="default" w:ascii="Times New Roman" w:hAnsi="Times New Roman" w:eastAsia="宋体" w:cs="Times New Roman"/>
                      <w:color w:val="auto"/>
                    </w:rPr>
                  </w:pPr>
                </w:p>
              </w:tc>
            </w:tr>
            <w:tr w14:paraId="20A488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1618E01D">
                  <w:pPr>
                    <w:jc w:val="center"/>
                    <w:rPr>
                      <w:rFonts w:hint="default" w:ascii="Times New Roman" w:hAnsi="Times New Roman" w:eastAsia="宋体" w:cs="Times New Roman"/>
                      <w:color w:val="auto"/>
                    </w:rPr>
                  </w:pPr>
                </w:p>
              </w:tc>
              <w:tc>
                <w:tcPr>
                  <w:tcW w:w="558" w:type="pct"/>
                  <w:vMerge w:val="restart"/>
                  <w:vAlign w:val="center"/>
                </w:tcPr>
                <w:p w14:paraId="6A988E2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104.876526</w:t>
                  </w:r>
                </w:p>
              </w:tc>
              <w:tc>
                <w:tcPr>
                  <w:tcW w:w="491" w:type="pct"/>
                  <w:vMerge w:val="restart"/>
                  <w:vAlign w:val="center"/>
                </w:tcPr>
                <w:p w14:paraId="06F4225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30.293341</w:t>
                  </w:r>
                </w:p>
              </w:tc>
              <w:tc>
                <w:tcPr>
                  <w:tcW w:w="474" w:type="pct"/>
                  <w:vMerge w:val="restart"/>
                  <w:vAlign w:val="center"/>
                </w:tcPr>
                <w:p w14:paraId="6D28D67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32#</w:t>
                  </w:r>
                </w:p>
              </w:tc>
              <w:tc>
                <w:tcPr>
                  <w:tcW w:w="470" w:type="pct"/>
                  <w:vAlign w:val="center"/>
                </w:tcPr>
                <w:p w14:paraId="0EB0994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4705F6D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11户农户</w:t>
                  </w:r>
                </w:p>
              </w:tc>
              <w:tc>
                <w:tcPr>
                  <w:tcW w:w="552" w:type="pct"/>
                  <w:vAlign w:val="center"/>
                </w:tcPr>
                <w:p w14:paraId="5DF0329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426A8EF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235-500</w:t>
                  </w:r>
                </w:p>
              </w:tc>
              <w:tc>
                <w:tcPr>
                  <w:tcW w:w="735" w:type="pct"/>
                  <w:vMerge w:val="continue"/>
                  <w:vAlign w:val="center"/>
                </w:tcPr>
                <w:p w14:paraId="3E70D22B">
                  <w:pPr>
                    <w:jc w:val="center"/>
                    <w:rPr>
                      <w:rFonts w:hint="default" w:ascii="Times New Roman" w:hAnsi="Times New Roman" w:eastAsia="宋体" w:cs="Times New Roman"/>
                      <w:color w:val="auto"/>
                    </w:rPr>
                  </w:pPr>
                </w:p>
              </w:tc>
            </w:tr>
            <w:tr w14:paraId="069B76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5148E7CD">
                  <w:pPr>
                    <w:jc w:val="center"/>
                    <w:rPr>
                      <w:rFonts w:hint="default" w:ascii="Times New Roman" w:hAnsi="Times New Roman" w:eastAsia="宋体" w:cs="Times New Roman"/>
                      <w:color w:val="auto"/>
                    </w:rPr>
                  </w:pPr>
                </w:p>
              </w:tc>
              <w:tc>
                <w:tcPr>
                  <w:tcW w:w="558" w:type="pct"/>
                  <w:vMerge w:val="continue"/>
                  <w:vAlign w:val="center"/>
                </w:tcPr>
                <w:p w14:paraId="6C8A8D09">
                  <w:pPr>
                    <w:jc w:val="center"/>
                    <w:rPr>
                      <w:rFonts w:hint="default" w:ascii="Times New Roman" w:hAnsi="Times New Roman" w:eastAsia="宋体" w:cs="Times New Roman"/>
                      <w:color w:val="auto"/>
                    </w:rPr>
                  </w:pPr>
                </w:p>
              </w:tc>
              <w:tc>
                <w:tcPr>
                  <w:tcW w:w="491" w:type="pct"/>
                  <w:vMerge w:val="continue"/>
                  <w:vAlign w:val="center"/>
                </w:tcPr>
                <w:p w14:paraId="25E562E6">
                  <w:pPr>
                    <w:jc w:val="center"/>
                    <w:rPr>
                      <w:rFonts w:hint="default" w:ascii="Times New Roman" w:hAnsi="Times New Roman" w:eastAsia="宋体" w:cs="Times New Roman"/>
                      <w:color w:val="auto"/>
                    </w:rPr>
                  </w:pPr>
                </w:p>
              </w:tc>
              <w:tc>
                <w:tcPr>
                  <w:tcW w:w="474" w:type="pct"/>
                  <w:vMerge w:val="continue"/>
                  <w:vAlign w:val="center"/>
                </w:tcPr>
                <w:p w14:paraId="474774B4">
                  <w:pPr>
                    <w:jc w:val="center"/>
                    <w:rPr>
                      <w:rFonts w:hint="default" w:ascii="Times New Roman" w:hAnsi="Times New Roman" w:eastAsia="宋体" w:cs="Times New Roman"/>
                      <w:color w:val="auto"/>
                    </w:rPr>
                  </w:pPr>
                </w:p>
              </w:tc>
              <w:tc>
                <w:tcPr>
                  <w:tcW w:w="470" w:type="pct"/>
                  <w:vAlign w:val="center"/>
                </w:tcPr>
                <w:p w14:paraId="5CAE577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047DF6E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21户农户</w:t>
                  </w:r>
                </w:p>
              </w:tc>
              <w:tc>
                <w:tcPr>
                  <w:tcW w:w="552" w:type="pct"/>
                  <w:vAlign w:val="center"/>
                </w:tcPr>
                <w:p w14:paraId="1F004A6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70E6E97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121-500</w:t>
                  </w:r>
                </w:p>
              </w:tc>
              <w:tc>
                <w:tcPr>
                  <w:tcW w:w="735" w:type="pct"/>
                  <w:vMerge w:val="continue"/>
                  <w:vAlign w:val="center"/>
                </w:tcPr>
                <w:p w14:paraId="4784DDB3">
                  <w:pPr>
                    <w:jc w:val="center"/>
                    <w:rPr>
                      <w:rFonts w:hint="default" w:ascii="Times New Roman" w:hAnsi="Times New Roman" w:eastAsia="宋体" w:cs="Times New Roman"/>
                      <w:color w:val="auto"/>
                    </w:rPr>
                  </w:pPr>
                </w:p>
              </w:tc>
            </w:tr>
            <w:tr w14:paraId="56EB81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3A451E7E">
                  <w:pPr>
                    <w:jc w:val="center"/>
                    <w:rPr>
                      <w:rFonts w:hint="default" w:ascii="Times New Roman" w:hAnsi="Times New Roman" w:eastAsia="宋体" w:cs="Times New Roman"/>
                      <w:color w:val="auto"/>
                    </w:rPr>
                  </w:pPr>
                </w:p>
              </w:tc>
              <w:tc>
                <w:tcPr>
                  <w:tcW w:w="558" w:type="pct"/>
                  <w:vAlign w:val="center"/>
                </w:tcPr>
                <w:p w14:paraId="53675CD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104.863866</w:t>
                  </w:r>
                </w:p>
              </w:tc>
              <w:tc>
                <w:tcPr>
                  <w:tcW w:w="491" w:type="pct"/>
                  <w:vAlign w:val="center"/>
                </w:tcPr>
                <w:p w14:paraId="7AACA86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30.305657</w:t>
                  </w:r>
                </w:p>
              </w:tc>
              <w:tc>
                <w:tcPr>
                  <w:tcW w:w="474" w:type="pct"/>
                  <w:vAlign w:val="center"/>
                </w:tcPr>
                <w:p w14:paraId="35C0F61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33#</w:t>
                  </w:r>
                </w:p>
              </w:tc>
              <w:tc>
                <w:tcPr>
                  <w:tcW w:w="470" w:type="pct"/>
                  <w:vAlign w:val="center"/>
                </w:tcPr>
                <w:p w14:paraId="07BA558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1F039B9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17户农户</w:t>
                  </w:r>
                </w:p>
              </w:tc>
              <w:tc>
                <w:tcPr>
                  <w:tcW w:w="552" w:type="pct"/>
                  <w:vAlign w:val="center"/>
                </w:tcPr>
                <w:p w14:paraId="662AD27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124F26C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267-500</w:t>
                  </w:r>
                </w:p>
              </w:tc>
              <w:tc>
                <w:tcPr>
                  <w:tcW w:w="735" w:type="pct"/>
                  <w:vMerge w:val="continue"/>
                  <w:vAlign w:val="center"/>
                </w:tcPr>
                <w:p w14:paraId="7DD9E18A">
                  <w:pPr>
                    <w:jc w:val="center"/>
                    <w:rPr>
                      <w:rFonts w:hint="default" w:ascii="Times New Roman" w:hAnsi="Times New Roman" w:eastAsia="宋体" w:cs="Times New Roman"/>
                      <w:color w:val="auto"/>
                    </w:rPr>
                  </w:pPr>
                </w:p>
              </w:tc>
            </w:tr>
            <w:tr w14:paraId="7F353D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2CA4B782">
                  <w:pPr>
                    <w:jc w:val="center"/>
                    <w:rPr>
                      <w:rFonts w:hint="default" w:ascii="Times New Roman" w:hAnsi="Times New Roman" w:eastAsia="宋体" w:cs="Times New Roman"/>
                      <w:color w:val="auto"/>
                    </w:rPr>
                  </w:pPr>
                </w:p>
              </w:tc>
              <w:tc>
                <w:tcPr>
                  <w:tcW w:w="558" w:type="pct"/>
                  <w:vMerge w:val="restart"/>
                  <w:vAlign w:val="center"/>
                </w:tcPr>
                <w:p w14:paraId="4BBA422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104.878715</w:t>
                  </w:r>
                </w:p>
              </w:tc>
              <w:tc>
                <w:tcPr>
                  <w:tcW w:w="491" w:type="pct"/>
                  <w:vMerge w:val="restart"/>
                  <w:vAlign w:val="center"/>
                </w:tcPr>
                <w:p w14:paraId="0BBDD8C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30.306172</w:t>
                  </w:r>
                </w:p>
              </w:tc>
              <w:tc>
                <w:tcPr>
                  <w:tcW w:w="474" w:type="pct"/>
                  <w:vMerge w:val="restart"/>
                  <w:vAlign w:val="center"/>
                </w:tcPr>
                <w:p w14:paraId="605A66A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35#</w:t>
                  </w:r>
                </w:p>
              </w:tc>
              <w:tc>
                <w:tcPr>
                  <w:tcW w:w="470" w:type="pct"/>
                  <w:vAlign w:val="center"/>
                </w:tcPr>
                <w:p w14:paraId="00B3A77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2E7CD4B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7户农户</w:t>
                  </w:r>
                </w:p>
              </w:tc>
              <w:tc>
                <w:tcPr>
                  <w:tcW w:w="552" w:type="pct"/>
                  <w:vAlign w:val="center"/>
                </w:tcPr>
                <w:p w14:paraId="46F9ED4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314C75B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167-500</w:t>
                  </w:r>
                </w:p>
              </w:tc>
              <w:tc>
                <w:tcPr>
                  <w:tcW w:w="735" w:type="pct"/>
                  <w:vMerge w:val="continue"/>
                  <w:vAlign w:val="center"/>
                </w:tcPr>
                <w:p w14:paraId="19F713D0">
                  <w:pPr>
                    <w:jc w:val="center"/>
                    <w:rPr>
                      <w:rFonts w:hint="default" w:ascii="Times New Roman" w:hAnsi="Times New Roman" w:eastAsia="宋体" w:cs="Times New Roman"/>
                      <w:color w:val="auto"/>
                    </w:rPr>
                  </w:pPr>
                </w:p>
              </w:tc>
            </w:tr>
            <w:tr w14:paraId="586B48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21A89405">
                  <w:pPr>
                    <w:jc w:val="center"/>
                    <w:rPr>
                      <w:rFonts w:hint="default" w:ascii="Times New Roman" w:hAnsi="Times New Roman" w:eastAsia="宋体" w:cs="Times New Roman"/>
                      <w:color w:val="auto"/>
                    </w:rPr>
                  </w:pPr>
                </w:p>
              </w:tc>
              <w:tc>
                <w:tcPr>
                  <w:tcW w:w="558" w:type="pct"/>
                  <w:vMerge w:val="continue"/>
                  <w:vAlign w:val="center"/>
                </w:tcPr>
                <w:p w14:paraId="42DF119C">
                  <w:pPr>
                    <w:jc w:val="center"/>
                    <w:rPr>
                      <w:rFonts w:hint="default" w:ascii="Times New Roman" w:hAnsi="Times New Roman" w:eastAsia="宋体" w:cs="Times New Roman"/>
                      <w:color w:val="auto"/>
                    </w:rPr>
                  </w:pPr>
                </w:p>
              </w:tc>
              <w:tc>
                <w:tcPr>
                  <w:tcW w:w="491" w:type="pct"/>
                  <w:vMerge w:val="continue"/>
                  <w:vAlign w:val="center"/>
                </w:tcPr>
                <w:p w14:paraId="7A299CEF">
                  <w:pPr>
                    <w:jc w:val="center"/>
                    <w:rPr>
                      <w:rFonts w:hint="default" w:ascii="Times New Roman" w:hAnsi="Times New Roman" w:eastAsia="宋体" w:cs="Times New Roman"/>
                      <w:color w:val="auto"/>
                    </w:rPr>
                  </w:pPr>
                </w:p>
              </w:tc>
              <w:tc>
                <w:tcPr>
                  <w:tcW w:w="474" w:type="pct"/>
                  <w:vMerge w:val="continue"/>
                  <w:vAlign w:val="center"/>
                </w:tcPr>
                <w:p w14:paraId="7DBCCFF4">
                  <w:pPr>
                    <w:jc w:val="center"/>
                    <w:rPr>
                      <w:rFonts w:hint="default" w:ascii="Times New Roman" w:hAnsi="Times New Roman" w:eastAsia="宋体" w:cs="Times New Roman"/>
                      <w:color w:val="auto"/>
                    </w:rPr>
                  </w:pPr>
                </w:p>
              </w:tc>
              <w:tc>
                <w:tcPr>
                  <w:tcW w:w="470" w:type="pct"/>
                  <w:vAlign w:val="center"/>
                </w:tcPr>
                <w:p w14:paraId="175C1B8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5F608A6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3户农户</w:t>
                  </w:r>
                </w:p>
              </w:tc>
              <w:tc>
                <w:tcPr>
                  <w:tcW w:w="552" w:type="pct"/>
                  <w:vAlign w:val="center"/>
                </w:tcPr>
                <w:p w14:paraId="0AC782C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03A6E5C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157-500</w:t>
                  </w:r>
                </w:p>
              </w:tc>
              <w:tc>
                <w:tcPr>
                  <w:tcW w:w="735" w:type="pct"/>
                  <w:vMerge w:val="continue"/>
                  <w:vAlign w:val="center"/>
                </w:tcPr>
                <w:p w14:paraId="44A84B52">
                  <w:pPr>
                    <w:jc w:val="center"/>
                    <w:rPr>
                      <w:rFonts w:hint="default" w:ascii="Times New Roman" w:hAnsi="Times New Roman" w:eastAsia="宋体" w:cs="Times New Roman"/>
                      <w:color w:val="auto"/>
                    </w:rPr>
                  </w:pPr>
                </w:p>
              </w:tc>
            </w:tr>
            <w:tr w14:paraId="36004D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2D804077">
                  <w:pPr>
                    <w:jc w:val="center"/>
                    <w:rPr>
                      <w:rFonts w:hint="default" w:ascii="Times New Roman" w:hAnsi="Times New Roman" w:eastAsia="宋体" w:cs="Times New Roman"/>
                      <w:color w:val="auto"/>
                    </w:rPr>
                  </w:pPr>
                </w:p>
              </w:tc>
              <w:tc>
                <w:tcPr>
                  <w:tcW w:w="558" w:type="pct"/>
                  <w:vMerge w:val="restart"/>
                  <w:vAlign w:val="center"/>
                </w:tcPr>
                <w:p w14:paraId="17ADF5E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104.8730937</w:t>
                  </w:r>
                </w:p>
              </w:tc>
              <w:tc>
                <w:tcPr>
                  <w:tcW w:w="491" w:type="pct"/>
                  <w:vMerge w:val="restart"/>
                  <w:vAlign w:val="center"/>
                </w:tcPr>
                <w:p w14:paraId="453123E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30.305228</w:t>
                  </w:r>
                </w:p>
              </w:tc>
              <w:tc>
                <w:tcPr>
                  <w:tcW w:w="474" w:type="pct"/>
                  <w:vMerge w:val="restart"/>
                  <w:vAlign w:val="center"/>
                </w:tcPr>
                <w:p w14:paraId="70E7B11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36#</w:t>
                  </w:r>
                </w:p>
              </w:tc>
              <w:tc>
                <w:tcPr>
                  <w:tcW w:w="470" w:type="pct"/>
                  <w:vAlign w:val="center"/>
                </w:tcPr>
                <w:p w14:paraId="3170A2F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36C5E6F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3户农户</w:t>
                  </w:r>
                </w:p>
              </w:tc>
              <w:tc>
                <w:tcPr>
                  <w:tcW w:w="552" w:type="pct"/>
                  <w:vAlign w:val="center"/>
                </w:tcPr>
                <w:p w14:paraId="445BE5C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7ED5DC4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146-500</w:t>
                  </w:r>
                </w:p>
              </w:tc>
              <w:tc>
                <w:tcPr>
                  <w:tcW w:w="735" w:type="pct"/>
                  <w:vMerge w:val="continue"/>
                  <w:vAlign w:val="center"/>
                </w:tcPr>
                <w:p w14:paraId="63707757">
                  <w:pPr>
                    <w:jc w:val="center"/>
                    <w:rPr>
                      <w:rFonts w:hint="default" w:ascii="Times New Roman" w:hAnsi="Times New Roman" w:eastAsia="宋体" w:cs="Times New Roman"/>
                      <w:color w:val="auto"/>
                    </w:rPr>
                  </w:pPr>
                </w:p>
              </w:tc>
            </w:tr>
            <w:tr w14:paraId="5162A1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59C121BE">
                  <w:pPr>
                    <w:jc w:val="center"/>
                    <w:rPr>
                      <w:rFonts w:hint="default" w:ascii="Times New Roman" w:hAnsi="Times New Roman" w:eastAsia="宋体" w:cs="Times New Roman"/>
                      <w:color w:val="auto"/>
                    </w:rPr>
                  </w:pPr>
                </w:p>
              </w:tc>
              <w:tc>
                <w:tcPr>
                  <w:tcW w:w="558" w:type="pct"/>
                  <w:vMerge w:val="continue"/>
                  <w:vAlign w:val="center"/>
                </w:tcPr>
                <w:p w14:paraId="19B11A82">
                  <w:pPr>
                    <w:jc w:val="center"/>
                    <w:rPr>
                      <w:rFonts w:hint="default" w:ascii="Times New Roman" w:hAnsi="Times New Roman" w:eastAsia="宋体" w:cs="Times New Roman"/>
                      <w:color w:val="auto"/>
                    </w:rPr>
                  </w:pPr>
                </w:p>
              </w:tc>
              <w:tc>
                <w:tcPr>
                  <w:tcW w:w="491" w:type="pct"/>
                  <w:vMerge w:val="continue"/>
                  <w:vAlign w:val="center"/>
                </w:tcPr>
                <w:p w14:paraId="0CF263AA">
                  <w:pPr>
                    <w:jc w:val="center"/>
                    <w:rPr>
                      <w:rFonts w:hint="default" w:ascii="Times New Roman" w:hAnsi="Times New Roman" w:eastAsia="宋体" w:cs="Times New Roman"/>
                      <w:color w:val="auto"/>
                    </w:rPr>
                  </w:pPr>
                </w:p>
              </w:tc>
              <w:tc>
                <w:tcPr>
                  <w:tcW w:w="474" w:type="pct"/>
                  <w:vMerge w:val="continue"/>
                  <w:vAlign w:val="center"/>
                </w:tcPr>
                <w:p w14:paraId="54975A14">
                  <w:pPr>
                    <w:jc w:val="center"/>
                    <w:rPr>
                      <w:rFonts w:hint="default" w:ascii="Times New Roman" w:hAnsi="Times New Roman" w:eastAsia="宋体" w:cs="Times New Roman"/>
                      <w:color w:val="auto"/>
                    </w:rPr>
                  </w:pPr>
                </w:p>
              </w:tc>
              <w:tc>
                <w:tcPr>
                  <w:tcW w:w="470" w:type="pct"/>
                  <w:vAlign w:val="center"/>
                </w:tcPr>
                <w:p w14:paraId="79D95E6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0367DA6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3户农户</w:t>
                  </w:r>
                </w:p>
              </w:tc>
              <w:tc>
                <w:tcPr>
                  <w:tcW w:w="552" w:type="pct"/>
                  <w:vAlign w:val="center"/>
                </w:tcPr>
                <w:p w14:paraId="3B15626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37C3315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136-500</w:t>
                  </w:r>
                </w:p>
              </w:tc>
              <w:tc>
                <w:tcPr>
                  <w:tcW w:w="735" w:type="pct"/>
                  <w:vMerge w:val="continue"/>
                  <w:vAlign w:val="center"/>
                </w:tcPr>
                <w:p w14:paraId="4999628C">
                  <w:pPr>
                    <w:jc w:val="center"/>
                    <w:rPr>
                      <w:rFonts w:hint="default" w:ascii="Times New Roman" w:hAnsi="Times New Roman" w:eastAsia="宋体" w:cs="Times New Roman"/>
                      <w:color w:val="auto"/>
                    </w:rPr>
                  </w:pPr>
                </w:p>
              </w:tc>
            </w:tr>
            <w:tr w14:paraId="598786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000" w:type="pct"/>
                  <w:gridSpan w:val="9"/>
                  <w:vAlign w:val="center"/>
                </w:tcPr>
                <w:p w14:paraId="6729C76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中天镇</w:t>
                  </w:r>
                </w:p>
              </w:tc>
            </w:tr>
            <w:tr w14:paraId="555744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restart"/>
                  <w:vAlign w:val="center"/>
                </w:tcPr>
                <w:p w14:paraId="2779584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大气环境</w:t>
                  </w:r>
                </w:p>
              </w:tc>
              <w:tc>
                <w:tcPr>
                  <w:tcW w:w="558" w:type="pct"/>
                  <w:vMerge w:val="restart"/>
                  <w:vAlign w:val="center"/>
                </w:tcPr>
                <w:p w14:paraId="1422D63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104.846612</w:t>
                  </w:r>
                </w:p>
              </w:tc>
              <w:tc>
                <w:tcPr>
                  <w:tcW w:w="491" w:type="pct"/>
                  <w:vMerge w:val="restart"/>
                  <w:vAlign w:val="center"/>
                </w:tcPr>
                <w:p w14:paraId="014A404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30.243301</w:t>
                  </w:r>
                </w:p>
              </w:tc>
              <w:tc>
                <w:tcPr>
                  <w:tcW w:w="474" w:type="pct"/>
                  <w:vMerge w:val="restart"/>
                  <w:vAlign w:val="center"/>
                </w:tcPr>
                <w:p w14:paraId="7317D14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w:t>
                  </w:r>
                </w:p>
              </w:tc>
              <w:tc>
                <w:tcPr>
                  <w:tcW w:w="470" w:type="pct"/>
                  <w:vAlign w:val="center"/>
                </w:tcPr>
                <w:p w14:paraId="4C06208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1D0B651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5户农户</w:t>
                  </w:r>
                </w:p>
              </w:tc>
              <w:tc>
                <w:tcPr>
                  <w:tcW w:w="552" w:type="pct"/>
                  <w:vAlign w:val="center"/>
                </w:tcPr>
                <w:p w14:paraId="1928CD1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北侧</w:t>
                  </w:r>
                </w:p>
              </w:tc>
              <w:tc>
                <w:tcPr>
                  <w:tcW w:w="582" w:type="pct"/>
                  <w:vAlign w:val="center"/>
                </w:tcPr>
                <w:p w14:paraId="6514071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126-500</w:t>
                  </w:r>
                </w:p>
              </w:tc>
              <w:tc>
                <w:tcPr>
                  <w:tcW w:w="735" w:type="pct"/>
                  <w:vMerge w:val="restart"/>
                  <w:vAlign w:val="center"/>
                </w:tcPr>
                <w:p w14:paraId="6E2D4A0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《环境空气质量标准》（GB3095-2012）中二级标准</w:t>
                  </w:r>
                </w:p>
              </w:tc>
            </w:tr>
            <w:tr w14:paraId="477600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4EA5650B">
                  <w:pPr>
                    <w:jc w:val="center"/>
                    <w:rPr>
                      <w:rFonts w:hint="default" w:ascii="Times New Roman" w:hAnsi="Times New Roman" w:eastAsia="宋体" w:cs="Times New Roman"/>
                      <w:color w:val="auto"/>
                    </w:rPr>
                  </w:pPr>
                </w:p>
              </w:tc>
              <w:tc>
                <w:tcPr>
                  <w:tcW w:w="558" w:type="pct"/>
                  <w:vMerge w:val="continue"/>
                  <w:vAlign w:val="center"/>
                </w:tcPr>
                <w:p w14:paraId="3D9B06D6">
                  <w:pPr>
                    <w:jc w:val="center"/>
                    <w:rPr>
                      <w:rFonts w:hint="default" w:ascii="Times New Roman" w:hAnsi="Times New Roman" w:eastAsia="宋体" w:cs="Times New Roman"/>
                      <w:color w:val="auto"/>
                    </w:rPr>
                  </w:pPr>
                </w:p>
              </w:tc>
              <w:tc>
                <w:tcPr>
                  <w:tcW w:w="491" w:type="pct"/>
                  <w:vMerge w:val="continue"/>
                  <w:vAlign w:val="center"/>
                </w:tcPr>
                <w:p w14:paraId="47990205">
                  <w:pPr>
                    <w:jc w:val="center"/>
                    <w:rPr>
                      <w:rFonts w:hint="default" w:ascii="Times New Roman" w:hAnsi="Times New Roman" w:eastAsia="宋体" w:cs="Times New Roman"/>
                      <w:color w:val="auto"/>
                    </w:rPr>
                  </w:pPr>
                </w:p>
              </w:tc>
              <w:tc>
                <w:tcPr>
                  <w:tcW w:w="474" w:type="pct"/>
                  <w:vMerge w:val="continue"/>
                  <w:vAlign w:val="center"/>
                </w:tcPr>
                <w:p w14:paraId="60BFC254">
                  <w:pPr>
                    <w:jc w:val="center"/>
                    <w:rPr>
                      <w:rFonts w:hint="default" w:ascii="Times New Roman" w:hAnsi="Times New Roman" w:eastAsia="宋体" w:cs="Times New Roman"/>
                      <w:color w:val="auto"/>
                    </w:rPr>
                  </w:pPr>
                </w:p>
              </w:tc>
              <w:tc>
                <w:tcPr>
                  <w:tcW w:w="470" w:type="pct"/>
                  <w:vAlign w:val="center"/>
                </w:tcPr>
                <w:p w14:paraId="0EF61DA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3590E43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4户农户</w:t>
                  </w:r>
                </w:p>
              </w:tc>
              <w:tc>
                <w:tcPr>
                  <w:tcW w:w="552" w:type="pct"/>
                  <w:vAlign w:val="center"/>
                </w:tcPr>
                <w:p w14:paraId="7F5F82C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南侧</w:t>
                  </w:r>
                </w:p>
              </w:tc>
              <w:tc>
                <w:tcPr>
                  <w:tcW w:w="582" w:type="pct"/>
                  <w:vAlign w:val="center"/>
                </w:tcPr>
                <w:p w14:paraId="0F079FA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135-500</w:t>
                  </w:r>
                </w:p>
              </w:tc>
              <w:tc>
                <w:tcPr>
                  <w:tcW w:w="735" w:type="pct"/>
                  <w:vMerge w:val="continue"/>
                  <w:vAlign w:val="center"/>
                </w:tcPr>
                <w:p w14:paraId="4F031367">
                  <w:pPr>
                    <w:jc w:val="center"/>
                    <w:rPr>
                      <w:rFonts w:hint="default" w:ascii="Times New Roman" w:hAnsi="Times New Roman" w:eastAsia="宋体" w:cs="Times New Roman"/>
                      <w:color w:val="auto"/>
                    </w:rPr>
                  </w:pPr>
                </w:p>
              </w:tc>
            </w:tr>
            <w:tr w14:paraId="1B06AD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67DBCC42">
                  <w:pPr>
                    <w:jc w:val="center"/>
                    <w:rPr>
                      <w:rFonts w:hint="default" w:ascii="Times New Roman" w:hAnsi="Times New Roman" w:eastAsia="宋体" w:cs="Times New Roman"/>
                      <w:color w:val="auto"/>
                    </w:rPr>
                  </w:pPr>
                </w:p>
              </w:tc>
              <w:tc>
                <w:tcPr>
                  <w:tcW w:w="558" w:type="pct"/>
                  <w:vAlign w:val="center"/>
                </w:tcPr>
                <w:p w14:paraId="4B84143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104.842342</w:t>
                  </w:r>
                </w:p>
              </w:tc>
              <w:tc>
                <w:tcPr>
                  <w:tcW w:w="491" w:type="pct"/>
                  <w:vAlign w:val="center"/>
                </w:tcPr>
                <w:p w14:paraId="07FB9A1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30.238644</w:t>
                  </w:r>
                </w:p>
              </w:tc>
              <w:tc>
                <w:tcPr>
                  <w:tcW w:w="474" w:type="pct"/>
                  <w:vAlign w:val="center"/>
                </w:tcPr>
                <w:p w14:paraId="28556E5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w:t>
                  </w:r>
                </w:p>
              </w:tc>
              <w:tc>
                <w:tcPr>
                  <w:tcW w:w="470" w:type="pct"/>
                  <w:vAlign w:val="center"/>
                </w:tcPr>
                <w:p w14:paraId="64DD637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3848AA3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11户农户</w:t>
                  </w:r>
                </w:p>
              </w:tc>
              <w:tc>
                <w:tcPr>
                  <w:tcW w:w="552" w:type="pct"/>
                  <w:vAlign w:val="center"/>
                </w:tcPr>
                <w:p w14:paraId="4111E51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76ACDF8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146-500</w:t>
                  </w:r>
                </w:p>
              </w:tc>
              <w:tc>
                <w:tcPr>
                  <w:tcW w:w="735" w:type="pct"/>
                  <w:vMerge w:val="continue"/>
                  <w:vAlign w:val="center"/>
                </w:tcPr>
                <w:p w14:paraId="0E37BF2A">
                  <w:pPr>
                    <w:jc w:val="center"/>
                    <w:rPr>
                      <w:rFonts w:hint="default" w:ascii="Times New Roman" w:hAnsi="Times New Roman" w:eastAsia="宋体" w:cs="Times New Roman"/>
                      <w:color w:val="auto"/>
                    </w:rPr>
                  </w:pPr>
                </w:p>
              </w:tc>
            </w:tr>
            <w:tr w14:paraId="563324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0AC1266E">
                  <w:pPr>
                    <w:jc w:val="center"/>
                    <w:rPr>
                      <w:rFonts w:hint="default" w:ascii="Times New Roman" w:hAnsi="Times New Roman" w:eastAsia="宋体" w:cs="Times New Roman"/>
                      <w:color w:val="auto"/>
                    </w:rPr>
                  </w:pPr>
                </w:p>
              </w:tc>
              <w:tc>
                <w:tcPr>
                  <w:tcW w:w="558" w:type="pct"/>
                  <w:vAlign w:val="center"/>
                </w:tcPr>
                <w:p w14:paraId="5E349CE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104.846162</w:t>
                  </w:r>
                </w:p>
              </w:tc>
              <w:tc>
                <w:tcPr>
                  <w:tcW w:w="491" w:type="pct"/>
                  <w:vAlign w:val="center"/>
                </w:tcPr>
                <w:p w14:paraId="4EF5ED9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30.2386020</w:t>
                  </w:r>
                </w:p>
              </w:tc>
              <w:tc>
                <w:tcPr>
                  <w:tcW w:w="474" w:type="pct"/>
                  <w:vAlign w:val="center"/>
                </w:tcPr>
                <w:p w14:paraId="3E66911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w:t>
                  </w:r>
                </w:p>
              </w:tc>
              <w:tc>
                <w:tcPr>
                  <w:tcW w:w="470" w:type="pct"/>
                  <w:vAlign w:val="center"/>
                </w:tcPr>
                <w:p w14:paraId="1C0FE12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1E60470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15户农户</w:t>
                  </w:r>
                </w:p>
              </w:tc>
              <w:tc>
                <w:tcPr>
                  <w:tcW w:w="552" w:type="pct"/>
                  <w:vAlign w:val="center"/>
                </w:tcPr>
                <w:p w14:paraId="57516C2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2068D9E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141-500</w:t>
                  </w:r>
                </w:p>
              </w:tc>
              <w:tc>
                <w:tcPr>
                  <w:tcW w:w="735" w:type="pct"/>
                  <w:vMerge w:val="continue"/>
                  <w:vAlign w:val="center"/>
                </w:tcPr>
                <w:p w14:paraId="7A8517DC">
                  <w:pPr>
                    <w:jc w:val="center"/>
                    <w:rPr>
                      <w:rFonts w:hint="default" w:ascii="Times New Roman" w:hAnsi="Times New Roman" w:eastAsia="宋体" w:cs="Times New Roman"/>
                      <w:color w:val="auto"/>
                    </w:rPr>
                  </w:pPr>
                </w:p>
              </w:tc>
            </w:tr>
            <w:tr w14:paraId="47AF1F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11D0CF39">
                  <w:pPr>
                    <w:jc w:val="center"/>
                    <w:rPr>
                      <w:rFonts w:hint="default" w:ascii="Times New Roman" w:hAnsi="Times New Roman" w:eastAsia="宋体" w:cs="Times New Roman"/>
                      <w:color w:val="auto"/>
                    </w:rPr>
                  </w:pPr>
                </w:p>
              </w:tc>
              <w:tc>
                <w:tcPr>
                  <w:tcW w:w="558" w:type="pct"/>
                  <w:vAlign w:val="center"/>
                </w:tcPr>
                <w:p w14:paraId="719DB85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104.841076</w:t>
                  </w:r>
                </w:p>
              </w:tc>
              <w:tc>
                <w:tcPr>
                  <w:tcW w:w="491" w:type="pct"/>
                  <w:vAlign w:val="center"/>
                </w:tcPr>
                <w:p w14:paraId="4669FB9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30.235276</w:t>
                  </w:r>
                </w:p>
              </w:tc>
              <w:tc>
                <w:tcPr>
                  <w:tcW w:w="474" w:type="pct"/>
                  <w:vAlign w:val="center"/>
                </w:tcPr>
                <w:p w14:paraId="6068149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4#</w:t>
                  </w:r>
                </w:p>
              </w:tc>
              <w:tc>
                <w:tcPr>
                  <w:tcW w:w="470" w:type="pct"/>
                  <w:vAlign w:val="center"/>
                </w:tcPr>
                <w:p w14:paraId="651BBA9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2B9F631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15户农户</w:t>
                  </w:r>
                </w:p>
              </w:tc>
              <w:tc>
                <w:tcPr>
                  <w:tcW w:w="552" w:type="pct"/>
                  <w:vAlign w:val="center"/>
                </w:tcPr>
                <w:p w14:paraId="4EE8054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南侧</w:t>
                  </w:r>
                </w:p>
              </w:tc>
              <w:tc>
                <w:tcPr>
                  <w:tcW w:w="582" w:type="pct"/>
                  <w:vAlign w:val="center"/>
                </w:tcPr>
                <w:p w14:paraId="683805A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136-500</w:t>
                  </w:r>
                </w:p>
              </w:tc>
              <w:tc>
                <w:tcPr>
                  <w:tcW w:w="735" w:type="pct"/>
                  <w:vMerge w:val="continue"/>
                  <w:vAlign w:val="center"/>
                </w:tcPr>
                <w:p w14:paraId="0245BC86">
                  <w:pPr>
                    <w:jc w:val="center"/>
                    <w:rPr>
                      <w:rFonts w:hint="default" w:ascii="Times New Roman" w:hAnsi="Times New Roman" w:eastAsia="宋体" w:cs="Times New Roman"/>
                      <w:color w:val="auto"/>
                    </w:rPr>
                  </w:pPr>
                </w:p>
              </w:tc>
            </w:tr>
            <w:tr w14:paraId="024EE8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6E51DB96">
                  <w:pPr>
                    <w:jc w:val="center"/>
                    <w:rPr>
                      <w:rFonts w:hint="default" w:ascii="Times New Roman" w:hAnsi="Times New Roman" w:eastAsia="宋体" w:cs="Times New Roman"/>
                      <w:color w:val="auto"/>
                    </w:rPr>
                  </w:pPr>
                </w:p>
              </w:tc>
              <w:tc>
                <w:tcPr>
                  <w:tcW w:w="558" w:type="pct"/>
                  <w:vAlign w:val="center"/>
                </w:tcPr>
                <w:p w14:paraId="2EFF17E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104.853329</w:t>
                  </w:r>
                </w:p>
              </w:tc>
              <w:tc>
                <w:tcPr>
                  <w:tcW w:w="491" w:type="pct"/>
                  <w:vAlign w:val="center"/>
                </w:tcPr>
                <w:p w14:paraId="57070DF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30.240168</w:t>
                  </w:r>
                </w:p>
              </w:tc>
              <w:tc>
                <w:tcPr>
                  <w:tcW w:w="474" w:type="pct"/>
                  <w:vAlign w:val="center"/>
                </w:tcPr>
                <w:p w14:paraId="41ED4BE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5#</w:t>
                  </w:r>
                </w:p>
              </w:tc>
              <w:tc>
                <w:tcPr>
                  <w:tcW w:w="470" w:type="pct"/>
                  <w:vAlign w:val="center"/>
                </w:tcPr>
                <w:p w14:paraId="26F7E8D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1B00941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9户农户</w:t>
                  </w:r>
                </w:p>
              </w:tc>
              <w:tc>
                <w:tcPr>
                  <w:tcW w:w="552" w:type="pct"/>
                  <w:vAlign w:val="center"/>
                </w:tcPr>
                <w:p w14:paraId="6FAA52B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南侧</w:t>
                  </w:r>
                </w:p>
              </w:tc>
              <w:tc>
                <w:tcPr>
                  <w:tcW w:w="582" w:type="pct"/>
                  <w:vAlign w:val="center"/>
                </w:tcPr>
                <w:p w14:paraId="633A30B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148-500</w:t>
                  </w:r>
                </w:p>
              </w:tc>
              <w:tc>
                <w:tcPr>
                  <w:tcW w:w="735" w:type="pct"/>
                  <w:vMerge w:val="continue"/>
                  <w:vAlign w:val="center"/>
                </w:tcPr>
                <w:p w14:paraId="23914B9A">
                  <w:pPr>
                    <w:jc w:val="center"/>
                    <w:rPr>
                      <w:rFonts w:hint="default" w:ascii="Times New Roman" w:hAnsi="Times New Roman" w:eastAsia="宋体" w:cs="Times New Roman"/>
                      <w:color w:val="auto"/>
                    </w:rPr>
                  </w:pPr>
                </w:p>
              </w:tc>
            </w:tr>
            <w:tr w14:paraId="63D41E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67C42E62">
                  <w:pPr>
                    <w:jc w:val="center"/>
                    <w:rPr>
                      <w:rFonts w:hint="default" w:ascii="Times New Roman" w:hAnsi="Times New Roman" w:eastAsia="宋体" w:cs="Times New Roman"/>
                      <w:color w:val="auto"/>
                    </w:rPr>
                  </w:pPr>
                </w:p>
              </w:tc>
              <w:tc>
                <w:tcPr>
                  <w:tcW w:w="558" w:type="pct"/>
                  <w:vMerge w:val="restart"/>
                  <w:vAlign w:val="center"/>
                </w:tcPr>
                <w:p w14:paraId="7AE0983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104.855968</w:t>
                  </w:r>
                </w:p>
              </w:tc>
              <w:tc>
                <w:tcPr>
                  <w:tcW w:w="491" w:type="pct"/>
                  <w:vMerge w:val="restart"/>
                  <w:vAlign w:val="center"/>
                </w:tcPr>
                <w:p w14:paraId="0F28AEF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30.240855</w:t>
                  </w:r>
                </w:p>
              </w:tc>
              <w:tc>
                <w:tcPr>
                  <w:tcW w:w="474" w:type="pct"/>
                  <w:vMerge w:val="restart"/>
                  <w:vAlign w:val="center"/>
                </w:tcPr>
                <w:p w14:paraId="03BDD2C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6#</w:t>
                  </w:r>
                </w:p>
              </w:tc>
              <w:tc>
                <w:tcPr>
                  <w:tcW w:w="470" w:type="pct"/>
                  <w:vAlign w:val="center"/>
                </w:tcPr>
                <w:p w14:paraId="60A58D8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3552243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9户农户</w:t>
                  </w:r>
                </w:p>
              </w:tc>
              <w:tc>
                <w:tcPr>
                  <w:tcW w:w="552" w:type="pct"/>
                  <w:vAlign w:val="center"/>
                </w:tcPr>
                <w:p w14:paraId="2576379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北侧</w:t>
                  </w:r>
                </w:p>
              </w:tc>
              <w:tc>
                <w:tcPr>
                  <w:tcW w:w="582" w:type="pct"/>
                  <w:vAlign w:val="center"/>
                </w:tcPr>
                <w:p w14:paraId="7EDC369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147-500</w:t>
                  </w:r>
                </w:p>
              </w:tc>
              <w:tc>
                <w:tcPr>
                  <w:tcW w:w="735" w:type="pct"/>
                  <w:vMerge w:val="continue"/>
                  <w:vAlign w:val="center"/>
                </w:tcPr>
                <w:p w14:paraId="14B021E0">
                  <w:pPr>
                    <w:jc w:val="center"/>
                    <w:rPr>
                      <w:rFonts w:hint="default" w:ascii="Times New Roman" w:hAnsi="Times New Roman" w:eastAsia="宋体" w:cs="Times New Roman"/>
                      <w:color w:val="auto"/>
                    </w:rPr>
                  </w:pPr>
                </w:p>
              </w:tc>
            </w:tr>
            <w:tr w14:paraId="5078C0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256" w:type="pct"/>
                  <w:vMerge w:val="continue"/>
                  <w:vAlign w:val="center"/>
                </w:tcPr>
                <w:p w14:paraId="25F65AE3">
                  <w:pPr>
                    <w:jc w:val="center"/>
                    <w:rPr>
                      <w:rFonts w:hint="default" w:ascii="Times New Roman" w:hAnsi="Times New Roman" w:eastAsia="宋体" w:cs="Times New Roman"/>
                      <w:color w:val="auto"/>
                    </w:rPr>
                  </w:pPr>
                </w:p>
              </w:tc>
              <w:tc>
                <w:tcPr>
                  <w:tcW w:w="558" w:type="pct"/>
                  <w:vMerge w:val="continue"/>
                  <w:vAlign w:val="center"/>
                </w:tcPr>
                <w:p w14:paraId="1CA9658C">
                  <w:pPr>
                    <w:jc w:val="center"/>
                    <w:rPr>
                      <w:rFonts w:hint="default" w:ascii="Times New Roman" w:hAnsi="Times New Roman" w:eastAsia="宋体" w:cs="Times New Roman"/>
                      <w:color w:val="auto"/>
                    </w:rPr>
                  </w:pPr>
                </w:p>
              </w:tc>
              <w:tc>
                <w:tcPr>
                  <w:tcW w:w="491" w:type="pct"/>
                  <w:vMerge w:val="continue"/>
                  <w:vAlign w:val="center"/>
                </w:tcPr>
                <w:p w14:paraId="2856BD2B">
                  <w:pPr>
                    <w:jc w:val="center"/>
                    <w:rPr>
                      <w:rFonts w:hint="default" w:ascii="Times New Roman" w:hAnsi="Times New Roman" w:eastAsia="宋体" w:cs="Times New Roman"/>
                      <w:color w:val="auto"/>
                    </w:rPr>
                  </w:pPr>
                </w:p>
              </w:tc>
              <w:tc>
                <w:tcPr>
                  <w:tcW w:w="474" w:type="pct"/>
                  <w:vMerge w:val="continue"/>
                  <w:vAlign w:val="center"/>
                </w:tcPr>
                <w:p w14:paraId="616C175A">
                  <w:pPr>
                    <w:jc w:val="center"/>
                    <w:rPr>
                      <w:rFonts w:hint="default" w:ascii="Times New Roman" w:hAnsi="Times New Roman" w:eastAsia="宋体" w:cs="Times New Roman"/>
                      <w:color w:val="auto"/>
                    </w:rPr>
                  </w:pPr>
                </w:p>
              </w:tc>
              <w:tc>
                <w:tcPr>
                  <w:tcW w:w="470" w:type="pct"/>
                  <w:vAlign w:val="center"/>
                </w:tcPr>
                <w:p w14:paraId="0FFDE3C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019F468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8户农户</w:t>
                  </w:r>
                </w:p>
              </w:tc>
              <w:tc>
                <w:tcPr>
                  <w:tcW w:w="552" w:type="pct"/>
                  <w:vAlign w:val="center"/>
                </w:tcPr>
                <w:p w14:paraId="4D648C5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南侧</w:t>
                  </w:r>
                </w:p>
              </w:tc>
              <w:tc>
                <w:tcPr>
                  <w:tcW w:w="582" w:type="pct"/>
                  <w:vAlign w:val="center"/>
                </w:tcPr>
                <w:p w14:paraId="029B80E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152-500</w:t>
                  </w:r>
                </w:p>
              </w:tc>
              <w:tc>
                <w:tcPr>
                  <w:tcW w:w="735" w:type="pct"/>
                  <w:vMerge w:val="continue"/>
                  <w:vAlign w:val="center"/>
                </w:tcPr>
                <w:p w14:paraId="708FE738">
                  <w:pPr>
                    <w:jc w:val="center"/>
                    <w:rPr>
                      <w:rFonts w:hint="default" w:ascii="Times New Roman" w:hAnsi="Times New Roman" w:eastAsia="宋体" w:cs="Times New Roman"/>
                      <w:color w:val="auto"/>
                    </w:rPr>
                  </w:pPr>
                </w:p>
              </w:tc>
            </w:tr>
            <w:tr w14:paraId="6F089A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24951633">
                  <w:pPr>
                    <w:jc w:val="center"/>
                    <w:rPr>
                      <w:rFonts w:hint="default" w:ascii="Times New Roman" w:hAnsi="Times New Roman" w:eastAsia="宋体" w:cs="Times New Roman"/>
                      <w:color w:val="auto"/>
                    </w:rPr>
                  </w:pPr>
                </w:p>
              </w:tc>
              <w:tc>
                <w:tcPr>
                  <w:tcW w:w="558" w:type="pct"/>
                  <w:vMerge w:val="restart"/>
                  <w:vAlign w:val="center"/>
                </w:tcPr>
                <w:p w14:paraId="23EB304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104.854638</w:t>
                  </w:r>
                </w:p>
              </w:tc>
              <w:tc>
                <w:tcPr>
                  <w:tcW w:w="491" w:type="pct"/>
                  <w:vMerge w:val="restart"/>
                  <w:vAlign w:val="center"/>
                </w:tcPr>
                <w:p w14:paraId="30EDDF0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30.239846</w:t>
                  </w:r>
                </w:p>
              </w:tc>
              <w:tc>
                <w:tcPr>
                  <w:tcW w:w="474" w:type="pct"/>
                  <w:vMerge w:val="restart"/>
                  <w:vAlign w:val="center"/>
                </w:tcPr>
                <w:p w14:paraId="6A536C0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7#</w:t>
                  </w:r>
                </w:p>
              </w:tc>
              <w:tc>
                <w:tcPr>
                  <w:tcW w:w="470" w:type="pct"/>
                  <w:vAlign w:val="center"/>
                </w:tcPr>
                <w:p w14:paraId="68B2132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7EA3B24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5户农户</w:t>
                  </w:r>
                </w:p>
              </w:tc>
              <w:tc>
                <w:tcPr>
                  <w:tcW w:w="552" w:type="pct"/>
                  <w:vAlign w:val="center"/>
                </w:tcPr>
                <w:p w14:paraId="00101F4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东北侧</w:t>
                  </w:r>
                </w:p>
              </w:tc>
              <w:tc>
                <w:tcPr>
                  <w:tcW w:w="582" w:type="pct"/>
                  <w:vAlign w:val="center"/>
                </w:tcPr>
                <w:p w14:paraId="0E2D47E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131-500</w:t>
                  </w:r>
                </w:p>
              </w:tc>
              <w:tc>
                <w:tcPr>
                  <w:tcW w:w="735" w:type="pct"/>
                  <w:vMerge w:val="continue"/>
                  <w:vAlign w:val="center"/>
                </w:tcPr>
                <w:p w14:paraId="576FAC3F">
                  <w:pPr>
                    <w:jc w:val="center"/>
                    <w:rPr>
                      <w:rFonts w:hint="default" w:ascii="Times New Roman" w:hAnsi="Times New Roman" w:eastAsia="宋体" w:cs="Times New Roman"/>
                      <w:color w:val="auto"/>
                    </w:rPr>
                  </w:pPr>
                </w:p>
              </w:tc>
            </w:tr>
            <w:tr w14:paraId="2B6A6A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1A145087">
                  <w:pPr>
                    <w:jc w:val="center"/>
                    <w:rPr>
                      <w:rFonts w:hint="default" w:ascii="Times New Roman" w:hAnsi="Times New Roman" w:eastAsia="宋体" w:cs="Times New Roman"/>
                      <w:color w:val="auto"/>
                    </w:rPr>
                  </w:pPr>
                </w:p>
              </w:tc>
              <w:tc>
                <w:tcPr>
                  <w:tcW w:w="558" w:type="pct"/>
                  <w:vMerge w:val="continue"/>
                  <w:vAlign w:val="center"/>
                </w:tcPr>
                <w:p w14:paraId="6D515AC3">
                  <w:pPr>
                    <w:jc w:val="center"/>
                    <w:rPr>
                      <w:rFonts w:hint="default" w:ascii="Times New Roman" w:hAnsi="Times New Roman" w:eastAsia="宋体" w:cs="Times New Roman"/>
                      <w:color w:val="auto"/>
                    </w:rPr>
                  </w:pPr>
                </w:p>
              </w:tc>
              <w:tc>
                <w:tcPr>
                  <w:tcW w:w="491" w:type="pct"/>
                  <w:vMerge w:val="continue"/>
                  <w:vAlign w:val="center"/>
                </w:tcPr>
                <w:p w14:paraId="06CFF27A">
                  <w:pPr>
                    <w:jc w:val="center"/>
                    <w:rPr>
                      <w:rFonts w:hint="default" w:ascii="Times New Roman" w:hAnsi="Times New Roman" w:eastAsia="宋体" w:cs="Times New Roman"/>
                      <w:color w:val="auto"/>
                    </w:rPr>
                  </w:pPr>
                </w:p>
              </w:tc>
              <w:tc>
                <w:tcPr>
                  <w:tcW w:w="474" w:type="pct"/>
                  <w:vMerge w:val="continue"/>
                  <w:vAlign w:val="center"/>
                </w:tcPr>
                <w:p w14:paraId="5B0AC184">
                  <w:pPr>
                    <w:jc w:val="center"/>
                    <w:rPr>
                      <w:rFonts w:hint="default" w:ascii="Times New Roman" w:hAnsi="Times New Roman" w:eastAsia="宋体" w:cs="Times New Roman"/>
                      <w:color w:val="auto"/>
                    </w:rPr>
                  </w:pPr>
                </w:p>
              </w:tc>
              <w:tc>
                <w:tcPr>
                  <w:tcW w:w="470" w:type="pct"/>
                  <w:vAlign w:val="center"/>
                </w:tcPr>
                <w:p w14:paraId="11AB75B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5191C61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3户农户</w:t>
                  </w:r>
                </w:p>
              </w:tc>
              <w:tc>
                <w:tcPr>
                  <w:tcW w:w="552" w:type="pct"/>
                  <w:vAlign w:val="center"/>
                </w:tcPr>
                <w:p w14:paraId="2024573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201C0C2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145-500</w:t>
                  </w:r>
                </w:p>
              </w:tc>
              <w:tc>
                <w:tcPr>
                  <w:tcW w:w="735" w:type="pct"/>
                  <w:vMerge w:val="continue"/>
                  <w:vAlign w:val="center"/>
                </w:tcPr>
                <w:p w14:paraId="36AA67D8">
                  <w:pPr>
                    <w:jc w:val="center"/>
                    <w:rPr>
                      <w:rFonts w:hint="default" w:ascii="Times New Roman" w:hAnsi="Times New Roman" w:eastAsia="宋体" w:cs="Times New Roman"/>
                      <w:color w:val="auto"/>
                    </w:rPr>
                  </w:pPr>
                </w:p>
              </w:tc>
            </w:tr>
            <w:tr w14:paraId="5386A4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09287197">
                  <w:pPr>
                    <w:jc w:val="center"/>
                    <w:rPr>
                      <w:rFonts w:hint="default" w:ascii="Times New Roman" w:hAnsi="Times New Roman" w:eastAsia="宋体" w:cs="Times New Roman"/>
                      <w:color w:val="auto"/>
                    </w:rPr>
                  </w:pPr>
                </w:p>
              </w:tc>
              <w:tc>
                <w:tcPr>
                  <w:tcW w:w="558" w:type="pct"/>
                  <w:vMerge w:val="continue"/>
                  <w:vAlign w:val="center"/>
                </w:tcPr>
                <w:p w14:paraId="4A592936">
                  <w:pPr>
                    <w:jc w:val="center"/>
                    <w:rPr>
                      <w:rFonts w:hint="default" w:ascii="Times New Roman" w:hAnsi="Times New Roman" w:eastAsia="宋体" w:cs="Times New Roman"/>
                      <w:color w:val="auto"/>
                    </w:rPr>
                  </w:pPr>
                </w:p>
              </w:tc>
              <w:tc>
                <w:tcPr>
                  <w:tcW w:w="491" w:type="pct"/>
                  <w:vMerge w:val="continue"/>
                  <w:vAlign w:val="center"/>
                </w:tcPr>
                <w:p w14:paraId="4D671A5C">
                  <w:pPr>
                    <w:jc w:val="center"/>
                    <w:rPr>
                      <w:rFonts w:hint="default" w:ascii="Times New Roman" w:hAnsi="Times New Roman" w:eastAsia="宋体" w:cs="Times New Roman"/>
                      <w:color w:val="auto"/>
                    </w:rPr>
                  </w:pPr>
                </w:p>
              </w:tc>
              <w:tc>
                <w:tcPr>
                  <w:tcW w:w="474" w:type="pct"/>
                  <w:vMerge w:val="continue"/>
                  <w:vAlign w:val="center"/>
                </w:tcPr>
                <w:p w14:paraId="134FD27F">
                  <w:pPr>
                    <w:jc w:val="center"/>
                    <w:rPr>
                      <w:rFonts w:hint="default" w:ascii="Times New Roman" w:hAnsi="Times New Roman" w:eastAsia="宋体" w:cs="Times New Roman"/>
                      <w:color w:val="auto"/>
                    </w:rPr>
                  </w:pPr>
                </w:p>
              </w:tc>
              <w:tc>
                <w:tcPr>
                  <w:tcW w:w="470" w:type="pct"/>
                  <w:vAlign w:val="center"/>
                </w:tcPr>
                <w:p w14:paraId="4A4F18C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5D7D9F1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12户农户</w:t>
                  </w:r>
                </w:p>
              </w:tc>
              <w:tc>
                <w:tcPr>
                  <w:tcW w:w="552" w:type="pct"/>
                  <w:vAlign w:val="center"/>
                </w:tcPr>
                <w:p w14:paraId="3AA5AF6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东南侧</w:t>
                  </w:r>
                </w:p>
              </w:tc>
              <w:tc>
                <w:tcPr>
                  <w:tcW w:w="582" w:type="pct"/>
                  <w:vAlign w:val="center"/>
                </w:tcPr>
                <w:p w14:paraId="7C3152A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157-500</w:t>
                  </w:r>
                </w:p>
              </w:tc>
              <w:tc>
                <w:tcPr>
                  <w:tcW w:w="735" w:type="pct"/>
                  <w:vMerge w:val="continue"/>
                  <w:vAlign w:val="center"/>
                </w:tcPr>
                <w:p w14:paraId="49D19B3A">
                  <w:pPr>
                    <w:jc w:val="center"/>
                    <w:rPr>
                      <w:rFonts w:hint="default" w:ascii="Times New Roman" w:hAnsi="Times New Roman" w:eastAsia="宋体" w:cs="Times New Roman"/>
                      <w:color w:val="auto"/>
                    </w:rPr>
                  </w:pPr>
                </w:p>
              </w:tc>
            </w:tr>
            <w:tr w14:paraId="617244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0436D796">
                  <w:pPr>
                    <w:jc w:val="center"/>
                    <w:rPr>
                      <w:rFonts w:hint="default" w:ascii="Times New Roman" w:hAnsi="Times New Roman" w:eastAsia="宋体" w:cs="Times New Roman"/>
                      <w:color w:val="auto"/>
                    </w:rPr>
                  </w:pPr>
                </w:p>
              </w:tc>
              <w:tc>
                <w:tcPr>
                  <w:tcW w:w="558" w:type="pct"/>
                  <w:vMerge w:val="continue"/>
                  <w:vAlign w:val="center"/>
                </w:tcPr>
                <w:p w14:paraId="4BD690BE">
                  <w:pPr>
                    <w:jc w:val="center"/>
                    <w:rPr>
                      <w:rFonts w:hint="default" w:ascii="Times New Roman" w:hAnsi="Times New Roman" w:eastAsia="宋体" w:cs="Times New Roman"/>
                      <w:color w:val="auto"/>
                    </w:rPr>
                  </w:pPr>
                </w:p>
              </w:tc>
              <w:tc>
                <w:tcPr>
                  <w:tcW w:w="491" w:type="pct"/>
                  <w:vMerge w:val="continue"/>
                  <w:vAlign w:val="center"/>
                </w:tcPr>
                <w:p w14:paraId="68DEA2CF">
                  <w:pPr>
                    <w:jc w:val="center"/>
                    <w:rPr>
                      <w:rFonts w:hint="default" w:ascii="Times New Roman" w:hAnsi="Times New Roman" w:eastAsia="宋体" w:cs="Times New Roman"/>
                      <w:color w:val="auto"/>
                    </w:rPr>
                  </w:pPr>
                </w:p>
              </w:tc>
              <w:tc>
                <w:tcPr>
                  <w:tcW w:w="474" w:type="pct"/>
                  <w:vMerge w:val="continue"/>
                  <w:vAlign w:val="center"/>
                </w:tcPr>
                <w:p w14:paraId="0657F8FD">
                  <w:pPr>
                    <w:jc w:val="center"/>
                    <w:rPr>
                      <w:rFonts w:hint="default" w:ascii="Times New Roman" w:hAnsi="Times New Roman" w:eastAsia="宋体" w:cs="Times New Roman"/>
                      <w:color w:val="auto"/>
                    </w:rPr>
                  </w:pPr>
                </w:p>
              </w:tc>
              <w:tc>
                <w:tcPr>
                  <w:tcW w:w="470" w:type="pct"/>
                  <w:vAlign w:val="center"/>
                </w:tcPr>
                <w:p w14:paraId="3E04945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5885738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10户农户</w:t>
                  </w:r>
                </w:p>
              </w:tc>
              <w:tc>
                <w:tcPr>
                  <w:tcW w:w="552" w:type="pct"/>
                  <w:vAlign w:val="center"/>
                </w:tcPr>
                <w:p w14:paraId="615AEB6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西南侧</w:t>
                  </w:r>
                </w:p>
              </w:tc>
              <w:tc>
                <w:tcPr>
                  <w:tcW w:w="582" w:type="pct"/>
                  <w:vAlign w:val="center"/>
                </w:tcPr>
                <w:p w14:paraId="0120A7E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169-500</w:t>
                  </w:r>
                </w:p>
              </w:tc>
              <w:tc>
                <w:tcPr>
                  <w:tcW w:w="735" w:type="pct"/>
                  <w:vMerge w:val="continue"/>
                  <w:vAlign w:val="center"/>
                </w:tcPr>
                <w:p w14:paraId="749EAE85">
                  <w:pPr>
                    <w:jc w:val="center"/>
                    <w:rPr>
                      <w:rFonts w:hint="default" w:ascii="Times New Roman" w:hAnsi="Times New Roman" w:eastAsia="宋体" w:cs="Times New Roman"/>
                      <w:color w:val="auto"/>
                    </w:rPr>
                  </w:pPr>
                </w:p>
              </w:tc>
            </w:tr>
            <w:tr w14:paraId="2193BB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51703396">
                  <w:pPr>
                    <w:jc w:val="center"/>
                    <w:rPr>
                      <w:rFonts w:hint="default" w:ascii="Times New Roman" w:hAnsi="Times New Roman" w:eastAsia="宋体" w:cs="Times New Roman"/>
                      <w:color w:val="auto"/>
                    </w:rPr>
                  </w:pPr>
                </w:p>
              </w:tc>
              <w:tc>
                <w:tcPr>
                  <w:tcW w:w="558" w:type="pct"/>
                  <w:vMerge w:val="continue"/>
                  <w:vAlign w:val="center"/>
                </w:tcPr>
                <w:p w14:paraId="6A896198">
                  <w:pPr>
                    <w:jc w:val="center"/>
                    <w:rPr>
                      <w:rFonts w:hint="default" w:ascii="Times New Roman" w:hAnsi="Times New Roman" w:eastAsia="宋体" w:cs="Times New Roman"/>
                      <w:color w:val="auto"/>
                    </w:rPr>
                  </w:pPr>
                </w:p>
              </w:tc>
              <w:tc>
                <w:tcPr>
                  <w:tcW w:w="491" w:type="pct"/>
                  <w:vMerge w:val="continue"/>
                  <w:vAlign w:val="center"/>
                </w:tcPr>
                <w:p w14:paraId="244DC954">
                  <w:pPr>
                    <w:jc w:val="center"/>
                    <w:rPr>
                      <w:rFonts w:hint="default" w:ascii="Times New Roman" w:hAnsi="Times New Roman" w:eastAsia="宋体" w:cs="Times New Roman"/>
                      <w:color w:val="auto"/>
                    </w:rPr>
                  </w:pPr>
                </w:p>
              </w:tc>
              <w:tc>
                <w:tcPr>
                  <w:tcW w:w="474" w:type="pct"/>
                  <w:vMerge w:val="continue"/>
                  <w:vAlign w:val="center"/>
                </w:tcPr>
                <w:p w14:paraId="5F8BE150">
                  <w:pPr>
                    <w:jc w:val="center"/>
                    <w:rPr>
                      <w:rFonts w:hint="default" w:ascii="Times New Roman" w:hAnsi="Times New Roman" w:eastAsia="宋体" w:cs="Times New Roman"/>
                      <w:color w:val="auto"/>
                    </w:rPr>
                  </w:pPr>
                </w:p>
              </w:tc>
              <w:tc>
                <w:tcPr>
                  <w:tcW w:w="470" w:type="pct"/>
                  <w:vAlign w:val="center"/>
                </w:tcPr>
                <w:p w14:paraId="71946B2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3F8161B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22户农户</w:t>
                  </w:r>
                </w:p>
              </w:tc>
              <w:tc>
                <w:tcPr>
                  <w:tcW w:w="552" w:type="pct"/>
                  <w:vAlign w:val="center"/>
                </w:tcPr>
                <w:p w14:paraId="0278798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1252100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216-500</w:t>
                  </w:r>
                </w:p>
              </w:tc>
              <w:tc>
                <w:tcPr>
                  <w:tcW w:w="735" w:type="pct"/>
                  <w:vMerge w:val="continue"/>
                  <w:vAlign w:val="center"/>
                </w:tcPr>
                <w:p w14:paraId="550654D0">
                  <w:pPr>
                    <w:jc w:val="center"/>
                    <w:rPr>
                      <w:rFonts w:hint="default" w:ascii="Times New Roman" w:hAnsi="Times New Roman" w:eastAsia="宋体" w:cs="Times New Roman"/>
                      <w:color w:val="auto"/>
                    </w:rPr>
                  </w:pPr>
                </w:p>
              </w:tc>
            </w:tr>
            <w:tr w14:paraId="5D9D8B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389AF34C">
                  <w:pPr>
                    <w:jc w:val="center"/>
                    <w:rPr>
                      <w:rFonts w:hint="default" w:ascii="Times New Roman" w:hAnsi="Times New Roman" w:eastAsia="宋体" w:cs="Times New Roman"/>
                      <w:color w:val="auto"/>
                    </w:rPr>
                  </w:pPr>
                </w:p>
              </w:tc>
              <w:tc>
                <w:tcPr>
                  <w:tcW w:w="558" w:type="pct"/>
                  <w:vMerge w:val="restart"/>
                  <w:vAlign w:val="center"/>
                </w:tcPr>
                <w:p w14:paraId="68ADF58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104.856397</w:t>
                  </w:r>
                </w:p>
              </w:tc>
              <w:tc>
                <w:tcPr>
                  <w:tcW w:w="491" w:type="pct"/>
                  <w:vMerge w:val="restart"/>
                  <w:vAlign w:val="center"/>
                </w:tcPr>
                <w:p w14:paraId="7F5C9D6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30.241370</w:t>
                  </w:r>
                </w:p>
              </w:tc>
              <w:tc>
                <w:tcPr>
                  <w:tcW w:w="474" w:type="pct"/>
                  <w:vMerge w:val="restart"/>
                  <w:vAlign w:val="center"/>
                </w:tcPr>
                <w:p w14:paraId="3C8722B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8#</w:t>
                  </w:r>
                </w:p>
              </w:tc>
              <w:tc>
                <w:tcPr>
                  <w:tcW w:w="470" w:type="pct"/>
                  <w:vAlign w:val="center"/>
                </w:tcPr>
                <w:p w14:paraId="27896B0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7130C98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10户农户</w:t>
                  </w:r>
                </w:p>
              </w:tc>
              <w:tc>
                <w:tcPr>
                  <w:tcW w:w="552" w:type="pct"/>
                  <w:vAlign w:val="center"/>
                </w:tcPr>
                <w:p w14:paraId="01D5F72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06CFD7A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146-500</w:t>
                  </w:r>
                </w:p>
              </w:tc>
              <w:tc>
                <w:tcPr>
                  <w:tcW w:w="735" w:type="pct"/>
                  <w:vMerge w:val="continue"/>
                  <w:vAlign w:val="center"/>
                </w:tcPr>
                <w:p w14:paraId="1DCA795A">
                  <w:pPr>
                    <w:jc w:val="center"/>
                    <w:rPr>
                      <w:rFonts w:hint="default" w:ascii="Times New Roman" w:hAnsi="Times New Roman" w:eastAsia="宋体" w:cs="Times New Roman"/>
                      <w:color w:val="auto"/>
                    </w:rPr>
                  </w:pPr>
                </w:p>
              </w:tc>
            </w:tr>
            <w:tr w14:paraId="4D687E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3DDF4B34">
                  <w:pPr>
                    <w:jc w:val="center"/>
                    <w:rPr>
                      <w:rFonts w:hint="default" w:ascii="Times New Roman" w:hAnsi="Times New Roman" w:eastAsia="宋体" w:cs="Times New Roman"/>
                      <w:color w:val="auto"/>
                    </w:rPr>
                  </w:pPr>
                </w:p>
              </w:tc>
              <w:tc>
                <w:tcPr>
                  <w:tcW w:w="558" w:type="pct"/>
                  <w:vMerge w:val="continue"/>
                  <w:vAlign w:val="center"/>
                </w:tcPr>
                <w:p w14:paraId="0D77E80A">
                  <w:pPr>
                    <w:jc w:val="center"/>
                    <w:rPr>
                      <w:rFonts w:hint="default" w:ascii="Times New Roman" w:hAnsi="Times New Roman" w:eastAsia="宋体" w:cs="Times New Roman"/>
                      <w:color w:val="auto"/>
                    </w:rPr>
                  </w:pPr>
                </w:p>
              </w:tc>
              <w:tc>
                <w:tcPr>
                  <w:tcW w:w="491" w:type="pct"/>
                  <w:vMerge w:val="continue"/>
                  <w:vAlign w:val="center"/>
                </w:tcPr>
                <w:p w14:paraId="0B9B45CE">
                  <w:pPr>
                    <w:jc w:val="center"/>
                    <w:rPr>
                      <w:rFonts w:hint="default" w:ascii="Times New Roman" w:hAnsi="Times New Roman" w:eastAsia="宋体" w:cs="Times New Roman"/>
                      <w:color w:val="auto"/>
                    </w:rPr>
                  </w:pPr>
                </w:p>
              </w:tc>
              <w:tc>
                <w:tcPr>
                  <w:tcW w:w="474" w:type="pct"/>
                  <w:vMerge w:val="continue"/>
                  <w:vAlign w:val="center"/>
                </w:tcPr>
                <w:p w14:paraId="5F1EE461">
                  <w:pPr>
                    <w:jc w:val="center"/>
                    <w:rPr>
                      <w:rFonts w:hint="default" w:ascii="Times New Roman" w:hAnsi="Times New Roman" w:eastAsia="宋体" w:cs="Times New Roman"/>
                      <w:color w:val="auto"/>
                    </w:rPr>
                  </w:pPr>
                </w:p>
              </w:tc>
              <w:tc>
                <w:tcPr>
                  <w:tcW w:w="470" w:type="pct"/>
                  <w:vAlign w:val="center"/>
                </w:tcPr>
                <w:p w14:paraId="3C657E7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671C93D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5户农户</w:t>
                  </w:r>
                </w:p>
              </w:tc>
              <w:tc>
                <w:tcPr>
                  <w:tcW w:w="552" w:type="pct"/>
                  <w:vAlign w:val="center"/>
                </w:tcPr>
                <w:p w14:paraId="52E1F9C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69D6CFD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151-500</w:t>
                  </w:r>
                </w:p>
              </w:tc>
              <w:tc>
                <w:tcPr>
                  <w:tcW w:w="735" w:type="pct"/>
                  <w:vMerge w:val="continue"/>
                  <w:vAlign w:val="center"/>
                </w:tcPr>
                <w:p w14:paraId="0C55AA65">
                  <w:pPr>
                    <w:jc w:val="center"/>
                    <w:rPr>
                      <w:rFonts w:hint="default" w:ascii="Times New Roman" w:hAnsi="Times New Roman" w:eastAsia="宋体" w:cs="Times New Roman"/>
                      <w:color w:val="auto"/>
                    </w:rPr>
                  </w:pPr>
                </w:p>
              </w:tc>
            </w:tr>
            <w:tr w14:paraId="6D3010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5C344C5F">
                  <w:pPr>
                    <w:jc w:val="center"/>
                    <w:rPr>
                      <w:rFonts w:hint="default" w:ascii="Times New Roman" w:hAnsi="Times New Roman" w:eastAsia="宋体" w:cs="Times New Roman"/>
                      <w:color w:val="auto"/>
                    </w:rPr>
                  </w:pPr>
                </w:p>
              </w:tc>
              <w:tc>
                <w:tcPr>
                  <w:tcW w:w="558" w:type="pct"/>
                  <w:vAlign w:val="center"/>
                </w:tcPr>
                <w:p w14:paraId="4B699E6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104.841076</w:t>
                  </w:r>
                </w:p>
              </w:tc>
              <w:tc>
                <w:tcPr>
                  <w:tcW w:w="491" w:type="pct"/>
                  <w:vAlign w:val="center"/>
                </w:tcPr>
                <w:p w14:paraId="254F5C6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30.235276</w:t>
                  </w:r>
                </w:p>
              </w:tc>
              <w:tc>
                <w:tcPr>
                  <w:tcW w:w="474" w:type="pct"/>
                  <w:vAlign w:val="center"/>
                </w:tcPr>
                <w:p w14:paraId="28A2152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9#</w:t>
                  </w:r>
                </w:p>
              </w:tc>
              <w:tc>
                <w:tcPr>
                  <w:tcW w:w="470" w:type="pct"/>
                  <w:vAlign w:val="center"/>
                </w:tcPr>
                <w:p w14:paraId="19657A1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73ACCDE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28户农户</w:t>
                  </w:r>
                </w:p>
              </w:tc>
              <w:tc>
                <w:tcPr>
                  <w:tcW w:w="552" w:type="pct"/>
                  <w:vAlign w:val="center"/>
                </w:tcPr>
                <w:p w14:paraId="1282724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东南侧</w:t>
                  </w:r>
                </w:p>
              </w:tc>
              <w:tc>
                <w:tcPr>
                  <w:tcW w:w="582" w:type="pct"/>
                  <w:vAlign w:val="center"/>
                </w:tcPr>
                <w:p w14:paraId="0CA17A2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143-500</w:t>
                  </w:r>
                </w:p>
              </w:tc>
              <w:tc>
                <w:tcPr>
                  <w:tcW w:w="735" w:type="pct"/>
                  <w:vMerge w:val="continue"/>
                  <w:vAlign w:val="center"/>
                </w:tcPr>
                <w:p w14:paraId="31006108">
                  <w:pPr>
                    <w:jc w:val="center"/>
                    <w:rPr>
                      <w:rFonts w:hint="default" w:ascii="Times New Roman" w:hAnsi="Times New Roman" w:eastAsia="宋体" w:cs="Times New Roman"/>
                      <w:color w:val="auto"/>
                    </w:rPr>
                  </w:pPr>
                </w:p>
              </w:tc>
            </w:tr>
            <w:tr w14:paraId="568A06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369C2D1A">
                  <w:pPr>
                    <w:jc w:val="center"/>
                    <w:rPr>
                      <w:rFonts w:hint="default" w:ascii="Times New Roman" w:hAnsi="Times New Roman" w:eastAsia="宋体" w:cs="Times New Roman"/>
                      <w:color w:val="auto"/>
                    </w:rPr>
                  </w:pPr>
                </w:p>
              </w:tc>
              <w:tc>
                <w:tcPr>
                  <w:tcW w:w="558" w:type="pct"/>
                  <w:vMerge w:val="restart"/>
                  <w:vAlign w:val="center"/>
                </w:tcPr>
                <w:p w14:paraId="3FD5D67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104.853329</w:t>
                  </w:r>
                </w:p>
              </w:tc>
              <w:tc>
                <w:tcPr>
                  <w:tcW w:w="491" w:type="pct"/>
                  <w:vMerge w:val="restart"/>
                  <w:vAlign w:val="center"/>
                </w:tcPr>
                <w:p w14:paraId="641F934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30.2401684</w:t>
                  </w:r>
                </w:p>
              </w:tc>
              <w:tc>
                <w:tcPr>
                  <w:tcW w:w="474" w:type="pct"/>
                  <w:vMerge w:val="restart"/>
                  <w:vAlign w:val="center"/>
                </w:tcPr>
                <w:p w14:paraId="3067DCE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w:t>
                  </w:r>
                </w:p>
              </w:tc>
              <w:tc>
                <w:tcPr>
                  <w:tcW w:w="470" w:type="pct"/>
                  <w:vAlign w:val="center"/>
                </w:tcPr>
                <w:p w14:paraId="3159D03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30D8503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5户农户</w:t>
                  </w:r>
                </w:p>
              </w:tc>
              <w:tc>
                <w:tcPr>
                  <w:tcW w:w="552" w:type="pct"/>
                  <w:vAlign w:val="center"/>
                </w:tcPr>
                <w:p w14:paraId="04FC375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北侧</w:t>
                  </w:r>
                </w:p>
              </w:tc>
              <w:tc>
                <w:tcPr>
                  <w:tcW w:w="582" w:type="pct"/>
                  <w:vAlign w:val="center"/>
                </w:tcPr>
                <w:p w14:paraId="6F59D88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159-500</w:t>
                  </w:r>
                </w:p>
              </w:tc>
              <w:tc>
                <w:tcPr>
                  <w:tcW w:w="735" w:type="pct"/>
                  <w:vMerge w:val="continue"/>
                  <w:vAlign w:val="center"/>
                </w:tcPr>
                <w:p w14:paraId="1BF500CF">
                  <w:pPr>
                    <w:jc w:val="center"/>
                    <w:rPr>
                      <w:rFonts w:hint="default" w:ascii="Times New Roman" w:hAnsi="Times New Roman" w:eastAsia="宋体" w:cs="Times New Roman"/>
                      <w:color w:val="auto"/>
                    </w:rPr>
                  </w:pPr>
                </w:p>
              </w:tc>
            </w:tr>
            <w:tr w14:paraId="3A68F7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53004956">
                  <w:pPr>
                    <w:jc w:val="center"/>
                    <w:rPr>
                      <w:rFonts w:hint="default" w:ascii="Times New Roman" w:hAnsi="Times New Roman" w:eastAsia="宋体" w:cs="Times New Roman"/>
                      <w:color w:val="auto"/>
                    </w:rPr>
                  </w:pPr>
                </w:p>
              </w:tc>
              <w:tc>
                <w:tcPr>
                  <w:tcW w:w="558" w:type="pct"/>
                  <w:vMerge w:val="continue"/>
                  <w:vAlign w:val="center"/>
                </w:tcPr>
                <w:p w14:paraId="64FA2DA3">
                  <w:pPr>
                    <w:jc w:val="center"/>
                    <w:rPr>
                      <w:rFonts w:hint="default" w:ascii="Times New Roman" w:hAnsi="Times New Roman" w:eastAsia="宋体" w:cs="Times New Roman"/>
                      <w:color w:val="auto"/>
                    </w:rPr>
                  </w:pPr>
                </w:p>
              </w:tc>
              <w:tc>
                <w:tcPr>
                  <w:tcW w:w="491" w:type="pct"/>
                  <w:vMerge w:val="continue"/>
                  <w:vAlign w:val="center"/>
                </w:tcPr>
                <w:p w14:paraId="4857329E">
                  <w:pPr>
                    <w:jc w:val="center"/>
                    <w:rPr>
                      <w:rFonts w:hint="default" w:ascii="Times New Roman" w:hAnsi="Times New Roman" w:eastAsia="宋体" w:cs="Times New Roman"/>
                      <w:color w:val="auto"/>
                    </w:rPr>
                  </w:pPr>
                </w:p>
              </w:tc>
              <w:tc>
                <w:tcPr>
                  <w:tcW w:w="474" w:type="pct"/>
                  <w:vMerge w:val="continue"/>
                  <w:vAlign w:val="center"/>
                </w:tcPr>
                <w:p w14:paraId="2BD48C8B">
                  <w:pPr>
                    <w:jc w:val="center"/>
                    <w:rPr>
                      <w:rFonts w:hint="default" w:ascii="Times New Roman" w:hAnsi="Times New Roman" w:eastAsia="宋体" w:cs="Times New Roman"/>
                      <w:color w:val="auto"/>
                    </w:rPr>
                  </w:pPr>
                </w:p>
              </w:tc>
              <w:tc>
                <w:tcPr>
                  <w:tcW w:w="470" w:type="pct"/>
                  <w:vAlign w:val="center"/>
                </w:tcPr>
                <w:p w14:paraId="25DD7F4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55F83A9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13户农户</w:t>
                  </w:r>
                </w:p>
              </w:tc>
              <w:tc>
                <w:tcPr>
                  <w:tcW w:w="552" w:type="pct"/>
                  <w:vAlign w:val="center"/>
                </w:tcPr>
                <w:p w14:paraId="3A9D22A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南侧</w:t>
                  </w:r>
                </w:p>
              </w:tc>
              <w:tc>
                <w:tcPr>
                  <w:tcW w:w="582" w:type="pct"/>
                  <w:vAlign w:val="center"/>
                </w:tcPr>
                <w:p w14:paraId="6E7AC3F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142-500</w:t>
                  </w:r>
                </w:p>
              </w:tc>
              <w:tc>
                <w:tcPr>
                  <w:tcW w:w="735" w:type="pct"/>
                  <w:vMerge w:val="continue"/>
                  <w:vAlign w:val="center"/>
                </w:tcPr>
                <w:p w14:paraId="54848C67">
                  <w:pPr>
                    <w:jc w:val="center"/>
                    <w:rPr>
                      <w:rFonts w:hint="default" w:ascii="Times New Roman" w:hAnsi="Times New Roman" w:eastAsia="宋体" w:cs="Times New Roman"/>
                      <w:color w:val="auto"/>
                    </w:rPr>
                  </w:pPr>
                </w:p>
              </w:tc>
            </w:tr>
            <w:tr w14:paraId="03F885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36487FAE">
                  <w:pPr>
                    <w:jc w:val="center"/>
                    <w:rPr>
                      <w:rFonts w:hint="default" w:ascii="Times New Roman" w:hAnsi="Times New Roman" w:eastAsia="宋体" w:cs="Times New Roman"/>
                      <w:color w:val="auto"/>
                    </w:rPr>
                  </w:pPr>
                </w:p>
              </w:tc>
              <w:tc>
                <w:tcPr>
                  <w:tcW w:w="558" w:type="pct"/>
                  <w:vMerge w:val="restart"/>
                  <w:vAlign w:val="center"/>
                </w:tcPr>
                <w:p w14:paraId="7F71E7B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104.855968</w:t>
                  </w:r>
                </w:p>
              </w:tc>
              <w:tc>
                <w:tcPr>
                  <w:tcW w:w="491" w:type="pct"/>
                  <w:vMerge w:val="restart"/>
                  <w:vAlign w:val="center"/>
                </w:tcPr>
                <w:p w14:paraId="5F6A986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104.855968</w:t>
                  </w:r>
                </w:p>
              </w:tc>
              <w:tc>
                <w:tcPr>
                  <w:tcW w:w="474" w:type="pct"/>
                  <w:vMerge w:val="restart"/>
                  <w:vAlign w:val="center"/>
                </w:tcPr>
                <w:p w14:paraId="100A663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11#</w:t>
                  </w:r>
                </w:p>
              </w:tc>
              <w:tc>
                <w:tcPr>
                  <w:tcW w:w="470" w:type="pct"/>
                  <w:vAlign w:val="center"/>
                </w:tcPr>
                <w:p w14:paraId="0CC761A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6E11526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21户农户</w:t>
                  </w:r>
                </w:p>
              </w:tc>
              <w:tc>
                <w:tcPr>
                  <w:tcW w:w="552" w:type="pct"/>
                  <w:vAlign w:val="center"/>
                </w:tcPr>
                <w:p w14:paraId="58FCEC0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040B3DA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156-500</w:t>
                  </w:r>
                </w:p>
              </w:tc>
              <w:tc>
                <w:tcPr>
                  <w:tcW w:w="735" w:type="pct"/>
                  <w:vMerge w:val="continue"/>
                  <w:vAlign w:val="center"/>
                </w:tcPr>
                <w:p w14:paraId="0D776DE8">
                  <w:pPr>
                    <w:jc w:val="center"/>
                    <w:rPr>
                      <w:rFonts w:hint="default" w:ascii="Times New Roman" w:hAnsi="Times New Roman" w:eastAsia="宋体" w:cs="Times New Roman"/>
                      <w:color w:val="auto"/>
                    </w:rPr>
                  </w:pPr>
                </w:p>
              </w:tc>
            </w:tr>
            <w:tr w14:paraId="421178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3F60E063">
                  <w:pPr>
                    <w:jc w:val="center"/>
                    <w:rPr>
                      <w:rFonts w:hint="default" w:ascii="Times New Roman" w:hAnsi="Times New Roman" w:eastAsia="宋体" w:cs="Times New Roman"/>
                      <w:color w:val="auto"/>
                    </w:rPr>
                  </w:pPr>
                </w:p>
              </w:tc>
              <w:tc>
                <w:tcPr>
                  <w:tcW w:w="558" w:type="pct"/>
                  <w:vMerge w:val="continue"/>
                  <w:vAlign w:val="center"/>
                </w:tcPr>
                <w:p w14:paraId="6AB8B4ED">
                  <w:pPr>
                    <w:jc w:val="center"/>
                    <w:rPr>
                      <w:rFonts w:hint="default" w:ascii="Times New Roman" w:hAnsi="Times New Roman" w:eastAsia="宋体" w:cs="Times New Roman"/>
                      <w:color w:val="auto"/>
                    </w:rPr>
                  </w:pPr>
                </w:p>
              </w:tc>
              <w:tc>
                <w:tcPr>
                  <w:tcW w:w="491" w:type="pct"/>
                  <w:vMerge w:val="continue"/>
                  <w:vAlign w:val="center"/>
                </w:tcPr>
                <w:p w14:paraId="057CFE3F">
                  <w:pPr>
                    <w:jc w:val="center"/>
                    <w:rPr>
                      <w:rFonts w:hint="default" w:ascii="Times New Roman" w:hAnsi="Times New Roman" w:eastAsia="宋体" w:cs="Times New Roman"/>
                      <w:color w:val="auto"/>
                    </w:rPr>
                  </w:pPr>
                </w:p>
              </w:tc>
              <w:tc>
                <w:tcPr>
                  <w:tcW w:w="474" w:type="pct"/>
                  <w:vMerge w:val="continue"/>
                  <w:vAlign w:val="center"/>
                </w:tcPr>
                <w:p w14:paraId="0D5BB684">
                  <w:pPr>
                    <w:jc w:val="center"/>
                    <w:rPr>
                      <w:rFonts w:hint="default" w:ascii="Times New Roman" w:hAnsi="Times New Roman" w:eastAsia="宋体" w:cs="Times New Roman"/>
                      <w:color w:val="auto"/>
                    </w:rPr>
                  </w:pPr>
                </w:p>
              </w:tc>
              <w:tc>
                <w:tcPr>
                  <w:tcW w:w="470" w:type="pct"/>
                  <w:vAlign w:val="center"/>
                </w:tcPr>
                <w:p w14:paraId="6D42DAC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3790933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17户农户</w:t>
                  </w:r>
                </w:p>
              </w:tc>
              <w:tc>
                <w:tcPr>
                  <w:tcW w:w="552" w:type="pct"/>
                  <w:vAlign w:val="center"/>
                </w:tcPr>
                <w:p w14:paraId="1256708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7B72D8A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124-500</w:t>
                  </w:r>
                </w:p>
              </w:tc>
              <w:tc>
                <w:tcPr>
                  <w:tcW w:w="735" w:type="pct"/>
                  <w:vMerge w:val="continue"/>
                  <w:vAlign w:val="center"/>
                </w:tcPr>
                <w:p w14:paraId="730B51A2">
                  <w:pPr>
                    <w:jc w:val="center"/>
                    <w:rPr>
                      <w:rFonts w:hint="default" w:ascii="Times New Roman" w:hAnsi="Times New Roman" w:eastAsia="宋体" w:cs="Times New Roman"/>
                      <w:color w:val="auto"/>
                    </w:rPr>
                  </w:pPr>
                </w:p>
              </w:tc>
            </w:tr>
            <w:tr w14:paraId="74BB12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4861A3F1">
                  <w:pPr>
                    <w:jc w:val="center"/>
                    <w:rPr>
                      <w:rFonts w:hint="default" w:ascii="Times New Roman" w:hAnsi="Times New Roman" w:eastAsia="宋体" w:cs="Times New Roman"/>
                      <w:color w:val="auto"/>
                    </w:rPr>
                  </w:pPr>
                </w:p>
              </w:tc>
              <w:tc>
                <w:tcPr>
                  <w:tcW w:w="558" w:type="pct"/>
                  <w:vMerge w:val="restart"/>
                  <w:vAlign w:val="center"/>
                </w:tcPr>
                <w:p w14:paraId="1EC579F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104.855968</w:t>
                  </w:r>
                </w:p>
              </w:tc>
              <w:tc>
                <w:tcPr>
                  <w:tcW w:w="491" w:type="pct"/>
                  <w:vMerge w:val="restart"/>
                  <w:vAlign w:val="center"/>
                </w:tcPr>
                <w:p w14:paraId="1DE364E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104.855968</w:t>
                  </w:r>
                </w:p>
              </w:tc>
              <w:tc>
                <w:tcPr>
                  <w:tcW w:w="474" w:type="pct"/>
                  <w:vMerge w:val="restart"/>
                  <w:vAlign w:val="center"/>
                </w:tcPr>
                <w:p w14:paraId="50045B4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w:t>
                  </w:r>
                </w:p>
              </w:tc>
              <w:tc>
                <w:tcPr>
                  <w:tcW w:w="470" w:type="pct"/>
                  <w:vAlign w:val="center"/>
                </w:tcPr>
                <w:p w14:paraId="7A4A46B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22F0CA2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11户农户</w:t>
                  </w:r>
                </w:p>
              </w:tc>
              <w:tc>
                <w:tcPr>
                  <w:tcW w:w="552" w:type="pct"/>
                  <w:vAlign w:val="center"/>
                </w:tcPr>
                <w:p w14:paraId="10AFFF5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北侧</w:t>
                  </w:r>
                </w:p>
              </w:tc>
              <w:tc>
                <w:tcPr>
                  <w:tcW w:w="582" w:type="pct"/>
                  <w:vAlign w:val="center"/>
                </w:tcPr>
                <w:p w14:paraId="7F3A652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154-500</w:t>
                  </w:r>
                </w:p>
              </w:tc>
              <w:tc>
                <w:tcPr>
                  <w:tcW w:w="735" w:type="pct"/>
                  <w:vMerge w:val="continue"/>
                  <w:vAlign w:val="center"/>
                </w:tcPr>
                <w:p w14:paraId="4AF6483E">
                  <w:pPr>
                    <w:jc w:val="center"/>
                    <w:rPr>
                      <w:rFonts w:hint="default" w:ascii="Times New Roman" w:hAnsi="Times New Roman" w:eastAsia="宋体" w:cs="Times New Roman"/>
                      <w:color w:val="auto"/>
                    </w:rPr>
                  </w:pPr>
                </w:p>
              </w:tc>
            </w:tr>
            <w:tr w14:paraId="050E41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79772807">
                  <w:pPr>
                    <w:jc w:val="center"/>
                    <w:rPr>
                      <w:rFonts w:hint="default" w:ascii="Times New Roman" w:hAnsi="Times New Roman" w:eastAsia="宋体" w:cs="Times New Roman"/>
                      <w:color w:val="auto"/>
                    </w:rPr>
                  </w:pPr>
                </w:p>
              </w:tc>
              <w:tc>
                <w:tcPr>
                  <w:tcW w:w="558" w:type="pct"/>
                  <w:vMerge w:val="continue"/>
                  <w:vAlign w:val="center"/>
                </w:tcPr>
                <w:p w14:paraId="0B0893EB">
                  <w:pPr>
                    <w:jc w:val="center"/>
                    <w:rPr>
                      <w:rFonts w:hint="default" w:ascii="Times New Roman" w:hAnsi="Times New Roman" w:eastAsia="宋体" w:cs="Times New Roman"/>
                      <w:color w:val="auto"/>
                    </w:rPr>
                  </w:pPr>
                </w:p>
              </w:tc>
              <w:tc>
                <w:tcPr>
                  <w:tcW w:w="491" w:type="pct"/>
                  <w:vMerge w:val="continue"/>
                  <w:vAlign w:val="center"/>
                </w:tcPr>
                <w:p w14:paraId="4B46F159">
                  <w:pPr>
                    <w:jc w:val="center"/>
                    <w:rPr>
                      <w:rFonts w:hint="default" w:ascii="Times New Roman" w:hAnsi="Times New Roman" w:eastAsia="宋体" w:cs="Times New Roman"/>
                      <w:color w:val="auto"/>
                    </w:rPr>
                  </w:pPr>
                </w:p>
              </w:tc>
              <w:tc>
                <w:tcPr>
                  <w:tcW w:w="474" w:type="pct"/>
                  <w:vMerge w:val="continue"/>
                  <w:vAlign w:val="center"/>
                </w:tcPr>
                <w:p w14:paraId="11760F7F">
                  <w:pPr>
                    <w:jc w:val="center"/>
                    <w:rPr>
                      <w:rFonts w:hint="default" w:ascii="Times New Roman" w:hAnsi="Times New Roman" w:eastAsia="宋体" w:cs="Times New Roman"/>
                      <w:color w:val="auto"/>
                    </w:rPr>
                  </w:pPr>
                </w:p>
              </w:tc>
              <w:tc>
                <w:tcPr>
                  <w:tcW w:w="470" w:type="pct"/>
                  <w:vAlign w:val="center"/>
                </w:tcPr>
                <w:p w14:paraId="194331D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0E6C15C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16户农户</w:t>
                  </w:r>
                </w:p>
              </w:tc>
              <w:tc>
                <w:tcPr>
                  <w:tcW w:w="552" w:type="pct"/>
                  <w:vAlign w:val="center"/>
                </w:tcPr>
                <w:p w14:paraId="4920ACE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514C8FB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121-500</w:t>
                  </w:r>
                </w:p>
              </w:tc>
              <w:tc>
                <w:tcPr>
                  <w:tcW w:w="735" w:type="pct"/>
                  <w:vMerge w:val="continue"/>
                  <w:vAlign w:val="center"/>
                </w:tcPr>
                <w:p w14:paraId="1884DCA7">
                  <w:pPr>
                    <w:jc w:val="center"/>
                    <w:rPr>
                      <w:rFonts w:hint="default" w:ascii="Times New Roman" w:hAnsi="Times New Roman" w:eastAsia="宋体" w:cs="Times New Roman"/>
                      <w:color w:val="auto"/>
                    </w:rPr>
                  </w:pPr>
                </w:p>
              </w:tc>
            </w:tr>
            <w:tr w14:paraId="23D13A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72B72B77">
                  <w:pPr>
                    <w:jc w:val="center"/>
                    <w:rPr>
                      <w:rFonts w:hint="default" w:ascii="Times New Roman" w:hAnsi="Times New Roman" w:eastAsia="宋体" w:cs="Times New Roman"/>
                      <w:color w:val="auto"/>
                    </w:rPr>
                  </w:pPr>
                </w:p>
              </w:tc>
              <w:tc>
                <w:tcPr>
                  <w:tcW w:w="558" w:type="pct"/>
                  <w:vMerge w:val="continue"/>
                  <w:vAlign w:val="center"/>
                </w:tcPr>
                <w:p w14:paraId="74694EA0">
                  <w:pPr>
                    <w:jc w:val="center"/>
                    <w:rPr>
                      <w:rFonts w:hint="default" w:ascii="Times New Roman" w:hAnsi="Times New Roman" w:eastAsia="宋体" w:cs="Times New Roman"/>
                      <w:color w:val="auto"/>
                    </w:rPr>
                  </w:pPr>
                </w:p>
              </w:tc>
              <w:tc>
                <w:tcPr>
                  <w:tcW w:w="491" w:type="pct"/>
                  <w:vMerge w:val="continue"/>
                  <w:vAlign w:val="center"/>
                </w:tcPr>
                <w:p w14:paraId="58DC98AD">
                  <w:pPr>
                    <w:jc w:val="center"/>
                    <w:rPr>
                      <w:rFonts w:hint="default" w:ascii="Times New Roman" w:hAnsi="Times New Roman" w:eastAsia="宋体" w:cs="Times New Roman"/>
                      <w:color w:val="auto"/>
                    </w:rPr>
                  </w:pPr>
                </w:p>
              </w:tc>
              <w:tc>
                <w:tcPr>
                  <w:tcW w:w="474" w:type="pct"/>
                  <w:vMerge w:val="continue"/>
                  <w:vAlign w:val="center"/>
                </w:tcPr>
                <w:p w14:paraId="2E1C5E70">
                  <w:pPr>
                    <w:jc w:val="center"/>
                    <w:rPr>
                      <w:rFonts w:hint="default" w:ascii="Times New Roman" w:hAnsi="Times New Roman" w:eastAsia="宋体" w:cs="Times New Roman"/>
                      <w:color w:val="auto"/>
                    </w:rPr>
                  </w:pPr>
                </w:p>
              </w:tc>
              <w:tc>
                <w:tcPr>
                  <w:tcW w:w="470" w:type="pct"/>
                  <w:vAlign w:val="center"/>
                </w:tcPr>
                <w:p w14:paraId="1B1D6EC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3BEF65E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15户农户</w:t>
                  </w:r>
                </w:p>
              </w:tc>
              <w:tc>
                <w:tcPr>
                  <w:tcW w:w="552" w:type="pct"/>
                  <w:vAlign w:val="center"/>
                </w:tcPr>
                <w:p w14:paraId="13B7490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69AFAE4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132-500</w:t>
                  </w:r>
                </w:p>
              </w:tc>
              <w:tc>
                <w:tcPr>
                  <w:tcW w:w="735" w:type="pct"/>
                  <w:vMerge w:val="continue"/>
                  <w:vAlign w:val="center"/>
                </w:tcPr>
                <w:p w14:paraId="1248B62C">
                  <w:pPr>
                    <w:jc w:val="center"/>
                    <w:rPr>
                      <w:rFonts w:hint="default" w:ascii="Times New Roman" w:hAnsi="Times New Roman" w:eastAsia="宋体" w:cs="Times New Roman"/>
                      <w:color w:val="auto"/>
                    </w:rPr>
                  </w:pPr>
                </w:p>
              </w:tc>
            </w:tr>
            <w:tr w14:paraId="4449DB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000" w:type="pct"/>
                  <w:gridSpan w:val="9"/>
                  <w:vAlign w:val="center"/>
                </w:tcPr>
                <w:p w14:paraId="2F54EF3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天池镇</w:t>
                  </w:r>
                </w:p>
              </w:tc>
            </w:tr>
            <w:tr w14:paraId="60C3CC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restart"/>
                  <w:vAlign w:val="center"/>
                </w:tcPr>
                <w:p w14:paraId="7D03FF0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大气环境</w:t>
                  </w:r>
                </w:p>
              </w:tc>
              <w:tc>
                <w:tcPr>
                  <w:tcW w:w="558" w:type="pct"/>
                  <w:vMerge w:val="restart"/>
                  <w:vAlign w:val="center"/>
                </w:tcPr>
                <w:p w14:paraId="78A7A6C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105.016693</w:t>
                  </w:r>
                </w:p>
              </w:tc>
              <w:tc>
                <w:tcPr>
                  <w:tcW w:w="491" w:type="pct"/>
                  <w:vMerge w:val="restart"/>
                  <w:vAlign w:val="center"/>
                </w:tcPr>
                <w:p w14:paraId="604EDFC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30.287447</w:t>
                  </w:r>
                </w:p>
              </w:tc>
              <w:tc>
                <w:tcPr>
                  <w:tcW w:w="474" w:type="pct"/>
                  <w:vMerge w:val="restart"/>
                  <w:vAlign w:val="center"/>
                </w:tcPr>
                <w:p w14:paraId="59B9A9B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w:t>
                  </w:r>
                </w:p>
              </w:tc>
              <w:tc>
                <w:tcPr>
                  <w:tcW w:w="470" w:type="pct"/>
                  <w:vAlign w:val="center"/>
                </w:tcPr>
                <w:p w14:paraId="698E245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63F4AD5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乐至县居民聚居点</w:t>
                  </w:r>
                </w:p>
              </w:tc>
              <w:tc>
                <w:tcPr>
                  <w:tcW w:w="552" w:type="pct"/>
                  <w:vAlign w:val="center"/>
                </w:tcPr>
                <w:p w14:paraId="44F28C1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78C4304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45-500</w:t>
                  </w:r>
                </w:p>
              </w:tc>
              <w:tc>
                <w:tcPr>
                  <w:tcW w:w="735" w:type="pct"/>
                  <w:vMerge w:val="restart"/>
                  <w:vAlign w:val="center"/>
                </w:tcPr>
                <w:p w14:paraId="756A440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《环境空气质量标准》（GB3095-2012）中二级标准</w:t>
                  </w:r>
                </w:p>
              </w:tc>
            </w:tr>
            <w:tr w14:paraId="415302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25C4171A">
                  <w:pPr>
                    <w:jc w:val="center"/>
                    <w:rPr>
                      <w:rFonts w:hint="default" w:ascii="Times New Roman" w:hAnsi="Times New Roman" w:eastAsia="宋体" w:cs="Times New Roman"/>
                      <w:color w:val="auto"/>
                    </w:rPr>
                  </w:pPr>
                </w:p>
              </w:tc>
              <w:tc>
                <w:tcPr>
                  <w:tcW w:w="558" w:type="pct"/>
                  <w:vMerge w:val="continue"/>
                  <w:vAlign w:val="center"/>
                </w:tcPr>
                <w:p w14:paraId="514A9258">
                  <w:pPr>
                    <w:jc w:val="center"/>
                    <w:rPr>
                      <w:rFonts w:hint="default" w:ascii="Times New Roman" w:hAnsi="Times New Roman" w:eastAsia="宋体" w:cs="Times New Roman"/>
                      <w:color w:val="auto"/>
                    </w:rPr>
                  </w:pPr>
                </w:p>
              </w:tc>
              <w:tc>
                <w:tcPr>
                  <w:tcW w:w="491" w:type="pct"/>
                  <w:vMerge w:val="continue"/>
                  <w:vAlign w:val="center"/>
                </w:tcPr>
                <w:p w14:paraId="74E74048">
                  <w:pPr>
                    <w:jc w:val="center"/>
                    <w:rPr>
                      <w:rFonts w:hint="default" w:ascii="Times New Roman" w:hAnsi="Times New Roman" w:eastAsia="宋体" w:cs="Times New Roman"/>
                      <w:color w:val="auto"/>
                    </w:rPr>
                  </w:pPr>
                </w:p>
              </w:tc>
              <w:tc>
                <w:tcPr>
                  <w:tcW w:w="474" w:type="pct"/>
                  <w:vMerge w:val="continue"/>
                  <w:vAlign w:val="center"/>
                </w:tcPr>
                <w:p w14:paraId="07E0366F">
                  <w:pPr>
                    <w:jc w:val="center"/>
                    <w:rPr>
                      <w:rFonts w:hint="default" w:ascii="Times New Roman" w:hAnsi="Times New Roman" w:eastAsia="宋体" w:cs="Times New Roman"/>
                      <w:color w:val="auto"/>
                    </w:rPr>
                  </w:pPr>
                </w:p>
              </w:tc>
              <w:tc>
                <w:tcPr>
                  <w:tcW w:w="470" w:type="pct"/>
                  <w:vAlign w:val="center"/>
                </w:tcPr>
                <w:p w14:paraId="4C9960B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12D86CA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35户农户</w:t>
                  </w:r>
                </w:p>
              </w:tc>
              <w:tc>
                <w:tcPr>
                  <w:tcW w:w="552" w:type="pct"/>
                  <w:vAlign w:val="center"/>
                </w:tcPr>
                <w:p w14:paraId="369F985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南侧</w:t>
                  </w:r>
                </w:p>
              </w:tc>
              <w:tc>
                <w:tcPr>
                  <w:tcW w:w="582" w:type="pct"/>
                  <w:vAlign w:val="center"/>
                </w:tcPr>
                <w:p w14:paraId="3F1D15D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150-500</w:t>
                  </w:r>
                </w:p>
              </w:tc>
              <w:tc>
                <w:tcPr>
                  <w:tcW w:w="735" w:type="pct"/>
                  <w:vMerge w:val="continue"/>
                  <w:vAlign w:val="center"/>
                </w:tcPr>
                <w:p w14:paraId="607B6695">
                  <w:pPr>
                    <w:jc w:val="center"/>
                    <w:rPr>
                      <w:rFonts w:hint="default" w:ascii="Times New Roman" w:hAnsi="Times New Roman" w:eastAsia="宋体" w:cs="Times New Roman"/>
                      <w:color w:val="auto"/>
                    </w:rPr>
                  </w:pPr>
                </w:p>
              </w:tc>
            </w:tr>
            <w:tr w14:paraId="63DBA2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3F3B3C08">
                  <w:pPr>
                    <w:jc w:val="center"/>
                    <w:rPr>
                      <w:rFonts w:hint="default" w:ascii="Times New Roman" w:hAnsi="Times New Roman" w:eastAsia="宋体" w:cs="Times New Roman"/>
                      <w:color w:val="auto"/>
                    </w:rPr>
                  </w:pPr>
                </w:p>
              </w:tc>
              <w:tc>
                <w:tcPr>
                  <w:tcW w:w="558" w:type="pct"/>
                  <w:vMerge w:val="continue"/>
                  <w:vAlign w:val="center"/>
                </w:tcPr>
                <w:p w14:paraId="7092067E">
                  <w:pPr>
                    <w:jc w:val="center"/>
                    <w:rPr>
                      <w:rFonts w:hint="default" w:ascii="Times New Roman" w:hAnsi="Times New Roman" w:eastAsia="宋体" w:cs="Times New Roman"/>
                      <w:color w:val="auto"/>
                    </w:rPr>
                  </w:pPr>
                </w:p>
              </w:tc>
              <w:tc>
                <w:tcPr>
                  <w:tcW w:w="491" w:type="pct"/>
                  <w:vMerge w:val="continue"/>
                  <w:vAlign w:val="center"/>
                </w:tcPr>
                <w:p w14:paraId="3B301880">
                  <w:pPr>
                    <w:jc w:val="center"/>
                    <w:rPr>
                      <w:rFonts w:hint="default" w:ascii="Times New Roman" w:hAnsi="Times New Roman" w:eastAsia="宋体" w:cs="Times New Roman"/>
                      <w:color w:val="auto"/>
                    </w:rPr>
                  </w:pPr>
                </w:p>
              </w:tc>
              <w:tc>
                <w:tcPr>
                  <w:tcW w:w="474" w:type="pct"/>
                  <w:vMerge w:val="continue"/>
                  <w:vAlign w:val="center"/>
                </w:tcPr>
                <w:p w14:paraId="1FCD3D6A">
                  <w:pPr>
                    <w:jc w:val="center"/>
                    <w:rPr>
                      <w:rFonts w:hint="default" w:ascii="Times New Roman" w:hAnsi="Times New Roman" w:eastAsia="宋体" w:cs="Times New Roman"/>
                      <w:color w:val="auto"/>
                    </w:rPr>
                  </w:pPr>
                </w:p>
              </w:tc>
              <w:tc>
                <w:tcPr>
                  <w:tcW w:w="470" w:type="pct"/>
                  <w:vAlign w:val="center"/>
                </w:tcPr>
                <w:p w14:paraId="7E16399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0CAC60F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5户农户</w:t>
                  </w:r>
                </w:p>
              </w:tc>
              <w:tc>
                <w:tcPr>
                  <w:tcW w:w="552" w:type="pct"/>
                  <w:vAlign w:val="center"/>
                </w:tcPr>
                <w:p w14:paraId="531108B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东北侧</w:t>
                  </w:r>
                </w:p>
              </w:tc>
              <w:tc>
                <w:tcPr>
                  <w:tcW w:w="582" w:type="pct"/>
                  <w:vAlign w:val="center"/>
                </w:tcPr>
                <w:p w14:paraId="75F4B5D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192-500</w:t>
                  </w:r>
                </w:p>
              </w:tc>
              <w:tc>
                <w:tcPr>
                  <w:tcW w:w="735" w:type="pct"/>
                  <w:vMerge w:val="continue"/>
                  <w:vAlign w:val="center"/>
                </w:tcPr>
                <w:p w14:paraId="09C5AF97">
                  <w:pPr>
                    <w:jc w:val="center"/>
                    <w:rPr>
                      <w:rFonts w:hint="default" w:ascii="Times New Roman" w:hAnsi="Times New Roman" w:eastAsia="宋体" w:cs="Times New Roman"/>
                      <w:color w:val="auto"/>
                    </w:rPr>
                  </w:pPr>
                </w:p>
              </w:tc>
            </w:tr>
            <w:tr w14:paraId="7A885B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1FDBEE2D">
                  <w:pPr>
                    <w:jc w:val="center"/>
                    <w:rPr>
                      <w:rFonts w:hint="default" w:ascii="Times New Roman" w:hAnsi="Times New Roman" w:eastAsia="宋体" w:cs="Times New Roman"/>
                      <w:color w:val="auto"/>
                    </w:rPr>
                  </w:pPr>
                </w:p>
              </w:tc>
              <w:tc>
                <w:tcPr>
                  <w:tcW w:w="558" w:type="pct"/>
                  <w:vMerge w:val="continue"/>
                  <w:vAlign w:val="center"/>
                </w:tcPr>
                <w:p w14:paraId="79468A13">
                  <w:pPr>
                    <w:jc w:val="center"/>
                    <w:rPr>
                      <w:rFonts w:hint="default" w:ascii="Times New Roman" w:hAnsi="Times New Roman" w:eastAsia="宋体" w:cs="Times New Roman"/>
                      <w:color w:val="auto"/>
                    </w:rPr>
                  </w:pPr>
                </w:p>
              </w:tc>
              <w:tc>
                <w:tcPr>
                  <w:tcW w:w="491" w:type="pct"/>
                  <w:vMerge w:val="continue"/>
                  <w:vAlign w:val="center"/>
                </w:tcPr>
                <w:p w14:paraId="20DF8909">
                  <w:pPr>
                    <w:jc w:val="center"/>
                    <w:rPr>
                      <w:rFonts w:hint="default" w:ascii="Times New Roman" w:hAnsi="Times New Roman" w:eastAsia="宋体" w:cs="Times New Roman"/>
                      <w:color w:val="auto"/>
                    </w:rPr>
                  </w:pPr>
                </w:p>
              </w:tc>
              <w:tc>
                <w:tcPr>
                  <w:tcW w:w="474" w:type="pct"/>
                  <w:vMerge w:val="continue"/>
                  <w:vAlign w:val="center"/>
                </w:tcPr>
                <w:p w14:paraId="070F9702">
                  <w:pPr>
                    <w:jc w:val="center"/>
                    <w:rPr>
                      <w:rFonts w:hint="default" w:ascii="Times New Roman" w:hAnsi="Times New Roman" w:eastAsia="宋体" w:cs="Times New Roman"/>
                      <w:color w:val="auto"/>
                    </w:rPr>
                  </w:pPr>
                </w:p>
              </w:tc>
              <w:tc>
                <w:tcPr>
                  <w:tcW w:w="470" w:type="pct"/>
                  <w:vAlign w:val="center"/>
                </w:tcPr>
                <w:p w14:paraId="30E1108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7280DB8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2户农户</w:t>
                  </w:r>
                </w:p>
              </w:tc>
              <w:tc>
                <w:tcPr>
                  <w:tcW w:w="552" w:type="pct"/>
                  <w:vAlign w:val="center"/>
                </w:tcPr>
                <w:p w14:paraId="64AD984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东北侧</w:t>
                  </w:r>
                </w:p>
              </w:tc>
              <w:tc>
                <w:tcPr>
                  <w:tcW w:w="582" w:type="pct"/>
                  <w:vAlign w:val="center"/>
                </w:tcPr>
                <w:p w14:paraId="6F0EE02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134-500</w:t>
                  </w:r>
                </w:p>
              </w:tc>
              <w:tc>
                <w:tcPr>
                  <w:tcW w:w="735" w:type="pct"/>
                  <w:vMerge w:val="continue"/>
                  <w:vAlign w:val="center"/>
                </w:tcPr>
                <w:p w14:paraId="7C32CE94">
                  <w:pPr>
                    <w:jc w:val="center"/>
                    <w:rPr>
                      <w:rFonts w:hint="default" w:ascii="Times New Roman" w:hAnsi="Times New Roman" w:eastAsia="宋体" w:cs="Times New Roman"/>
                      <w:color w:val="auto"/>
                    </w:rPr>
                  </w:pPr>
                </w:p>
              </w:tc>
            </w:tr>
            <w:tr w14:paraId="716B58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5DF076FC">
                  <w:pPr>
                    <w:jc w:val="center"/>
                    <w:rPr>
                      <w:rFonts w:hint="default" w:ascii="Times New Roman" w:hAnsi="Times New Roman" w:eastAsia="宋体" w:cs="Times New Roman"/>
                      <w:color w:val="auto"/>
                    </w:rPr>
                  </w:pPr>
                </w:p>
              </w:tc>
              <w:tc>
                <w:tcPr>
                  <w:tcW w:w="558" w:type="pct"/>
                  <w:vMerge w:val="continue"/>
                  <w:vAlign w:val="center"/>
                </w:tcPr>
                <w:p w14:paraId="62FA9485">
                  <w:pPr>
                    <w:jc w:val="center"/>
                    <w:rPr>
                      <w:rFonts w:hint="default" w:ascii="Times New Roman" w:hAnsi="Times New Roman" w:eastAsia="宋体" w:cs="Times New Roman"/>
                      <w:color w:val="auto"/>
                    </w:rPr>
                  </w:pPr>
                </w:p>
              </w:tc>
              <w:tc>
                <w:tcPr>
                  <w:tcW w:w="491" w:type="pct"/>
                  <w:vMerge w:val="continue"/>
                  <w:vAlign w:val="center"/>
                </w:tcPr>
                <w:p w14:paraId="7A896162">
                  <w:pPr>
                    <w:jc w:val="center"/>
                    <w:rPr>
                      <w:rFonts w:hint="default" w:ascii="Times New Roman" w:hAnsi="Times New Roman" w:eastAsia="宋体" w:cs="Times New Roman"/>
                      <w:color w:val="auto"/>
                    </w:rPr>
                  </w:pPr>
                </w:p>
              </w:tc>
              <w:tc>
                <w:tcPr>
                  <w:tcW w:w="474" w:type="pct"/>
                  <w:vMerge w:val="continue"/>
                  <w:vAlign w:val="center"/>
                </w:tcPr>
                <w:p w14:paraId="6118D386">
                  <w:pPr>
                    <w:jc w:val="center"/>
                    <w:rPr>
                      <w:rFonts w:hint="default" w:ascii="Times New Roman" w:hAnsi="Times New Roman" w:eastAsia="宋体" w:cs="Times New Roman"/>
                      <w:color w:val="auto"/>
                    </w:rPr>
                  </w:pPr>
                </w:p>
              </w:tc>
              <w:tc>
                <w:tcPr>
                  <w:tcW w:w="470" w:type="pct"/>
                  <w:vAlign w:val="center"/>
                </w:tcPr>
                <w:p w14:paraId="4B8B353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2427D26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15户农户</w:t>
                  </w:r>
                </w:p>
              </w:tc>
              <w:tc>
                <w:tcPr>
                  <w:tcW w:w="552" w:type="pct"/>
                  <w:vAlign w:val="center"/>
                </w:tcPr>
                <w:p w14:paraId="0A1611A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东北侧</w:t>
                  </w:r>
                </w:p>
              </w:tc>
              <w:tc>
                <w:tcPr>
                  <w:tcW w:w="582" w:type="pct"/>
                  <w:vAlign w:val="center"/>
                </w:tcPr>
                <w:p w14:paraId="538E1B9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139-500</w:t>
                  </w:r>
                </w:p>
              </w:tc>
              <w:tc>
                <w:tcPr>
                  <w:tcW w:w="735" w:type="pct"/>
                  <w:vMerge w:val="continue"/>
                  <w:vAlign w:val="center"/>
                </w:tcPr>
                <w:p w14:paraId="5FB82440">
                  <w:pPr>
                    <w:jc w:val="center"/>
                    <w:rPr>
                      <w:rFonts w:hint="default" w:ascii="Times New Roman" w:hAnsi="Times New Roman" w:eastAsia="宋体" w:cs="Times New Roman"/>
                      <w:color w:val="auto"/>
                    </w:rPr>
                  </w:pPr>
                </w:p>
              </w:tc>
            </w:tr>
            <w:tr w14:paraId="6CE95F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262970EE">
                  <w:pPr>
                    <w:jc w:val="center"/>
                    <w:rPr>
                      <w:rFonts w:hint="default" w:ascii="Times New Roman" w:hAnsi="Times New Roman" w:eastAsia="宋体" w:cs="Times New Roman"/>
                      <w:color w:val="auto"/>
                    </w:rPr>
                  </w:pPr>
                </w:p>
              </w:tc>
              <w:tc>
                <w:tcPr>
                  <w:tcW w:w="558" w:type="pct"/>
                  <w:vMerge w:val="continue"/>
                  <w:vAlign w:val="center"/>
                </w:tcPr>
                <w:p w14:paraId="5245278C">
                  <w:pPr>
                    <w:jc w:val="center"/>
                    <w:rPr>
                      <w:rFonts w:hint="default" w:ascii="Times New Roman" w:hAnsi="Times New Roman" w:eastAsia="宋体" w:cs="Times New Roman"/>
                      <w:color w:val="auto"/>
                    </w:rPr>
                  </w:pPr>
                </w:p>
              </w:tc>
              <w:tc>
                <w:tcPr>
                  <w:tcW w:w="491" w:type="pct"/>
                  <w:vMerge w:val="continue"/>
                  <w:vAlign w:val="center"/>
                </w:tcPr>
                <w:p w14:paraId="40132015">
                  <w:pPr>
                    <w:jc w:val="center"/>
                    <w:rPr>
                      <w:rFonts w:hint="default" w:ascii="Times New Roman" w:hAnsi="Times New Roman" w:eastAsia="宋体" w:cs="Times New Roman"/>
                      <w:color w:val="auto"/>
                    </w:rPr>
                  </w:pPr>
                </w:p>
              </w:tc>
              <w:tc>
                <w:tcPr>
                  <w:tcW w:w="474" w:type="pct"/>
                  <w:vMerge w:val="continue"/>
                  <w:vAlign w:val="center"/>
                </w:tcPr>
                <w:p w14:paraId="735C1778">
                  <w:pPr>
                    <w:jc w:val="center"/>
                    <w:rPr>
                      <w:rFonts w:hint="default" w:ascii="Times New Roman" w:hAnsi="Times New Roman" w:eastAsia="宋体" w:cs="Times New Roman"/>
                      <w:color w:val="auto"/>
                    </w:rPr>
                  </w:pPr>
                </w:p>
              </w:tc>
              <w:tc>
                <w:tcPr>
                  <w:tcW w:w="470" w:type="pct"/>
                  <w:vAlign w:val="center"/>
                </w:tcPr>
                <w:p w14:paraId="7BBF199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2CF25F7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9户农户</w:t>
                  </w:r>
                </w:p>
              </w:tc>
              <w:tc>
                <w:tcPr>
                  <w:tcW w:w="552" w:type="pct"/>
                  <w:vAlign w:val="center"/>
                </w:tcPr>
                <w:p w14:paraId="48AD626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东北侧</w:t>
                  </w:r>
                </w:p>
              </w:tc>
              <w:tc>
                <w:tcPr>
                  <w:tcW w:w="582" w:type="pct"/>
                  <w:vAlign w:val="center"/>
                </w:tcPr>
                <w:p w14:paraId="5F8E5A9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126-500</w:t>
                  </w:r>
                </w:p>
              </w:tc>
              <w:tc>
                <w:tcPr>
                  <w:tcW w:w="735" w:type="pct"/>
                  <w:vMerge w:val="continue"/>
                  <w:vAlign w:val="center"/>
                </w:tcPr>
                <w:p w14:paraId="4BE9108F">
                  <w:pPr>
                    <w:jc w:val="center"/>
                    <w:rPr>
                      <w:rFonts w:hint="default" w:ascii="Times New Roman" w:hAnsi="Times New Roman" w:eastAsia="宋体" w:cs="Times New Roman"/>
                      <w:color w:val="auto"/>
                    </w:rPr>
                  </w:pPr>
                </w:p>
              </w:tc>
            </w:tr>
            <w:tr w14:paraId="555093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256" w:type="pct"/>
                  <w:vMerge w:val="continue"/>
                  <w:vAlign w:val="center"/>
                </w:tcPr>
                <w:p w14:paraId="534CA6C1">
                  <w:pPr>
                    <w:jc w:val="center"/>
                    <w:rPr>
                      <w:rFonts w:hint="default" w:ascii="Times New Roman" w:hAnsi="Times New Roman" w:eastAsia="宋体" w:cs="Times New Roman"/>
                      <w:color w:val="auto"/>
                    </w:rPr>
                  </w:pPr>
                </w:p>
              </w:tc>
              <w:tc>
                <w:tcPr>
                  <w:tcW w:w="558" w:type="pct"/>
                  <w:vMerge w:val="continue"/>
                  <w:vAlign w:val="center"/>
                </w:tcPr>
                <w:p w14:paraId="01D893A7">
                  <w:pPr>
                    <w:jc w:val="center"/>
                    <w:rPr>
                      <w:rFonts w:hint="default" w:ascii="Times New Roman" w:hAnsi="Times New Roman" w:eastAsia="宋体" w:cs="Times New Roman"/>
                      <w:color w:val="auto"/>
                    </w:rPr>
                  </w:pPr>
                </w:p>
              </w:tc>
              <w:tc>
                <w:tcPr>
                  <w:tcW w:w="491" w:type="pct"/>
                  <w:vMerge w:val="continue"/>
                  <w:vAlign w:val="center"/>
                </w:tcPr>
                <w:p w14:paraId="0B4FFA4C">
                  <w:pPr>
                    <w:jc w:val="center"/>
                    <w:rPr>
                      <w:rFonts w:hint="default" w:ascii="Times New Roman" w:hAnsi="Times New Roman" w:eastAsia="宋体" w:cs="Times New Roman"/>
                      <w:color w:val="auto"/>
                    </w:rPr>
                  </w:pPr>
                </w:p>
              </w:tc>
              <w:tc>
                <w:tcPr>
                  <w:tcW w:w="474" w:type="pct"/>
                  <w:vMerge w:val="continue"/>
                  <w:vAlign w:val="center"/>
                </w:tcPr>
                <w:p w14:paraId="3501E6B7">
                  <w:pPr>
                    <w:jc w:val="center"/>
                    <w:rPr>
                      <w:rFonts w:hint="default" w:ascii="Times New Roman" w:hAnsi="Times New Roman" w:eastAsia="宋体" w:cs="Times New Roman"/>
                      <w:color w:val="auto"/>
                    </w:rPr>
                  </w:pPr>
                </w:p>
              </w:tc>
              <w:tc>
                <w:tcPr>
                  <w:tcW w:w="470" w:type="pct"/>
                  <w:vAlign w:val="center"/>
                </w:tcPr>
                <w:p w14:paraId="0862C48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4F2C29B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11户农户</w:t>
                  </w:r>
                </w:p>
              </w:tc>
              <w:tc>
                <w:tcPr>
                  <w:tcW w:w="552" w:type="pct"/>
                  <w:vAlign w:val="center"/>
                </w:tcPr>
                <w:p w14:paraId="2C037AB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东北侧</w:t>
                  </w:r>
                </w:p>
              </w:tc>
              <w:tc>
                <w:tcPr>
                  <w:tcW w:w="582" w:type="pct"/>
                  <w:vAlign w:val="center"/>
                </w:tcPr>
                <w:p w14:paraId="731AD66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188-500</w:t>
                  </w:r>
                </w:p>
              </w:tc>
              <w:tc>
                <w:tcPr>
                  <w:tcW w:w="735" w:type="pct"/>
                  <w:vMerge w:val="continue"/>
                  <w:vAlign w:val="center"/>
                </w:tcPr>
                <w:p w14:paraId="52869133">
                  <w:pPr>
                    <w:jc w:val="center"/>
                    <w:rPr>
                      <w:rFonts w:hint="default" w:ascii="Times New Roman" w:hAnsi="Times New Roman" w:eastAsia="宋体" w:cs="Times New Roman"/>
                      <w:color w:val="auto"/>
                    </w:rPr>
                  </w:pPr>
                </w:p>
              </w:tc>
            </w:tr>
            <w:tr w14:paraId="0C69ED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256" w:type="pct"/>
                  <w:vMerge w:val="continue"/>
                  <w:vAlign w:val="center"/>
                </w:tcPr>
                <w:p w14:paraId="4D446A86">
                  <w:pPr>
                    <w:jc w:val="center"/>
                    <w:rPr>
                      <w:rFonts w:hint="default" w:ascii="Times New Roman" w:hAnsi="Times New Roman" w:eastAsia="宋体" w:cs="Times New Roman"/>
                      <w:color w:val="auto"/>
                    </w:rPr>
                  </w:pPr>
                </w:p>
              </w:tc>
              <w:tc>
                <w:tcPr>
                  <w:tcW w:w="558" w:type="pct"/>
                  <w:vMerge w:val="continue"/>
                  <w:vAlign w:val="center"/>
                </w:tcPr>
                <w:p w14:paraId="7690605C">
                  <w:pPr>
                    <w:jc w:val="center"/>
                    <w:rPr>
                      <w:rFonts w:hint="default" w:ascii="Times New Roman" w:hAnsi="Times New Roman" w:eastAsia="宋体" w:cs="Times New Roman"/>
                      <w:color w:val="auto"/>
                    </w:rPr>
                  </w:pPr>
                </w:p>
              </w:tc>
              <w:tc>
                <w:tcPr>
                  <w:tcW w:w="491" w:type="pct"/>
                  <w:vMerge w:val="continue"/>
                  <w:vAlign w:val="center"/>
                </w:tcPr>
                <w:p w14:paraId="32403110">
                  <w:pPr>
                    <w:jc w:val="center"/>
                    <w:rPr>
                      <w:rFonts w:hint="default" w:ascii="Times New Roman" w:hAnsi="Times New Roman" w:eastAsia="宋体" w:cs="Times New Roman"/>
                      <w:color w:val="auto"/>
                    </w:rPr>
                  </w:pPr>
                </w:p>
              </w:tc>
              <w:tc>
                <w:tcPr>
                  <w:tcW w:w="474" w:type="pct"/>
                  <w:vMerge w:val="continue"/>
                  <w:vAlign w:val="center"/>
                </w:tcPr>
                <w:p w14:paraId="1DDC1125">
                  <w:pPr>
                    <w:jc w:val="center"/>
                    <w:rPr>
                      <w:rFonts w:hint="default" w:ascii="Times New Roman" w:hAnsi="Times New Roman" w:eastAsia="宋体" w:cs="Times New Roman"/>
                      <w:color w:val="auto"/>
                    </w:rPr>
                  </w:pPr>
                </w:p>
              </w:tc>
              <w:tc>
                <w:tcPr>
                  <w:tcW w:w="470" w:type="pct"/>
                  <w:vAlign w:val="center"/>
                </w:tcPr>
                <w:p w14:paraId="64A87C4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1FCA2D8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29户农户</w:t>
                  </w:r>
                </w:p>
              </w:tc>
              <w:tc>
                <w:tcPr>
                  <w:tcW w:w="552" w:type="pct"/>
                  <w:vAlign w:val="center"/>
                </w:tcPr>
                <w:p w14:paraId="6241CA7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东北侧</w:t>
                  </w:r>
                </w:p>
              </w:tc>
              <w:tc>
                <w:tcPr>
                  <w:tcW w:w="582" w:type="pct"/>
                  <w:vAlign w:val="center"/>
                </w:tcPr>
                <w:p w14:paraId="1D76E0E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167-500</w:t>
                  </w:r>
                </w:p>
              </w:tc>
              <w:tc>
                <w:tcPr>
                  <w:tcW w:w="735" w:type="pct"/>
                  <w:vMerge w:val="continue"/>
                  <w:vAlign w:val="center"/>
                </w:tcPr>
                <w:p w14:paraId="2BED641C">
                  <w:pPr>
                    <w:jc w:val="center"/>
                    <w:rPr>
                      <w:rFonts w:hint="default" w:ascii="Times New Roman" w:hAnsi="Times New Roman" w:eastAsia="宋体" w:cs="Times New Roman"/>
                      <w:color w:val="auto"/>
                    </w:rPr>
                  </w:pPr>
                </w:p>
              </w:tc>
            </w:tr>
            <w:tr w14:paraId="5A9D6A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5A0EC4AE">
                  <w:pPr>
                    <w:jc w:val="center"/>
                    <w:rPr>
                      <w:rFonts w:hint="default" w:ascii="Times New Roman" w:hAnsi="Times New Roman" w:eastAsia="宋体" w:cs="Times New Roman"/>
                      <w:color w:val="auto"/>
                    </w:rPr>
                  </w:pPr>
                </w:p>
              </w:tc>
              <w:tc>
                <w:tcPr>
                  <w:tcW w:w="558" w:type="pct"/>
                  <w:vMerge w:val="continue"/>
                  <w:vAlign w:val="center"/>
                </w:tcPr>
                <w:p w14:paraId="57846105">
                  <w:pPr>
                    <w:jc w:val="center"/>
                    <w:rPr>
                      <w:rFonts w:hint="default" w:ascii="Times New Roman" w:hAnsi="Times New Roman" w:eastAsia="宋体" w:cs="Times New Roman"/>
                      <w:color w:val="auto"/>
                    </w:rPr>
                  </w:pPr>
                </w:p>
              </w:tc>
              <w:tc>
                <w:tcPr>
                  <w:tcW w:w="491" w:type="pct"/>
                  <w:vMerge w:val="continue"/>
                  <w:vAlign w:val="center"/>
                </w:tcPr>
                <w:p w14:paraId="610B940A">
                  <w:pPr>
                    <w:jc w:val="center"/>
                    <w:rPr>
                      <w:rFonts w:hint="default" w:ascii="Times New Roman" w:hAnsi="Times New Roman" w:eastAsia="宋体" w:cs="Times New Roman"/>
                      <w:color w:val="auto"/>
                    </w:rPr>
                  </w:pPr>
                </w:p>
              </w:tc>
              <w:tc>
                <w:tcPr>
                  <w:tcW w:w="474" w:type="pct"/>
                  <w:vMerge w:val="continue"/>
                  <w:vAlign w:val="center"/>
                </w:tcPr>
                <w:p w14:paraId="2DADC8AE">
                  <w:pPr>
                    <w:jc w:val="center"/>
                    <w:rPr>
                      <w:rFonts w:hint="default" w:ascii="Times New Roman" w:hAnsi="Times New Roman" w:eastAsia="宋体" w:cs="Times New Roman"/>
                      <w:color w:val="auto"/>
                    </w:rPr>
                  </w:pPr>
                </w:p>
              </w:tc>
              <w:tc>
                <w:tcPr>
                  <w:tcW w:w="470" w:type="pct"/>
                  <w:vAlign w:val="center"/>
                </w:tcPr>
                <w:p w14:paraId="68F9937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6853A92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17户农户</w:t>
                  </w:r>
                </w:p>
              </w:tc>
              <w:tc>
                <w:tcPr>
                  <w:tcW w:w="552" w:type="pct"/>
                  <w:vAlign w:val="center"/>
                </w:tcPr>
                <w:p w14:paraId="6C7C558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72DF22E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183-500</w:t>
                  </w:r>
                </w:p>
              </w:tc>
              <w:tc>
                <w:tcPr>
                  <w:tcW w:w="735" w:type="pct"/>
                  <w:vMerge w:val="continue"/>
                  <w:vAlign w:val="center"/>
                </w:tcPr>
                <w:p w14:paraId="63D95644">
                  <w:pPr>
                    <w:jc w:val="center"/>
                    <w:rPr>
                      <w:rFonts w:hint="default" w:ascii="Times New Roman" w:hAnsi="Times New Roman" w:eastAsia="宋体" w:cs="Times New Roman"/>
                      <w:color w:val="auto"/>
                    </w:rPr>
                  </w:pPr>
                </w:p>
              </w:tc>
            </w:tr>
            <w:tr w14:paraId="38DDFB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7E5E5B62">
                  <w:pPr>
                    <w:jc w:val="center"/>
                    <w:rPr>
                      <w:rFonts w:hint="default" w:ascii="Times New Roman" w:hAnsi="Times New Roman" w:eastAsia="宋体" w:cs="Times New Roman"/>
                      <w:color w:val="auto"/>
                    </w:rPr>
                  </w:pPr>
                </w:p>
              </w:tc>
              <w:tc>
                <w:tcPr>
                  <w:tcW w:w="558" w:type="pct"/>
                  <w:vAlign w:val="center"/>
                </w:tcPr>
                <w:p w14:paraId="347DB83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105.025533</w:t>
                  </w:r>
                </w:p>
              </w:tc>
              <w:tc>
                <w:tcPr>
                  <w:tcW w:w="491" w:type="pct"/>
                  <w:vAlign w:val="center"/>
                </w:tcPr>
                <w:p w14:paraId="094FAE8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30.285301</w:t>
                  </w:r>
                </w:p>
              </w:tc>
              <w:tc>
                <w:tcPr>
                  <w:tcW w:w="474" w:type="pct"/>
                  <w:vAlign w:val="center"/>
                </w:tcPr>
                <w:p w14:paraId="41F58D9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w:t>
                  </w:r>
                </w:p>
              </w:tc>
              <w:tc>
                <w:tcPr>
                  <w:tcW w:w="470" w:type="pct"/>
                  <w:vAlign w:val="center"/>
                </w:tcPr>
                <w:p w14:paraId="03E019F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2DED100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36户农户</w:t>
                  </w:r>
                </w:p>
              </w:tc>
              <w:tc>
                <w:tcPr>
                  <w:tcW w:w="552" w:type="pct"/>
                  <w:vAlign w:val="center"/>
                </w:tcPr>
                <w:p w14:paraId="3E26311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南侧</w:t>
                  </w:r>
                </w:p>
              </w:tc>
              <w:tc>
                <w:tcPr>
                  <w:tcW w:w="582" w:type="pct"/>
                  <w:vAlign w:val="center"/>
                </w:tcPr>
                <w:p w14:paraId="7647F51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187-500</w:t>
                  </w:r>
                </w:p>
              </w:tc>
              <w:tc>
                <w:tcPr>
                  <w:tcW w:w="735" w:type="pct"/>
                  <w:vMerge w:val="continue"/>
                  <w:vAlign w:val="center"/>
                </w:tcPr>
                <w:p w14:paraId="3DE19242">
                  <w:pPr>
                    <w:jc w:val="center"/>
                    <w:rPr>
                      <w:rFonts w:hint="default" w:ascii="Times New Roman" w:hAnsi="Times New Roman" w:eastAsia="宋体" w:cs="Times New Roman"/>
                      <w:color w:val="auto"/>
                    </w:rPr>
                  </w:pPr>
                </w:p>
              </w:tc>
            </w:tr>
            <w:tr w14:paraId="135926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4DDBED5D">
                  <w:pPr>
                    <w:jc w:val="center"/>
                    <w:rPr>
                      <w:rFonts w:hint="default" w:ascii="Times New Roman" w:hAnsi="Times New Roman" w:eastAsia="宋体" w:cs="Times New Roman"/>
                      <w:color w:val="auto"/>
                    </w:rPr>
                  </w:pPr>
                </w:p>
              </w:tc>
              <w:tc>
                <w:tcPr>
                  <w:tcW w:w="558" w:type="pct"/>
                  <w:vAlign w:val="center"/>
                </w:tcPr>
                <w:p w14:paraId="6694619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104.996093</w:t>
                  </w:r>
                </w:p>
              </w:tc>
              <w:tc>
                <w:tcPr>
                  <w:tcW w:w="491" w:type="pct"/>
                  <w:vAlign w:val="center"/>
                </w:tcPr>
                <w:p w14:paraId="3C0985C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30.290708</w:t>
                  </w:r>
                </w:p>
              </w:tc>
              <w:tc>
                <w:tcPr>
                  <w:tcW w:w="474" w:type="pct"/>
                  <w:vAlign w:val="center"/>
                </w:tcPr>
                <w:p w14:paraId="5DFE48A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w:t>
                  </w:r>
                </w:p>
              </w:tc>
              <w:tc>
                <w:tcPr>
                  <w:tcW w:w="470" w:type="pct"/>
                  <w:vAlign w:val="center"/>
                </w:tcPr>
                <w:p w14:paraId="25015D8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5DF98E8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28户农户</w:t>
                  </w:r>
                </w:p>
              </w:tc>
              <w:tc>
                <w:tcPr>
                  <w:tcW w:w="552" w:type="pct"/>
                  <w:vAlign w:val="center"/>
                </w:tcPr>
                <w:p w14:paraId="77066CF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南侧</w:t>
                  </w:r>
                </w:p>
              </w:tc>
              <w:tc>
                <w:tcPr>
                  <w:tcW w:w="582" w:type="pct"/>
                  <w:vAlign w:val="center"/>
                </w:tcPr>
                <w:p w14:paraId="4FD0F5D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196-500</w:t>
                  </w:r>
                </w:p>
              </w:tc>
              <w:tc>
                <w:tcPr>
                  <w:tcW w:w="735" w:type="pct"/>
                  <w:vMerge w:val="continue"/>
                  <w:vAlign w:val="center"/>
                </w:tcPr>
                <w:p w14:paraId="7112062B">
                  <w:pPr>
                    <w:jc w:val="center"/>
                    <w:rPr>
                      <w:rFonts w:hint="default" w:ascii="Times New Roman" w:hAnsi="Times New Roman" w:eastAsia="宋体" w:cs="Times New Roman"/>
                      <w:color w:val="auto"/>
                    </w:rPr>
                  </w:pPr>
                </w:p>
              </w:tc>
            </w:tr>
            <w:tr w14:paraId="3B8102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6FD16F17">
                  <w:pPr>
                    <w:jc w:val="center"/>
                    <w:rPr>
                      <w:rFonts w:hint="default" w:ascii="Times New Roman" w:hAnsi="Times New Roman" w:eastAsia="宋体" w:cs="Times New Roman"/>
                      <w:color w:val="auto"/>
                    </w:rPr>
                  </w:pPr>
                </w:p>
              </w:tc>
              <w:tc>
                <w:tcPr>
                  <w:tcW w:w="558" w:type="pct"/>
                  <w:vAlign w:val="center"/>
                </w:tcPr>
                <w:p w14:paraId="44B62CD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105.006307</w:t>
                  </w:r>
                </w:p>
              </w:tc>
              <w:tc>
                <w:tcPr>
                  <w:tcW w:w="491" w:type="pct"/>
                  <w:vAlign w:val="center"/>
                </w:tcPr>
                <w:p w14:paraId="3E5BEDA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30.294399</w:t>
                  </w:r>
                </w:p>
              </w:tc>
              <w:tc>
                <w:tcPr>
                  <w:tcW w:w="474" w:type="pct"/>
                  <w:vAlign w:val="center"/>
                </w:tcPr>
                <w:p w14:paraId="54EFA99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4#</w:t>
                  </w:r>
                </w:p>
              </w:tc>
              <w:tc>
                <w:tcPr>
                  <w:tcW w:w="470" w:type="pct"/>
                  <w:vAlign w:val="center"/>
                </w:tcPr>
                <w:p w14:paraId="4AF5E53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6BA4082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6户农户</w:t>
                  </w:r>
                </w:p>
              </w:tc>
              <w:tc>
                <w:tcPr>
                  <w:tcW w:w="552" w:type="pct"/>
                  <w:vAlign w:val="center"/>
                </w:tcPr>
                <w:p w14:paraId="383172B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北侧</w:t>
                  </w:r>
                </w:p>
              </w:tc>
              <w:tc>
                <w:tcPr>
                  <w:tcW w:w="582" w:type="pct"/>
                  <w:vAlign w:val="center"/>
                </w:tcPr>
                <w:p w14:paraId="0D6585C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157-500</w:t>
                  </w:r>
                </w:p>
              </w:tc>
              <w:tc>
                <w:tcPr>
                  <w:tcW w:w="735" w:type="pct"/>
                  <w:vMerge w:val="continue"/>
                  <w:vAlign w:val="center"/>
                </w:tcPr>
                <w:p w14:paraId="6303D3DB">
                  <w:pPr>
                    <w:jc w:val="center"/>
                    <w:rPr>
                      <w:rFonts w:hint="default" w:ascii="Times New Roman" w:hAnsi="Times New Roman" w:eastAsia="宋体" w:cs="Times New Roman"/>
                      <w:color w:val="auto"/>
                    </w:rPr>
                  </w:pPr>
                </w:p>
              </w:tc>
            </w:tr>
            <w:tr w14:paraId="2FA955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51D41F9A">
                  <w:pPr>
                    <w:jc w:val="center"/>
                    <w:rPr>
                      <w:rFonts w:hint="default" w:ascii="Times New Roman" w:hAnsi="Times New Roman" w:eastAsia="宋体" w:cs="Times New Roman"/>
                      <w:color w:val="auto"/>
                    </w:rPr>
                  </w:pPr>
                </w:p>
              </w:tc>
              <w:tc>
                <w:tcPr>
                  <w:tcW w:w="558" w:type="pct"/>
                  <w:vAlign w:val="center"/>
                </w:tcPr>
                <w:p w14:paraId="5B52CE8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105.005020</w:t>
                  </w:r>
                </w:p>
              </w:tc>
              <w:tc>
                <w:tcPr>
                  <w:tcW w:w="491" w:type="pct"/>
                  <w:vAlign w:val="center"/>
                </w:tcPr>
                <w:p w14:paraId="517B7A2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30.300836</w:t>
                  </w:r>
                </w:p>
              </w:tc>
              <w:tc>
                <w:tcPr>
                  <w:tcW w:w="474" w:type="pct"/>
                  <w:vAlign w:val="center"/>
                </w:tcPr>
                <w:p w14:paraId="5580BC2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8#</w:t>
                  </w:r>
                </w:p>
              </w:tc>
              <w:tc>
                <w:tcPr>
                  <w:tcW w:w="470" w:type="pct"/>
                  <w:vAlign w:val="center"/>
                </w:tcPr>
                <w:p w14:paraId="617854D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6A6CB13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31户农户</w:t>
                  </w:r>
                </w:p>
              </w:tc>
              <w:tc>
                <w:tcPr>
                  <w:tcW w:w="552" w:type="pct"/>
                  <w:vAlign w:val="center"/>
                </w:tcPr>
                <w:p w14:paraId="407493A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西南侧</w:t>
                  </w:r>
                </w:p>
              </w:tc>
              <w:tc>
                <w:tcPr>
                  <w:tcW w:w="582" w:type="pct"/>
                  <w:vAlign w:val="center"/>
                </w:tcPr>
                <w:p w14:paraId="36CD302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186-500</w:t>
                  </w:r>
                </w:p>
              </w:tc>
              <w:tc>
                <w:tcPr>
                  <w:tcW w:w="735" w:type="pct"/>
                  <w:vMerge w:val="continue"/>
                  <w:vAlign w:val="center"/>
                </w:tcPr>
                <w:p w14:paraId="0DD8A7FB">
                  <w:pPr>
                    <w:jc w:val="center"/>
                    <w:rPr>
                      <w:rFonts w:hint="default" w:ascii="Times New Roman" w:hAnsi="Times New Roman" w:eastAsia="宋体" w:cs="Times New Roman"/>
                      <w:color w:val="auto"/>
                    </w:rPr>
                  </w:pPr>
                </w:p>
              </w:tc>
            </w:tr>
            <w:tr w14:paraId="18D1FE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655A92D7">
                  <w:pPr>
                    <w:jc w:val="center"/>
                    <w:rPr>
                      <w:rFonts w:hint="default" w:ascii="Times New Roman" w:hAnsi="Times New Roman" w:eastAsia="宋体" w:cs="Times New Roman"/>
                      <w:color w:val="auto"/>
                    </w:rPr>
                  </w:pPr>
                </w:p>
              </w:tc>
              <w:tc>
                <w:tcPr>
                  <w:tcW w:w="558" w:type="pct"/>
                  <w:vAlign w:val="center"/>
                </w:tcPr>
                <w:p w14:paraId="7485556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105.020040</w:t>
                  </w:r>
                </w:p>
              </w:tc>
              <w:tc>
                <w:tcPr>
                  <w:tcW w:w="491" w:type="pct"/>
                  <w:vAlign w:val="center"/>
                </w:tcPr>
                <w:p w14:paraId="6799879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30.317487</w:t>
                  </w:r>
                </w:p>
              </w:tc>
              <w:tc>
                <w:tcPr>
                  <w:tcW w:w="474" w:type="pct"/>
                  <w:vAlign w:val="center"/>
                </w:tcPr>
                <w:p w14:paraId="10B3B6F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w:t>
                  </w:r>
                </w:p>
              </w:tc>
              <w:tc>
                <w:tcPr>
                  <w:tcW w:w="470" w:type="pct"/>
                  <w:vAlign w:val="center"/>
                </w:tcPr>
                <w:p w14:paraId="237D285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60C6347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9户农户</w:t>
                  </w:r>
                </w:p>
              </w:tc>
              <w:tc>
                <w:tcPr>
                  <w:tcW w:w="552" w:type="pct"/>
                  <w:vAlign w:val="center"/>
                </w:tcPr>
                <w:p w14:paraId="576E2E4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东侧</w:t>
                  </w:r>
                </w:p>
              </w:tc>
              <w:tc>
                <w:tcPr>
                  <w:tcW w:w="582" w:type="pct"/>
                  <w:vAlign w:val="center"/>
                </w:tcPr>
                <w:p w14:paraId="5D33547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122-500</w:t>
                  </w:r>
                </w:p>
              </w:tc>
              <w:tc>
                <w:tcPr>
                  <w:tcW w:w="735" w:type="pct"/>
                  <w:vMerge w:val="continue"/>
                  <w:vAlign w:val="center"/>
                </w:tcPr>
                <w:p w14:paraId="2F758344">
                  <w:pPr>
                    <w:jc w:val="center"/>
                    <w:rPr>
                      <w:rFonts w:hint="default" w:ascii="Times New Roman" w:hAnsi="Times New Roman" w:eastAsia="宋体" w:cs="Times New Roman"/>
                      <w:color w:val="auto"/>
                    </w:rPr>
                  </w:pPr>
                </w:p>
              </w:tc>
            </w:tr>
            <w:tr w14:paraId="3B05C2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2DFFC8B2">
                  <w:pPr>
                    <w:jc w:val="center"/>
                    <w:rPr>
                      <w:rFonts w:hint="default" w:ascii="Times New Roman" w:hAnsi="Times New Roman" w:eastAsia="宋体" w:cs="Times New Roman"/>
                      <w:color w:val="auto"/>
                    </w:rPr>
                  </w:pPr>
                </w:p>
              </w:tc>
              <w:tc>
                <w:tcPr>
                  <w:tcW w:w="558" w:type="pct"/>
                  <w:vMerge w:val="restart"/>
                  <w:vAlign w:val="center"/>
                </w:tcPr>
                <w:p w14:paraId="5C1E024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105.033773</w:t>
                  </w:r>
                </w:p>
              </w:tc>
              <w:tc>
                <w:tcPr>
                  <w:tcW w:w="491" w:type="pct"/>
                  <w:vMerge w:val="restart"/>
                  <w:vAlign w:val="center"/>
                </w:tcPr>
                <w:p w14:paraId="522716E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30.306243</w:t>
                  </w:r>
                </w:p>
              </w:tc>
              <w:tc>
                <w:tcPr>
                  <w:tcW w:w="474" w:type="pct"/>
                  <w:vMerge w:val="restart"/>
                  <w:vAlign w:val="center"/>
                </w:tcPr>
                <w:p w14:paraId="7047868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11#</w:t>
                  </w:r>
                </w:p>
              </w:tc>
              <w:tc>
                <w:tcPr>
                  <w:tcW w:w="470" w:type="pct"/>
                  <w:vAlign w:val="center"/>
                </w:tcPr>
                <w:p w14:paraId="17F2D81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6518EE0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18户农户</w:t>
                  </w:r>
                </w:p>
              </w:tc>
              <w:tc>
                <w:tcPr>
                  <w:tcW w:w="552" w:type="pct"/>
                  <w:vAlign w:val="center"/>
                </w:tcPr>
                <w:p w14:paraId="10A2944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西北侧</w:t>
                  </w:r>
                </w:p>
              </w:tc>
              <w:tc>
                <w:tcPr>
                  <w:tcW w:w="582" w:type="pct"/>
                  <w:vAlign w:val="center"/>
                </w:tcPr>
                <w:p w14:paraId="78959FB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153-500</w:t>
                  </w:r>
                </w:p>
              </w:tc>
              <w:tc>
                <w:tcPr>
                  <w:tcW w:w="735" w:type="pct"/>
                  <w:vMerge w:val="continue"/>
                  <w:vAlign w:val="center"/>
                </w:tcPr>
                <w:p w14:paraId="5F5767EF">
                  <w:pPr>
                    <w:jc w:val="center"/>
                    <w:rPr>
                      <w:rFonts w:hint="default" w:ascii="Times New Roman" w:hAnsi="Times New Roman" w:eastAsia="宋体" w:cs="Times New Roman"/>
                      <w:color w:val="auto"/>
                    </w:rPr>
                  </w:pPr>
                </w:p>
              </w:tc>
            </w:tr>
            <w:tr w14:paraId="2CF511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7BA47651">
                  <w:pPr>
                    <w:jc w:val="center"/>
                    <w:rPr>
                      <w:rFonts w:hint="default" w:ascii="Times New Roman" w:hAnsi="Times New Roman" w:eastAsia="宋体" w:cs="Times New Roman"/>
                      <w:color w:val="auto"/>
                    </w:rPr>
                  </w:pPr>
                </w:p>
              </w:tc>
              <w:tc>
                <w:tcPr>
                  <w:tcW w:w="558" w:type="pct"/>
                  <w:vMerge w:val="continue"/>
                  <w:vAlign w:val="center"/>
                </w:tcPr>
                <w:p w14:paraId="402EC258">
                  <w:pPr>
                    <w:jc w:val="center"/>
                    <w:rPr>
                      <w:rFonts w:hint="default" w:ascii="Times New Roman" w:hAnsi="Times New Roman" w:eastAsia="宋体" w:cs="Times New Roman"/>
                      <w:color w:val="auto"/>
                    </w:rPr>
                  </w:pPr>
                </w:p>
              </w:tc>
              <w:tc>
                <w:tcPr>
                  <w:tcW w:w="491" w:type="pct"/>
                  <w:vMerge w:val="continue"/>
                  <w:vAlign w:val="center"/>
                </w:tcPr>
                <w:p w14:paraId="3F332B58">
                  <w:pPr>
                    <w:jc w:val="center"/>
                    <w:rPr>
                      <w:rFonts w:hint="default" w:ascii="Times New Roman" w:hAnsi="Times New Roman" w:eastAsia="宋体" w:cs="Times New Roman"/>
                      <w:color w:val="auto"/>
                    </w:rPr>
                  </w:pPr>
                </w:p>
              </w:tc>
              <w:tc>
                <w:tcPr>
                  <w:tcW w:w="474" w:type="pct"/>
                  <w:vMerge w:val="continue"/>
                  <w:vAlign w:val="center"/>
                </w:tcPr>
                <w:p w14:paraId="691A5A99">
                  <w:pPr>
                    <w:jc w:val="center"/>
                    <w:rPr>
                      <w:rFonts w:hint="default" w:ascii="Times New Roman" w:hAnsi="Times New Roman" w:eastAsia="宋体" w:cs="Times New Roman"/>
                      <w:color w:val="auto"/>
                    </w:rPr>
                  </w:pPr>
                </w:p>
              </w:tc>
              <w:tc>
                <w:tcPr>
                  <w:tcW w:w="470" w:type="pct"/>
                  <w:vAlign w:val="center"/>
                </w:tcPr>
                <w:p w14:paraId="3B7DEB6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1FC43D0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7户农户</w:t>
                  </w:r>
                </w:p>
              </w:tc>
              <w:tc>
                <w:tcPr>
                  <w:tcW w:w="552" w:type="pct"/>
                  <w:vAlign w:val="center"/>
                </w:tcPr>
                <w:p w14:paraId="0EC4812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6F19420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160-500</w:t>
                  </w:r>
                </w:p>
              </w:tc>
              <w:tc>
                <w:tcPr>
                  <w:tcW w:w="735" w:type="pct"/>
                  <w:vMerge w:val="continue"/>
                  <w:vAlign w:val="center"/>
                </w:tcPr>
                <w:p w14:paraId="72D53B06">
                  <w:pPr>
                    <w:jc w:val="center"/>
                    <w:rPr>
                      <w:rFonts w:hint="default" w:ascii="Times New Roman" w:hAnsi="Times New Roman" w:eastAsia="宋体" w:cs="Times New Roman"/>
                      <w:color w:val="auto"/>
                    </w:rPr>
                  </w:pPr>
                </w:p>
              </w:tc>
            </w:tr>
            <w:tr w14:paraId="0B7A1B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1CCB3556">
                  <w:pPr>
                    <w:jc w:val="center"/>
                    <w:rPr>
                      <w:rFonts w:hint="default" w:ascii="Times New Roman" w:hAnsi="Times New Roman" w:eastAsia="宋体" w:cs="Times New Roman"/>
                      <w:color w:val="auto"/>
                    </w:rPr>
                  </w:pPr>
                </w:p>
              </w:tc>
              <w:tc>
                <w:tcPr>
                  <w:tcW w:w="558" w:type="pct"/>
                  <w:vMerge w:val="continue"/>
                  <w:vAlign w:val="center"/>
                </w:tcPr>
                <w:p w14:paraId="2E2F5CF6">
                  <w:pPr>
                    <w:jc w:val="center"/>
                    <w:rPr>
                      <w:rFonts w:hint="default" w:ascii="Times New Roman" w:hAnsi="Times New Roman" w:eastAsia="宋体" w:cs="Times New Roman"/>
                      <w:color w:val="auto"/>
                    </w:rPr>
                  </w:pPr>
                </w:p>
              </w:tc>
              <w:tc>
                <w:tcPr>
                  <w:tcW w:w="491" w:type="pct"/>
                  <w:vMerge w:val="continue"/>
                  <w:vAlign w:val="center"/>
                </w:tcPr>
                <w:p w14:paraId="02544600">
                  <w:pPr>
                    <w:jc w:val="center"/>
                    <w:rPr>
                      <w:rFonts w:hint="default" w:ascii="Times New Roman" w:hAnsi="Times New Roman" w:eastAsia="宋体" w:cs="Times New Roman"/>
                      <w:color w:val="auto"/>
                    </w:rPr>
                  </w:pPr>
                </w:p>
              </w:tc>
              <w:tc>
                <w:tcPr>
                  <w:tcW w:w="474" w:type="pct"/>
                  <w:vMerge w:val="continue"/>
                  <w:vAlign w:val="center"/>
                </w:tcPr>
                <w:p w14:paraId="2C74EC40">
                  <w:pPr>
                    <w:jc w:val="center"/>
                    <w:rPr>
                      <w:rFonts w:hint="default" w:ascii="Times New Roman" w:hAnsi="Times New Roman" w:eastAsia="宋体" w:cs="Times New Roman"/>
                      <w:color w:val="auto"/>
                    </w:rPr>
                  </w:pPr>
                </w:p>
              </w:tc>
              <w:tc>
                <w:tcPr>
                  <w:tcW w:w="470" w:type="pct"/>
                  <w:vAlign w:val="center"/>
                </w:tcPr>
                <w:p w14:paraId="4C1F6C5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61159DC1">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15户农户</w:t>
                  </w:r>
                </w:p>
              </w:tc>
              <w:tc>
                <w:tcPr>
                  <w:tcW w:w="552" w:type="pct"/>
                  <w:vAlign w:val="center"/>
                </w:tcPr>
                <w:p w14:paraId="140F709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西南侧</w:t>
                  </w:r>
                </w:p>
              </w:tc>
              <w:tc>
                <w:tcPr>
                  <w:tcW w:w="582" w:type="pct"/>
                  <w:vAlign w:val="center"/>
                </w:tcPr>
                <w:p w14:paraId="5262F59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138-500</w:t>
                  </w:r>
                </w:p>
              </w:tc>
              <w:tc>
                <w:tcPr>
                  <w:tcW w:w="735" w:type="pct"/>
                  <w:vMerge w:val="continue"/>
                  <w:vAlign w:val="center"/>
                </w:tcPr>
                <w:p w14:paraId="5812D7CD">
                  <w:pPr>
                    <w:jc w:val="center"/>
                    <w:rPr>
                      <w:rFonts w:hint="default" w:ascii="Times New Roman" w:hAnsi="Times New Roman" w:eastAsia="宋体" w:cs="Times New Roman"/>
                      <w:color w:val="auto"/>
                    </w:rPr>
                  </w:pPr>
                </w:p>
              </w:tc>
            </w:tr>
            <w:tr w14:paraId="2FC810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3F220873">
                  <w:pPr>
                    <w:jc w:val="center"/>
                    <w:rPr>
                      <w:rFonts w:hint="default" w:ascii="Times New Roman" w:hAnsi="Times New Roman" w:eastAsia="宋体" w:cs="Times New Roman"/>
                      <w:color w:val="auto"/>
                    </w:rPr>
                  </w:pPr>
                </w:p>
              </w:tc>
              <w:tc>
                <w:tcPr>
                  <w:tcW w:w="558" w:type="pct"/>
                  <w:vMerge w:val="restart"/>
                  <w:vAlign w:val="center"/>
                </w:tcPr>
                <w:p w14:paraId="68EB153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105.049480</w:t>
                  </w:r>
                </w:p>
              </w:tc>
              <w:tc>
                <w:tcPr>
                  <w:tcW w:w="491" w:type="pct"/>
                  <w:vMerge w:val="restart"/>
                  <w:vAlign w:val="center"/>
                </w:tcPr>
                <w:p w14:paraId="56EABB8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30.298090</w:t>
                  </w:r>
                </w:p>
              </w:tc>
              <w:tc>
                <w:tcPr>
                  <w:tcW w:w="474" w:type="pct"/>
                  <w:vMerge w:val="restart"/>
                  <w:vAlign w:val="center"/>
                </w:tcPr>
                <w:p w14:paraId="69614AF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12#</w:t>
                  </w:r>
                </w:p>
              </w:tc>
              <w:tc>
                <w:tcPr>
                  <w:tcW w:w="470" w:type="pct"/>
                  <w:vAlign w:val="center"/>
                </w:tcPr>
                <w:p w14:paraId="699FCD5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687B59D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30户农户</w:t>
                  </w:r>
                </w:p>
              </w:tc>
              <w:tc>
                <w:tcPr>
                  <w:tcW w:w="552" w:type="pct"/>
                  <w:vAlign w:val="center"/>
                </w:tcPr>
                <w:p w14:paraId="0B916F7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西侧</w:t>
                  </w:r>
                </w:p>
              </w:tc>
              <w:tc>
                <w:tcPr>
                  <w:tcW w:w="582" w:type="pct"/>
                  <w:vAlign w:val="center"/>
                </w:tcPr>
                <w:p w14:paraId="4CCD2E2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132-500</w:t>
                  </w:r>
                </w:p>
              </w:tc>
              <w:tc>
                <w:tcPr>
                  <w:tcW w:w="735" w:type="pct"/>
                  <w:vMerge w:val="continue"/>
                  <w:vAlign w:val="center"/>
                </w:tcPr>
                <w:p w14:paraId="72313D99">
                  <w:pPr>
                    <w:jc w:val="center"/>
                    <w:rPr>
                      <w:rFonts w:hint="default" w:ascii="Times New Roman" w:hAnsi="Times New Roman" w:eastAsia="宋体" w:cs="Times New Roman"/>
                      <w:color w:val="auto"/>
                    </w:rPr>
                  </w:pPr>
                </w:p>
              </w:tc>
            </w:tr>
            <w:tr w14:paraId="5B7B1A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418EE1CE">
                  <w:pPr>
                    <w:jc w:val="center"/>
                    <w:rPr>
                      <w:rFonts w:hint="default" w:ascii="Times New Roman" w:hAnsi="Times New Roman" w:eastAsia="宋体" w:cs="Times New Roman"/>
                      <w:color w:val="auto"/>
                    </w:rPr>
                  </w:pPr>
                </w:p>
              </w:tc>
              <w:tc>
                <w:tcPr>
                  <w:tcW w:w="558" w:type="pct"/>
                  <w:vMerge w:val="continue"/>
                  <w:vAlign w:val="center"/>
                </w:tcPr>
                <w:p w14:paraId="1F8B8D3B">
                  <w:pPr>
                    <w:jc w:val="center"/>
                    <w:rPr>
                      <w:rFonts w:hint="default" w:ascii="Times New Roman" w:hAnsi="Times New Roman" w:eastAsia="宋体" w:cs="Times New Roman"/>
                      <w:color w:val="auto"/>
                    </w:rPr>
                  </w:pPr>
                </w:p>
              </w:tc>
              <w:tc>
                <w:tcPr>
                  <w:tcW w:w="491" w:type="pct"/>
                  <w:vMerge w:val="continue"/>
                  <w:vAlign w:val="center"/>
                </w:tcPr>
                <w:p w14:paraId="66339013">
                  <w:pPr>
                    <w:jc w:val="center"/>
                    <w:rPr>
                      <w:rFonts w:hint="default" w:ascii="Times New Roman" w:hAnsi="Times New Roman" w:eastAsia="宋体" w:cs="Times New Roman"/>
                      <w:color w:val="auto"/>
                    </w:rPr>
                  </w:pPr>
                </w:p>
              </w:tc>
              <w:tc>
                <w:tcPr>
                  <w:tcW w:w="474" w:type="pct"/>
                  <w:vMerge w:val="continue"/>
                  <w:vAlign w:val="center"/>
                </w:tcPr>
                <w:p w14:paraId="55303FF0">
                  <w:pPr>
                    <w:jc w:val="center"/>
                    <w:rPr>
                      <w:rFonts w:hint="default" w:ascii="Times New Roman" w:hAnsi="Times New Roman" w:eastAsia="宋体" w:cs="Times New Roman"/>
                      <w:color w:val="auto"/>
                    </w:rPr>
                  </w:pPr>
                </w:p>
              </w:tc>
              <w:tc>
                <w:tcPr>
                  <w:tcW w:w="470" w:type="pct"/>
                  <w:vAlign w:val="center"/>
                </w:tcPr>
                <w:p w14:paraId="27E35B6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63EBDBE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17户农户</w:t>
                  </w:r>
                </w:p>
              </w:tc>
              <w:tc>
                <w:tcPr>
                  <w:tcW w:w="552" w:type="pct"/>
                  <w:vAlign w:val="center"/>
                </w:tcPr>
                <w:p w14:paraId="5B45ED7F">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东南侧</w:t>
                  </w:r>
                </w:p>
              </w:tc>
              <w:tc>
                <w:tcPr>
                  <w:tcW w:w="582" w:type="pct"/>
                  <w:vAlign w:val="center"/>
                </w:tcPr>
                <w:p w14:paraId="0C04974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142-500</w:t>
                  </w:r>
                </w:p>
              </w:tc>
              <w:tc>
                <w:tcPr>
                  <w:tcW w:w="735" w:type="pct"/>
                  <w:vMerge w:val="continue"/>
                  <w:vAlign w:val="center"/>
                </w:tcPr>
                <w:p w14:paraId="6A08B9F1">
                  <w:pPr>
                    <w:jc w:val="center"/>
                    <w:rPr>
                      <w:rFonts w:hint="default" w:ascii="Times New Roman" w:hAnsi="Times New Roman" w:eastAsia="宋体" w:cs="Times New Roman"/>
                      <w:color w:val="auto"/>
                    </w:rPr>
                  </w:pPr>
                </w:p>
              </w:tc>
            </w:tr>
            <w:tr w14:paraId="611F47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435FE949">
                  <w:pPr>
                    <w:jc w:val="center"/>
                    <w:rPr>
                      <w:rFonts w:hint="default" w:ascii="Times New Roman" w:hAnsi="Times New Roman" w:eastAsia="宋体" w:cs="Times New Roman"/>
                      <w:color w:val="auto"/>
                    </w:rPr>
                  </w:pPr>
                </w:p>
              </w:tc>
              <w:tc>
                <w:tcPr>
                  <w:tcW w:w="558" w:type="pct"/>
                  <w:vAlign w:val="center"/>
                </w:tcPr>
                <w:p w14:paraId="635BD1C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105.049995</w:t>
                  </w:r>
                </w:p>
              </w:tc>
              <w:tc>
                <w:tcPr>
                  <w:tcW w:w="491" w:type="pct"/>
                  <w:vAlign w:val="center"/>
                </w:tcPr>
                <w:p w14:paraId="77682A3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30.289335</w:t>
                  </w:r>
                </w:p>
              </w:tc>
              <w:tc>
                <w:tcPr>
                  <w:tcW w:w="474" w:type="pct"/>
                  <w:vAlign w:val="center"/>
                </w:tcPr>
                <w:p w14:paraId="54F04DC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13#</w:t>
                  </w:r>
                </w:p>
              </w:tc>
              <w:tc>
                <w:tcPr>
                  <w:tcW w:w="470" w:type="pct"/>
                  <w:vAlign w:val="center"/>
                </w:tcPr>
                <w:p w14:paraId="7AB2B29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46D8A258">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15户农户</w:t>
                  </w:r>
                </w:p>
              </w:tc>
              <w:tc>
                <w:tcPr>
                  <w:tcW w:w="552" w:type="pct"/>
                  <w:vAlign w:val="center"/>
                </w:tcPr>
                <w:p w14:paraId="6A294EA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西南侧</w:t>
                  </w:r>
                </w:p>
              </w:tc>
              <w:tc>
                <w:tcPr>
                  <w:tcW w:w="582" w:type="pct"/>
                  <w:vAlign w:val="center"/>
                </w:tcPr>
                <w:p w14:paraId="48FE9BE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147-500</w:t>
                  </w:r>
                </w:p>
              </w:tc>
              <w:tc>
                <w:tcPr>
                  <w:tcW w:w="735" w:type="pct"/>
                  <w:vMerge w:val="continue"/>
                  <w:vAlign w:val="center"/>
                </w:tcPr>
                <w:p w14:paraId="7513A62E">
                  <w:pPr>
                    <w:jc w:val="center"/>
                    <w:rPr>
                      <w:rFonts w:hint="default" w:ascii="Times New Roman" w:hAnsi="Times New Roman" w:eastAsia="宋体" w:cs="Times New Roman"/>
                      <w:color w:val="auto"/>
                    </w:rPr>
                  </w:pPr>
                </w:p>
              </w:tc>
            </w:tr>
            <w:tr w14:paraId="22115E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6" w:type="pct"/>
                  <w:vMerge w:val="continue"/>
                  <w:vAlign w:val="center"/>
                </w:tcPr>
                <w:p w14:paraId="681DEE3C">
                  <w:pPr>
                    <w:jc w:val="center"/>
                    <w:rPr>
                      <w:rFonts w:hint="default" w:ascii="Times New Roman" w:hAnsi="Times New Roman" w:eastAsia="宋体" w:cs="Times New Roman"/>
                      <w:color w:val="auto"/>
                    </w:rPr>
                  </w:pPr>
                </w:p>
              </w:tc>
              <w:tc>
                <w:tcPr>
                  <w:tcW w:w="558" w:type="pct"/>
                  <w:vAlign w:val="center"/>
                </w:tcPr>
                <w:p w14:paraId="5B5916C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105.036262</w:t>
                  </w:r>
                </w:p>
              </w:tc>
              <w:tc>
                <w:tcPr>
                  <w:tcW w:w="491" w:type="pct"/>
                  <w:vAlign w:val="center"/>
                </w:tcPr>
                <w:p w14:paraId="4FE8D48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30.285086</w:t>
                  </w:r>
                </w:p>
              </w:tc>
              <w:tc>
                <w:tcPr>
                  <w:tcW w:w="474" w:type="pct"/>
                  <w:vAlign w:val="center"/>
                </w:tcPr>
                <w:p w14:paraId="6402882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14#</w:t>
                  </w:r>
                </w:p>
              </w:tc>
              <w:tc>
                <w:tcPr>
                  <w:tcW w:w="470" w:type="pct"/>
                  <w:vAlign w:val="center"/>
                </w:tcPr>
                <w:p w14:paraId="386C725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农户</w:t>
                  </w:r>
                </w:p>
              </w:tc>
              <w:tc>
                <w:tcPr>
                  <w:tcW w:w="878" w:type="pct"/>
                  <w:vAlign w:val="center"/>
                </w:tcPr>
                <w:p w14:paraId="1850305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15户农户</w:t>
                  </w:r>
                </w:p>
              </w:tc>
              <w:tc>
                <w:tcPr>
                  <w:tcW w:w="552" w:type="pct"/>
                  <w:vAlign w:val="center"/>
                </w:tcPr>
                <w:p w14:paraId="50AA8676">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西南</w:t>
                  </w:r>
                </w:p>
              </w:tc>
              <w:tc>
                <w:tcPr>
                  <w:tcW w:w="582" w:type="pct"/>
                  <w:vAlign w:val="center"/>
                </w:tcPr>
                <w:p w14:paraId="3492A91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193-500</w:t>
                  </w:r>
                </w:p>
              </w:tc>
              <w:tc>
                <w:tcPr>
                  <w:tcW w:w="735" w:type="pct"/>
                  <w:vMerge w:val="continue"/>
                  <w:vAlign w:val="center"/>
                </w:tcPr>
                <w:p w14:paraId="100A2A1E">
                  <w:pPr>
                    <w:jc w:val="center"/>
                    <w:rPr>
                      <w:rFonts w:hint="default" w:ascii="Times New Roman" w:hAnsi="Times New Roman" w:eastAsia="宋体" w:cs="Times New Roman"/>
                      <w:color w:val="auto"/>
                    </w:rPr>
                  </w:pPr>
                </w:p>
              </w:tc>
            </w:tr>
          </w:tbl>
          <w:p w14:paraId="7A56BD29">
            <w:pPr>
              <w:spacing w:before="3" w:line="360" w:lineRule="auto"/>
              <w:ind w:left="113" w:right="106" w:firstLine="486"/>
              <w:jc w:val="both"/>
              <w:rPr>
                <w:rFonts w:hint="default" w:ascii="Times New Roman" w:hAnsi="Times New Roman" w:eastAsia="宋体" w:cs="Times New Roman"/>
                <w:color w:val="auto"/>
                <w:sz w:val="24"/>
                <w:szCs w:val="24"/>
              </w:rPr>
            </w:pPr>
          </w:p>
          <w:p w14:paraId="1F9FFC13">
            <w:pPr>
              <w:spacing w:before="226" w:line="184" w:lineRule="auto"/>
              <w:ind w:firstLine="2767"/>
              <w:rPr>
                <w:rFonts w:hint="default" w:ascii="Times New Roman" w:hAnsi="Times New Roman" w:eastAsia="宋体" w:cs="Times New Roman"/>
                <w:color w:val="auto"/>
                <w:sz w:val="24"/>
                <w:szCs w:val="24"/>
              </w:rPr>
            </w:pPr>
          </w:p>
        </w:tc>
      </w:tr>
      <w:tr w14:paraId="4A015A1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5" w:hRule="atLeast"/>
          <w:jc w:val="center"/>
        </w:trPr>
        <w:tc>
          <w:tcPr>
            <w:tcW w:w="476" w:type="dxa"/>
            <w:tcBorders>
              <w:top w:val="single" w:color="auto" w:sz="4" w:space="0"/>
            </w:tcBorders>
            <w:textDirection w:val="tbRlV"/>
            <w:vAlign w:val="center"/>
          </w:tcPr>
          <w:p w14:paraId="0F8975C2">
            <w:pPr>
              <w:spacing w:before="109" w:line="180" w:lineRule="auto"/>
              <w:ind w:firstLine="131"/>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1"/>
                <w:sz w:val="24"/>
                <w:szCs w:val="24"/>
              </w:rPr>
              <w:t>评价标准</w:t>
            </w:r>
          </w:p>
        </w:tc>
        <w:tc>
          <w:tcPr>
            <w:tcW w:w="8311" w:type="dxa"/>
            <w:tcBorders>
              <w:top w:val="single" w:color="auto" w:sz="4" w:space="0"/>
              <w:bottom w:val="single" w:color="auto" w:sz="4" w:space="0"/>
            </w:tcBorders>
            <w:vAlign w:val="center"/>
          </w:tcPr>
          <w:p w14:paraId="51EB9F40">
            <w:pPr>
              <w:spacing w:before="55" w:line="360" w:lineRule="auto"/>
              <w:ind w:firstLine="597"/>
              <w:outlineLvl w:val="1"/>
              <w:rPr>
                <w:rFonts w:hint="default" w:ascii="Times New Roman" w:hAnsi="Times New Roman" w:eastAsia="宋体" w:cs="Times New Roman"/>
                <w:b/>
                <w:bCs/>
                <w:color w:val="auto"/>
                <w:spacing w:val="-2"/>
                <w:sz w:val="28"/>
                <w:szCs w:val="28"/>
              </w:rPr>
            </w:pPr>
            <w:bookmarkStart w:id="37" w:name="_Toc10713"/>
            <w:r>
              <w:rPr>
                <w:rFonts w:hint="default" w:ascii="Times New Roman" w:hAnsi="Times New Roman" w:eastAsia="宋体" w:cs="Times New Roman"/>
                <w:b/>
                <w:bCs/>
                <w:color w:val="auto"/>
                <w:spacing w:val="-2"/>
                <w:sz w:val="28"/>
                <w:szCs w:val="28"/>
              </w:rPr>
              <w:t>三、评价标准</w:t>
            </w:r>
            <w:bookmarkEnd w:id="37"/>
          </w:p>
          <w:p w14:paraId="155B8234">
            <w:pPr>
              <w:spacing w:before="55" w:line="184" w:lineRule="auto"/>
              <w:ind w:firstLine="597"/>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pacing w:val="-2"/>
                <w:sz w:val="24"/>
                <w:szCs w:val="24"/>
              </w:rPr>
              <w:t>1、环境质量标准</w:t>
            </w:r>
          </w:p>
          <w:p w14:paraId="36EC48F2">
            <w:pPr>
              <w:spacing w:before="226" w:line="360" w:lineRule="auto"/>
              <w:ind w:firstLine="612"/>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6"/>
                <w:sz w:val="24"/>
                <w:szCs w:val="24"/>
              </w:rPr>
              <w:t>（1）环境空气质量标准</w:t>
            </w:r>
          </w:p>
          <w:p w14:paraId="028DC190">
            <w:pPr>
              <w:spacing w:before="3" w:line="360" w:lineRule="auto"/>
              <w:ind w:left="113" w:right="106" w:firstLine="486"/>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1"/>
                <w:sz w:val="24"/>
                <w:szCs w:val="24"/>
              </w:rPr>
              <w:t>项</w:t>
            </w:r>
            <w:r>
              <w:rPr>
                <w:rFonts w:hint="default" w:ascii="Times New Roman" w:hAnsi="Times New Roman" w:eastAsia="宋体" w:cs="Times New Roman"/>
                <w:color w:val="auto"/>
                <w:sz w:val="24"/>
                <w:szCs w:val="24"/>
              </w:rPr>
              <w:t>目区域大气环境质量执行《环境空气质量标准》（GB3095-2012）二级标准，标准值见下表：</w:t>
            </w:r>
          </w:p>
          <w:p w14:paraId="4854EE0F">
            <w:pPr>
              <w:spacing w:before="3"/>
              <w:ind w:right="106"/>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spacing w:val="-7"/>
                <w:position w:val="1"/>
              </w:rPr>
              <w:t>表3-18  环境空气质量标准（GB3095-2012）</w:t>
            </w:r>
          </w:p>
          <w:tbl>
            <w:tblPr>
              <w:tblStyle w:val="43"/>
              <w:tblW w:w="7937"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717"/>
              <w:gridCol w:w="1956"/>
              <w:gridCol w:w="4264"/>
            </w:tblGrid>
            <w:tr w14:paraId="48D65C2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jc w:val="center"/>
              </w:trPr>
              <w:tc>
                <w:tcPr>
                  <w:tcW w:w="1717" w:type="dxa"/>
                  <w:vAlign w:val="center"/>
                </w:tcPr>
                <w:p w14:paraId="5224BFC2">
                  <w:pPr>
                    <w:spacing w:before="91" w:line="184" w:lineRule="auto"/>
                    <w:ind w:firstLine="406"/>
                    <w:rPr>
                      <w:rFonts w:hint="default" w:ascii="Times New Roman" w:hAnsi="Times New Roman" w:eastAsia="宋体" w:cs="Times New Roman"/>
                      <w:color w:val="auto"/>
                    </w:rPr>
                  </w:pPr>
                  <w:r>
                    <w:rPr>
                      <w:rFonts w:hint="default" w:ascii="Times New Roman" w:hAnsi="Times New Roman" w:eastAsia="宋体" w:cs="Times New Roman"/>
                      <w:color w:val="auto"/>
                      <w:spacing w:val="-3"/>
                    </w:rPr>
                    <w:t>污染物名称</w:t>
                  </w:r>
                </w:p>
              </w:tc>
              <w:tc>
                <w:tcPr>
                  <w:tcW w:w="1956" w:type="dxa"/>
                  <w:vAlign w:val="center"/>
                </w:tcPr>
                <w:p w14:paraId="039F8F5A">
                  <w:pPr>
                    <w:spacing w:before="91" w:line="184" w:lineRule="auto"/>
                    <w:ind w:firstLine="580"/>
                    <w:rPr>
                      <w:rFonts w:hint="default" w:ascii="Times New Roman" w:hAnsi="Times New Roman" w:eastAsia="宋体" w:cs="Times New Roman"/>
                      <w:color w:val="auto"/>
                    </w:rPr>
                  </w:pPr>
                  <w:r>
                    <w:rPr>
                      <w:rFonts w:hint="default" w:ascii="Times New Roman" w:hAnsi="Times New Roman" w:eastAsia="宋体" w:cs="Times New Roman"/>
                      <w:color w:val="auto"/>
                      <w:spacing w:val="-3"/>
                    </w:rPr>
                    <w:t>取值时段</w:t>
                  </w:r>
                </w:p>
              </w:tc>
              <w:tc>
                <w:tcPr>
                  <w:tcW w:w="4264" w:type="dxa"/>
                  <w:vAlign w:val="center"/>
                </w:tcPr>
                <w:p w14:paraId="2A9B0AF0">
                  <w:pPr>
                    <w:spacing w:before="91" w:line="184" w:lineRule="auto"/>
                    <w:ind w:firstLine="859"/>
                    <w:rPr>
                      <w:rFonts w:hint="default" w:ascii="Times New Roman" w:hAnsi="Times New Roman" w:eastAsia="宋体" w:cs="Times New Roman"/>
                      <w:color w:val="auto"/>
                    </w:rPr>
                  </w:pPr>
                  <w:r>
                    <w:rPr>
                      <w:rFonts w:hint="default" w:ascii="Times New Roman" w:hAnsi="Times New Roman" w:eastAsia="宋体" w:cs="Times New Roman"/>
                      <w:color w:val="auto"/>
                      <w:spacing w:val="-2"/>
                    </w:rPr>
                    <w:t>二级标准限值（标准状态）</w:t>
                  </w:r>
                </w:p>
              </w:tc>
            </w:tr>
            <w:tr w14:paraId="3BE6049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jc w:val="center"/>
              </w:trPr>
              <w:tc>
                <w:tcPr>
                  <w:tcW w:w="1717" w:type="dxa"/>
                  <w:vMerge w:val="restart"/>
                  <w:tcBorders>
                    <w:bottom w:val="nil"/>
                  </w:tcBorders>
                  <w:vAlign w:val="center"/>
                </w:tcPr>
                <w:p w14:paraId="333C6DD0">
                  <w:pPr>
                    <w:spacing w:before="160" w:line="184" w:lineRule="auto"/>
                    <w:ind w:firstLine="307"/>
                    <w:rPr>
                      <w:rFonts w:hint="default" w:ascii="Times New Roman" w:hAnsi="Times New Roman" w:eastAsia="宋体" w:cs="Times New Roman"/>
                      <w:color w:val="auto"/>
                    </w:rPr>
                  </w:pPr>
                  <w:r>
                    <w:rPr>
                      <w:rFonts w:hint="default" w:ascii="Times New Roman" w:hAnsi="Times New Roman" w:eastAsia="宋体" w:cs="Times New Roman"/>
                      <w:color w:val="auto"/>
                      <w:spacing w:val="-3"/>
                    </w:rPr>
                    <w:t>总悬浮颗粒物</w:t>
                  </w:r>
                </w:p>
                <w:p w14:paraId="667FC94F">
                  <w:pPr>
                    <w:spacing w:before="61" w:line="184" w:lineRule="auto"/>
                    <w:ind w:firstLine="547"/>
                    <w:rPr>
                      <w:rFonts w:hint="default" w:ascii="Times New Roman" w:hAnsi="Times New Roman" w:eastAsia="宋体" w:cs="Times New Roman"/>
                      <w:color w:val="auto"/>
                    </w:rPr>
                  </w:pPr>
                  <w:r>
                    <w:rPr>
                      <w:rFonts w:hint="default" w:ascii="Times New Roman" w:hAnsi="Times New Roman" w:eastAsia="宋体" w:cs="Times New Roman"/>
                      <w:color w:val="auto"/>
                      <w:spacing w:val="-4"/>
                    </w:rPr>
                    <w:t>（TSP）</w:t>
                  </w:r>
                </w:p>
              </w:tc>
              <w:tc>
                <w:tcPr>
                  <w:tcW w:w="1956" w:type="dxa"/>
                  <w:vAlign w:val="center"/>
                </w:tcPr>
                <w:p w14:paraId="2BBB95E0">
                  <w:pPr>
                    <w:spacing w:before="92" w:line="184" w:lineRule="auto"/>
                    <w:ind w:firstLine="684"/>
                    <w:rPr>
                      <w:rFonts w:hint="default" w:ascii="Times New Roman" w:hAnsi="Times New Roman" w:eastAsia="宋体" w:cs="Times New Roman"/>
                      <w:color w:val="auto"/>
                    </w:rPr>
                  </w:pPr>
                  <w:r>
                    <w:rPr>
                      <w:rFonts w:hint="default" w:ascii="Times New Roman" w:hAnsi="Times New Roman" w:eastAsia="宋体" w:cs="Times New Roman"/>
                      <w:color w:val="auto"/>
                      <w:spacing w:val="-4"/>
                    </w:rPr>
                    <w:t>年平均</w:t>
                  </w:r>
                </w:p>
              </w:tc>
              <w:tc>
                <w:tcPr>
                  <w:tcW w:w="4264" w:type="dxa"/>
                  <w:vAlign w:val="center"/>
                </w:tcPr>
                <w:p w14:paraId="154912D0">
                  <w:pPr>
                    <w:spacing w:before="129" w:line="180" w:lineRule="auto"/>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2"/>
                    </w:rPr>
                    <w:t>200</w:t>
                  </w:r>
                  <w:r>
                    <w:rPr>
                      <w:rFonts w:hint="default" w:ascii="Times New Roman" w:hAnsi="Times New Roman" w:eastAsia="宋体" w:cs="Times New Roman"/>
                      <w:color w:val="auto"/>
                      <w:spacing w:val="-6"/>
                    </w:rPr>
                    <w:t>μg/m</w:t>
                  </w:r>
                  <w:r>
                    <w:rPr>
                      <w:rFonts w:hint="default" w:ascii="Times New Roman" w:hAnsi="Times New Roman" w:eastAsia="宋体" w:cs="Times New Roman"/>
                      <w:color w:val="auto"/>
                      <w:spacing w:val="-6"/>
                      <w:vertAlign w:val="superscript"/>
                    </w:rPr>
                    <w:t>3</w:t>
                  </w:r>
                </w:p>
              </w:tc>
            </w:tr>
            <w:tr w14:paraId="3852D64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jc w:val="center"/>
              </w:trPr>
              <w:tc>
                <w:tcPr>
                  <w:tcW w:w="1717" w:type="dxa"/>
                  <w:vMerge w:val="continue"/>
                  <w:tcBorders>
                    <w:top w:val="nil"/>
                  </w:tcBorders>
                  <w:vAlign w:val="center"/>
                </w:tcPr>
                <w:p w14:paraId="50EEDBF1">
                  <w:pPr>
                    <w:rPr>
                      <w:rFonts w:hint="default" w:ascii="Times New Roman" w:hAnsi="Times New Roman" w:eastAsia="宋体" w:cs="Times New Roman"/>
                      <w:color w:val="auto"/>
                    </w:rPr>
                  </w:pPr>
                </w:p>
              </w:tc>
              <w:tc>
                <w:tcPr>
                  <w:tcW w:w="1956" w:type="dxa"/>
                  <w:vAlign w:val="center"/>
                </w:tcPr>
                <w:p w14:paraId="4DBD33E2">
                  <w:pPr>
                    <w:spacing w:before="93" w:line="184" w:lineRule="auto"/>
                    <w:ind w:firstLine="444"/>
                    <w:rPr>
                      <w:rFonts w:hint="default" w:ascii="Times New Roman" w:hAnsi="Times New Roman" w:eastAsia="宋体" w:cs="Times New Roman"/>
                      <w:color w:val="auto"/>
                    </w:rPr>
                  </w:pPr>
                  <w:r>
                    <w:rPr>
                      <w:rFonts w:hint="default" w:ascii="Times New Roman" w:hAnsi="Times New Roman" w:eastAsia="宋体" w:cs="Times New Roman"/>
                      <w:color w:val="auto"/>
                      <w:spacing w:val="-4"/>
                    </w:rPr>
                    <w:t>24小时平均</w:t>
                  </w:r>
                </w:p>
              </w:tc>
              <w:tc>
                <w:tcPr>
                  <w:tcW w:w="4264" w:type="dxa"/>
                  <w:vAlign w:val="center"/>
                </w:tcPr>
                <w:p w14:paraId="1B44A74F">
                  <w:pPr>
                    <w:spacing w:before="130" w:line="180" w:lineRule="auto"/>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3"/>
                    </w:rPr>
                    <w:t>300</w:t>
                  </w:r>
                  <w:r>
                    <w:rPr>
                      <w:rFonts w:hint="default" w:ascii="Times New Roman" w:hAnsi="Times New Roman" w:eastAsia="宋体" w:cs="Times New Roman"/>
                      <w:color w:val="auto"/>
                      <w:spacing w:val="-6"/>
                    </w:rPr>
                    <w:t>μg/m</w:t>
                  </w:r>
                  <w:r>
                    <w:rPr>
                      <w:rFonts w:hint="default" w:ascii="Times New Roman" w:hAnsi="Times New Roman" w:eastAsia="宋体" w:cs="Times New Roman"/>
                      <w:color w:val="auto"/>
                      <w:spacing w:val="-6"/>
                      <w:vertAlign w:val="superscript"/>
                    </w:rPr>
                    <w:t>3</w:t>
                  </w:r>
                </w:p>
              </w:tc>
            </w:tr>
            <w:tr w14:paraId="5DFFC91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jc w:val="center"/>
              </w:trPr>
              <w:tc>
                <w:tcPr>
                  <w:tcW w:w="1717" w:type="dxa"/>
                  <w:vMerge w:val="restart"/>
                  <w:tcBorders>
                    <w:bottom w:val="nil"/>
                  </w:tcBorders>
                  <w:vAlign w:val="center"/>
                </w:tcPr>
                <w:p w14:paraId="7937191B">
                  <w:pPr>
                    <w:spacing w:before="159" w:line="184" w:lineRule="auto"/>
                    <w:ind w:firstLine="303"/>
                    <w:rPr>
                      <w:rFonts w:hint="default" w:ascii="Times New Roman" w:hAnsi="Times New Roman" w:eastAsia="宋体" w:cs="Times New Roman"/>
                      <w:color w:val="auto"/>
                    </w:rPr>
                  </w:pPr>
                  <w:r>
                    <w:rPr>
                      <w:rFonts w:hint="default" w:ascii="Times New Roman" w:hAnsi="Times New Roman" w:eastAsia="宋体" w:cs="Times New Roman"/>
                      <w:color w:val="auto"/>
                      <w:spacing w:val="-2"/>
                    </w:rPr>
                    <w:t>可吸入颗粒物</w:t>
                  </w:r>
                </w:p>
                <w:p w14:paraId="59CDEF24">
                  <w:pPr>
                    <w:spacing w:before="61" w:line="184" w:lineRule="auto"/>
                    <w:ind w:firstLine="506"/>
                    <w:rPr>
                      <w:rFonts w:hint="default" w:ascii="Times New Roman" w:hAnsi="Times New Roman" w:eastAsia="宋体" w:cs="Times New Roman"/>
                      <w:color w:val="auto"/>
                    </w:rPr>
                  </w:pPr>
                  <w:r>
                    <w:rPr>
                      <w:rFonts w:hint="default" w:ascii="Times New Roman" w:hAnsi="Times New Roman" w:eastAsia="宋体" w:cs="Times New Roman"/>
                      <w:color w:val="auto"/>
                      <w:spacing w:val="-3"/>
                    </w:rPr>
                    <w:t>（PM</w:t>
                  </w:r>
                  <w:r>
                    <w:rPr>
                      <w:rFonts w:hint="default" w:ascii="Times New Roman" w:hAnsi="Times New Roman" w:eastAsia="宋体" w:cs="Times New Roman"/>
                      <w:color w:val="auto"/>
                      <w:spacing w:val="-3"/>
                      <w:position w:val="-1"/>
                      <w:sz w:val="14"/>
                      <w:szCs w:val="14"/>
                    </w:rPr>
                    <w:t>10</w:t>
                  </w:r>
                  <w:r>
                    <w:rPr>
                      <w:rFonts w:hint="default" w:ascii="Times New Roman" w:hAnsi="Times New Roman" w:eastAsia="宋体" w:cs="Times New Roman"/>
                      <w:color w:val="auto"/>
                      <w:spacing w:val="-3"/>
                    </w:rPr>
                    <w:t>）</w:t>
                  </w:r>
                </w:p>
              </w:tc>
              <w:tc>
                <w:tcPr>
                  <w:tcW w:w="1956" w:type="dxa"/>
                  <w:vAlign w:val="center"/>
                </w:tcPr>
                <w:p w14:paraId="121AB7DD">
                  <w:pPr>
                    <w:spacing w:before="92" w:line="184" w:lineRule="auto"/>
                    <w:ind w:firstLine="684"/>
                    <w:rPr>
                      <w:rFonts w:hint="default" w:ascii="Times New Roman" w:hAnsi="Times New Roman" w:eastAsia="宋体" w:cs="Times New Roman"/>
                      <w:color w:val="auto"/>
                    </w:rPr>
                  </w:pPr>
                  <w:r>
                    <w:rPr>
                      <w:rFonts w:hint="default" w:ascii="Times New Roman" w:hAnsi="Times New Roman" w:eastAsia="宋体" w:cs="Times New Roman"/>
                      <w:color w:val="auto"/>
                      <w:spacing w:val="-4"/>
                    </w:rPr>
                    <w:t>年平均</w:t>
                  </w:r>
                </w:p>
              </w:tc>
              <w:tc>
                <w:tcPr>
                  <w:tcW w:w="4264" w:type="dxa"/>
                  <w:vAlign w:val="center"/>
                </w:tcPr>
                <w:p w14:paraId="267C62BF">
                  <w:pPr>
                    <w:spacing w:before="129" w:line="180" w:lineRule="auto"/>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4"/>
                    </w:rPr>
                    <w:t>70</w:t>
                  </w:r>
                  <w:r>
                    <w:rPr>
                      <w:rFonts w:hint="default" w:ascii="Times New Roman" w:hAnsi="Times New Roman" w:eastAsia="宋体" w:cs="Times New Roman"/>
                      <w:color w:val="auto"/>
                      <w:spacing w:val="-6"/>
                    </w:rPr>
                    <w:t>μg/m</w:t>
                  </w:r>
                  <w:r>
                    <w:rPr>
                      <w:rFonts w:hint="default" w:ascii="Times New Roman" w:hAnsi="Times New Roman" w:eastAsia="宋体" w:cs="Times New Roman"/>
                      <w:color w:val="auto"/>
                      <w:spacing w:val="-6"/>
                      <w:vertAlign w:val="superscript"/>
                    </w:rPr>
                    <w:t>3</w:t>
                  </w:r>
                </w:p>
              </w:tc>
            </w:tr>
            <w:tr w14:paraId="4ECECDF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jc w:val="center"/>
              </w:trPr>
              <w:tc>
                <w:tcPr>
                  <w:tcW w:w="1717" w:type="dxa"/>
                  <w:vMerge w:val="continue"/>
                  <w:tcBorders>
                    <w:top w:val="nil"/>
                  </w:tcBorders>
                  <w:vAlign w:val="center"/>
                </w:tcPr>
                <w:p w14:paraId="2E47D12C">
                  <w:pPr>
                    <w:rPr>
                      <w:rFonts w:hint="default" w:ascii="Times New Roman" w:hAnsi="Times New Roman" w:eastAsia="宋体" w:cs="Times New Roman"/>
                      <w:color w:val="auto"/>
                    </w:rPr>
                  </w:pPr>
                </w:p>
              </w:tc>
              <w:tc>
                <w:tcPr>
                  <w:tcW w:w="1956" w:type="dxa"/>
                  <w:vAlign w:val="center"/>
                </w:tcPr>
                <w:p w14:paraId="1580BAFA">
                  <w:pPr>
                    <w:spacing w:before="93" w:line="184" w:lineRule="auto"/>
                    <w:ind w:firstLine="444"/>
                    <w:rPr>
                      <w:rFonts w:hint="default" w:ascii="Times New Roman" w:hAnsi="Times New Roman" w:eastAsia="宋体" w:cs="Times New Roman"/>
                      <w:color w:val="auto"/>
                    </w:rPr>
                  </w:pPr>
                  <w:r>
                    <w:rPr>
                      <w:rFonts w:hint="default" w:ascii="Times New Roman" w:hAnsi="Times New Roman" w:eastAsia="宋体" w:cs="Times New Roman"/>
                      <w:color w:val="auto"/>
                      <w:spacing w:val="-4"/>
                    </w:rPr>
                    <w:t>24小时平均</w:t>
                  </w:r>
                </w:p>
              </w:tc>
              <w:tc>
                <w:tcPr>
                  <w:tcW w:w="4264" w:type="dxa"/>
                  <w:vAlign w:val="center"/>
                </w:tcPr>
                <w:p w14:paraId="74B279F3">
                  <w:pPr>
                    <w:spacing w:before="130" w:line="180" w:lineRule="auto"/>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8"/>
                    </w:rPr>
                    <w:t>150</w:t>
                  </w:r>
                  <w:r>
                    <w:rPr>
                      <w:rFonts w:hint="default" w:ascii="Times New Roman" w:hAnsi="Times New Roman" w:eastAsia="宋体" w:cs="Times New Roman"/>
                      <w:color w:val="auto"/>
                      <w:spacing w:val="-6"/>
                    </w:rPr>
                    <w:t>μg/m</w:t>
                  </w:r>
                  <w:r>
                    <w:rPr>
                      <w:rFonts w:hint="default" w:ascii="Times New Roman" w:hAnsi="Times New Roman" w:eastAsia="宋体" w:cs="Times New Roman"/>
                      <w:color w:val="auto"/>
                      <w:spacing w:val="-6"/>
                      <w:vertAlign w:val="superscript"/>
                    </w:rPr>
                    <w:t>3</w:t>
                  </w:r>
                </w:p>
              </w:tc>
            </w:tr>
            <w:tr w14:paraId="11E6811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jc w:val="center"/>
              </w:trPr>
              <w:tc>
                <w:tcPr>
                  <w:tcW w:w="1717" w:type="dxa"/>
                  <w:vMerge w:val="restart"/>
                  <w:tcBorders>
                    <w:bottom w:val="nil"/>
                  </w:tcBorders>
                  <w:vAlign w:val="center"/>
                </w:tcPr>
                <w:p w14:paraId="24C950D9">
                  <w:pPr>
                    <w:spacing w:before="159" w:line="184" w:lineRule="auto"/>
                    <w:ind w:firstLine="303"/>
                    <w:rPr>
                      <w:rFonts w:hint="default" w:ascii="Times New Roman" w:hAnsi="Times New Roman" w:eastAsia="宋体" w:cs="Times New Roman"/>
                      <w:color w:val="auto"/>
                    </w:rPr>
                  </w:pPr>
                  <w:r>
                    <w:rPr>
                      <w:rFonts w:hint="default" w:ascii="Times New Roman" w:hAnsi="Times New Roman" w:eastAsia="宋体" w:cs="Times New Roman"/>
                      <w:color w:val="auto"/>
                      <w:spacing w:val="-2"/>
                    </w:rPr>
                    <w:t>可吸入颗粒物</w:t>
                  </w:r>
                </w:p>
                <w:p w14:paraId="52B5B724">
                  <w:pPr>
                    <w:spacing w:before="64" w:line="184" w:lineRule="auto"/>
                    <w:ind w:firstLine="489"/>
                    <w:rPr>
                      <w:rFonts w:hint="default" w:ascii="Times New Roman" w:hAnsi="Times New Roman" w:eastAsia="宋体" w:cs="Times New Roman"/>
                      <w:color w:val="auto"/>
                    </w:rPr>
                  </w:pPr>
                  <w:r>
                    <w:rPr>
                      <w:rFonts w:hint="default" w:ascii="Times New Roman" w:hAnsi="Times New Roman" w:eastAsia="宋体" w:cs="Times New Roman"/>
                      <w:color w:val="auto"/>
                      <w:spacing w:val="-3"/>
                    </w:rPr>
                    <w:t>（PM</w:t>
                  </w:r>
                  <w:r>
                    <w:rPr>
                      <w:rFonts w:hint="default" w:ascii="Times New Roman" w:hAnsi="Times New Roman" w:eastAsia="宋体" w:cs="Times New Roman"/>
                      <w:color w:val="auto"/>
                      <w:spacing w:val="-3"/>
                      <w:position w:val="-1"/>
                      <w:sz w:val="14"/>
                      <w:szCs w:val="14"/>
                    </w:rPr>
                    <w:t>2.5</w:t>
                  </w:r>
                  <w:r>
                    <w:rPr>
                      <w:rFonts w:hint="default" w:ascii="Times New Roman" w:hAnsi="Times New Roman" w:eastAsia="宋体" w:cs="Times New Roman"/>
                      <w:color w:val="auto"/>
                      <w:spacing w:val="-3"/>
                    </w:rPr>
                    <w:t>）</w:t>
                  </w:r>
                </w:p>
              </w:tc>
              <w:tc>
                <w:tcPr>
                  <w:tcW w:w="1956" w:type="dxa"/>
                  <w:vAlign w:val="center"/>
                </w:tcPr>
                <w:p w14:paraId="6242D3F9">
                  <w:pPr>
                    <w:spacing w:before="92" w:line="184" w:lineRule="auto"/>
                    <w:ind w:firstLine="684"/>
                    <w:rPr>
                      <w:rFonts w:hint="default" w:ascii="Times New Roman" w:hAnsi="Times New Roman" w:eastAsia="宋体" w:cs="Times New Roman"/>
                      <w:color w:val="auto"/>
                    </w:rPr>
                  </w:pPr>
                  <w:r>
                    <w:rPr>
                      <w:rFonts w:hint="default" w:ascii="Times New Roman" w:hAnsi="Times New Roman" w:eastAsia="宋体" w:cs="Times New Roman"/>
                      <w:color w:val="auto"/>
                      <w:spacing w:val="-4"/>
                    </w:rPr>
                    <w:t>年平均</w:t>
                  </w:r>
                </w:p>
              </w:tc>
              <w:tc>
                <w:tcPr>
                  <w:tcW w:w="4264" w:type="dxa"/>
                  <w:vAlign w:val="center"/>
                </w:tcPr>
                <w:p w14:paraId="3E790649">
                  <w:pPr>
                    <w:spacing w:before="128" w:line="180" w:lineRule="auto"/>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5"/>
                    </w:rPr>
                    <w:t>35</w:t>
                  </w:r>
                  <w:r>
                    <w:rPr>
                      <w:rFonts w:hint="default" w:ascii="Times New Roman" w:hAnsi="Times New Roman" w:eastAsia="宋体" w:cs="Times New Roman"/>
                      <w:color w:val="auto"/>
                      <w:spacing w:val="-6"/>
                    </w:rPr>
                    <w:t>μg/m</w:t>
                  </w:r>
                  <w:r>
                    <w:rPr>
                      <w:rFonts w:hint="default" w:ascii="Times New Roman" w:hAnsi="Times New Roman" w:eastAsia="宋体" w:cs="Times New Roman"/>
                      <w:color w:val="auto"/>
                      <w:spacing w:val="-6"/>
                      <w:vertAlign w:val="superscript"/>
                    </w:rPr>
                    <w:t>3</w:t>
                  </w:r>
                </w:p>
              </w:tc>
            </w:tr>
            <w:tr w14:paraId="78DD850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jc w:val="center"/>
              </w:trPr>
              <w:tc>
                <w:tcPr>
                  <w:tcW w:w="1717" w:type="dxa"/>
                  <w:vMerge w:val="continue"/>
                  <w:tcBorders>
                    <w:top w:val="nil"/>
                  </w:tcBorders>
                  <w:vAlign w:val="center"/>
                </w:tcPr>
                <w:p w14:paraId="5D24AB94">
                  <w:pPr>
                    <w:rPr>
                      <w:rFonts w:hint="default" w:ascii="Times New Roman" w:hAnsi="Times New Roman" w:eastAsia="宋体" w:cs="Times New Roman"/>
                      <w:color w:val="auto"/>
                    </w:rPr>
                  </w:pPr>
                </w:p>
              </w:tc>
              <w:tc>
                <w:tcPr>
                  <w:tcW w:w="1956" w:type="dxa"/>
                  <w:vAlign w:val="center"/>
                </w:tcPr>
                <w:p w14:paraId="04A97E96">
                  <w:pPr>
                    <w:spacing w:before="93" w:line="184" w:lineRule="auto"/>
                    <w:ind w:firstLine="444"/>
                    <w:rPr>
                      <w:rFonts w:hint="default" w:ascii="Times New Roman" w:hAnsi="Times New Roman" w:eastAsia="宋体" w:cs="Times New Roman"/>
                      <w:color w:val="auto"/>
                    </w:rPr>
                  </w:pPr>
                  <w:r>
                    <w:rPr>
                      <w:rFonts w:hint="default" w:ascii="Times New Roman" w:hAnsi="Times New Roman" w:eastAsia="宋体" w:cs="Times New Roman"/>
                      <w:color w:val="auto"/>
                      <w:spacing w:val="-4"/>
                    </w:rPr>
                    <w:t>24小时平均</w:t>
                  </w:r>
                </w:p>
              </w:tc>
              <w:tc>
                <w:tcPr>
                  <w:tcW w:w="4264" w:type="dxa"/>
                  <w:vAlign w:val="center"/>
                </w:tcPr>
                <w:p w14:paraId="2B31EE11">
                  <w:pPr>
                    <w:spacing w:before="133" w:line="180" w:lineRule="auto"/>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4"/>
                    </w:rPr>
                    <w:t>75</w:t>
                  </w:r>
                  <w:r>
                    <w:rPr>
                      <w:rFonts w:hint="default" w:ascii="Times New Roman" w:hAnsi="Times New Roman" w:eastAsia="宋体" w:cs="Times New Roman"/>
                      <w:color w:val="auto"/>
                      <w:spacing w:val="-6"/>
                    </w:rPr>
                    <w:t>μg/m</w:t>
                  </w:r>
                  <w:r>
                    <w:rPr>
                      <w:rFonts w:hint="default" w:ascii="Times New Roman" w:hAnsi="Times New Roman" w:eastAsia="宋体" w:cs="Times New Roman"/>
                      <w:color w:val="auto"/>
                      <w:spacing w:val="-6"/>
                      <w:vertAlign w:val="superscript"/>
                    </w:rPr>
                    <w:t>3</w:t>
                  </w:r>
                </w:p>
              </w:tc>
            </w:tr>
            <w:tr w14:paraId="5838F4B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jc w:val="center"/>
              </w:trPr>
              <w:tc>
                <w:tcPr>
                  <w:tcW w:w="1717" w:type="dxa"/>
                  <w:vMerge w:val="restart"/>
                  <w:tcBorders>
                    <w:bottom w:val="nil"/>
                  </w:tcBorders>
                  <w:vAlign w:val="center"/>
                </w:tcPr>
                <w:p w14:paraId="0A6E96EF">
                  <w:pPr>
                    <w:spacing w:before="68" w:line="241" w:lineRule="auto"/>
                    <w:ind w:firstLine="514"/>
                    <w:rPr>
                      <w:rFonts w:hint="default" w:ascii="Times New Roman" w:hAnsi="Times New Roman" w:eastAsia="宋体" w:cs="Times New Roman"/>
                      <w:color w:val="auto"/>
                    </w:rPr>
                  </w:pPr>
                  <w:r>
                    <w:rPr>
                      <w:rFonts w:hint="default" w:ascii="Times New Roman" w:hAnsi="Times New Roman" w:eastAsia="宋体" w:cs="Times New Roman"/>
                      <w:color w:val="auto"/>
                      <w:spacing w:val="-4"/>
                    </w:rPr>
                    <w:t>二氧化硫</w:t>
                  </w:r>
                </w:p>
                <w:p w14:paraId="171873DC">
                  <w:pPr>
                    <w:spacing w:line="204" w:lineRule="auto"/>
                    <w:ind w:firstLine="559"/>
                    <w:rPr>
                      <w:rFonts w:hint="default" w:ascii="Times New Roman" w:hAnsi="Times New Roman" w:eastAsia="宋体" w:cs="Times New Roman"/>
                      <w:color w:val="auto"/>
                    </w:rPr>
                  </w:pPr>
                  <w:r>
                    <w:rPr>
                      <w:rFonts w:hint="default" w:ascii="Times New Roman" w:hAnsi="Times New Roman" w:eastAsia="宋体" w:cs="Times New Roman"/>
                      <w:color w:val="auto"/>
                      <w:spacing w:val="-4"/>
                    </w:rPr>
                    <w:t>（SO</w:t>
                  </w:r>
                  <w:r>
                    <w:rPr>
                      <w:rFonts w:hint="default" w:ascii="Times New Roman" w:hAnsi="Times New Roman" w:eastAsia="宋体" w:cs="Times New Roman"/>
                      <w:color w:val="auto"/>
                      <w:spacing w:val="-4"/>
                      <w:position w:val="-1"/>
                      <w:sz w:val="14"/>
                      <w:szCs w:val="14"/>
                    </w:rPr>
                    <w:t>2</w:t>
                  </w:r>
                  <w:r>
                    <w:rPr>
                      <w:rFonts w:hint="default" w:ascii="Times New Roman" w:hAnsi="Times New Roman" w:eastAsia="宋体" w:cs="Times New Roman"/>
                      <w:color w:val="auto"/>
                      <w:spacing w:val="-4"/>
                    </w:rPr>
                    <w:t>）</w:t>
                  </w:r>
                </w:p>
              </w:tc>
              <w:tc>
                <w:tcPr>
                  <w:tcW w:w="1956" w:type="dxa"/>
                  <w:vAlign w:val="center"/>
                </w:tcPr>
                <w:p w14:paraId="1FFC8B73">
                  <w:pPr>
                    <w:spacing w:before="91" w:line="184" w:lineRule="auto"/>
                    <w:ind w:firstLine="684"/>
                    <w:rPr>
                      <w:rFonts w:hint="default" w:ascii="Times New Roman" w:hAnsi="Times New Roman" w:eastAsia="宋体" w:cs="Times New Roman"/>
                      <w:color w:val="auto"/>
                    </w:rPr>
                  </w:pPr>
                  <w:r>
                    <w:rPr>
                      <w:rFonts w:hint="default" w:ascii="Times New Roman" w:hAnsi="Times New Roman" w:eastAsia="宋体" w:cs="Times New Roman"/>
                      <w:color w:val="auto"/>
                      <w:spacing w:val="-4"/>
                    </w:rPr>
                    <w:t>年平均</w:t>
                  </w:r>
                </w:p>
              </w:tc>
              <w:tc>
                <w:tcPr>
                  <w:tcW w:w="4264" w:type="dxa"/>
                  <w:vAlign w:val="center"/>
                </w:tcPr>
                <w:p w14:paraId="44E19EAA">
                  <w:pPr>
                    <w:spacing w:before="128" w:line="180" w:lineRule="auto"/>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5"/>
                    </w:rPr>
                    <w:t>60</w:t>
                  </w:r>
                  <w:r>
                    <w:rPr>
                      <w:rFonts w:hint="default" w:ascii="Times New Roman" w:hAnsi="Times New Roman" w:eastAsia="宋体" w:cs="Times New Roman"/>
                      <w:color w:val="auto"/>
                      <w:spacing w:val="-6"/>
                    </w:rPr>
                    <w:t>μg/m</w:t>
                  </w:r>
                  <w:r>
                    <w:rPr>
                      <w:rFonts w:hint="default" w:ascii="Times New Roman" w:hAnsi="Times New Roman" w:eastAsia="宋体" w:cs="Times New Roman"/>
                      <w:color w:val="auto"/>
                      <w:spacing w:val="-6"/>
                      <w:vertAlign w:val="superscript"/>
                    </w:rPr>
                    <w:t>3</w:t>
                  </w:r>
                </w:p>
              </w:tc>
            </w:tr>
            <w:tr w14:paraId="61B4236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jc w:val="center"/>
              </w:trPr>
              <w:tc>
                <w:tcPr>
                  <w:tcW w:w="1717" w:type="dxa"/>
                  <w:vMerge w:val="continue"/>
                  <w:tcBorders>
                    <w:top w:val="nil"/>
                    <w:bottom w:val="nil"/>
                  </w:tcBorders>
                  <w:vAlign w:val="center"/>
                </w:tcPr>
                <w:p w14:paraId="445C21D4">
                  <w:pPr>
                    <w:rPr>
                      <w:rFonts w:hint="default" w:ascii="Times New Roman" w:hAnsi="Times New Roman" w:eastAsia="宋体" w:cs="Times New Roman"/>
                      <w:color w:val="auto"/>
                    </w:rPr>
                  </w:pPr>
                </w:p>
              </w:tc>
              <w:tc>
                <w:tcPr>
                  <w:tcW w:w="1956" w:type="dxa"/>
                  <w:vAlign w:val="center"/>
                </w:tcPr>
                <w:p w14:paraId="660EBD93">
                  <w:pPr>
                    <w:spacing w:before="92" w:line="184" w:lineRule="auto"/>
                    <w:ind w:firstLine="444"/>
                    <w:rPr>
                      <w:rFonts w:hint="default" w:ascii="Times New Roman" w:hAnsi="Times New Roman" w:eastAsia="宋体" w:cs="Times New Roman"/>
                      <w:color w:val="auto"/>
                    </w:rPr>
                  </w:pPr>
                  <w:r>
                    <w:rPr>
                      <w:rFonts w:hint="default" w:ascii="Times New Roman" w:hAnsi="Times New Roman" w:eastAsia="宋体" w:cs="Times New Roman"/>
                      <w:color w:val="auto"/>
                      <w:spacing w:val="-4"/>
                    </w:rPr>
                    <w:t>24小时平均</w:t>
                  </w:r>
                </w:p>
              </w:tc>
              <w:tc>
                <w:tcPr>
                  <w:tcW w:w="4264" w:type="dxa"/>
                  <w:vAlign w:val="center"/>
                </w:tcPr>
                <w:p w14:paraId="575C7F0B">
                  <w:pPr>
                    <w:spacing w:before="129" w:line="180" w:lineRule="auto"/>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8"/>
                    </w:rPr>
                    <w:t>150</w:t>
                  </w:r>
                  <w:r>
                    <w:rPr>
                      <w:rFonts w:hint="default" w:ascii="Times New Roman" w:hAnsi="Times New Roman" w:eastAsia="宋体" w:cs="Times New Roman"/>
                      <w:color w:val="auto"/>
                      <w:spacing w:val="-6"/>
                    </w:rPr>
                    <w:t>μg/m</w:t>
                  </w:r>
                  <w:r>
                    <w:rPr>
                      <w:rFonts w:hint="default" w:ascii="Times New Roman" w:hAnsi="Times New Roman" w:eastAsia="宋体" w:cs="Times New Roman"/>
                      <w:color w:val="auto"/>
                      <w:spacing w:val="-6"/>
                      <w:vertAlign w:val="superscript"/>
                    </w:rPr>
                    <w:t>3</w:t>
                  </w:r>
                </w:p>
              </w:tc>
            </w:tr>
            <w:tr w14:paraId="2FF66BF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jc w:val="center"/>
              </w:trPr>
              <w:tc>
                <w:tcPr>
                  <w:tcW w:w="1717" w:type="dxa"/>
                  <w:vMerge w:val="continue"/>
                  <w:tcBorders>
                    <w:top w:val="nil"/>
                  </w:tcBorders>
                  <w:vAlign w:val="center"/>
                </w:tcPr>
                <w:p w14:paraId="573BC0A3">
                  <w:pPr>
                    <w:rPr>
                      <w:rFonts w:hint="default" w:ascii="Times New Roman" w:hAnsi="Times New Roman" w:eastAsia="宋体" w:cs="Times New Roman"/>
                      <w:color w:val="auto"/>
                    </w:rPr>
                  </w:pPr>
                </w:p>
              </w:tc>
              <w:tc>
                <w:tcPr>
                  <w:tcW w:w="1956" w:type="dxa"/>
                  <w:vAlign w:val="center"/>
                </w:tcPr>
                <w:p w14:paraId="225F377D">
                  <w:pPr>
                    <w:spacing w:before="93" w:line="184" w:lineRule="auto"/>
                    <w:ind w:firstLine="517"/>
                    <w:rPr>
                      <w:rFonts w:hint="default" w:ascii="Times New Roman" w:hAnsi="Times New Roman" w:eastAsia="宋体" w:cs="Times New Roman"/>
                      <w:color w:val="auto"/>
                    </w:rPr>
                  </w:pPr>
                  <w:r>
                    <w:rPr>
                      <w:rFonts w:hint="default" w:ascii="Times New Roman" w:hAnsi="Times New Roman" w:eastAsia="宋体" w:cs="Times New Roman"/>
                      <w:color w:val="auto"/>
                      <w:spacing w:val="-8"/>
                    </w:rPr>
                    <w:t>1小时平均</w:t>
                  </w:r>
                </w:p>
              </w:tc>
              <w:tc>
                <w:tcPr>
                  <w:tcW w:w="4264" w:type="dxa"/>
                  <w:vAlign w:val="center"/>
                </w:tcPr>
                <w:p w14:paraId="45C23109">
                  <w:pPr>
                    <w:spacing w:before="130" w:line="180" w:lineRule="auto"/>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4"/>
                    </w:rPr>
                    <w:t>500</w:t>
                  </w:r>
                  <w:r>
                    <w:rPr>
                      <w:rFonts w:hint="default" w:ascii="Times New Roman" w:hAnsi="Times New Roman" w:eastAsia="宋体" w:cs="Times New Roman"/>
                      <w:color w:val="auto"/>
                      <w:spacing w:val="-6"/>
                    </w:rPr>
                    <w:t>μg/m</w:t>
                  </w:r>
                  <w:r>
                    <w:rPr>
                      <w:rFonts w:hint="default" w:ascii="Times New Roman" w:hAnsi="Times New Roman" w:eastAsia="宋体" w:cs="Times New Roman"/>
                      <w:color w:val="auto"/>
                      <w:spacing w:val="-6"/>
                      <w:vertAlign w:val="superscript"/>
                    </w:rPr>
                    <w:t>3</w:t>
                  </w:r>
                </w:p>
              </w:tc>
            </w:tr>
            <w:tr w14:paraId="6223CC6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jc w:val="center"/>
              </w:trPr>
              <w:tc>
                <w:tcPr>
                  <w:tcW w:w="1717" w:type="dxa"/>
                  <w:vMerge w:val="restart"/>
                  <w:tcBorders>
                    <w:bottom w:val="nil"/>
                  </w:tcBorders>
                  <w:vAlign w:val="center"/>
                </w:tcPr>
                <w:p w14:paraId="678CE3BD">
                  <w:pPr>
                    <w:spacing w:before="68" w:line="238" w:lineRule="auto"/>
                    <w:ind w:firstLine="514"/>
                    <w:rPr>
                      <w:rFonts w:hint="default" w:ascii="Times New Roman" w:hAnsi="Times New Roman" w:eastAsia="宋体" w:cs="Times New Roman"/>
                      <w:color w:val="auto"/>
                    </w:rPr>
                  </w:pPr>
                  <w:r>
                    <w:rPr>
                      <w:rFonts w:hint="default" w:ascii="Times New Roman" w:hAnsi="Times New Roman" w:eastAsia="宋体" w:cs="Times New Roman"/>
                      <w:color w:val="auto"/>
                      <w:spacing w:val="-4"/>
                    </w:rPr>
                    <w:t>二氧化氮</w:t>
                  </w:r>
                </w:p>
                <w:p w14:paraId="413536DA">
                  <w:pPr>
                    <w:spacing w:line="204" w:lineRule="auto"/>
                    <w:ind w:firstLine="539"/>
                    <w:rPr>
                      <w:rFonts w:hint="default" w:ascii="Times New Roman" w:hAnsi="Times New Roman" w:eastAsia="宋体" w:cs="Times New Roman"/>
                      <w:color w:val="auto"/>
                    </w:rPr>
                  </w:pPr>
                  <w:r>
                    <w:rPr>
                      <w:rFonts w:hint="default" w:ascii="Times New Roman" w:hAnsi="Times New Roman" w:eastAsia="宋体" w:cs="Times New Roman"/>
                      <w:color w:val="auto"/>
                      <w:spacing w:val="-3"/>
                    </w:rPr>
                    <w:t>（NO</w:t>
                  </w:r>
                  <w:r>
                    <w:rPr>
                      <w:rFonts w:hint="default" w:ascii="Times New Roman" w:hAnsi="Times New Roman" w:eastAsia="宋体" w:cs="Times New Roman"/>
                      <w:color w:val="auto"/>
                      <w:spacing w:val="-3"/>
                      <w:position w:val="-1"/>
                      <w:sz w:val="14"/>
                      <w:szCs w:val="14"/>
                    </w:rPr>
                    <w:t>2</w:t>
                  </w:r>
                  <w:r>
                    <w:rPr>
                      <w:rFonts w:hint="default" w:ascii="Times New Roman" w:hAnsi="Times New Roman" w:eastAsia="宋体" w:cs="Times New Roman"/>
                      <w:color w:val="auto"/>
                      <w:spacing w:val="-3"/>
                    </w:rPr>
                    <w:t>）</w:t>
                  </w:r>
                </w:p>
              </w:tc>
              <w:tc>
                <w:tcPr>
                  <w:tcW w:w="1956" w:type="dxa"/>
                  <w:vAlign w:val="center"/>
                </w:tcPr>
                <w:p w14:paraId="06A183AE">
                  <w:pPr>
                    <w:spacing w:before="92" w:line="184" w:lineRule="auto"/>
                    <w:ind w:firstLine="684"/>
                    <w:rPr>
                      <w:rFonts w:hint="default" w:ascii="Times New Roman" w:hAnsi="Times New Roman" w:eastAsia="宋体" w:cs="Times New Roman"/>
                      <w:color w:val="auto"/>
                    </w:rPr>
                  </w:pPr>
                  <w:r>
                    <w:rPr>
                      <w:rFonts w:hint="default" w:ascii="Times New Roman" w:hAnsi="Times New Roman" w:eastAsia="宋体" w:cs="Times New Roman"/>
                      <w:color w:val="auto"/>
                      <w:spacing w:val="-4"/>
                    </w:rPr>
                    <w:t>年平均</w:t>
                  </w:r>
                </w:p>
              </w:tc>
              <w:tc>
                <w:tcPr>
                  <w:tcW w:w="4264" w:type="dxa"/>
                  <w:vAlign w:val="center"/>
                </w:tcPr>
                <w:p w14:paraId="5D485E3F">
                  <w:pPr>
                    <w:spacing w:before="128" w:line="180" w:lineRule="auto"/>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2"/>
                    </w:rPr>
                    <w:t>40</w:t>
                  </w:r>
                  <w:r>
                    <w:rPr>
                      <w:rFonts w:hint="default" w:ascii="Times New Roman" w:hAnsi="Times New Roman" w:eastAsia="宋体" w:cs="Times New Roman"/>
                      <w:color w:val="auto"/>
                      <w:spacing w:val="-6"/>
                    </w:rPr>
                    <w:t>μg/m</w:t>
                  </w:r>
                  <w:r>
                    <w:rPr>
                      <w:rFonts w:hint="default" w:ascii="Times New Roman" w:hAnsi="Times New Roman" w:eastAsia="宋体" w:cs="Times New Roman"/>
                      <w:color w:val="auto"/>
                      <w:spacing w:val="-6"/>
                      <w:vertAlign w:val="superscript"/>
                    </w:rPr>
                    <w:t>3</w:t>
                  </w:r>
                </w:p>
              </w:tc>
            </w:tr>
            <w:tr w14:paraId="6F53FC6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jc w:val="center"/>
              </w:trPr>
              <w:tc>
                <w:tcPr>
                  <w:tcW w:w="1717" w:type="dxa"/>
                  <w:vMerge w:val="continue"/>
                  <w:tcBorders>
                    <w:top w:val="nil"/>
                    <w:bottom w:val="nil"/>
                  </w:tcBorders>
                  <w:vAlign w:val="center"/>
                </w:tcPr>
                <w:p w14:paraId="2715B963">
                  <w:pPr>
                    <w:rPr>
                      <w:rFonts w:hint="default" w:ascii="Times New Roman" w:hAnsi="Times New Roman" w:eastAsia="宋体" w:cs="Times New Roman"/>
                      <w:color w:val="auto"/>
                    </w:rPr>
                  </w:pPr>
                </w:p>
              </w:tc>
              <w:tc>
                <w:tcPr>
                  <w:tcW w:w="1956" w:type="dxa"/>
                  <w:vAlign w:val="center"/>
                </w:tcPr>
                <w:p w14:paraId="69D32FD6">
                  <w:pPr>
                    <w:spacing w:before="93" w:line="184" w:lineRule="auto"/>
                    <w:ind w:firstLine="444"/>
                    <w:rPr>
                      <w:rFonts w:hint="default" w:ascii="Times New Roman" w:hAnsi="Times New Roman" w:eastAsia="宋体" w:cs="Times New Roman"/>
                      <w:color w:val="auto"/>
                    </w:rPr>
                  </w:pPr>
                  <w:r>
                    <w:rPr>
                      <w:rFonts w:hint="default" w:ascii="Times New Roman" w:hAnsi="Times New Roman" w:eastAsia="宋体" w:cs="Times New Roman"/>
                      <w:color w:val="auto"/>
                      <w:spacing w:val="-4"/>
                    </w:rPr>
                    <w:t>24小时平均</w:t>
                  </w:r>
                </w:p>
              </w:tc>
              <w:tc>
                <w:tcPr>
                  <w:tcW w:w="4264" w:type="dxa"/>
                  <w:vAlign w:val="center"/>
                </w:tcPr>
                <w:p w14:paraId="0659FEBB">
                  <w:pPr>
                    <w:spacing w:before="129" w:line="180" w:lineRule="auto"/>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7"/>
                    </w:rPr>
                    <w:t>80</w:t>
                  </w:r>
                  <w:r>
                    <w:rPr>
                      <w:rFonts w:hint="default" w:ascii="Times New Roman" w:hAnsi="Times New Roman" w:eastAsia="宋体" w:cs="Times New Roman"/>
                      <w:color w:val="auto"/>
                      <w:spacing w:val="-6"/>
                    </w:rPr>
                    <w:t>μg/m</w:t>
                  </w:r>
                  <w:r>
                    <w:rPr>
                      <w:rFonts w:hint="default" w:ascii="Times New Roman" w:hAnsi="Times New Roman" w:eastAsia="宋体" w:cs="Times New Roman"/>
                      <w:color w:val="auto"/>
                      <w:spacing w:val="-6"/>
                      <w:vertAlign w:val="superscript"/>
                    </w:rPr>
                    <w:t>3</w:t>
                  </w:r>
                </w:p>
              </w:tc>
            </w:tr>
            <w:tr w14:paraId="162C48C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jc w:val="center"/>
              </w:trPr>
              <w:tc>
                <w:tcPr>
                  <w:tcW w:w="1717" w:type="dxa"/>
                  <w:vMerge w:val="continue"/>
                  <w:tcBorders>
                    <w:top w:val="nil"/>
                    <w:bottom w:val="single" w:color="auto" w:sz="4" w:space="0"/>
                  </w:tcBorders>
                  <w:vAlign w:val="center"/>
                </w:tcPr>
                <w:p w14:paraId="67100AF6">
                  <w:pPr>
                    <w:rPr>
                      <w:rFonts w:hint="default" w:ascii="Times New Roman" w:hAnsi="Times New Roman" w:eastAsia="宋体" w:cs="Times New Roman"/>
                      <w:color w:val="auto"/>
                    </w:rPr>
                  </w:pPr>
                </w:p>
              </w:tc>
              <w:tc>
                <w:tcPr>
                  <w:tcW w:w="1956" w:type="dxa"/>
                  <w:tcBorders>
                    <w:bottom w:val="single" w:color="auto" w:sz="4" w:space="0"/>
                  </w:tcBorders>
                  <w:vAlign w:val="center"/>
                </w:tcPr>
                <w:p w14:paraId="5117DD87">
                  <w:pPr>
                    <w:spacing w:before="91" w:line="184" w:lineRule="auto"/>
                    <w:ind w:firstLine="517"/>
                    <w:rPr>
                      <w:rFonts w:hint="default" w:ascii="Times New Roman" w:hAnsi="Times New Roman" w:eastAsia="宋体" w:cs="Times New Roman"/>
                      <w:color w:val="auto"/>
                    </w:rPr>
                  </w:pPr>
                  <w:r>
                    <w:rPr>
                      <w:rFonts w:hint="default" w:ascii="Times New Roman" w:hAnsi="Times New Roman" w:eastAsia="宋体" w:cs="Times New Roman"/>
                      <w:color w:val="auto"/>
                      <w:spacing w:val="-8"/>
                    </w:rPr>
                    <w:t>1小时平均</w:t>
                  </w:r>
                </w:p>
              </w:tc>
              <w:tc>
                <w:tcPr>
                  <w:tcW w:w="4264" w:type="dxa"/>
                  <w:vAlign w:val="center"/>
                </w:tcPr>
                <w:p w14:paraId="4CB4A4B9">
                  <w:pPr>
                    <w:spacing w:before="128" w:line="180" w:lineRule="auto"/>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2"/>
                    </w:rPr>
                    <w:t>200</w:t>
                  </w:r>
                  <w:r>
                    <w:rPr>
                      <w:rFonts w:hint="default" w:ascii="Times New Roman" w:hAnsi="Times New Roman" w:eastAsia="宋体" w:cs="Times New Roman"/>
                      <w:color w:val="auto"/>
                      <w:spacing w:val="-6"/>
                    </w:rPr>
                    <w:t>μg/m</w:t>
                  </w:r>
                  <w:r>
                    <w:rPr>
                      <w:rFonts w:hint="default" w:ascii="Times New Roman" w:hAnsi="Times New Roman" w:eastAsia="宋体" w:cs="Times New Roman"/>
                      <w:color w:val="auto"/>
                      <w:spacing w:val="-6"/>
                      <w:vertAlign w:val="superscript"/>
                    </w:rPr>
                    <w:t>3</w:t>
                  </w:r>
                </w:p>
              </w:tc>
            </w:tr>
            <w:tr w14:paraId="4677A88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2" w:hRule="atLeast"/>
                <w:jc w:val="center"/>
              </w:trPr>
              <w:tc>
                <w:tcPr>
                  <w:tcW w:w="1717" w:type="dxa"/>
                  <w:vMerge w:val="restart"/>
                  <w:tcBorders>
                    <w:top w:val="single" w:color="auto" w:sz="4" w:space="0"/>
                  </w:tcBorders>
                  <w:vAlign w:val="center"/>
                </w:tcPr>
                <w:p w14:paraId="0EF4F21C">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一氧化碳</w:t>
                  </w:r>
                </w:p>
                <w:p w14:paraId="24B4C35F">
                  <w:pPr>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3"/>
                    </w:rPr>
                    <w:t>（CO）</w:t>
                  </w:r>
                </w:p>
              </w:tc>
              <w:tc>
                <w:tcPr>
                  <w:tcW w:w="1956" w:type="dxa"/>
                  <w:tcBorders>
                    <w:top w:val="single" w:color="auto" w:sz="4" w:space="0"/>
                    <w:bottom w:val="single" w:color="auto" w:sz="4" w:space="0"/>
                  </w:tcBorders>
                  <w:vAlign w:val="center"/>
                </w:tcPr>
                <w:p w14:paraId="1D587826">
                  <w:pPr>
                    <w:spacing w:before="92" w:line="184" w:lineRule="auto"/>
                    <w:ind w:firstLine="444"/>
                    <w:rPr>
                      <w:rFonts w:hint="default" w:ascii="Times New Roman" w:hAnsi="Times New Roman" w:eastAsia="宋体" w:cs="Times New Roman"/>
                      <w:color w:val="auto"/>
                      <w:spacing w:val="-8"/>
                    </w:rPr>
                  </w:pPr>
                  <w:r>
                    <w:rPr>
                      <w:rFonts w:hint="default" w:ascii="Times New Roman" w:hAnsi="Times New Roman" w:eastAsia="宋体" w:cs="Times New Roman"/>
                      <w:color w:val="auto"/>
                      <w:spacing w:val="-4"/>
                    </w:rPr>
                    <w:t>24小时平均</w:t>
                  </w:r>
                </w:p>
              </w:tc>
              <w:tc>
                <w:tcPr>
                  <w:tcW w:w="4264" w:type="dxa"/>
                  <w:vAlign w:val="center"/>
                </w:tcPr>
                <w:p w14:paraId="44E77B79">
                  <w:pPr>
                    <w:spacing w:before="128" w:line="180" w:lineRule="auto"/>
                    <w:jc w:val="center"/>
                    <w:rPr>
                      <w:rFonts w:hint="default" w:ascii="Times New Roman" w:hAnsi="Times New Roman" w:eastAsia="宋体" w:cs="Times New Roman"/>
                      <w:color w:val="auto"/>
                      <w:spacing w:val="-2"/>
                    </w:rPr>
                  </w:pPr>
                  <w:r>
                    <w:rPr>
                      <w:rFonts w:hint="default" w:ascii="Times New Roman" w:hAnsi="Times New Roman" w:eastAsia="宋体" w:cs="Times New Roman"/>
                      <w:color w:val="auto"/>
                      <w:spacing w:val="-2"/>
                    </w:rPr>
                    <w:t>4</w:t>
                  </w:r>
                  <w:r>
                    <w:rPr>
                      <w:rFonts w:hint="default" w:ascii="Times New Roman" w:hAnsi="Times New Roman" w:eastAsia="宋体" w:cs="Times New Roman"/>
                      <w:color w:val="auto"/>
                      <w:spacing w:val="-6"/>
                    </w:rPr>
                    <w:t>mg/m</w:t>
                  </w:r>
                  <w:r>
                    <w:rPr>
                      <w:rFonts w:hint="default" w:ascii="Times New Roman" w:hAnsi="Times New Roman" w:eastAsia="宋体" w:cs="Times New Roman"/>
                      <w:color w:val="auto"/>
                      <w:spacing w:val="-6"/>
                      <w:vertAlign w:val="superscript"/>
                    </w:rPr>
                    <w:t>3</w:t>
                  </w:r>
                </w:p>
              </w:tc>
            </w:tr>
            <w:tr w14:paraId="19DAFAA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2" w:hRule="atLeast"/>
                <w:jc w:val="center"/>
              </w:trPr>
              <w:tc>
                <w:tcPr>
                  <w:tcW w:w="1717" w:type="dxa"/>
                  <w:vMerge w:val="continue"/>
                  <w:tcBorders>
                    <w:bottom w:val="single" w:color="auto" w:sz="4" w:space="0"/>
                  </w:tcBorders>
                  <w:vAlign w:val="center"/>
                </w:tcPr>
                <w:p w14:paraId="50C36804">
                  <w:pPr>
                    <w:spacing w:before="128" w:line="180" w:lineRule="auto"/>
                    <w:jc w:val="center"/>
                    <w:rPr>
                      <w:rFonts w:hint="default" w:ascii="Times New Roman" w:hAnsi="Times New Roman" w:eastAsia="宋体" w:cs="Times New Roman"/>
                      <w:color w:val="auto"/>
                    </w:rPr>
                  </w:pPr>
                </w:p>
              </w:tc>
              <w:tc>
                <w:tcPr>
                  <w:tcW w:w="1956" w:type="dxa"/>
                  <w:tcBorders>
                    <w:top w:val="single" w:color="auto" w:sz="4" w:space="0"/>
                    <w:bottom w:val="single" w:color="auto" w:sz="4" w:space="0"/>
                  </w:tcBorders>
                  <w:vAlign w:val="center"/>
                </w:tcPr>
                <w:p w14:paraId="0CF0FD10">
                  <w:pPr>
                    <w:spacing w:before="93" w:line="184" w:lineRule="auto"/>
                    <w:ind w:firstLine="517"/>
                    <w:rPr>
                      <w:rFonts w:hint="default" w:ascii="Times New Roman" w:hAnsi="Times New Roman" w:eastAsia="宋体" w:cs="Times New Roman"/>
                      <w:color w:val="auto"/>
                      <w:spacing w:val="-8"/>
                    </w:rPr>
                  </w:pPr>
                  <w:r>
                    <w:rPr>
                      <w:rFonts w:hint="default" w:ascii="Times New Roman" w:hAnsi="Times New Roman" w:eastAsia="宋体" w:cs="Times New Roman"/>
                      <w:color w:val="auto"/>
                      <w:spacing w:val="-8"/>
                    </w:rPr>
                    <w:t>1小时平均</w:t>
                  </w:r>
                </w:p>
              </w:tc>
              <w:tc>
                <w:tcPr>
                  <w:tcW w:w="4264" w:type="dxa"/>
                  <w:vAlign w:val="center"/>
                </w:tcPr>
                <w:p w14:paraId="25A019D6">
                  <w:pPr>
                    <w:spacing w:before="128" w:line="180" w:lineRule="auto"/>
                    <w:jc w:val="center"/>
                    <w:rPr>
                      <w:rFonts w:hint="default" w:ascii="Times New Roman" w:hAnsi="Times New Roman" w:eastAsia="宋体" w:cs="Times New Roman"/>
                      <w:color w:val="auto"/>
                      <w:spacing w:val="-8"/>
                    </w:rPr>
                  </w:pPr>
                  <w:r>
                    <w:rPr>
                      <w:rFonts w:hint="default" w:ascii="Times New Roman" w:hAnsi="Times New Roman" w:eastAsia="宋体" w:cs="Times New Roman"/>
                      <w:color w:val="auto"/>
                      <w:spacing w:val="-8"/>
                    </w:rPr>
                    <w:t>10</w:t>
                  </w:r>
                  <w:r>
                    <w:rPr>
                      <w:rFonts w:hint="default" w:ascii="Times New Roman" w:hAnsi="Times New Roman" w:eastAsia="宋体" w:cs="Times New Roman"/>
                      <w:color w:val="auto"/>
                      <w:spacing w:val="-6"/>
                    </w:rPr>
                    <w:t>mg/m</w:t>
                  </w:r>
                  <w:r>
                    <w:rPr>
                      <w:rFonts w:hint="default" w:ascii="Times New Roman" w:hAnsi="Times New Roman" w:eastAsia="宋体" w:cs="Times New Roman"/>
                      <w:color w:val="auto"/>
                      <w:spacing w:val="-6"/>
                      <w:vertAlign w:val="superscript"/>
                    </w:rPr>
                    <w:t>3</w:t>
                  </w:r>
                </w:p>
              </w:tc>
            </w:tr>
            <w:tr w14:paraId="1E15F25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jc w:val="center"/>
              </w:trPr>
              <w:tc>
                <w:tcPr>
                  <w:tcW w:w="1717" w:type="dxa"/>
                  <w:vMerge w:val="restart"/>
                  <w:tcBorders>
                    <w:top w:val="single" w:color="auto" w:sz="4" w:space="0"/>
                  </w:tcBorders>
                  <w:vAlign w:val="center"/>
                </w:tcPr>
                <w:p w14:paraId="7FE1B37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臭氧</w:t>
                  </w:r>
                  <w:r>
                    <w:rPr>
                      <w:rFonts w:hint="default" w:ascii="Times New Roman" w:hAnsi="Times New Roman" w:eastAsia="宋体" w:cs="Times New Roman"/>
                      <w:color w:val="auto"/>
                      <w:spacing w:val="-3"/>
                    </w:rPr>
                    <w:t>（O</w:t>
                  </w:r>
                  <w:r>
                    <w:rPr>
                      <w:rFonts w:hint="default" w:ascii="Times New Roman" w:hAnsi="Times New Roman" w:eastAsia="宋体" w:cs="Times New Roman"/>
                      <w:color w:val="auto"/>
                      <w:spacing w:val="-3"/>
                      <w:position w:val="-1"/>
                      <w:sz w:val="14"/>
                      <w:szCs w:val="14"/>
                    </w:rPr>
                    <w:t>3</w:t>
                  </w:r>
                  <w:r>
                    <w:rPr>
                      <w:rFonts w:hint="default" w:ascii="Times New Roman" w:hAnsi="Times New Roman" w:eastAsia="宋体" w:cs="Times New Roman"/>
                      <w:color w:val="auto"/>
                      <w:spacing w:val="-3"/>
                    </w:rPr>
                    <w:t>）</w:t>
                  </w:r>
                </w:p>
              </w:tc>
              <w:tc>
                <w:tcPr>
                  <w:tcW w:w="1956" w:type="dxa"/>
                  <w:tcBorders>
                    <w:top w:val="single" w:color="auto" w:sz="4" w:space="0"/>
                    <w:bottom w:val="single" w:color="auto" w:sz="4" w:space="0"/>
                  </w:tcBorders>
                  <w:vAlign w:val="center"/>
                </w:tcPr>
                <w:p w14:paraId="1B1F947F">
                  <w:pPr>
                    <w:spacing w:before="92" w:line="184" w:lineRule="auto"/>
                    <w:jc w:val="center"/>
                    <w:rPr>
                      <w:rFonts w:hint="default" w:ascii="Times New Roman" w:hAnsi="Times New Roman" w:eastAsia="宋体" w:cs="Times New Roman"/>
                      <w:color w:val="auto"/>
                      <w:spacing w:val="-8"/>
                    </w:rPr>
                  </w:pPr>
                  <w:r>
                    <w:rPr>
                      <w:rFonts w:hint="default" w:ascii="Times New Roman" w:hAnsi="Times New Roman" w:eastAsia="宋体" w:cs="Times New Roman"/>
                      <w:color w:val="auto"/>
                      <w:spacing w:val="-4"/>
                    </w:rPr>
                    <w:t>日最大8小时平均</w:t>
                  </w:r>
                </w:p>
              </w:tc>
              <w:tc>
                <w:tcPr>
                  <w:tcW w:w="4264" w:type="dxa"/>
                  <w:vAlign w:val="center"/>
                </w:tcPr>
                <w:p w14:paraId="598BEE90">
                  <w:pPr>
                    <w:spacing w:before="128" w:line="180" w:lineRule="auto"/>
                    <w:jc w:val="center"/>
                    <w:rPr>
                      <w:rFonts w:hint="default" w:ascii="Times New Roman" w:hAnsi="Times New Roman" w:eastAsia="宋体" w:cs="Times New Roman"/>
                      <w:color w:val="auto"/>
                      <w:spacing w:val="-2"/>
                    </w:rPr>
                  </w:pPr>
                  <w:r>
                    <w:rPr>
                      <w:rFonts w:hint="default" w:ascii="Times New Roman" w:hAnsi="Times New Roman" w:eastAsia="宋体" w:cs="Times New Roman"/>
                      <w:color w:val="auto"/>
                      <w:spacing w:val="-2"/>
                    </w:rPr>
                    <w:t>160</w:t>
                  </w:r>
                  <w:r>
                    <w:rPr>
                      <w:rFonts w:hint="default" w:ascii="Times New Roman" w:hAnsi="Times New Roman" w:eastAsia="宋体" w:cs="Times New Roman"/>
                      <w:color w:val="auto"/>
                      <w:spacing w:val="-6"/>
                    </w:rPr>
                    <w:t>μg/m</w:t>
                  </w:r>
                  <w:r>
                    <w:rPr>
                      <w:rFonts w:hint="default" w:ascii="Times New Roman" w:hAnsi="Times New Roman" w:eastAsia="宋体" w:cs="Times New Roman"/>
                      <w:color w:val="auto"/>
                      <w:spacing w:val="-6"/>
                      <w:vertAlign w:val="superscript"/>
                    </w:rPr>
                    <w:t>3</w:t>
                  </w:r>
                </w:p>
              </w:tc>
            </w:tr>
            <w:tr w14:paraId="439C355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jc w:val="center"/>
              </w:trPr>
              <w:tc>
                <w:tcPr>
                  <w:tcW w:w="1717" w:type="dxa"/>
                  <w:vMerge w:val="continue"/>
                  <w:vAlign w:val="center"/>
                </w:tcPr>
                <w:p w14:paraId="780B52EE">
                  <w:pPr>
                    <w:jc w:val="center"/>
                    <w:rPr>
                      <w:rFonts w:hint="default" w:ascii="Times New Roman" w:hAnsi="Times New Roman" w:eastAsia="宋体" w:cs="Times New Roman"/>
                      <w:color w:val="auto"/>
                    </w:rPr>
                  </w:pPr>
                </w:p>
              </w:tc>
              <w:tc>
                <w:tcPr>
                  <w:tcW w:w="1956" w:type="dxa"/>
                  <w:tcBorders>
                    <w:top w:val="single" w:color="auto" w:sz="4" w:space="0"/>
                  </w:tcBorders>
                  <w:vAlign w:val="center"/>
                </w:tcPr>
                <w:p w14:paraId="0B195F58">
                  <w:pPr>
                    <w:spacing w:before="93" w:line="184" w:lineRule="auto"/>
                    <w:ind w:firstLine="517"/>
                    <w:rPr>
                      <w:rFonts w:hint="default" w:ascii="Times New Roman" w:hAnsi="Times New Roman" w:eastAsia="宋体" w:cs="Times New Roman"/>
                      <w:color w:val="auto"/>
                      <w:spacing w:val="-8"/>
                    </w:rPr>
                  </w:pPr>
                  <w:r>
                    <w:rPr>
                      <w:rFonts w:hint="default" w:ascii="Times New Roman" w:hAnsi="Times New Roman" w:eastAsia="宋体" w:cs="Times New Roman"/>
                      <w:color w:val="auto"/>
                      <w:spacing w:val="-8"/>
                    </w:rPr>
                    <w:t>1小时平均</w:t>
                  </w:r>
                </w:p>
              </w:tc>
              <w:tc>
                <w:tcPr>
                  <w:tcW w:w="4264" w:type="dxa"/>
                  <w:vAlign w:val="center"/>
                </w:tcPr>
                <w:p w14:paraId="1B778973">
                  <w:pPr>
                    <w:spacing w:before="128" w:line="180" w:lineRule="auto"/>
                    <w:jc w:val="center"/>
                    <w:rPr>
                      <w:rFonts w:hint="default" w:ascii="Times New Roman" w:hAnsi="Times New Roman" w:eastAsia="宋体" w:cs="Times New Roman"/>
                      <w:color w:val="auto"/>
                      <w:spacing w:val="-2"/>
                    </w:rPr>
                  </w:pPr>
                  <w:r>
                    <w:rPr>
                      <w:rFonts w:hint="default" w:ascii="Times New Roman" w:hAnsi="Times New Roman" w:eastAsia="宋体" w:cs="Times New Roman"/>
                      <w:color w:val="auto"/>
                      <w:spacing w:val="-2"/>
                    </w:rPr>
                    <w:t>200</w:t>
                  </w:r>
                  <w:r>
                    <w:rPr>
                      <w:rFonts w:hint="default" w:ascii="Times New Roman" w:hAnsi="Times New Roman" w:eastAsia="宋体" w:cs="Times New Roman"/>
                      <w:color w:val="auto"/>
                      <w:spacing w:val="-6"/>
                    </w:rPr>
                    <w:t>μg/m</w:t>
                  </w:r>
                  <w:r>
                    <w:rPr>
                      <w:rFonts w:hint="default" w:ascii="Times New Roman" w:hAnsi="Times New Roman" w:eastAsia="宋体" w:cs="Times New Roman"/>
                      <w:color w:val="auto"/>
                      <w:spacing w:val="-6"/>
                      <w:vertAlign w:val="superscript"/>
                    </w:rPr>
                    <w:t>3</w:t>
                  </w:r>
                </w:p>
              </w:tc>
            </w:tr>
          </w:tbl>
          <w:p w14:paraId="3024F036">
            <w:pPr>
              <w:spacing w:before="226" w:line="360" w:lineRule="auto"/>
              <w:ind w:firstLine="612"/>
              <w:rPr>
                <w:rFonts w:hint="default" w:ascii="Times New Roman" w:hAnsi="Times New Roman" w:eastAsia="宋体" w:cs="Times New Roman"/>
                <w:color w:val="auto"/>
                <w:spacing w:val="-6"/>
                <w:sz w:val="24"/>
                <w:szCs w:val="24"/>
              </w:rPr>
            </w:pPr>
            <w:r>
              <w:rPr>
                <w:rFonts w:hint="default" w:ascii="Times New Roman" w:hAnsi="Times New Roman" w:eastAsia="宋体" w:cs="Times New Roman"/>
                <w:color w:val="auto"/>
                <w:spacing w:val="-6"/>
                <w:sz w:val="24"/>
                <w:szCs w:val="24"/>
              </w:rPr>
              <w:t>（2）水环境质量标准</w:t>
            </w:r>
          </w:p>
          <w:p w14:paraId="607C7871">
            <w:pPr>
              <w:spacing w:before="3" w:line="360" w:lineRule="auto"/>
              <w:ind w:left="113" w:right="106" w:firstLine="486"/>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地表水水质执行《地表水环境质量标准》（GB3838-2002）中的Ⅲ类标准。标准限值见下表：</w:t>
            </w:r>
          </w:p>
          <w:p w14:paraId="5D1FB0DD">
            <w:pPr>
              <w:spacing w:before="3"/>
              <w:ind w:right="106"/>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表3-19  地表水环境质量标准（mg/L，pH无量纲）</w:t>
            </w:r>
          </w:p>
          <w:tbl>
            <w:tblPr>
              <w:tblStyle w:val="43"/>
              <w:tblW w:w="4940"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939"/>
              <w:gridCol w:w="510"/>
              <w:gridCol w:w="1249"/>
              <w:gridCol w:w="713"/>
              <w:gridCol w:w="820"/>
              <w:gridCol w:w="753"/>
              <w:gridCol w:w="1011"/>
              <w:gridCol w:w="558"/>
              <w:gridCol w:w="1647"/>
            </w:tblGrid>
            <w:tr w14:paraId="162D00C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jc w:val="center"/>
              </w:trPr>
              <w:tc>
                <w:tcPr>
                  <w:tcW w:w="909" w:type="dxa"/>
                  <w:vAlign w:val="center"/>
                </w:tcPr>
                <w:p w14:paraId="63276666">
                  <w:pPr>
                    <w:spacing w:before="168" w:line="184" w:lineRule="auto"/>
                    <w:ind w:firstLine="317"/>
                    <w:rPr>
                      <w:rFonts w:hint="default" w:ascii="Times New Roman" w:hAnsi="Times New Roman" w:eastAsia="宋体" w:cs="Times New Roman"/>
                      <w:color w:val="auto"/>
                    </w:rPr>
                  </w:pPr>
                  <w:r>
                    <w:rPr>
                      <w:rFonts w:hint="default" w:ascii="Times New Roman" w:hAnsi="Times New Roman" w:eastAsia="宋体" w:cs="Times New Roman"/>
                      <w:color w:val="auto"/>
                      <w:spacing w:val="-7"/>
                    </w:rPr>
                    <w:t>项目</w:t>
                  </w:r>
                </w:p>
              </w:tc>
              <w:tc>
                <w:tcPr>
                  <w:tcW w:w="494" w:type="dxa"/>
                  <w:vAlign w:val="center"/>
                </w:tcPr>
                <w:p w14:paraId="11316F1F">
                  <w:pPr>
                    <w:spacing w:before="207" w:line="184" w:lineRule="auto"/>
                    <w:ind w:firstLine="118"/>
                    <w:rPr>
                      <w:rFonts w:hint="default" w:ascii="Times New Roman" w:hAnsi="Times New Roman" w:eastAsia="宋体" w:cs="Times New Roman"/>
                      <w:color w:val="auto"/>
                    </w:rPr>
                  </w:pPr>
                  <w:r>
                    <w:rPr>
                      <w:rFonts w:hint="default" w:ascii="Times New Roman" w:hAnsi="Times New Roman" w:eastAsia="宋体" w:cs="Times New Roman"/>
                      <w:color w:val="auto"/>
                    </w:rPr>
                    <w:t>pH</w:t>
                  </w:r>
                </w:p>
              </w:tc>
              <w:tc>
                <w:tcPr>
                  <w:tcW w:w="1209" w:type="dxa"/>
                  <w:vAlign w:val="center"/>
                </w:tcPr>
                <w:p w14:paraId="134ADE50">
                  <w:pPr>
                    <w:spacing w:before="34" w:line="238" w:lineRule="auto"/>
                    <w:ind w:firstLine="309"/>
                    <w:rPr>
                      <w:rFonts w:hint="default" w:ascii="Times New Roman" w:hAnsi="Times New Roman" w:eastAsia="宋体" w:cs="Times New Roman"/>
                      <w:color w:val="auto"/>
                    </w:rPr>
                  </w:pPr>
                  <w:r>
                    <w:rPr>
                      <w:rFonts w:hint="default" w:ascii="Times New Roman" w:hAnsi="Times New Roman" w:eastAsia="宋体" w:cs="Times New Roman"/>
                      <w:color w:val="auto"/>
                      <w:spacing w:val="-5"/>
                    </w:rPr>
                    <w:t>高锰酸</w:t>
                  </w:r>
                </w:p>
                <w:p w14:paraId="48724C6F">
                  <w:pPr>
                    <w:spacing w:line="204" w:lineRule="auto"/>
                    <w:ind w:firstLine="305"/>
                    <w:rPr>
                      <w:rFonts w:hint="default" w:ascii="Times New Roman" w:hAnsi="Times New Roman" w:eastAsia="宋体" w:cs="Times New Roman"/>
                      <w:color w:val="auto"/>
                    </w:rPr>
                  </w:pPr>
                  <w:r>
                    <w:rPr>
                      <w:rFonts w:hint="default" w:ascii="Times New Roman" w:hAnsi="Times New Roman" w:eastAsia="宋体" w:cs="Times New Roman"/>
                      <w:color w:val="auto"/>
                      <w:spacing w:val="-4"/>
                    </w:rPr>
                    <w:t>盐指数</w:t>
                  </w:r>
                </w:p>
              </w:tc>
              <w:tc>
                <w:tcPr>
                  <w:tcW w:w="690" w:type="dxa"/>
                  <w:vAlign w:val="center"/>
                </w:tcPr>
                <w:p w14:paraId="4697A2DD">
                  <w:pPr>
                    <w:spacing w:before="204" w:line="180" w:lineRule="auto"/>
                    <w:ind w:firstLine="136"/>
                    <w:rPr>
                      <w:rFonts w:hint="default" w:ascii="Times New Roman" w:hAnsi="Times New Roman" w:eastAsia="宋体" w:cs="Times New Roman"/>
                      <w:color w:val="auto"/>
                    </w:rPr>
                  </w:pPr>
                  <w:r>
                    <w:rPr>
                      <w:rFonts w:hint="default" w:ascii="Times New Roman" w:hAnsi="Times New Roman" w:eastAsia="宋体" w:cs="Times New Roman"/>
                      <w:color w:val="auto"/>
                      <w:spacing w:val="-4"/>
                    </w:rPr>
                    <w:t>COD</w:t>
                  </w:r>
                </w:p>
              </w:tc>
              <w:tc>
                <w:tcPr>
                  <w:tcW w:w="794" w:type="dxa"/>
                  <w:vAlign w:val="center"/>
                </w:tcPr>
                <w:p w14:paraId="0B2306F9">
                  <w:pPr>
                    <w:spacing w:before="204" w:line="180" w:lineRule="auto"/>
                    <w:ind w:firstLine="151"/>
                    <w:rPr>
                      <w:rFonts w:hint="default" w:ascii="Times New Roman" w:hAnsi="Times New Roman" w:eastAsia="宋体" w:cs="Times New Roman"/>
                      <w:color w:val="auto"/>
                      <w:sz w:val="14"/>
                      <w:szCs w:val="14"/>
                    </w:rPr>
                  </w:pPr>
                  <w:r>
                    <w:rPr>
                      <w:rFonts w:hint="default" w:ascii="Times New Roman" w:hAnsi="Times New Roman" w:eastAsia="宋体" w:cs="Times New Roman"/>
                      <w:color w:val="auto"/>
                      <w:spacing w:val="-2"/>
                    </w:rPr>
                    <w:t>BOD</w:t>
                  </w:r>
                  <w:r>
                    <w:rPr>
                      <w:rFonts w:hint="default" w:ascii="Times New Roman" w:hAnsi="Times New Roman" w:eastAsia="宋体" w:cs="Times New Roman"/>
                      <w:color w:val="auto"/>
                      <w:spacing w:val="-2"/>
                      <w:position w:val="-1"/>
                      <w:sz w:val="14"/>
                      <w:szCs w:val="14"/>
                    </w:rPr>
                    <w:t>5</w:t>
                  </w:r>
                </w:p>
              </w:tc>
              <w:tc>
                <w:tcPr>
                  <w:tcW w:w="729" w:type="dxa"/>
                  <w:vAlign w:val="center"/>
                </w:tcPr>
                <w:p w14:paraId="799CA7CD">
                  <w:pPr>
                    <w:spacing w:before="168" w:line="184" w:lineRule="auto"/>
                    <w:ind w:firstLine="172"/>
                    <w:rPr>
                      <w:rFonts w:hint="default" w:ascii="Times New Roman" w:hAnsi="Times New Roman" w:eastAsia="宋体" w:cs="Times New Roman"/>
                      <w:color w:val="auto"/>
                    </w:rPr>
                  </w:pPr>
                  <w:r>
                    <w:rPr>
                      <w:rFonts w:hint="default" w:ascii="Times New Roman" w:hAnsi="Times New Roman" w:eastAsia="宋体" w:cs="Times New Roman"/>
                      <w:color w:val="auto"/>
                      <w:spacing w:val="-8"/>
                    </w:rPr>
                    <w:t>总氮</w:t>
                  </w:r>
                </w:p>
              </w:tc>
              <w:tc>
                <w:tcPr>
                  <w:tcW w:w="979" w:type="dxa"/>
                  <w:vAlign w:val="center"/>
                </w:tcPr>
                <w:p w14:paraId="65791C57">
                  <w:pPr>
                    <w:spacing w:before="168" w:line="184" w:lineRule="auto"/>
                    <w:ind w:firstLine="294"/>
                    <w:rPr>
                      <w:rFonts w:hint="default" w:ascii="Times New Roman" w:hAnsi="Times New Roman" w:eastAsia="宋体" w:cs="Times New Roman"/>
                      <w:color w:val="auto"/>
                    </w:rPr>
                  </w:pPr>
                  <w:r>
                    <w:rPr>
                      <w:rFonts w:hint="default" w:ascii="Times New Roman" w:hAnsi="Times New Roman" w:eastAsia="宋体" w:cs="Times New Roman"/>
                      <w:color w:val="auto"/>
                      <w:spacing w:val="-5"/>
                    </w:rPr>
                    <w:t>氨氮</w:t>
                  </w:r>
                </w:p>
              </w:tc>
              <w:tc>
                <w:tcPr>
                  <w:tcW w:w="540" w:type="dxa"/>
                  <w:vAlign w:val="center"/>
                </w:tcPr>
                <w:p w14:paraId="676CD2F5">
                  <w:pPr>
                    <w:spacing w:before="168" w:line="184" w:lineRule="auto"/>
                    <w:ind w:firstLine="78"/>
                    <w:rPr>
                      <w:rFonts w:hint="default" w:ascii="Times New Roman" w:hAnsi="Times New Roman" w:eastAsia="宋体" w:cs="Times New Roman"/>
                      <w:color w:val="auto"/>
                    </w:rPr>
                  </w:pPr>
                  <w:r>
                    <w:rPr>
                      <w:rFonts w:hint="default" w:ascii="Times New Roman" w:hAnsi="Times New Roman" w:eastAsia="宋体" w:cs="Times New Roman"/>
                      <w:color w:val="auto"/>
                      <w:spacing w:val="-8"/>
                    </w:rPr>
                    <w:t>总磷</w:t>
                  </w:r>
                </w:p>
              </w:tc>
              <w:tc>
                <w:tcPr>
                  <w:tcW w:w="1593" w:type="dxa"/>
                  <w:vAlign w:val="center"/>
                </w:tcPr>
                <w:p w14:paraId="09FF1E28">
                  <w:pPr>
                    <w:spacing w:before="33" w:line="184" w:lineRule="auto"/>
                    <w:ind w:firstLine="236"/>
                    <w:rPr>
                      <w:rFonts w:hint="default" w:ascii="Times New Roman" w:hAnsi="Times New Roman" w:eastAsia="宋体" w:cs="Times New Roman"/>
                      <w:color w:val="auto"/>
                    </w:rPr>
                  </w:pPr>
                  <w:r>
                    <w:rPr>
                      <w:rFonts w:hint="default" w:ascii="Times New Roman" w:hAnsi="Times New Roman" w:eastAsia="宋体" w:cs="Times New Roman"/>
                      <w:color w:val="auto"/>
                      <w:spacing w:val="-3"/>
                    </w:rPr>
                    <w:t>粪大肠菌群</w:t>
                  </w:r>
                </w:p>
                <w:p w14:paraId="08334240">
                  <w:pPr>
                    <w:spacing w:before="24" w:line="281" w:lineRule="exact"/>
                    <w:ind w:firstLine="357"/>
                    <w:rPr>
                      <w:rFonts w:hint="default" w:ascii="Times New Roman" w:hAnsi="Times New Roman" w:eastAsia="宋体" w:cs="Times New Roman"/>
                      <w:color w:val="auto"/>
                    </w:rPr>
                  </w:pPr>
                  <w:r>
                    <w:rPr>
                      <w:rFonts w:hint="default" w:ascii="Times New Roman" w:hAnsi="Times New Roman" w:eastAsia="宋体" w:cs="Times New Roman"/>
                      <w:color w:val="auto"/>
                      <w:spacing w:val="-3"/>
                    </w:rPr>
                    <w:t>（个/L）</w:t>
                  </w:r>
                </w:p>
              </w:tc>
            </w:tr>
            <w:tr w14:paraId="3AFFF45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909" w:type="dxa"/>
                  <w:vAlign w:val="center"/>
                </w:tcPr>
                <w:p w14:paraId="031D004A">
                  <w:pPr>
                    <w:spacing w:before="94" w:line="184" w:lineRule="auto"/>
                    <w:ind w:firstLine="313"/>
                    <w:rPr>
                      <w:rFonts w:hint="default" w:ascii="Times New Roman" w:hAnsi="Times New Roman" w:eastAsia="宋体" w:cs="Times New Roman"/>
                      <w:color w:val="auto"/>
                    </w:rPr>
                  </w:pPr>
                  <w:r>
                    <w:rPr>
                      <w:rFonts w:hint="default" w:ascii="Times New Roman" w:hAnsi="Times New Roman" w:eastAsia="宋体" w:cs="Times New Roman"/>
                      <w:color w:val="auto"/>
                      <w:spacing w:val="-4"/>
                    </w:rPr>
                    <w:t>Ⅲ类</w:t>
                  </w:r>
                </w:p>
              </w:tc>
              <w:tc>
                <w:tcPr>
                  <w:tcW w:w="494" w:type="dxa"/>
                  <w:vAlign w:val="center"/>
                </w:tcPr>
                <w:p w14:paraId="3314F2C2">
                  <w:pPr>
                    <w:spacing w:before="131" w:line="180" w:lineRule="auto"/>
                    <w:ind w:firstLine="93"/>
                    <w:rPr>
                      <w:rFonts w:hint="default" w:ascii="Times New Roman" w:hAnsi="Times New Roman" w:eastAsia="宋体" w:cs="Times New Roman"/>
                      <w:color w:val="auto"/>
                    </w:rPr>
                  </w:pPr>
                  <w:r>
                    <w:rPr>
                      <w:rFonts w:hint="default" w:ascii="Times New Roman" w:hAnsi="Times New Roman" w:eastAsia="宋体" w:cs="Times New Roman"/>
                      <w:color w:val="auto"/>
                      <w:spacing w:val="-3"/>
                    </w:rPr>
                    <w:t>6~9</w:t>
                  </w:r>
                </w:p>
              </w:tc>
              <w:tc>
                <w:tcPr>
                  <w:tcW w:w="1209" w:type="dxa"/>
                  <w:vAlign w:val="center"/>
                </w:tcPr>
                <w:p w14:paraId="151313C1">
                  <w:pPr>
                    <w:spacing w:before="57" w:line="281" w:lineRule="exact"/>
                    <w:ind w:firstLine="502"/>
                    <w:rPr>
                      <w:rFonts w:hint="default" w:ascii="Times New Roman" w:hAnsi="Times New Roman" w:eastAsia="宋体" w:cs="Times New Roman"/>
                      <w:color w:val="auto"/>
                    </w:rPr>
                  </w:pPr>
                  <w:r>
                    <w:rPr>
                      <w:rFonts w:hint="default" w:ascii="Times New Roman" w:hAnsi="Times New Roman" w:eastAsia="宋体" w:cs="Times New Roman"/>
                      <w:color w:val="auto"/>
                      <w:spacing w:val="-2"/>
                    </w:rPr>
                    <w:t>≤6</w:t>
                  </w:r>
                </w:p>
              </w:tc>
              <w:tc>
                <w:tcPr>
                  <w:tcW w:w="690" w:type="dxa"/>
                  <w:vAlign w:val="center"/>
                </w:tcPr>
                <w:p w14:paraId="30685D70">
                  <w:pPr>
                    <w:spacing w:before="57" w:line="281" w:lineRule="exact"/>
                    <w:ind w:firstLine="188"/>
                    <w:rPr>
                      <w:rFonts w:hint="default" w:ascii="Times New Roman" w:hAnsi="Times New Roman" w:eastAsia="宋体" w:cs="Times New Roman"/>
                      <w:color w:val="auto"/>
                    </w:rPr>
                  </w:pPr>
                  <w:r>
                    <w:rPr>
                      <w:rFonts w:hint="default" w:ascii="Times New Roman" w:hAnsi="Times New Roman" w:eastAsia="宋体" w:cs="Times New Roman"/>
                      <w:color w:val="auto"/>
                      <w:spacing w:val="-1"/>
                    </w:rPr>
                    <w:t>≤20</w:t>
                  </w:r>
                </w:p>
              </w:tc>
              <w:tc>
                <w:tcPr>
                  <w:tcW w:w="794" w:type="dxa"/>
                  <w:vAlign w:val="center"/>
                </w:tcPr>
                <w:p w14:paraId="4BF5069A">
                  <w:pPr>
                    <w:spacing w:before="57" w:line="281" w:lineRule="exact"/>
                    <w:ind w:firstLine="294"/>
                    <w:rPr>
                      <w:rFonts w:hint="default" w:ascii="Times New Roman" w:hAnsi="Times New Roman" w:eastAsia="宋体" w:cs="Times New Roman"/>
                      <w:color w:val="auto"/>
                    </w:rPr>
                  </w:pPr>
                  <w:r>
                    <w:rPr>
                      <w:rFonts w:hint="default" w:ascii="Times New Roman" w:hAnsi="Times New Roman" w:eastAsia="宋体" w:cs="Times New Roman"/>
                      <w:color w:val="auto"/>
                      <w:spacing w:val="-2"/>
                    </w:rPr>
                    <w:t>≤4</w:t>
                  </w:r>
                </w:p>
              </w:tc>
              <w:tc>
                <w:tcPr>
                  <w:tcW w:w="729" w:type="dxa"/>
                  <w:vAlign w:val="center"/>
                </w:tcPr>
                <w:p w14:paraId="0B2CE51D">
                  <w:pPr>
                    <w:spacing w:before="57" w:line="281" w:lineRule="exact"/>
                    <w:ind w:firstLine="183"/>
                    <w:rPr>
                      <w:rFonts w:hint="default" w:ascii="Times New Roman" w:hAnsi="Times New Roman" w:eastAsia="宋体" w:cs="Times New Roman"/>
                      <w:color w:val="auto"/>
                    </w:rPr>
                  </w:pPr>
                  <w:r>
                    <w:rPr>
                      <w:rFonts w:hint="default" w:ascii="Times New Roman" w:hAnsi="Times New Roman" w:eastAsia="宋体" w:cs="Times New Roman"/>
                      <w:color w:val="auto"/>
                      <w:spacing w:val="1"/>
                    </w:rPr>
                    <w:t>≤1.0</w:t>
                  </w:r>
                </w:p>
              </w:tc>
              <w:tc>
                <w:tcPr>
                  <w:tcW w:w="979" w:type="dxa"/>
                  <w:vAlign w:val="center"/>
                </w:tcPr>
                <w:p w14:paraId="3504208B">
                  <w:pPr>
                    <w:spacing w:before="57" w:line="281" w:lineRule="exact"/>
                    <w:ind w:firstLine="310"/>
                    <w:rPr>
                      <w:rFonts w:hint="default" w:ascii="Times New Roman" w:hAnsi="Times New Roman" w:eastAsia="宋体" w:cs="Times New Roman"/>
                      <w:color w:val="auto"/>
                    </w:rPr>
                  </w:pPr>
                  <w:r>
                    <w:rPr>
                      <w:rFonts w:hint="default" w:ascii="Times New Roman" w:hAnsi="Times New Roman" w:eastAsia="宋体" w:cs="Times New Roman"/>
                      <w:color w:val="auto"/>
                      <w:spacing w:val="1"/>
                    </w:rPr>
                    <w:t>≤1.0</w:t>
                  </w:r>
                </w:p>
              </w:tc>
              <w:tc>
                <w:tcPr>
                  <w:tcW w:w="540" w:type="dxa"/>
                  <w:vAlign w:val="center"/>
                </w:tcPr>
                <w:p w14:paraId="2AE6725C">
                  <w:pPr>
                    <w:spacing w:before="57" w:line="281" w:lineRule="exact"/>
                    <w:ind w:firstLine="86"/>
                    <w:rPr>
                      <w:rFonts w:hint="default" w:ascii="Times New Roman" w:hAnsi="Times New Roman" w:eastAsia="宋体" w:cs="Times New Roman"/>
                      <w:color w:val="auto"/>
                    </w:rPr>
                  </w:pPr>
                  <w:r>
                    <w:rPr>
                      <w:rFonts w:hint="default" w:ascii="Times New Roman" w:hAnsi="Times New Roman" w:eastAsia="宋体" w:cs="Times New Roman"/>
                      <w:color w:val="auto"/>
                      <w:spacing w:val="-1"/>
                    </w:rPr>
                    <w:t>≤0.2</w:t>
                  </w:r>
                </w:p>
              </w:tc>
              <w:tc>
                <w:tcPr>
                  <w:tcW w:w="1593" w:type="dxa"/>
                  <w:vAlign w:val="center"/>
                </w:tcPr>
                <w:p w14:paraId="68E7E24E">
                  <w:pPr>
                    <w:spacing w:before="57" w:line="281" w:lineRule="exact"/>
                    <w:ind w:firstLine="435"/>
                    <w:rPr>
                      <w:rFonts w:hint="default" w:ascii="Times New Roman" w:hAnsi="Times New Roman" w:eastAsia="宋体" w:cs="Times New Roman"/>
                      <w:color w:val="auto"/>
                    </w:rPr>
                  </w:pPr>
                  <w:r>
                    <w:rPr>
                      <w:rFonts w:hint="default" w:ascii="Times New Roman" w:hAnsi="Times New Roman" w:eastAsia="宋体" w:cs="Times New Roman"/>
                      <w:color w:val="auto"/>
                      <w:spacing w:val="-1"/>
                    </w:rPr>
                    <w:t>≤10000</w:t>
                  </w:r>
                </w:p>
              </w:tc>
            </w:tr>
          </w:tbl>
          <w:p w14:paraId="1B7A4C14">
            <w:pPr>
              <w:spacing w:before="226"/>
              <w:ind w:firstLine="612"/>
              <w:rPr>
                <w:rFonts w:hint="default" w:ascii="Times New Roman" w:hAnsi="Times New Roman" w:eastAsia="宋体" w:cs="Times New Roman"/>
                <w:color w:val="auto"/>
                <w:spacing w:val="-6"/>
                <w:sz w:val="24"/>
                <w:szCs w:val="24"/>
              </w:rPr>
            </w:pPr>
            <w:r>
              <w:rPr>
                <w:rFonts w:hint="default" w:ascii="Times New Roman" w:hAnsi="Times New Roman" w:eastAsia="宋体" w:cs="Times New Roman"/>
                <w:color w:val="auto"/>
                <w:spacing w:val="-6"/>
                <w:sz w:val="24"/>
                <w:szCs w:val="24"/>
              </w:rPr>
              <w:t>（3）声环境质量标准</w:t>
            </w:r>
          </w:p>
          <w:p w14:paraId="6DA9041A">
            <w:pPr>
              <w:spacing w:before="226"/>
              <w:ind w:firstLine="612"/>
              <w:rPr>
                <w:rFonts w:hint="default" w:ascii="Times New Roman" w:hAnsi="Times New Roman" w:eastAsia="宋体" w:cs="Times New Roman"/>
                <w:color w:val="auto"/>
                <w:spacing w:val="-6"/>
                <w:sz w:val="24"/>
                <w:szCs w:val="24"/>
              </w:rPr>
            </w:pPr>
            <w:r>
              <w:rPr>
                <w:rFonts w:hint="default" w:ascii="Times New Roman" w:hAnsi="Times New Roman" w:eastAsia="宋体" w:cs="Times New Roman"/>
                <w:color w:val="auto"/>
                <w:spacing w:val="-6"/>
                <w:sz w:val="24"/>
                <w:szCs w:val="24"/>
              </w:rPr>
              <w:t>声环境执行GB3096-2008《声环境质量标准》2类标准。标准见下表：</w:t>
            </w:r>
          </w:p>
          <w:p w14:paraId="6DCAB1D6">
            <w:pPr>
              <w:spacing w:before="226"/>
              <w:jc w:val="center"/>
              <w:rPr>
                <w:rFonts w:hint="default" w:ascii="Times New Roman" w:hAnsi="Times New Roman" w:eastAsia="宋体" w:cs="Times New Roman"/>
                <w:color w:val="auto"/>
                <w:spacing w:val="-6"/>
                <w:sz w:val="24"/>
                <w:szCs w:val="24"/>
              </w:rPr>
            </w:pPr>
            <w:r>
              <w:rPr>
                <w:rFonts w:hint="default" w:ascii="Times New Roman" w:hAnsi="Times New Roman" w:eastAsia="宋体" w:cs="Times New Roman"/>
                <w:b/>
                <w:bCs/>
                <w:color w:val="auto"/>
                <w:spacing w:val="-6"/>
              </w:rPr>
              <w:t>表3-20 声环境质量标准单位：dB（A）</w:t>
            </w:r>
          </w:p>
          <w:tbl>
            <w:tblPr>
              <w:tblStyle w:val="32"/>
              <w:tblW w:w="494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37"/>
              <w:gridCol w:w="1636"/>
              <w:gridCol w:w="1792"/>
              <w:gridCol w:w="3130"/>
            </w:tblGrid>
            <w:tr w14:paraId="45729C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exact"/>
                <w:jc w:val="center"/>
              </w:trPr>
              <w:tc>
                <w:tcPr>
                  <w:tcW w:w="999" w:type="pct"/>
                  <w:vMerge w:val="restart"/>
                  <w:vAlign w:val="center"/>
                </w:tcPr>
                <w:p w14:paraId="07EE3E23">
                  <w:pPr>
                    <w:pStyle w:val="46"/>
                    <w:jc w:val="center"/>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类别</w:t>
                  </w:r>
                </w:p>
              </w:tc>
              <w:tc>
                <w:tcPr>
                  <w:tcW w:w="2091" w:type="pct"/>
                  <w:gridSpan w:val="2"/>
                  <w:vAlign w:val="center"/>
                </w:tcPr>
                <w:p w14:paraId="77A0FF8E">
                  <w:pPr>
                    <w:pStyle w:val="46"/>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标准值dB(A)</w:t>
                  </w:r>
                </w:p>
                <w:p w14:paraId="38487C3E">
                  <w:pPr>
                    <w:pStyle w:val="46"/>
                    <w:jc w:val="center"/>
                    <w:rPr>
                      <w:rFonts w:hint="default" w:ascii="Times New Roman" w:hAnsi="Times New Roman" w:eastAsia="宋体" w:cs="Times New Roman"/>
                      <w:color w:val="auto"/>
                      <w:sz w:val="21"/>
                    </w:rPr>
                  </w:pPr>
                </w:p>
              </w:tc>
              <w:tc>
                <w:tcPr>
                  <w:tcW w:w="1909" w:type="pct"/>
                  <w:vMerge w:val="restart"/>
                  <w:vAlign w:val="center"/>
                </w:tcPr>
                <w:p w14:paraId="4B27FEDA">
                  <w:pPr>
                    <w:pStyle w:val="46"/>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依据</w:t>
                  </w:r>
                </w:p>
              </w:tc>
            </w:tr>
            <w:tr w14:paraId="35BC3E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exact"/>
                <w:jc w:val="center"/>
              </w:trPr>
              <w:tc>
                <w:tcPr>
                  <w:tcW w:w="999" w:type="pct"/>
                  <w:vMerge w:val="continue"/>
                  <w:tcBorders>
                    <w:bottom w:val="single" w:color="auto" w:sz="4" w:space="0"/>
                  </w:tcBorders>
                  <w:vAlign w:val="center"/>
                </w:tcPr>
                <w:p w14:paraId="5938935E">
                  <w:pPr>
                    <w:pStyle w:val="46"/>
                    <w:jc w:val="center"/>
                    <w:rPr>
                      <w:rFonts w:hint="default" w:ascii="Times New Roman" w:hAnsi="Times New Roman" w:eastAsia="宋体" w:cs="Times New Roman"/>
                      <w:color w:val="auto"/>
                      <w:sz w:val="21"/>
                    </w:rPr>
                  </w:pPr>
                </w:p>
              </w:tc>
              <w:tc>
                <w:tcPr>
                  <w:tcW w:w="998" w:type="pct"/>
                  <w:tcBorders>
                    <w:bottom w:val="single" w:color="auto" w:sz="4" w:space="0"/>
                  </w:tcBorders>
                  <w:vAlign w:val="center"/>
                </w:tcPr>
                <w:p w14:paraId="2285795F">
                  <w:pPr>
                    <w:pStyle w:val="46"/>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昼间</w:t>
                  </w:r>
                </w:p>
              </w:tc>
              <w:tc>
                <w:tcPr>
                  <w:tcW w:w="1093" w:type="pct"/>
                  <w:tcBorders>
                    <w:bottom w:val="single" w:color="auto" w:sz="4" w:space="0"/>
                  </w:tcBorders>
                  <w:vAlign w:val="center"/>
                </w:tcPr>
                <w:p w14:paraId="080782F4">
                  <w:pPr>
                    <w:pStyle w:val="46"/>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夜间</w:t>
                  </w:r>
                </w:p>
              </w:tc>
              <w:tc>
                <w:tcPr>
                  <w:tcW w:w="1909" w:type="pct"/>
                  <w:vMerge w:val="continue"/>
                  <w:tcBorders>
                    <w:bottom w:val="single" w:color="auto" w:sz="4" w:space="0"/>
                  </w:tcBorders>
                  <w:vAlign w:val="center"/>
                </w:tcPr>
                <w:p w14:paraId="155572DA">
                  <w:pPr>
                    <w:pStyle w:val="46"/>
                    <w:jc w:val="center"/>
                    <w:rPr>
                      <w:rFonts w:hint="default" w:ascii="Times New Roman" w:hAnsi="Times New Roman" w:eastAsia="宋体" w:cs="Times New Roman"/>
                      <w:color w:val="auto"/>
                      <w:sz w:val="21"/>
                    </w:rPr>
                  </w:pPr>
                </w:p>
              </w:tc>
            </w:tr>
            <w:tr w14:paraId="77AA8E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73" w:hRule="atLeast"/>
                <w:jc w:val="center"/>
              </w:trPr>
              <w:tc>
                <w:tcPr>
                  <w:tcW w:w="999" w:type="pct"/>
                  <w:tcBorders>
                    <w:top w:val="single" w:color="auto" w:sz="4" w:space="0"/>
                  </w:tcBorders>
                  <w:vAlign w:val="center"/>
                </w:tcPr>
                <w:p w14:paraId="3696C1AA">
                  <w:pPr>
                    <w:pStyle w:val="46"/>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2类</w:t>
                  </w:r>
                </w:p>
              </w:tc>
              <w:tc>
                <w:tcPr>
                  <w:tcW w:w="998" w:type="pct"/>
                  <w:tcBorders>
                    <w:top w:val="single" w:color="auto" w:sz="4" w:space="0"/>
                  </w:tcBorders>
                  <w:vAlign w:val="center"/>
                </w:tcPr>
                <w:p w14:paraId="138BFA13">
                  <w:pPr>
                    <w:pStyle w:val="46"/>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60</w:t>
                  </w:r>
                </w:p>
              </w:tc>
              <w:tc>
                <w:tcPr>
                  <w:tcW w:w="1093" w:type="pct"/>
                  <w:tcBorders>
                    <w:top w:val="single" w:color="auto" w:sz="4" w:space="0"/>
                  </w:tcBorders>
                  <w:vAlign w:val="center"/>
                </w:tcPr>
                <w:p w14:paraId="6FC6608C">
                  <w:pPr>
                    <w:pStyle w:val="46"/>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50</w:t>
                  </w:r>
                </w:p>
              </w:tc>
              <w:tc>
                <w:tcPr>
                  <w:tcW w:w="1909" w:type="pct"/>
                  <w:tcBorders>
                    <w:top w:val="single" w:color="auto" w:sz="4" w:space="0"/>
                  </w:tcBorders>
                  <w:vAlign w:val="center"/>
                </w:tcPr>
                <w:p w14:paraId="708235F8">
                  <w:pPr>
                    <w:pStyle w:val="46"/>
                    <w:jc w:val="center"/>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《声环境质量标准》（GB3096-2008）2类标准</w:t>
                  </w:r>
                </w:p>
              </w:tc>
            </w:tr>
          </w:tbl>
          <w:p w14:paraId="6B62CFD3">
            <w:pPr>
              <w:spacing w:before="41" w:line="184" w:lineRule="auto"/>
              <w:ind w:firstLine="597"/>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pacing w:val="-2"/>
                <w:sz w:val="24"/>
                <w:szCs w:val="24"/>
              </w:rPr>
              <w:t>2、污染物排放标准</w:t>
            </w:r>
          </w:p>
          <w:p w14:paraId="2C84E74C">
            <w:pPr>
              <w:spacing w:before="226" w:line="360" w:lineRule="auto"/>
              <w:ind w:firstLine="612"/>
              <w:rPr>
                <w:rFonts w:hint="default" w:ascii="Times New Roman" w:hAnsi="Times New Roman" w:eastAsia="宋体" w:cs="Times New Roman"/>
                <w:color w:val="auto"/>
                <w:spacing w:val="-6"/>
                <w:sz w:val="24"/>
                <w:szCs w:val="24"/>
              </w:rPr>
            </w:pPr>
            <w:r>
              <w:rPr>
                <w:rFonts w:hint="default" w:ascii="Times New Roman" w:hAnsi="Times New Roman" w:eastAsia="宋体" w:cs="Times New Roman"/>
                <w:color w:val="auto"/>
                <w:spacing w:val="-6"/>
                <w:sz w:val="24"/>
                <w:szCs w:val="24"/>
              </w:rPr>
              <w:t>（1）大气污染物</w:t>
            </w:r>
          </w:p>
          <w:p w14:paraId="085DC941">
            <w:pPr>
              <w:spacing w:before="3" w:line="360" w:lineRule="auto"/>
              <w:ind w:left="113" w:right="106" w:firstLine="486"/>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施工期扬尘执行《四川省施工场地扬尘排放标准》（DB51/2682-2020）中表 1 施工扬尘无组织排放监控浓度限值。</w:t>
            </w:r>
          </w:p>
          <w:p w14:paraId="02B42514">
            <w:pPr>
              <w:spacing w:before="3"/>
              <w:ind w:right="106"/>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表3</w:t>
            </w:r>
            <w:r>
              <w:rPr>
                <w:rFonts w:hint="default" w:ascii="Times New Roman" w:hAnsi="Times New Roman" w:eastAsia="宋体" w:cs="Times New Roman"/>
                <w:b/>
                <w:bCs/>
                <w:color w:val="auto"/>
                <w:lang w:val="fr-FR"/>
              </w:rPr>
              <w:t>-</w:t>
            </w:r>
            <w:r>
              <w:rPr>
                <w:rFonts w:hint="default" w:ascii="Times New Roman" w:hAnsi="Times New Roman" w:eastAsia="宋体" w:cs="Times New Roman"/>
                <w:b/>
                <w:bCs/>
                <w:color w:val="auto"/>
              </w:rPr>
              <w:t>21  施工期扬尘排放标准</w:t>
            </w:r>
          </w:p>
          <w:tbl>
            <w:tblPr>
              <w:tblStyle w:val="32"/>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82"/>
              <w:gridCol w:w="3337"/>
              <w:gridCol w:w="1858"/>
              <w:gridCol w:w="1398"/>
              <w:gridCol w:w="1222"/>
            </w:tblGrid>
            <w:tr w14:paraId="00C0E3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291" w:type="pct"/>
                  <w:tcBorders>
                    <w:right w:val="single" w:color="000000" w:sz="2" w:space="0"/>
                  </w:tcBorders>
                  <w:vAlign w:val="center"/>
                </w:tcPr>
                <w:p w14:paraId="244B1EB2">
                  <w:pPr>
                    <w:jc w:val="center"/>
                    <w:rPr>
                      <w:rFonts w:hint="default" w:ascii="Times New Roman" w:hAnsi="Times New Roman" w:eastAsia="宋体" w:cs="Times New Roman"/>
                      <w:color w:val="auto"/>
                      <w:lang w:val="fr-FR"/>
                    </w:rPr>
                  </w:pPr>
                  <w:r>
                    <w:rPr>
                      <w:rFonts w:hint="default" w:ascii="Times New Roman" w:hAnsi="Times New Roman" w:eastAsia="宋体" w:cs="Times New Roman"/>
                      <w:color w:val="auto"/>
                    </w:rPr>
                    <w:t>项目</w:t>
                  </w:r>
                </w:p>
              </w:tc>
              <w:tc>
                <w:tcPr>
                  <w:tcW w:w="2010" w:type="pct"/>
                  <w:tcBorders>
                    <w:left w:val="single" w:color="000000" w:sz="2" w:space="0"/>
                  </w:tcBorders>
                  <w:vAlign w:val="center"/>
                </w:tcPr>
                <w:p w14:paraId="7A62116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区域</w:t>
                  </w:r>
                </w:p>
              </w:tc>
              <w:tc>
                <w:tcPr>
                  <w:tcW w:w="1119" w:type="pct"/>
                  <w:vAlign w:val="center"/>
                </w:tcPr>
                <w:p w14:paraId="1D4D9119">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施工阶段</w:t>
                  </w:r>
                </w:p>
              </w:tc>
              <w:tc>
                <w:tcPr>
                  <w:tcW w:w="842" w:type="pct"/>
                  <w:vAlign w:val="center"/>
                </w:tcPr>
                <w:p w14:paraId="577CA7D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监测点排放限值</w:t>
                  </w:r>
                </w:p>
                <w:p w14:paraId="0AEE44A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（μg/m</w:t>
                  </w:r>
                  <w:r>
                    <w:rPr>
                      <w:rFonts w:hint="default" w:ascii="Times New Roman" w:hAnsi="Times New Roman" w:eastAsia="宋体" w:cs="Times New Roman"/>
                      <w:color w:val="auto"/>
                      <w:vertAlign w:val="superscript"/>
                    </w:rPr>
                    <w:t>3</w:t>
                  </w:r>
                  <w:r>
                    <w:rPr>
                      <w:rFonts w:hint="default" w:ascii="Times New Roman" w:hAnsi="Times New Roman" w:eastAsia="宋体" w:cs="Times New Roman"/>
                      <w:color w:val="auto"/>
                    </w:rPr>
                    <w:t>）</w:t>
                  </w:r>
                </w:p>
              </w:tc>
              <w:tc>
                <w:tcPr>
                  <w:tcW w:w="736" w:type="pct"/>
                  <w:vAlign w:val="center"/>
                </w:tcPr>
                <w:p w14:paraId="004C8172">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监测时间</w:t>
                  </w:r>
                </w:p>
              </w:tc>
            </w:tr>
            <w:tr w14:paraId="199310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291" w:type="pct"/>
                  <w:vMerge w:val="restart"/>
                  <w:tcBorders>
                    <w:right w:val="single" w:color="000000" w:sz="2" w:space="0"/>
                  </w:tcBorders>
                  <w:vAlign w:val="center"/>
                </w:tcPr>
                <w:p w14:paraId="73E1CE4D">
                  <w:pPr>
                    <w:rPr>
                      <w:rFonts w:hint="default" w:ascii="Times New Roman" w:hAnsi="Times New Roman" w:eastAsia="宋体" w:cs="Times New Roman"/>
                      <w:color w:val="auto"/>
                    </w:rPr>
                  </w:pPr>
                  <w:r>
                    <w:rPr>
                      <w:rFonts w:hint="default" w:ascii="Times New Roman" w:hAnsi="Times New Roman" w:eastAsia="宋体" w:cs="Times New Roman"/>
                      <w:color w:val="auto"/>
                    </w:rPr>
                    <w:t>颗粒物</w:t>
                  </w:r>
                </w:p>
              </w:tc>
              <w:tc>
                <w:tcPr>
                  <w:tcW w:w="2010" w:type="pct"/>
                  <w:vMerge w:val="restart"/>
                  <w:tcBorders>
                    <w:left w:val="single" w:color="000000" w:sz="2" w:space="0"/>
                  </w:tcBorders>
                  <w:vAlign w:val="center"/>
                </w:tcPr>
                <w:p w14:paraId="3DC7FFD7">
                  <w:pPr>
                    <w:rPr>
                      <w:rFonts w:hint="default" w:ascii="Times New Roman" w:hAnsi="Times New Roman" w:eastAsia="宋体" w:cs="Times New Roman"/>
                      <w:color w:val="auto"/>
                    </w:rPr>
                  </w:pPr>
                  <w:r>
                    <w:rPr>
                      <w:rFonts w:hint="default" w:ascii="Times New Roman" w:hAnsi="Times New Roman" w:eastAsia="宋体" w:cs="Times New Roman"/>
                      <w:color w:val="auto"/>
                    </w:rPr>
                    <w:t>成都市、自贡市、泸州市、德阳市、绵阳市、广元市、遂宁市、内江市、乐山市、南充市、宜宾市、广安市、达州市、巴中市、雅安市、眉山市、资阳市</w:t>
                  </w:r>
                </w:p>
              </w:tc>
              <w:tc>
                <w:tcPr>
                  <w:tcW w:w="1119" w:type="pct"/>
                  <w:vAlign w:val="center"/>
                </w:tcPr>
                <w:p w14:paraId="776D77E7">
                  <w:pPr>
                    <w:rPr>
                      <w:rFonts w:hint="default" w:ascii="Times New Roman" w:hAnsi="Times New Roman" w:eastAsia="宋体" w:cs="Times New Roman"/>
                      <w:color w:val="auto"/>
                    </w:rPr>
                  </w:pPr>
                  <w:r>
                    <w:rPr>
                      <w:rFonts w:hint="default" w:ascii="Times New Roman" w:hAnsi="Times New Roman" w:eastAsia="宋体" w:cs="Times New Roman"/>
                      <w:color w:val="auto"/>
                    </w:rPr>
                    <w:t>拆除工程/土方开挖/土方回填阶段</w:t>
                  </w:r>
                </w:p>
              </w:tc>
              <w:tc>
                <w:tcPr>
                  <w:tcW w:w="842" w:type="pct"/>
                  <w:vAlign w:val="center"/>
                </w:tcPr>
                <w:p w14:paraId="6E7F6F5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600</w:t>
                  </w:r>
                </w:p>
              </w:tc>
              <w:tc>
                <w:tcPr>
                  <w:tcW w:w="736" w:type="pct"/>
                  <w:vMerge w:val="restart"/>
                  <w:vAlign w:val="center"/>
                </w:tcPr>
                <w:p w14:paraId="60CA698E">
                  <w:pPr>
                    <w:rPr>
                      <w:rFonts w:hint="default" w:ascii="Times New Roman" w:hAnsi="Times New Roman" w:eastAsia="宋体" w:cs="Times New Roman"/>
                      <w:color w:val="auto"/>
                    </w:rPr>
                  </w:pPr>
                  <w:r>
                    <w:rPr>
                      <w:rFonts w:hint="default" w:ascii="Times New Roman" w:hAnsi="Times New Roman" w:eastAsia="宋体" w:cs="Times New Roman"/>
                      <w:color w:val="auto"/>
                    </w:rPr>
                    <w:t>自监测起持续15min</w:t>
                  </w:r>
                </w:p>
              </w:tc>
            </w:tr>
            <w:tr w14:paraId="6D8638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291" w:type="pct"/>
                  <w:vMerge w:val="continue"/>
                  <w:tcBorders>
                    <w:right w:val="single" w:color="000000" w:sz="2" w:space="0"/>
                  </w:tcBorders>
                  <w:vAlign w:val="center"/>
                </w:tcPr>
                <w:p w14:paraId="16598AB5">
                  <w:pPr>
                    <w:rPr>
                      <w:rFonts w:hint="default" w:ascii="Times New Roman" w:hAnsi="Times New Roman" w:eastAsia="宋体" w:cs="Times New Roman"/>
                      <w:color w:val="auto"/>
                    </w:rPr>
                  </w:pPr>
                </w:p>
              </w:tc>
              <w:tc>
                <w:tcPr>
                  <w:tcW w:w="2010" w:type="pct"/>
                  <w:vMerge w:val="continue"/>
                  <w:tcBorders>
                    <w:left w:val="single" w:color="000000" w:sz="2" w:space="0"/>
                  </w:tcBorders>
                  <w:vAlign w:val="center"/>
                </w:tcPr>
                <w:p w14:paraId="0440BD26">
                  <w:pPr>
                    <w:rPr>
                      <w:rFonts w:hint="default" w:ascii="Times New Roman" w:hAnsi="Times New Roman" w:eastAsia="宋体" w:cs="Times New Roman"/>
                      <w:color w:val="auto"/>
                    </w:rPr>
                  </w:pPr>
                </w:p>
              </w:tc>
              <w:tc>
                <w:tcPr>
                  <w:tcW w:w="1119" w:type="pct"/>
                  <w:vAlign w:val="center"/>
                </w:tcPr>
                <w:p w14:paraId="6CEB674C">
                  <w:pPr>
                    <w:rPr>
                      <w:rFonts w:hint="default" w:ascii="Times New Roman" w:hAnsi="Times New Roman" w:eastAsia="宋体" w:cs="Times New Roman"/>
                      <w:color w:val="auto"/>
                    </w:rPr>
                  </w:pPr>
                  <w:r>
                    <w:rPr>
                      <w:rFonts w:hint="default" w:ascii="Times New Roman" w:hAnsi="Times New Roman" w:eastAsia="宋体" w:cs="Times New Roman"/>
                      <w:color w:val="auto"/>
                    </w:rPr>
                    <w:t>其他工程阶段</w:t>
                  </w:r>
                </w:p>
              </w:tc>
              <w:tc>
                <w:tcPr>
                  <w:tcW w:w="842" w:type="pct"/>
                  <w:vAlign w:val="center"/>
                </w:tcPr>
                <w:p w14:paraId="1B9AFFE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250</w:t>
                  </w:r>
                </w:p>
              </w:tc>
              <w:tc>
                <w:tcPr>
                  <w:tcW w:w="736" w:type="pct"/>
                  <w:vMerge w:val="continue"/>
                  <w:vAlign w:val="center"/>
                </w:tcPr>
                <w:p w14:paraId="292E0090">
                  <w:pPr>
                    <w:rPr>
                      <w:rFonts w:hint="default" w:ascii="Times New Roman" w:hAnsi="Times New Roman" w:eastAsia="宋体" w:cs="Times New Roman"/>
                      <w:color w:val="auto"/>
                    </w:rPr>
                  </w:pPr>
                </w:p>
              </w:tc>
            </w:tr>
          </w:tbl>
          <w:p w14:paraId="60DC0393">
            <w:pPr>
              <w:spacing w:before="226" w:line="360" w:lineRule="auto"/>
              <w:ind w:firstLine="612"/>
              <w:rPr>
                <w:rFonts w:hint="default" w:ascii="Times New Roman" w:hAnsi="Times New Roman" w:eastAsia="宋体" w:cs="Times New Roman"/>
                <w:color w:val="auto"/>
                <w:spacing w:val="-6"/>
                <w:sz w:val="24"/>
                <w:szCs w:val="24"/>
              </w:rPr>
            </w:pPr>
            <w:r>
              <w:rPr>
                <w:rFonts w:hint="default" w:ascii="Times New Roman" w:hAnsi="Times New Roman" w:eastAsia="宋体" w:cs="Times New Roman"/>
                <w:color w:val="auto"/>
                <w:spacing w:val="-6"/>
                <w:sz w:val="24"/>
                <w:szCs w:val="24"/>
              </w:rPr>
              <w:t>（2）废水</w:t>
            </w:r>
          </w:p>
          <w:p w14:paraId="49FD4168">
            <w:pPr>
              <w:spacing w:before="226" w:line="360" w:lineRule="auto"/>
              <w:ind w:firstLine="612"/>
              <w:rPr>
                <w:rFonts w:hint="default" w:ascii="Times New Roman" w:hAnsi="Times New Roman" w:eastAsia="宋体" w:cs="Times New Roman"/>
                <w:color w:val="auto"/>
                <w:spacing w:val="-6"/>
                <w:sz w:val="24"/>
                <w:szCs w:val="24"/>
              </w:rPr>
            </w:pPr>
            <w:r>
              <w:rPr>
                <w:rFonts w:hint="default" w:ascii="Times New Roman" w:hAnsi="Times New Roman" w:eastAsia="宋体" w:cs="Times New Roman"/>
                <w:color w:val="auto"/>
                <w:spacing w:val="-6"/>
                <w:sz w:val="24"/>
                <w:szCs w:val="24"/>
              </w:rPr>
              <w:t>施工期要求废水循环利用不外排，运营期禁止排入地表水。</w:t>
            </w:r>
          </w:p>
          <w:p w14:paraId="16229A37">
            <w:pPr>
              <w:spacing w:before="226" w:line="360" w:lineRule="auto"/>
              <w:ind w:firstLine="612"/>
              <w:rPr>
                <w:rFonts w:hint="default" w:ascii="Times New Roman" w:hAnsi="Times New Roman" w:eastAsia="宋体" w:cs="Times New Roman"/>
                <w:color w:val="auto"/>
                <w:spacing w:val="-6"/>
                <w:sz w:val="24"/>
                <w:szCs w:val="24"/>
              </w:rPr>
            </w:pPr>
            <w:r>
              <w:rPr>
                <w:rFonts w:hint="default" w:ascii="Times New Roman" w:hAnsi="Times New Roman" w:eastAsia="宋体" w:cs="Times New Roman"/>
                <w:color w:val="auto"/>
                <w:spacing w:val="-6"/>
                <w:sz w:val="24"/>
                <w:szCs w:val="24"/>
              </w:rPr>
              <w:t>（3）噪声</w:t>
            </w:r>
          </w:p>
          <w:p w14:paraId="4E727207">
            <w:pPr>
              <w:spacing w:before="3" w:line="360" w:lineRule="auto"/>
              <w:ind w:left="113" w:right="106" w:firstLine="486"/>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施工期执行《建筑施工场界环境噪声排放标准》（GB12523－2011）标准，标准限值见下表；项目营运期不涉及噪声产生，不设排放标准。</w:t>
            </w:r>
          </w:p>
          <w:p w14:paraId="4C4B6C9F">
            <w:pPr>
              <w:jc w:val="center"/>
              <w:rPr>
                <w:rFonts w:hint="default" w:ascii="Times New Roman" w:hAnsi="Times New Roman" w:eastAsia="宋体" w:cs="Times New Roman"/>
                <w:b/>
                <w:color w:val="auto"/>
              </w:rPr>
            </w:pPr>
            <w:r>
              <w:rPr>
                <w:rFonts w:hint="default" w:ascii="Times New Roman" w:hAnsi="Times New Roman" w:eastAsia="宋体" w:cs="Times New Roman"/>
                <w:b/>
                <w:color w:val="auto"/>
              </w:rPr>
              <w:t>表3-22  建筑施工场界环境噪声排放标准单位：dB(A)</w:t>
            </w:r>
          </w:p>
          <w:tbl>
            <w:tblPr>
              <w:tblStyle w:val="32"/>
              <w:tblW w:w="4942" w:type="pct"/>
              <w:jc w:val="center"/>
              <w:tblBorders>
                <w:top w:val="single" w:color="auto" w:sz="2" w:space="0"/>
                <w:left w:val="none" w:color="auto" w:sz="0" w:space="0"/>
                <w:bottom w:val="single" w:color="auto" w:sz="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36"/>
              <w:gridCol w:w="1329"/>
              <w:gridCol w:w="5344"/>
            </w:tblGrid>
            <w:tr w14:paraId="7EA4C5AF">
              <w:tblPrEx>
                <w:tblBorders>
                  <w:top w:val="single" w:color="auto" w:sz="2" w:space="0"/>
                  <w:left w:val="none" w:color="auto" w:sz="0" w:space="0"/>
                  <w:bottom w:val="sing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2" w:hRule="exact"/>
                <w:jc w:val="center"/>
              </w:trPr>
              <w:tc>
                <w:tcPr>
                  <w:tcW w:w="936" w:type="pct"/>
                  <w:tcBorders>
                    <w:left w:val="single" w:color="auto" w:sz="4" w:space="0"/>
                    <w:bottom w:val="single" w:color="auto" w:sz="4" w:space="0"/>
                  </w:tcBorders>
                  <w:vAlign w:val="center"/>
                </w:tcPr>
                <w:p w14:paraId="5DAF967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昼间</w:t>
                  </w:r>
                </w:p>
              </w:tc>
              <w:tc>
                <w:tcPr>
                  <w:tcW w:w="809" w:type="pct"/>
                  <w:tcBorders>
                    <w:bottom w:val="single" w:color="auto" w:sz="4" w:space="0"/>
                  </w:tcBorders>
                  <w:vAlign w:val="center"/>
                </w:tcPr>
                <w:p w14:paraId="5E4F0B70">
                  <w:pPr>
                    <w:ind w:left="70" w:hanging="7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夜间</w:t>
                  </w:r>
                </w:p>
              </w:tc>
              <w:tc>
                <w:tcPr>
                  <w:tcW w:w="3254" w:type="pct"/>
                  <w:tcBorders>
                    <w:top w:val="single" w:color="auto" w:sz="4" w:space="0"/>
                    <w:bottom w:val="single" w:color="auto" w:sz="4" w:space="0"/>
                    <w:right w:val="single" w:color="auto" w:sz="4" w:space="0"/>
                  </w:tcBorders>
                  <w:vAlign w:val="center"/>
                </w:tcPr>
                <w:p w14:paraId="61C233CC">
                  <w:pPr>
                    <w:ind w:left="70" w:hanging="70"/>
                    <w:jc w:val="center"/>
                    <w:rPr>
                      <w:rFonts w:hint="default" w:ascii="Times New Roman" w:hAnsi="Times New Roman" w:eastAsia="宋体" w:cs="Times New Roman"/>
                      <w:color w:val="auto"/>
                    </w:rPr>
                  </w:pPr>
                  <w:r>
                    <w:rPr>
                      <w:rFonts w:hint="default" w:ascii="Times New Roman" w:hAnsi="Times New Roman" w:eastAsia="宋体" w:cs="Times New Roman"/>
                      <w:color w:val="auto"/>
                    </w:rPr>
                    <w:t>依据</w:t>
                  </w:r>
                </w:p>
              </w:tc>
            </w:tr>
            <w:tr w14:paraId="165C6DD8">
              <w:tblPrEx>
                <w:tblBorders>
                  <w:top w:val="single" w:color="auto" w:sz="2" w:space="0"/>
                  <w:left w:val="none" w:color="auto" w:sz="0" w:space="0"/>
                  <w:bottom w:val="single" w:color="auto" w:sz="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exact"/>
                <w:jc w:val="center"/>
              </w:trPr>
              <w:tc>
                <w:tcPr>
                  <w:tcW w:w="936" w:type="pct"/>
                  <w:tcBorders>
                    <w:top w:val="single" w:color="auto" w:sz="4" w:space="0"/>
                    <w:left w:val="single" w:color="auto" w:sz="4" w:space="0"/>
                  </w:tcBorders>
                  <w:vAlign w:val="center"/>
                </w:tcPr>
                <w:p w14:paraId="491184DA">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70</w:t>
                  </w:r>
                </w:p>
              </w:tc>
              <w:tc>
                <w:tcPr>
                  <w:tcW w:w="809" w:type="pct"/>
                  <w:tcBorders>
                    <w:top w:val="single" w:color="auto" w:sz="4" w:space="0"/>
                  </w:tcBorders>
                  <w:vAlign w:val="center"/>
                </w:tcPr>
                <w:p w14:paraId="647420F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55</w:t>
                  </w:r>
                </w:p>
              </w:tc>
              <w:tc>
                <w:tcPr>
                  <w:tcW w:w="3254" w:type="pct"/>
                  <w:tcBorders>
                    <w:top w:val="single" w:color="auto" w:sz="4" w:space="0"/>
                    <w:right w:val="single" w:color="auto" w:sz="4" w:space="0"/>
                  </w:tcBorders>
                  <w:vAlign w:val="center"/>
                </w:tcPr>
                <w:p w14:paraId="523051B3">
                  <w:pPr>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6"/>
                    </w:rPr>
                    <w:t>《建筑施工场界环境噪声排放标准》</w:t>
                  </w:r>
                  <w:r>
                    <w:rPr>
                      <w:rFonts w:hint="default" w:ascii="Times New Roman" w:hAnsi="Times New Roman" w:eastAsia="宋体" w:cs="Times New Roman"/>
                      <w:color w:val="auto"/>
                    </w:rPr>
                    <w:t>（GB12523-2011）</w:t>
                  </w:r>
                </w:p>
              </w:tc>
            </w:tr>
          </w:tbl>
          <w:p w14:paraId="7B63ADCD">
            <w:pPr>
              <w:spacing w:before="37"/>
              <w:ind w:firstLine="588"/>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5"/>
                <w:sz w:val="24"/>
                <w:szCs w:val="24"/>
              </w:rPr>
              <w:t>（4）固体废物</w:t>
            </w:r>
          </w:p>
          <w:p w14:paraId="2D013A98">
            <w:pPr>
              <w:spacing w:before="227"/>
              <w:ind w:firstLine="597"/>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3"/>
                <w:sz w:val="24"/>
                <w:szCs w:val="24"/>
              </w:rPr>
              <w:t>一般固体废物处置执行《一般工业固体废物贮存和填埋污染控制标准》</w:t>
            </w:r>
          </w:p>
          <w:p w14:paraId="44C14F38">
            <w:pPr>
              <w:spacing w:before="229" w:line="184" w:lineRule="auto"/>
              <w:ind w:firstLine="12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3"/>
                <w:sz w:val="24"/>
                <w:szCs w:val="24"/>
              </w:rPr>
              <w:t>（GB18599-2020）中相应的标准。</w:t>
            </w:r>
          </w:p>
          <w:p w14:paraId="1C95F5EA">
            <w:pPr>
              <w:spacing w:before="226" w:line="184" w:lineRule="auto"/>
              <w:ind w:firstLine="595"/>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7"/>
                <w:sz w:val="24"/>
                <w:szCs w:val="24"/>
              </w:rPr>
              <w:t>（5）生态环境</w:t>
            </w:r>
          </w:p>
          <w:p w14:paraId="07F06C47">
            <w:pPr>
              <w:spacing w:before="229" w:line="358" w:lineRule="auto"/>
              <w:ind w:right="106" w:firstLine="428"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13"/>
                <w:sz w:val="24"/>
                <w:szCs w:val="24"/>
              </w:rPr>
              <w:t>生态：项目区未发现濒危珍稀动植物；以不破坏当地生态系统完整性为</w:t>
            </w:r>
            <w:r>
              <w:rPr>
                <w:rFonts w:hint="default" w:ascii="Times New Roman" w:hAnsi="Times New Roman" w:eastAsia="宋体" w:cs="Times New Roman"/>
                <w:color w:val="auto"/>
                <w:spacing w:val="-4"/>
                <w:sz w:val="24"/>
                <w:szCs w:val="24"/>
              </w:rPr>
              <w:t>标准。</w:t>
            </w:r>
          </w:p>
          <w:p w14:paraId="08B2DC5A">
            <w:pPr>
              <w:spacing w:before="226" w:line="184" w:lineRule="auto"/>
              <w:rPr>
                <w:rFonts w:hint="default" w:ascii="Times New Roman" w:hAnsi="Times New Roman" w:eastAsia="宋体" w:cs="Times New Roman"/>
                <w:color w:val="auto"/>
                <w:sz w:val="24"/>
                <w:szCs w:val="24"/>
              </w:rPr>
            </w:pPr>
          </w:p>
        </w:tc>
      </w:tr>
    </w:tbl>
    <w:p w14:paraId="64A4E3A7">
      <w:pPr>
        <w:spacing w:line="91" w:lineRule="auto"/>
        <w:rPr>
          <w:rFonts w:hint="default" w:ascii="Times New Roman" w:hAnsi="Times New Roman" w:eastAsia="宋体" w:cs="Times New Roman"/>
          <w:color w:val="auto"/>
          <w:sz w:val="2"/>
        </w:rPr>
      </w:pPr>
    </w:p>
    <w:tbl>
      <w:tblPr>
        <w:tblStyle w:val="43"/>
        <w:tblW w:w="8787" w:type="dxa"/>
        <w:jc w:val="center"/>
        <w:tblBorders>
          <w:top w:val="none" w:color="auto" w:sz="0"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76"/>
        <w:gridCol w:w="8311"/>
      </w:tblGrid>
      <w:tr w14:paraId="55FA1EBD">
        <w:tblPrEx>
          <w:tblBorders>
            <w:top w:val="none" w:color="auto" w:sz="0"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18" w:hRule="atLeast"/>
          <w:jc w:val="center"/>
        </w:trPr>
        <w:tc>
          <w:tcPr>
            <w:tcW w:w="476" w:type="dxa"/>
            <w:textDirection w:val="tbRlV"/>
            <w:vAlign w:val="center"/>
          </w:tcPr>
          <w:p w14:paraId="24707C45">
            <w:pPr>
              <w:spacing w:before="108" w:line="180" w:lineRule="auto"/>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1"/>
                <w:sz w:val="24"/>
                <w:szCs w:val="24"/>
              </w:rPr>
              <w:t>其他</w:t>
            </w:r>
          </w:p>
        </w:tc>
        <w:tc>
          <w:tcPr>
            <w:tcW w:w="8311" w:type="dxa"/>
            <w:vAlign w:val="center"/>
          </w:tcPr>
          <w:p w14:paraId="6511B4BF">
            <w:pPr>
              <w:spacing w:before="3" w:line="360" w:lineRule="auto"/>
              <w:ind w:right="106" w:firstLine="480" w:firstLineChars="20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结合本项目污染源及污染物排放特征，本项目废气主要为扬尘，不涉及总量控制指标；本项目运营期管理人员及养护人员产生的生活污水，依托村民房屋自建旱厕处理，不排入地表水体。</w:t>
            </w:r>
          </w:p>
          <w:p w14:paraId="08A27FC6">
            <w:pPr>
              <w:spacing w:before="79" w:line="184" w:lineRule="auto"/>
              <w:ind w:firstLine="594"/>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因此，本项目不需设置总量控制指标。</w:t>
            </w:r>
          </w:p>
          <w:p w14:paraId="72190D31">
            <w:pPr>
              <w:spacing w:before="79" w:line="184" w:lineRule="auto"/>
              <w:ind w:firstLine="594"/>
              <w:rPr>
                <w:rFonts w:hint="default" w:ascii="Times New Roman" w:hAnsi="Times New Roman" w:eastAsia="宋体" w:cs="Times New Roman"/>
                <w:color w:val="auto"/>
                <w:sz w:val="24"/>
                <w:szCs w:val="24"/>
              </w:rPr>
            </w:pPr>
          </w:p>
          <w:p w14:paraId="27195DEC">
            <w:pPr>
              <w:spacing w:before="79" w:line="184" w:lineRule="auto"/>
              <w:ind w:firstLine="594"/>
              <w:rPr>
                <w:rFonts w:hint="default" w:ascii="Times New Roman" w:hAnsi="Times New Roman" w:eastAsia="宋体" w:cs="Times New Roman"/>
                <w:color w:val="auto"/>
                <w:sz w:val="24"/>
                <w:szCs w:val="24"/>
              </w:rPr>
            </w:pPr>
          </w:p>
          <w:p w14:paraId="22BFF0FB">
            <w:pPr>
              <w:spacing w:before="79" w:line="184" w:lineRule="auto"/>
              <w:ind w:firstLine="594"/>
              <w:rPr>
                <w:rFonts w:hint="default" w:ascii="Times New Roman" w:hAnsi="Times New Roman" w:eastAsia="宋体" w:cs="Times New Roman"/>
                <w:color w:val="auto"/>
                <w:sz w:val="24"/>
                <w:szCs w:val="24"/>
              </w:rPr>
            </w:pPr>
          </w:p>
          <w:p w14:paraId="2FAA4326">
            <w:pPr>
              <w:spacing w:before="79" w:line="184" w:lineRule="auto"/>
              <w:ind w:firstLine="594"/>
              <w:rPr>
                <w:rFonts w:hint="default" w:ascii="Times New Roman" w:hAnsi="Times New Roman" w:eastAsia="宋体" w:cs="Times New Roman"/>
                <w:color w:val="auto"/>
                <w:sz w:val="24"/>
                <w:szCs w:val="24"/>
              </w:rPr>
            </w:pPr>
          </w:p>
          <w:p w14:paraId="6E812AC8">
            <w:pPr>
              <w:spacing w:before="79" w:line="184" w:lineRule="auto"/>
              <w:ind w:firstLine="594"/>
              <w:rPr>
                <w:rFonts w:hint="default" w:ascii="Times New Roman" w:hAnsi="Times New Roman" w:eastAsia="宋体" w:cs="Times New Roman"/>
                <w:color w:val="auto"/>
                <w:sz w:val="24"/>
                <w:szCs w:val="24"/>
              </w:rPr>
            </w:pPr>
          </w:p>
          <w:p w14:paraId="78CB428E">
            <w:pPr>
              <w:spacing w:before="79" w:line="184" w:lineRule="auto"/>
              <w:ind w:firstLine="594"/>
              <w:rPr>
                <w:rFonts w:hint="default" w:ascii="Times New Roman" w:hAnsi="Times New Roman" w:eastAsia="宋体" w:cs="Times New Roman"/>
                <w:color w:val="auto"/>
                <w:sz w:val="24"/>
                <w:szCs w:val="24"/>
              </w:rPr>
            </w:pPr>
          </w:p>
          <w:p w14:paraId="3358C4BE">
            <w:pPr>
              <w:spacing w:before="79" w:line="184" w:lineRule="auto"/>
              <w:ind w:firstLine="594"/>
              <w:rPr>
                <w:rFonts w:hint="default" w:ascii="Times New Roman" w:hAnsi="Times New Roman" w:eastAsia="宋体" w:cs="Times New Roman"/>
                <w:color w:val="auto"/>
                <w:sz w:val="24"/>
                <w:szCs w:val="24"/>
              </w:rPr>
            </w:pPr>
          </w:p>
          <w:p w14:paraId="4BF6FB2E">
            <w:pPr>
              <w:spacing w:before="79" w:line="184" w:lineRule="auto"/>
              <w:ind w:firstLine="594"/>
              <w:rPr>
                <w:rFonts w:hint="default" w:ascii="Times New Roman" w:hAnsi="Times New Roman" w:eastAsia="宋体" w:cs="Times New Roman"/>
                <w:color w:val="auto"/>
                <w:sz w:val="24"/>
                <w:szCs w:val="24"/>
              </w:rPr>
            </w:pPr>
          </w:p>
          <w:p w14:paraId="47DA420A">
            <w:pPr>
              <w:spacing w:before="79" w:line="184" w:lineRule="auto"/>
              <w:ind w:firstLine="594"/>
              <w:rPr>
                <w:rFonts w:hint="default" w:ascii="Times New Roman" w:hAnsi="Times New Roman" w:eastAsia="宋体" w:cs="Times New Roman"/>
                <w:color w:val="auto"/>
                <w:sz w:val="24"/>
                <w:szCs w:val="24"/>
              </w:rPr>
            </w:pPr>
          </w:p>
          <w:p w14:paraId="1C04ABFB">
            <w:pPr>
              <w:pStyle w:val="2"/>
              <w:rPr>
                <w:rFonts w:hint="default" w:ascii="Times New Roman" w:hAnsi="Times New Roman" w:eastAsia="宋体" w:cs="Times New Roman"/>
                <w:color w:val="auto"/>
                <w:sz w:val="24"/>
                <w:szCs w:val="24"/>
              </w:rPr>
            </w:pPr>
          </w:p>
          <w:p w14:paraId="54ED4F3F">
            <w:pPr>
              <w:pStyle w:val="2"/>
              <w:rPr>
                <w:rFonts w:hint="default" w:ascii="Times New Roman" w:hAnsi="Times New Roman" w:eastAsia="宋体" w:cs="Times New Roman"/>
                <w:color w:val="auto"/>
                <w:sz w:val="24"/>
                <w:szCs w:val="24"/>
              </w:rPr>
            </w:pPr>
          </w:p>
          <w:p w14:paraId="1359CD8C">
            <w:pPr>
              <w:pStyle w:val="2"/>
              <w:rPr>
                <w:rFonts w:hint="default" w:ascii="Times New Roman" w:hAnsi="Times New Roman" w:eastAsia="宋体" w:cs="Times New Roman"/>
                <w:color w:val="auto"/>
                <w:sz w:val="24"/>
                <w:szCs w:val="24"/>
              </w:rPr>
            </w:pPr>
          </w:p>
          <w:p w14:paraId="54C61DB3">
            <w:pPr>
              <w:pStyle w:val="2"/>
              <w:rPr>
                <w:rFonts w:hint="default" w:ascii="Times New Roman" w:hAnsi="Times New Roman" w:eastAsia="宋体" w:cs="Times New Roman"/>
                <w:color w:val="auto"/>
                <w:sz w:val="24"/>
                <w:szCs w:val="24"/>
              </w:rPr>
            </w:pPr>
          </w:p>
          <w:p w14:paraId="659C17F4">
            <w:pPr>
              <w:pStyle w:val="2"/>
              <w:rPr>
                <w:rFonts w:hint="default" w:ascii="Times New Roman" w:hAnsi="Times New Roman" w:eastAsia="宋体" w:cs="Times New Roman"/>
                <w:color w:val="auto"/>
                <w:sz w:val="24"/>
                <w:szCs w:val="24"/>
              </w:rPr>
            </w:pPr>
          </w:p>
          <w:p w14:paraId="758DDA82">
            <w:pPr>
              <w:pStyle w:val="2"/>
              <w:rPr>
                <w:rFonts w:hint="default" w:ascii="Times New Roman" w:hAnsi="Times New Roman" w:eastAsia="宋体" w:cs="Times New Roman"/>
                <w:color w:val="auto"/>
                <w:sz w:val="24"/>
                <w:szCs w:val="24"/>
              </w:rPr>
            </w:pPr>
          </w:p>
          <w:p w14:paraId="000FBF1A">
            <w:pPr>
              <w:pStyle w:val="2"/>
              <w:rPr>
                <w:rFonts w:hint="default" w:ascii="Times New Roman" w:hAnsi="Times New Roman" w:eastAsia="宋体" w:cs="Times New Roman"/>
                <w:color w:val="auto"/>
                <w:sz w:val="24"/>
                <w:szCs w:val="24"/>
              </w:rPr>
            </w:pPr>
          </w:p>
          <w:p w14:paraId="55EB89D8">
            <w:pPr>
              <w:pStyle w:val="2"/>
              <w:rPr>
                <w:rFonts w:hint="default" w:ascii="Times New Roman" w:hAnsi="Times New Roman" w:eastAsia="宋体" w:cs="Times New Roman"/>
                <w:color w:val="auto"/>
                <w:sz w:val="24"/>
                <w:szCs w:val="24"/>
              </w:rPr>
            </w:pPr>
          </w:p>
          <w:p w14:paraId="78F82355">
            <w:pPr>
              <w:spacing w:before="79" w:line="184" w:lineRule="auto"/>
              <w:ind w:firstLine="594"/>
              <w:rPr>
                <w:rFonts w:hint="default" w:ascii="Times New Roman" w:hAnsi="Times New Roman" w:eastAsia="宋体" w:cs="Times New Roman"/>
                <w:color w:val="auto"/>
                <w:sz w:val="24"/>
                <w:szCs w:val="24"/>
              </w:rPr>
            </w:pPr>
          </w:p>
          <w:p w14:paraId="711B6EC2">
            <w:pPr>
              <w:spacing w:before="79" w:line="184" w:lineRule="auto"/>
              <w:ind w:firstLine="594"/>
              <w:rPr>
                <w:rFonts w:hint="default" w:ascii="Times New Roman" w:hAnsi="Times New Roman" w:eastAsia="宋体" w:cs="Times New Roman"/>
                <w:color w:val="auto"/>
                <w:sz w:val="24"/>
                <w:szCs w:val="24"/>
              </w:rPr>
            </w:pPr>
          </w:p>
          <w:p w14:paraId="50794B7F">
            <w:pPr>
              <w:spacing w:before="79" w:line="184" w:lineRule="auto"/>
              <w:ind w:firstLine="594"/>
              <w:rPr>
                <w:rFonts w:hint="default" w:ascii="Times New Roman" w:hAnsi="Times New Roman" w:eastAsia="宋体" w:cs="Times New Roman"/>
                <w:color w:val="auto"/>
                <w:sz w:val="24"/>
                <w:szCs w:val="24"/>
              </w:rPr>
            </w:pPr>
          </w:p>
          <w:p w14:paraId="651DE39B">
            <w:pPr>
              <w:spacing w:before="79" w:line="184" w:lineRule="auto"/>
              <w:ind w:firstLine="594"/>
              <w:rPr>
                <w:rFonts w:hint="default" w:ascii="Times New Roman" w:hAnsi="Times New Roman" w:eastAsia="宋体" w:cs="Times New Roman"/>
                <w:color w:val="auto"/>
                <w:sz w:val="24"/>
                <w:szCs w:val="24"/>
              </w:rPr>
            </w:pPr>
          </w:p>
          <w:p w14:paraId="326DA150">
            <w:pPr>
              <w:spacing w:before="79" w:line="184" w:lineRule="auto"/>
              <w:ind w:firstLine="594"/>
              <w:rPr>
                <w:rFonts w:hint="default" w:ascii="Times New Roman" w:hAnsi="Times New Roman" w:eastAsia="宋体" w:cs="Times New Roman"/>
                <w:color w:val="auto"/>
                <w:sz w:val="24"/>
                <w:szCs w:val="24"/>
              </w:rPr>
            </w:pPr>
          </w:p>
          <w:p w14:paraId="2DE62542">
            <w:pPr>
              <w:spacing w:before="79" w:line="184" w:lineRule="auto"/>
              <w:ind w:firstLine="594"/>
              <w:rPr>
                <w:rFonts w:hint="default" w:ascii="Times New Roman" w:hAnsi="Times New Roman" w:eastAsia="宋体" w:cs="Times New Roman"/>
                <w:color w:val="auto"/>
                <w:sz w:val="24"/>
                <w:szCs w:val="24"/>
              </w:rPr>
            </w:pPr>
          </w:p>
          <w:p w14:paraId="7E48FACA">
            <w:pPr>
              <w:spacing w:before="79" w:line="184" w:lineRule="auto"/>
              <w:ind w:firstLine="594"/>
              <w:rPr>
                <w:rFonts w:hint="default" w:ascii="Times New Roman" w:hAnsi="Times New Roman" w:eastAsia="宋体" w:cs="Times New Roman"/>
                <w:color w:val="auto"/>
                <w:sz w:val="24"/>
                <w:szCs w:val="24"/>
              </w:rPr>
            </w:pPr>
          </w:p>
          <w:p w14:paraId="601AAB07">
            <w:pPr>
              <w:spacing w:before="79" w:line="184" w:lineRule="auto"/>
              <w:rPr>
                <w:rFonts w:hint="default" w:ascii="Times New Roman" w:hAnsi="Times New Roman" w:eastAsia="宋体" w:cs="Times New Roman"/>
                <w:color w:val="auto"/>
                <w:spacing w:val="-1"/>
                <w:sz w:val="24"/>
                <w:szCs w:val="24"/>
              </w:rPr>
            </w:pPr>
          </w:p>
          <w:p w14:paraId="38A294D9">
            <w:pPr>
              <w:spacing w:before="79" w:line="184" w:lineRule="auto"/>
              <w:rPr>
                <w:rFonts w:hint="default" w:ascii="Times New Roman" w:hAnsi="Times New Roman" w:eastAsia="宋体" w:cs="Times New Roman"/>
                <w:color w:val="auto"/>
                <w:sz w:val="24"/>
                <w:szCs w:val="24"/>
              </w:rPr>
            </w:pPr>
          </w:p>
        </w:tc>
      </w:tr>
    </w:tbl>
    <w:p w14:paraId="0DA1A255">
      <w:pPr>
        <w:jc w:val="center"/>
        <w:rPr>
          <w:rFonts w:hint="default" w:ascii="Times New Roman" w:hAnsi="Times New Roman" w:eastAsia="宋体" w:cs="Times New Roman"/>
          <w:color w:val="auto"/>
          <w:spacing w:val="-4"/>
          <w:sz w:val="30"/>
          <w:szCs w:val="30"/>
        </w:rPr>
      </w:pPr>
      <w:r>
        <w:rPr>
          <w:rFonts w:hint="default" w:ascii="Times New Roman" w:hAnsi="Times New Roman" w:eastAsia="宋体" w:cs="Times New Roman"/>
          <w:color w:val="auto"/>
          <w:spacing w:val="-4"/>
          <w:sz w:val="30"/>
          <w:szCs w:val="30"/>
        </w:rPr>
        <w:br w:type="page"/>
      </w:r>
    </w:p>
    <w:p w14:paraId="7DCD32A9">
      <w:pPr>
        <w:spacing w:before="59" w:line="184" w:lineRule="auto"/>
        <w:ind w:firstLine="2763"/>
        <w:outlineLvl w:val="0"/>
        <w:rPr>
          <w:rFonts w:hint="default" w:ascii="Times New Roman" w:hAnsi="Times New Roman" w:eastAsia="宋体" w:cs="Times New Roman"/>
          <w:color w:val="auto"/>
          <w:spacing w:val="-4"/>
          <w:sz w:val="30"/>
          <w:szCs w:val="30"/>
        </w:rPr>
      </w:pPr>
      <w:bookmarkStart w:id="38" w:name="_Toc10967"/>
      <w:r>
        <w:rPr>
          <w:rFonts w:hint="default" w:ascii="Times New Roman" w:hAnsi="Times New Roman" w:eastAsia="宋体" w:cs="Times New Roman"/>
          <w:color w:val="auto"/>
          <w:spacing w:val="-4"/>
          <w:sz w:val="30"/>
          <w:szCs w:val="30"/>
        </w:rPr>
        <w:t>四、生态环境影响分析</w:t>
      </w:r>
      <w:bookmarkEnd w:id="38"/>
    </w:p>
    <w:p w14:paraId="7B59A824">
      <w:pPr>
        <w:pStyle w:val="19"/>
        <w:spacing w:line="240" w:lineRule="auto"/>
        <w:rPr>
          <w:rFonts w:hint="default" w:ascii="Times New Roman" w:hAnsi="Times New Roman" w:eastAsia="宋体" w:cs="Times New Roman"/>
          <w:color w:val="auto"/>
          <w:sz w:val="11"/>
          <w:szCs w:val="11"/>
        </w:rPr>
      </w:pPr>
    </w:p>
    <w:tbl>
      <w:tblPr>
        <w:tblStyle w:val="43"/>
        <w:tblW w:w="8787"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467"/>
        <w:gridCol w:w="8320"/>
      </w:tblGrid>
      <w:tr w14:paraId="727CB60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jc w:val="center"/>
        </w:trPr>
        <w:tc>
          <w:tcPr>
            <w:tcW w:w="462" w:type="dxa"/>
            <w:textDirection w:val="tbRlV"/>
            <w:vAlign w:val="center"/>
          </w:tcPr>
          <w:p w14:paraId="19506873">
            <w:pPr>
              <w:spacing w:before="108" w:line="180" w:lineRule="auto"/>
              <w:ind w:firstLine="5409"/>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1"/>
                <w:sz w:val="24"/>
                <w:szCs w:val="24"/>
              </w:rPr>
              <w:t>施工期生态环境影响分析</w:t>
            </w:r>
          </w:p>
        </w:tc>
        <w:tc>
          <w:tcPr>
            <w:tcW w:w="8064" w:type="dxa"/>
            <w:vAlign w:val="center"/>
          </w:tcPr>
          <w:p w14:paraId="065B82C7">
            <w:pPr>
              <w:spacing w:before="40" w:line="184" w:lineRule="auto"/>
              <w:ind w:firstLine="261" w:firstLineChars="100"/>
              <w:outlineLvl w:val="1"/>
              <w:rPr>
                <w:rFonts w:hint="default" w:ascii="Times New Roman" w:hAnsi="Times New Roman" w:eastAsia="宋体" w:cs="Times New Roman"/>
                <w:b/>
                <w:bCs/>
                <w:color w:val="auto"/>
                <w:sz w:val="28"/>
                <w:szCs w:val="28"/>
              </w:rPr>
            </w:pPr>
            <w:bookmarkStart w:id="39" w:name="_Toc20876"/>
            <w:r>
              <w:rPr>
                <w:rFonts w:hint="default" w:ascii="Times New Roman" w:hAnsi="Times New Roman" w:eastAsia="宋体" w:cs="Times New Roman"/>
                <w:b/>
                <w:bCs/>
                <w:color w:val="auto"/>
                <w:spacing w:val="-10"/>
                <w:sz w:val="28"/>
                <w:szCs w:val="28"/>
              </w:rPr>
              <w:t>一、施工期环境影响分析</w:t>
            </w:r>
            <w:bookmarkEnd w:id="39"/>
          </w:p>
          <w:p w14:paraId="4187EF51">
            <w:pPr>
              <w:spacing w:before="224" w:line="360" w:lineRule="auto"/>
              <w:ind w:left="101" w:right="95" w:firstLine="481"/>
              <w:rPr>
                <w:rFonts w:hint="default" w:ascii="Times New Roman" w:hAnsi="Times New Roman" w:eastAsia="宋体" w:cs="Times New Roman"/>
                <w:b/>
                <w:bCs/>
                <w:color w:val="auto"/>
                <w:spacing w:val="11"/>
                <w:sz w:val="24"/>
                <w:szCs w:val="24"/>
              </w:rPr>
            </w:pPr>
            <w:r>
              <w:rPr>
                <w:rFonts w:hint="default" w:ascii="Times New Roman" w:hAnsi="Times New Roman" w:eastAsia="宋体" w:cs="Times New Roman"/>
                <w:b/>
                <w:bCs/>
                <w:color w:val="auto"/>
                <w:spacing w:val="11"/>
                <w:sz w:val="24"/>
                <w:szCs w:val="24"/>
              </w:rPr>
              <w:t>1、施工期生态环境影响分析</w:t>
            </w:r>
          </w:p>
          <w:p w14:paraId="60BF2365">
            <w:pPr>
              <w:widowControl w:val="0"/>
              <w:kinsoku/>
              <w:autoSpaceDE/>
              <w:autoSpaceDN/>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u w:val="single"/>
              </w:rPr>
            </w:pPr>
            <w:r>
              <w:rPr>
                <w:rFonts w:hint="default" w:ascii="Times New Roman" w:hAnsi="Times New Roman" w:eastAsia="宋体" w:cs="Times New Roman"/>
                <w:color w:val="auto"/>
                <w:sz w:val="24"/>
                <w:szCs w:val="24"/>
                <w:u w:val="single"/>
              </w:rPr>
              <w:t>（1）施工期对水土流失的影响</w:t>
            </w:r>
          </w:p>
          <w:p w14:paraId="2CBF8D4E">
            <w:pPr>
              <w:widowControl w:val="0"/>
              <w:kinsoku/>
              <w:autoSpaceDE/>
              <w:autoSpaceDN/>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施工过程中由于进行林地清理、整地、栽植，造林初期会使土体裸露、疏松，破坏土壤稳定结构，产生一定面积的裸露地面，在降雨天形成地表径流的作用下，将有可能产生一定程度的土壤侵蚀而形成新的水土流失。同时，辅助设施建设时各类临时占地破坏原有植被，使当地水土流失加剧，但施工期的水土流失是短期行为，其影响范围有限，本项目是储备林建设项目，建成后有利于保持水土不被侵蚀。</w:t>
            </w:r>
          </w:p>
          <w:p w14:paraId="7D4E0DF2">
            <w:pPr>
              <w:widowControl w:val="0"/>
              <w:kinsoku/>
              <w:autoSpaceDE/>
              <w:autoSpaceDN/>
              <w:adjustRightInd/>
              <w:snapToGrid/>
              <w:spacing w:line="360" w:lineRule="auto"/>
              <w:ind w:firstLine="524" w:firstLineChars="200"/>
              <w:jc w:val="both"/>
              <w:textAlignment w:val="auto"/>
              <w:rPr>
                <w:rFonts w:hint="default" w:ascii="Times New Roman" w:hAnsi="Times New Roman" w:eastAsia="宋体" w:cs="Times New Roman"/>
                <w:color w:val="auto"/>
                <w:spacing w:val="11"/>
                <w:sz w:val="24"/>
                <w:szCs w:val="24"/>
                <w:u w:val="single"/>
              </w:rPr>
            </w:pPr>
            <w:r>
              <w:rPr>
                <w:rFonts w:hint="default" w:ascii="Times New Roman" w:hAnsi="Times New Roman" w:eastAsia="宋体" w:cs="Times New Roman"/>
                <w:color w:val="auto"/>
                <w:spacing w:val="11"/>
                <w:sz w:val="24"/>
                <w:szCs w:val="24"/>
                <w:u w:val="single"/>
              </w:rPr>
              <w:t>（2）对植物影响分析</w:t>
            </w:r>
          </w:p>
          <w:p w14:paraId="1A7B16E1">
            <w:pPr>
              <w:widowControl w:val="0"/>
              <w:kinsoku/>
              <w:autoSpaceDE/>
              <w:autoSpaceDN/>
              <w:adjustRightInd/>
              <w:snapToGrid/>
              <w:spacing w:line="360" w:lineRule="auto"/>
              <w:ind w:firstLine="524" w:firstLineChars="200"/>
              <w:jc w:val="both"/>
              <w:textAlignment w:val="auto"/>
              <w:rPr>
                <w:rFonts w:hint="default" w:ascii="Times New Roman" w:hAnsi="Times New Roman" w:eastAsia="宋体" w:cs="Times New Roman"/>
                <w:color w:val="auto"/>
                <w:spacing w:val="11"/>
                <w:sz w:val="24"/>
                <w:szCs w:val="24"/>
              </w:rPr>
            </w:pPr>
            <w:r>
              <w:rPr>
                <w:rFonts w:hint="default" w:ascii="Times New Roman" w:hAnsi="Times New Roman" w:eastAsia="宋体" w:cs="Times New Roman"/>
                <w:color w:val="auto"/>
                <w:spacing w:val="11"/>
                <w:sz w:val="24"/>
                <w:szCs w:val="24"/>
              </w:rPr>
              <w:t>1）对沿线植被的影响</w:t>
            </w:r>
          </w:p>
          <w:p w14:paraId="25F40E0F">
            <w:pPr>
              <w:widowControl w:val="0"/>
              <w:kinsoku/>
              <w:autoSpaceDE/>
              <w:autoSpaceDN/>
              <w:adjustRightInd/>
              <w:snapToGrid/>
              <w:spacing w:line="360" w:lineRule="auto"/>
              <w:ind w:firstLine="524" w:firstLineChars="200"/>
              <w:jc w:val="both"/>
              <w:textAlignment w:val="auto"/>
              <w:rPr>
                <w:rFonts w:hint="default" w:ascii="Times New Roman" w:hAnsi="Times New Roman" w:eastAsia="宋体" w:cs="Times New Roman"/>
                <w:color w:val="auto"/>
                <w:spacing w:val="11"/>
                <w:sz w:val="24"/>
                <w:szCs w:val="24"/>
              </w:rPr>
            </w:pPr>
            <w:r>
              <w:rPr>
                <w:rFonts w:hint="default" w:ascii="Times New Roman" w:hAnsi="Times New Roman" w:eastAsia="宋体" w:cs="Times New Roman"/>
                <w:color w:val="auto"/>
                <w:spacing w:val="11"/>
                <w:sz w:val="24"/>
                <w:szCs w:val="24"/>
              </w:rPr>
              <w:t>施工期对植被的影响主要表现在两个方面：一是永久占地造成的植被永久性生物量损失；二是临时占地，如施工区、施工便道等造成地表植被的暂时性破坏，临时占地破坏后的植被恢复需要一定时间。</w:t>
            </w:r>
          </w:p>
          <w:p w14:paraId="50B0E14C">
            <w:pPr>
              <w:widowControl w:val="0"/>
              <w:kinsoku/>
              <w:autoSpaceDE/>
              <w:autoSpaceDN/>
              <w:adjustRightInd/>
              <w:snapToGrid/>
              <w:spacing w:line="360" w:lineRule="auto"/>
              <w:ind w:firstLine="524" w:firstLineChars="200"/>
              <w:jc w:val="both"/>
              <w:textAlignment w:val="auto"/>
              <w:rPr>
                <w:rFonts w:hint="default" w:ascii="Times New Roman" w:hAnsi="Times New Roman" w:eastAsia="宋体" w:cs="Times New Roman"/>
                <w:color w:val="auto"/>
                <w:spacing w:val="11"/>
                <w:sz w:val="24"/>
                <w:szCs w:val="24"/>
              </w:rPr>
            </w:pPr>
            <w:r>
              <w:rPr>
                <w:rFonts w:hint="default" w:ascii="Times New Roman" w:hAnsi="Times New Roman" w:eastAsia="宋体" w:cs="Times New Roman"/>
                <w:color w:val="auto"/>
                <w:spacing w:val="11"/>
                <w:sz w:val="24"/>
                <w:szCs w:val="24"/>
              </w:rPr>
              <w:t>项目临时占地对植被造成暂时性的破坏，由于临时占地在工程中采用表土剥离后用于绿化回填的措施，剥离表土中留存有大量的植物根系和种子，当用于绿化回填后植被会在较短时间内恢复。</w:t>
            </w:r>
          </w:p>
          <w:p w14:paraId="7203B502">
            <w:pPr>
              <w:widowControl w:val="0"/>
              <w:kinsoku/>
              <w:autoSpaceDE/>
              <w:autoSpaceDN/>
              <w:adjustRightInd/>
              <w:snapToGrid/>
              <w:spacing w:line="360" w:lineRule="auto"/>
              <w:ind w:firstLine="524" w:firstLineChars="200"/>
              <w:jc w:val="both"/>
              <w:textAlignment w:val="auto"/>
              <w:rPr>
                <w:rFonts w:hint="default" w:ascii="Times New Roman" w:hAnsi="Times New Roman" w:eastAsia="宋体" w:cs="Times New Roman"/>
                <w:color w:val="auto"/>
                <w:spacing w:val="11"/>
                <w:sz w:val="24"/>
                <w:szCs w:val="24"/>
              </w:rPr>
            </w:pPr>
            <w:r>
              <w:rPr>
                <w:rFonts w:hint="default" w:ascii="Times New Roman" w:hAnsi="Times New Roman" w:eastAsia="宋体" w:cs="Times New Roman"/>
                <w:color w:val="auto"/>
                <w:spacing w:val="11"/>
                <w:sz w:val="24"/>
                <w:szCs w:val="24"/>
              </w:rPr>
              <w:t>另外，临时用地对植物的影响还表现在施工过程的粉尘和污染影响。项目施工过程中，运输车辆产生的扬尘，施工过程挥洒的石灰和水泥，降落到植物的叶片上，会堵塞植物气孔，影响植物光合作用；石灰和水泥若被雨水冲刷渗入地下，会导致土壤板结，影响植物根系对水分与矿物质的吸收。随着施工的结束扬尘量大幅减小，对植物的影响情况有所好转。施工过程中，一定要做好原材料和废弃渣的处理，对于运输车辆，也要尽量走固定路线，将有害影响降低到最小范围。</w:t>
            </w:r>
          </w:p>
          <w:p w14:paraId="54455322">
            <w:pPr>
              <w:widowControl w:val="0"/>
              <w:kinsoku/>
              <w:autoSpaceDE/>
              <w:autoSpaceDN/>
              <w:adjustRightInd/>
              <w:snapToGrid/>
              <w:spacing w:line="360" w:lineRule="auto"/>
              <w:ind w:firstLine="524" w:firstLineChars="200"/>
              <w:jc w:val="both"/>
              <w:textAlignment w:val="auto"/>
              <w:rPr>
                <w:rFonts w:hint="default" w:ascii="Times New Roman" w:hAnsi="Times New Roman" w:eastAsia="宋体" w:cs="Times New Roman"/>
                <w:color w:val="auto"/>
                <w:spacing w:val="11"/>
                <w:sz w:val="24"/>
                <w:szCs w:val="24"/>
              </w:rPr>
            </w:pPr>
            <w:r>
              <w:rPr>
                <w:rFonts w:hint="default" w:ascii="Times New Roman" w:hAnsi="Times New Roman" w:eastAsia="宋体" w:cs="Times New Roman"/>
                <w:color w:val="auto"/>
                <w:spacing w:val="11"/>
                <w:sz w:val="24"/>
                <w:szCs w:val="24"/>
              </w:rPr>
              <w:t>2）对生态结构质量和稳定性的影响</w:t>
            </w:r>
          </w:p>
          <w:p w14:paraId="08EF4366">
            <w:pPr>
              <w:widowControl w:val="0"/>
              <w:kinsoku/>
              <w:autoSpaceDE/>
              <w:autoSpaceDN/>
              <w:adjustRightInd/>
              <w:snapToGrid/>
              <w:spacing w:line="360" w:lineRule="auto"/>
              <w:ind w:firstLine="524" w:firstLineChars="200"/>
              <w:jc w:val="both"/>
              <w:textAlignment w:val="auto"/>
              <w:rPr>
                <w:rFonts w:hint="default" w:ascii="Times New Roman" w:hAnsi="Times New Roman" w:eastAsia="宋体" w:cs="Times New Roman"/>
                <w:color w:val="auto"/>
                <w:spacing w:val="11"/>
                <w:sz w:val="24"/>
                <w:szCs w:val="24"/>
              </w:rPr>
            </w:pPr>
            <w:r>
              <w:rPr>
                <w:rFonts w:hint="default" w:ascii="Times New Roman" w:hAnsi="Times New Roman" w:eastAsia="宋体" w:cs="Times New Roman"/>
                <w:color w:val="auto"/>
                <w:spacing w:val="11"/>
                <w:sz w:val="24"/>
                <w:szCs w:val="24"/>
              </w:rPr>
              <w:t>本项目建成后，原来的山地将会变成储备林基地，部分山地将代之以人工混凝土结构，原有的部分山地植被（草本和杂灌为主）将消失。另外，树种选择不当容易造成树木成活率不高，生长不良；配置单一，纯林面积过大，容易引发有害生物，影响林分结构稳定性。</w:t>
            </w:r>
          </w:p>
          <w:p w14:paraId="308251E8">
            <w:pPr>
              <w:widowControl w:val="0"/>
              <w:kinsoku/>
              <w:autoSpaceDE/>
              <w:autoSpaceDN/>
              <w:adjustRightInd/>
              <w:snapToGrid/>
              <w:spacing w:line="360" w:lineRule="auto"/>
              <w:ind w:firstLine="524" w:firstLineChars="200"/>
              <w:jc w:val="both"/>
              <w:textAlignment w:val="auto"/>
              <w:rPr>
                <w:rFonts w:hint="default" w:ascii="Times New Roman" w:hAnsi="Times New Roman" w:eastAsia="宋体" w:cs="Times New Roman"/>
                <w:color w:val="auto"/>
                <w:spacing w:val="11"/>
                <w:sz w:val="24"/>
                <w:szCs w:val="24"/>
              </w:rPr>
            </w:pPr>
            <w:r>
              <w:rPr>
                <w:rFonts w:hint="default" w:ascii="Times New Roman" w:hAnsi="Times New Roman" w:eastAsia="宋体" w:cs="Times New Roman"/>
                <w:color w:val="auto"/>
                <w:spacing w:val="11"/>
                <w:sz w:val="24"/>
                <w:szCs w:val="24"/>
              </w:rPr>
              <w:t>3）对重点保护植物的影响</w:t>
            </w:r>
          </w:p>
          <w:p w14:paraId="1EAF7E0F">
            <w:pPr>
              <w:widowControl w:val="0"/>
              <w:kinsoku/>
              <w:autoSpaceDE/>
              <w:autoSpaceDN/>
              <w:adjustRightInd/>
              <w:snapToGrid/>
              <w:spacing w:line="360" w:lineRule="auto"/>
              <w:ind w:firstLine="524" w:firstLineChars="200"/>
              <w:jc w:val="both"/>
              <w:textAlignment w:val="auto"/>
              <w:rPr>
                <w:rFonts w:hint="default" w:ascii="Times New Roman" w:hAnsi="Times New Roman" w:eastAsia="宋体" w:cs="Times New Roman"/>
                <w:color w:val="auto"/>
                <w:spacing w:val="11"/>
                <w:sz w:val="24"/>
                <w:szCs w:val="24"/>
              </w:rPr>
            </w:pPr>
            <w:r>
              <w:rPr>
                <w:rFonts w:hint="default" w:ascii="Times New Roman" w:hAnsi="Times New Roman" w:eastAsia="宋体" w:cs="Times New Roman"/>
                <w:color w:val="auto"/>
                <w:spacing w:val="11"/>
                <w:sz w:val="24"/>
                <w:szCs w:val="24"/>
              </w:rPr>
              <w:t>拟建项目未发现国家和地方保护的濒危珍稀野生植物分布。</w:t>
            </w:r>
          </w:p>
          <w:p w14:paraId="0DB671EF">
            <w:pPr>
              <w:widowControl w:val="0"/>
              <w:kinsoku/>
              <w:autoSpaceDE/>
              <w:autoSpaceDN/>
              <w:adjustRightInd/>
              <w:snapToGrid/>
              <w:spacing w:line="360" w:lineRule="auto"/>
              <w:ind w:firstLine="524" w:firstLineChars="200"/>
              <w:jc w:val="both"/>
              <w:textAlignment w:val="auto"/>
              <w:rPr>
                <w:rFonts w:hint="default" w:ascii="Times New Roman" w:hAnsi="Times New Roman" w:eastAsia="宋体" w:cs="Times New Roman"/>
                <w:color w:val="auto"/>
                <w:spacing w:val="11"/>
                <w:sz w:val="24"/>
                <w:szCs w:val="24"/>
                <w:u w:val="single"/>
              </w:rPr>
            </w:pPr>
            <w:r>
              <w:rPr>
                <w:rFonts w:hint="default" w:ascii="Times New Roman" w:hAnsi="Times New Roman" w:eastAsia="宋体" w:cs="Times New Roman"/>
                <w:color w:val="auto"/>
                <w:spacing w:val="11"/>
                <w:sz w:val="24"/>
                <w:szCs w:val="24"/>
                <w:u w:val="single"/>
              </w:rPr>
              <w:t>（3）动物栖息影响分析</w:t>
            </w:r>
          </w:p>
          <w:p w14:paraId="09EE6308">
            <w:pPr>
              <w:widowControl w:val="0"/>
              <w:kinsoku/>
              <w:autoSpaceDE/>
              <w:autoSpaceDN/>
              <w:adjustRightInd/>
              <w:snapToGrid/>
              <w:spacing w:line="360" w:lineRule="auto"/>
              <w:ind w:firstLine="524" w:firstLineChars="200"/>
              <w:jc w:val="both"/>
              <w:textAlignment w:val="auto"/>
              <w:rPr>
                <w:rFonts w:hint="default" w:ascii="Times New Roman" w:hAnsi="Times New Roman" w:eastAsia="宋体" w:cs="Times New Roman"/>
                <w:color w:val="auto"/>
                <w:spacing w:val="11"/>
                <w:sz w:val="24"/>
                <w:szCs w:val="24"/>
              </w:rPr>
            </w:pPr>
            <w:r>
              <w:rPr>
                <w:rFonts w:hint="default" w:ascii="Times New Roman" w:hAnsi="Times New Roman" w:eastAsia="宋体" w:cs="Times New Roman"/>
                <w:color w:val="auto"/>
                <w:spacing w:val="11"/>
                <w:sz w:val="24"/>
                <w:szCs w:val="24"/>
              </w:rPr>
              <w:t>本项目所经地区无珍稀濒危或需特殊保护的动物及大型野生哺乳动物分布，野生动物以本地区常见的爬行类、鸟类为主。项目拟建地在施工过程中破坏了区域的生态环境，影响区域内动物生存环境，施工过程产生的噪声也会对施工区域内的动物造成一定影响，道路、管护、灌溉等辅助设施的建设对项目区景观完整性、动物迁徙和物种交流产生不利影响，可能导致区域植物群落结构、群落类型改变。此外，在育苗和有害生物防治时，施用农药不仅杀死了害虫，也可能杀死有益的害虫天敌，造成林区生物多样性的减少及物种的失衡。此外，施药可能会对野生动物造成伤害。</w:t>
            </w:r>
          </w:p>
          <w:p w14:paraId="0DF49C5B">
            <w:pPr>
              <w:widowControl w:val="0"/>
              <w:kinsoku/>
              <w:autoSpaceDE/>
              <w:autoSpaceDN/>
              <w:adjustRightInd/>
              <w:snapToGrid/>
              <w:spacing w:line="360" w:lineRule="auto"/>
              <w:ind w:firstLine="524" w:firstLineChars="200"/>
              <w:jc w:val="both"/>
              <w:textAlignment w:val="auto"/>
              <w:rPr>
                <w:rFonts w:hint="default" w:ascii="Times New Roman" w:hAnsi="Times New Roman" w:eastAsia="宋体" w:cs="Times New Roman"/>
                <w:color w:val="auto"/>
                <w:spacing w:val="11"/>
                <w:sz w:val="24"/>
                <w:szCs w:val="24"/>
                <w:u w:val="single"/>
              </w:rPr>
            </w:pPr>
            <w:r>
              <w:rPr>
                <w:rFonts w:hint="default" w:ascii="Times New Roman" w:hAnsi="Times New Roman" w:eastAsia="宋体" w:cs="Times New Roman"/>
                <w:color w:val="auto"/>
                <w:spacing w:val="11"/>
                <w:sz w:val="24"/>
                <w:szCs w:val="24"/>
                <w:u w:val="single"/>
              </w:rPr>
              <w:t>（4）对景观生态的影响</w:t>
            </w:r>
          </w:p>
          <w:p w14:paraId="083FB365">
            <w:pPr>
              <w:widowControl w:val="0"/>
              <w:kinsoku/>
              <w:autoSpaceDE/>
              <w:autoSpaceDN/>
              <w:adjustRightInd/>
              <w:snapToGrid/>
              <w:spacing w:line="360" w:lineRule="auto"/>
              <w:ind w:firstLine="524" w:firstLineChars="200"/>
              <w:jc w:val="both"/>
              <w:textAlignment w:val="auto"/>
              <w:rPr>
                <w:rFonts w:hint="default" w:ascii="Times New Roman" w:hAnsi="Times New Roman" w:eastAsia="宋体" w:cs="Times New Roman"/>
                <w:color w:val="auto"/>
                <w:spacing w:val="11"/>
                <w:sz w:val="24"/>
                <w:szCs w:val="24"/>
              </w:rPr>
            </w:pPr>
            <w:r>
              <w:rPr>
                <w:rFonts w:hint="default" w:ascii="Times New Roman" w:hAnsi="Times New Roman" w:eastAsia="宋体" w:cs="Times New Roman"/>
                <w:color w:val="auto"/>
                <w:spacing w:val="11"/>
                <w:sz w:val="24"/>
                <w:szCs w:val="24"/>
              </w:rPr>
              <w:t>本项目覆盖范围大，在土方开挖、填土运输施工过程中，由于破土开挖和土方堆置会使施工场地显得较为凌乱，会给人留下混乱的印象；在材料运输过程中的遗洒，不仅使路面变脏而且易引起道路扬尘，会给周围景观产生不良影响。</w:t>
            </w:r>
          </w:p>
          <w:p w14:paraId="75B1879E">
            <w:pPr>
              <w:widowControl w:val="0"/>
              <w:kinsoku/>
              <w:autoSpaceDE/>
              <w:autoSpaceDN/>
              <w:adjustRightInd/>
              <w:snapToGrid/>
              <w:spacing w:line="360" w:lineRule="auto"/>
              <w:ind w:firstLine="524" w:firstLineChars="200"/>
              <w:jc w:val="both"/>
              <w:textAlignment w:val="auto"/>
              <w:rPr>
                <w:rFonts w:hint="default" w:ascii="Times New Roman" w:hAnsi="Times New Roman" w:eastAsia="宋体" w:cs="Times New Roman"/>
                <w:color w:val="auto"/>
                <w:spacing w:val="11"/>
                <w:sz w:val="24"/>
                <w:szCs w:val="24"/>
              </w:rPr>
            </w:pPr>
            <w:r>
              <w:rPr>
                <w:rFonts w:hint="default" w:ascii="Times New Roman" w:hAnsi="Times New Roman" w:eastAsia="宋体" w:cs="Times New Roman"/>
                <w:color w:val="auto"/>
                <w:spacing w:val="11"/>
                <w:sz w:val="24"/>
                <w:szCs w:val="24"/>
              </w:rPr>
              <w:t>随着储备林的建设，造林地树种量增加、植物量增加，生物多样性有所提高，可有效的控制水土流失，改良土地，保护生物多样性，进而改进当地的生态环境。</w:t>
            </w:r>
          </w:p>
          <w:p w14:paraId="440C5D6D">
            <w:pPr>
              <w:widowControl w:val="0"/>
              <w:kinsoku/>
              <w:autoSpaceDE/>
              <w:autoSpaceDN/>
              <w:adjustRightInd/>
              <w:snapToGrid/>
              <w:spacing w:line="360" w:lineRule="auto"/>
              <w:ind w:firstLine="524" w:firstLineChars="200"/>
              <w:jc w:val="both"/>
              <w:textAlignment w:val="auto"/>
              <w:rPr>
                <w:rFonts w:hint="default" w:ascii="Times New Roman" w:hAnsi="Times New Roman" w:eastAsia="宋体" w:cs="Times New Roman"/>
                <w:color w:val="auto"/>
                <w:spacing w:val="11"/>
                <w:sz w:val="24"/>
                <w:szCs w:val="24"/>
                <w:u w:val="single"/>
              </w:rPr>
            </w:pPr>
            <w:r>
              <w:rPr>
                <w:rFonts w:hint="default" w:ascii="Times New Roman" w:hAnsi="Times New Roman" w:eastAsia="宋体" w:cs="Times New Roman"/>
                <w:color w:val="auto"/>
                <w:spacing w:val="11"/>
                <w:sz w:val="24"/>
                <w:szCs w:val="24"/>
                <w:u w:val="single"/>
              </w:rPr>
              <w:t>（5）对生态系统功能的影响</w:t>
            </w:r>
          </w:p>
          <w:p w14:paraId="421F8963">
            <w:pPr>
              <w:widowControl w:val="0"/>
              <w:kinsoku/>
              <w:autoSpaceDE/>
              <w:autoSpaceDN/>
              <w:adjustRightInd/>
              <w:snapToGrid/>
              <w:spacing w:line="360" w:lineRule="auto"/>
              <w:ind w:firstLine="524" w:firstLineChars="200"/>
              <w:jc w:val="both"/>
              <w:textAlignment w:val="auto"/>
              <w:rPr>
                <w:rFonts w:hint="default" w:ascii="Times New Roman" w:hAnsi="Times New Roman" w:eastAsia="宋体" w:cs="Times New Roman"/>
                <w:color w:val="auto"/>
                <w:spacing w:val="11"/>
                <w:sz w:val="24"/>
                <w:szCs w:val="24"/>
              </w:rPr>
            </w:pPr>
            <w:r>
              <w:rPr>
                <w:rFonts w:hint="default" w:ascii="Times New Roman" w:hAnsi="Times New Roman" w:eastAsia="宋体" w:cs="Times New Roman"/>
                <w:color w:val="auto"/>
                <w:spacing w:val="11"/>
                <w:sz w:val="24"/>
                <w:szCs w:val="24"/>
              </w:rPr>
              <w:t>森林生态系统具有涵养水源、减少土壤侵蚀和发生水土流失、提供氧气、为野生动物提供栖息地、保持自然界的生物多样性、为人群提供休闲游览场所等多种明显和潜在的生态功能。由于本项目的实施，将会给当地的森林生态系统带来一定的不利影响，但是去除破坏的植被主要为草本和灌草等，这种负面影响在评价范围内影响较小。</w:t>
            </w:r>
          </w:p>
          <w:p w14:paraId="2E52DA9A">
            <w:pPr>
              <w:widowControl w:val="0"/>
              <w:kinsoku/>
              <w:autoSpaceDE/>
              <w:autoSpaceDN/>
              <w:adjustRightInd/>
              <w:snapToGrid/>
              <w:spacing w:line="360" w:lineRule="auto"/>
              <w:ind w:firstLine="526" w:firstLineChars="200"/>
              <w:jc w:val="both"/>
              <w:textAlignment w:val="auto"/>
              <w:rPr>
                <w:rFonts w:hint="default" w:ascii="Times New Roman" w:hAnsi="Times New Roman" w:eastAsia="宋体" w:cs="Times New Roman"/>
                <w:b/>
                <w:bCs/>
                <w:color w:val="auto"/>
                <w:spacing w:val="11"/>
                <w:sz w:val="24"/>
                <w:szCs w:val="24"/>
              </w:rPr>
            </w:pPr>
            <w:r>
              <w:rPr>
                <w:rFonts w:hint="default" w:ascii="Times New Roman" w:hAnsi="Times New Roman" w:eastAsia="宋体" w:cs="Times New Roman"/>
                <w:b/>
                <w:bCs/>
                <w:color w:val="auto"/>
                <w:spacing w:val="11"/>
                <w:sz w:val="24"/>
                <w:szCs w:val="24"/>
              </w:rPr>
              <w:t>2、施工期废气影响分析</w:t>
            </w:r>
          </w:p>
          <w:p w14:paraId="1BBF5A51">
            <w:pPr>
              <w:widowControl w:val="0"/>
              <w:kinsoku/>
              <w:autoSpaceDE/>
              <w:autoSpaceDN/>
              <w:spacing w:line="360" w:lineRule="auto"/>
              <w:ind w:firstLine="480" w:firstLineChars="200"/>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施工期废气主要为施工过程中产生的扬尘和运输来往车辆产生的汽车尾气、沥青烟气。</w:t>
            </w:r>
          </w:p>
          <w:p w14:paraId="3A93C161">
            <w:pPr>
              <w:widowControl w:val="0"/>
              <w:kinsoku/>
              <w:autoSpaceDE/>
              <w:autoSpaceDN/>
              <w:spacing w:line="360" w:lineRule="auto"/>
              <w:ind w:firstLine="480" w:firstLineChars="200"/>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（1）扬尘</w:t>
            </w:r>
          </w:p>
          <w:p w14:paraId="1FF82BFB">
            <w:pPr>
              <w:widowControl w:val="0"/>
              <w:kinsoku/>
              <w:autoSpaceDE/>
              <w:autoSpaceDN/>
              <w:spacing w:line="360" w:lineRule="auto"/>
              <w:ind w:firstLine="480" w:firstLineChars="200"/>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扬尘主要来源于施工期间整地、土穴开挖及施工过程，包括施工运输车辆引起的道路扬尘等多个环节，为无组织排放。</w:t>
            </w:r>
          </w:p>
          <w:p w14:paraId="43F8FE21">
            <w:pPr>
              <w:widowControl w:val="0"/>
              <w:kinsoku/>
              <w:autoSpaceDE/>
              <w:autoSpaceDN/>
              <w:spacing w:line="360" w:lineRule="auto"/>
              <w:ind w:firstLine="480" w:firstLineChars="200"/>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施工期无组织扬尘的主要特点是受作业时风速大小的影响显著，其次与土壤含水率、土壤粒度、施工区表层浮尘、物料粒径、风向、风速、湿度及时间等因素密切相关。</w:t>
            </w:r>
          </w:p>
          <w:p w14:paraId="3E41C822">
            <w:pPr>
              <w:widowControl w:val="0"/>
              <w:kinsoku/>
              <w:autoSpaceDE/>
              <w:autoSpaceDN/>
              <w:spacing w:line="360" w:lineRule="auto"/>
              <w:ind w:firstLine="480" w:firstLineChars="200"/>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①裸露地面和露天堆场的风力扬尘</w:t>
            </w:r>
          </w:p>
          <w:p w14:paraId="3FD57977">
            <w:pPr>
              <w:widowControl w:val="0"/>
              <w:kinsoku/>
              <w:autoSpaceDE/>
              <w:autoSpaceDN/>
              <w:spacing w:line="360" w:lineRule="auto"/>
              <w:ind w:firstLine="480" w:firstLineChars="200"/>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风力扬尘产生量可按堆场起尘经验公式计算：</w:t>
            </w:r>
          </w:p>
          <w:p w14:paraId="43D370D7">
            <w:pPr>
              <w:widowControl w:val="0"/>
              <w:kinsoku/>
              <w:autoSpaceDE/>
              <w:autoSpaceDN/>
              <w:spacing w:line="360" w:lineRule="auto"/>
              <w:jc w:val="center"/>
              <w:textAlignment w:val="auto"/>
              <w:rPr>
                <w:rFonts w:hint="default" w:ascii="Times New Roman" w:hAnsi="Times New Roman" w:eastAsia="宋体" w:cs="Times New Roman"/>
                <w:snapToGrid/>
                <w:color w:val="auto"/>
                <w:kern w:val="2"/>
                <w:sz w:val="24"/>
                <w:szCs w:val="24"/>
                <w:vertAlign w:val="superscript"/>
              </w:rPr>
            </w:pPr>
            <w:r>
              <w:rPr>
                <w:rFonts w:hint="default" w:ascii="Times New Roman" w:hAnsi="Times New Roman" w:eastAsia="宋体" w:cs="Times New Roman"/>
                <w:snapToGrid/>
                <w:color w:val="auto"/>
                <w:kern w:val="2"/>
                <w:sz w:val="24"/>
                <w:szCs w:val="24"/>
              </w:rPr>
              <w:t>Q=2.1（V</w:t>
            </w:r>
            <w:r>
              <w:rPr>
                <w:rFonts w:hint="default" w:ascii="Times New Roman" w:hAnsi="Times New Roman" w:eastAsia="宋体" w:cs="Times New Roman"/>
                <w:snapToGrid/>
                <w:color w:val="auto"/>
                <w:kern w:val="2"/>
                <w:sz w:val="24"/>
                <w:szCs w:val="24"/>
                <w:vertAlign w:val="subscript"/>
              </w:rPr>
              <w:t>50</w:t>
            </w:r>
            <w:r>
              <w:rPr>
                <w:rFonts w:hint="default" w:ascii="Times New Roman" w:hAnsi="Times New Roman" w:eastAsia="宋体" w:cs="Times New Roman"/>
                <w:snapToGrid/>
                <w:color w:val="auto"/>
                <w:kern w:val="2"/>
                <w:sz w:val="24"/>
                <w:szCs w:val="24"/>
              </w:rPr>
              <w:t>-V</w:t>
            </w:r>
            <w:r>
              <w:rPr>
                <w:rFonts w:hint="default" w:ascii="Times New Roman" w:hAnsi="Times New Roman" w:eastAsia="宋体" w:cs="Times New Roman"/>
                <w:snapToGrid/>
                <w:color w:val="auto"/>
                <w:kern w:val="2"/>
                <w:sz w:val="24"/>
                <w:szCs w:val="24"/>
                <w:vertAlign w:val="subscript"/>
              </w:rPr>
              <w:t>0</w:t>
            </w:r>
            <w:r>
              <w:rPr>
                <w:rFonts w:hint="default" w:ascii="Times New Roman" w:hAnsi="Times New Roman" w:eastAsia="宋体" w:cs="Times New Roman"/>
                <w:snapToGrid/>
                <w:color w:val="auto"/>
                <w:kern w:val="2"/>
                <w:sz w:val="24"/>
                <w:szCs w:val="24"/>
              </w:rPr>
              <w:t>）</w:t>
            </w:r>
            <w:r>
              <w:rPr>
                <w:rFonts w:hint="default" w:ascii="Times New Roman" w:hAnsi="Times New Roman" w:eastAsia="宋体" w:cs="Times New Roman"/>
                <w:snapToGrid/>
                <w:color w:val="auto"/>
                <w:kern w:val="2"/>
                <w:sz w:val="24"/>
                <w:szCs w:val="24"/>
                <w:vertAlign w:val="superscript"/>
              </w:rPr>
              <w:t>3</w:t>
            </w:r>
            <w:r>
              <w:rPr>
                <w:rFonts w:hint="default" w:ascii="Times New Roman" w:hAnsi="Times New Roman" w:eastAsia="宋体" w:cs="Times New Roman"/>
                <w:snapToGrid/>
                <w:color w:val="auto"/>
                <w:kern w:val="2"/>
                <w:sz w:val="24"/>
                <w:szCs w:val="24"/>
              </w:rPr>
              <w:t>e</w:t>
            </w:r>
            <w:r>
              <w:rPr>
                <w:rFonts w:hint="default" w:ascii="Times New Roman" w:hAnsi="Times New Roman" w:eastAsia="宋体" w:cs="Times New Roman"/>
                <w:snapToGrid/>
                <w:color w:val="auto"/>
                <w:kern w:val="2"/>
                <w:sz w:val="24"/>
                <w:szCs w:val="24"/>
                <w:vertAlign w:val="superscript"/>
              </w:rPr>
              <w:t>-1.023w</w:t>
            </w:r>
          </w:p>
          <w:p w14:paraId="5546ADC4">
            <w:pPr>
              <w:widowControl w:val="0"/>
              <w:kinsoku/>
              <w:autoSpaceDE/>
              <w:autoSpaceDN/>
              <w:spacing w:line="360" w:lineRule="auto"/>
              <w:ind w:firstLine="480" w:firstLineChars="200"/>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式中：Q——起尘量，kg/t·a；</w:t>
            </w:r>
          </w:p>
          <w:p w14:paraId="25B72593">
            <w:pPr>
              <w:widowControl w:val="0"/>
              <w:kinsoku/>
              <w:autoSpaceDE/>
              <w:autoSpaceDN/>
              <w:spacing w:line="360" w:lineRule="auto"/>
              <w:ind w:firstLine="1200" w:firstLineChars="500"/>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V</w:t>
            </w:r>
            <w:r>
              <w:rPr>
                <w:rFonts w:hint="default" w:ascii="Times New Roman" w:hAnsi="Times New Roman" w:eastAsia="宋体" w:cs="Times New Roman"/>
                <w:snapToGrid/>
                <w:color w:val="auto"/>
                <w:kern w:val="2"/>
                <w:sz w:val="24"/>
                <w:szCs w:val="24"/>
                <w:vertAlign w:val="subscript"/>
              </w:rPr>
              <w:t>50</w:t>
            </w:r>
            <w:r>
              <w:rPr>
                <w:rFonts w:hint="default" w:ascii="Times New Roman" w:hAnsi="Times New Roman" w:eastAsia="宋体" w:cs="Times New Roman"/>
                <w:snapToGrid/>
                <w:color w:val="auto"/>
                <w:kern w:val="2"/>
                <w:sz w:val="24"/>
                <w:szCs w:val="24"/>
              </w:rPr>
              <w:t>——距地面50m处风速，m/s；</w:t>
            </w:r>
          </w:p>
          <w:p w14:paraId="78809BE4">
            <w:pPr>
              <w:widowControl w:val="0"/>
              <w:kinsoku/>
              <w:autoSpaceDE/>
              <w:autoSpaceDN/>
              <w:spacing w:line="360" w:lineRule="auto"/>
              <w:ind w:firstLine="1200" w:firstLineChars="500"/>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V</w:t>
            </w:r>
            <w:r>
              <w:rPr>
                <w:rFonts w:hint="default" w:ascii="Times New Roman" w:hAnsi="Times New Roman" w:eastAsia="宋体" w:cs="Times New Roman"/>
                <w:snapToGrid/>
                <w:color w:val="auto"/>
                <w:kern w:val="2"/>
                <w:sz w:val="24"/>
                <w:szCs w:val="24"/>
                <w:vertAlign w:val="subscript"/>
              </w:rPr>
              <w:t>0</w:t>
            </w:r>
            <w:r>
              <w:rPr>
                <w:rFonts w:hint="default" w:ascii="Times New Roman" w:hAnsi="Times New Roman" w:eastAsia="宋体" w:cs="Times New Roman"/>
                <w:snapToGrid/>
                <w:color w:val="auto"/>
                <w:kern w:val="2"/>
                <w:sz w:val="24"/>
                <w:szCs w:val="24"/>
              </w:rPr>
              <w:t>——起尘风速，m/s；</w:t>
            </w:r>
          </w:p>
          <w:p w14:paraId="4CDFBFCD">
            <w:pPr>
              <w:widowControl w:val="0"/>
              <w:kinsoku/>
              <w:autoSpaceDE/>
              <w:autoSpaceDN/>
              <w:spacing w:line="360" w:lineRule="auto"/>
              <w:ind w:firstLine="1200" w:firstLineChars="500"/>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W——尘粒的含水率，%。</w:t>
            </w:r>
          </w:p>
          <w:p w14:paraId="4929DD0C">
            <w:pPr>
              <w:widowControl w:val="0"/>
              <w:kinsoku/>
              <w:autoSpaceDE/>
              <w:autoSpaceDN/>
              <w:spacing w:line="360" w:lineRule="auto"/>
              <w:ind w:firstLine="480" w:firstLineChars="200"/>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不同粒径尘粒的沉降速度见下表。</w:t>
            </w:r>
          </w:p>
          <w:p w14:paraId="2FC8D532">
            <w:pPr>
              <w:spacing w:before="3" w:line="360" w:lineRule="auto"/>
              <w:ind w:right="106"/>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表4-1  不同粒径尘粒的沉降速度</w:t>
            </w:r>
          </w:p>
          <w:tbl>
            <w:tblPr>
              <w:tblStyle w:val="33"/>
              <w:tblW w:w="8220"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85"/>
              <w:gridCol w:w="922"/>
              <w:gridCol w:w="875"/>
              <w:gridCol w:w="1027"/>
              <w:gridCol w:w="1027"/>
              <w:gridCol w:w="1028"/>
              <w:gridCol w:w="1028"/>
              <w:gridCol w:w="1028"/>
            </w:tblGrid>
            <w:tr w14:paraId="7D52618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85" w:type="dxa"/>
                  <w:vAlign w:val="center"/>
                </w:tcPr>
                <w:p w14:paraId="33C165C9">
                  <w:pPr>
                    <w:pStyle w:val="25"/>
                    <w:widowControl w:val="0"/>
                    <w:kinsoku/>
                    <w:autoSpaceDE/>
                    <w:autoSpaceDN/>
                    <w:adjustRightInd/>
                    <w:snapToGrid/>
                    <w:spacing w:after="0"/>
                    <w:ind w:left="0" w:leftChars="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粒径(μm)</w:t>
                  </w:r>
                </w:p>
              </w:tc>
              <w:tc>
                <w:tcPr>
                  <w:tcW w:w="922" w:type="dxa"/>
                  <w:vAlign w:val="center"/>
                </w:tcPr>
                <w:p w14:paraId="5754D04A">
                  <w:pPr>
                    <w:pStyle w:val="25"/>
                    <w:widowControl w:val="0"/>
                    <w:kinsoku/>
                    <w:autoSpaceDE/>
                    <w:autoSpaceDN/>
                    <w:adjustRightInd/>
                    <w:snapToGrid/>
                    <w:spacing w:after="0"/>
                    <w:ind w:left="0" w:leftChars="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10</w:t>
                  </w:r>
                </w:p>
              </w:tc>
              <w:tc>
                <w:tcPr>
                  <w:tcW w:w="875" w:type="dxa"/>
                  <w:vAlign w:val="center"/>
                </w:tcPr>
                <w:p w14:paraId="72B50496">
                  <w:pPr>
                    <w:pStyle w:val="25"/>
                    <w:widowControl w:val="0"/>
                    <w:kinsoku/>
                    <w:autoSpaceDE/>
                    <w:autoSpaceDN/>
                    <w:adjustRightInd/>
                    <w:snapToGrid/>
                    <w:spacing w:after="0"/>
                    <w:ind w:left="0" w:leftChars="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20</w:t>
                  </w:r>
                </w:p>
              </w:tc>
              <w:tc>
                <w:tcPr>
                  <w:tcW w:w="1027" w:type="dxa"/>
                  <w:vAlign w:val="center"/>
                </w:tcPr>
                <w:p w14:paraId="48A33868">
                  <w:pPr>
                    <w:pStyle w:val="25"/>
                    <w:widowControl w:val="0"/>
                    <w:kinsoku/>
                    <w:autoSpaceDE/>
                    <w:autoSpaceDN/>
                    <w:adjustRightInd/>
                    <w:snapToGrid/>
                    <w:spacing w:after="0"/>
                    <w:ind w:left="0" w:leftChars="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30</w:t>
                  </w:r>
                </w:p>
              </w:tc>
              <w:tc>
                <w:tcPr>
                  <w:tcW w:w="1027" w:type="dxa"/>
                  <w:vAlign w:val="center"/>
                </w:tcPr>
                <w:p w14:paraId="3EFE00BD">
                  <w:pPr>
                    <w:pStyle w:val="25"/>
                    <w:widowControl w:val="0"/>
                    <w:kinsoku/>
                    <w:autoSpaceDE/>
                    <w:autoSpaceDN/>
                    <w:adjustRightInd/>
                    <w:snapToGrid/>
                    <w:spacing w:after="0"/>
                    <w:ind w:left="0" w:leftChars="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40</w:t>
                  </w:r>
                </w:p>
              </w:tc>
              <w:tc>
                <w:tcPr>
                  <w:tcW w:w="1028" w:type="dxa"/>
                  <w:vAlign w:val="center"/>
                </w:tcPr>
                <w:p w14:paraId="13A686EC">
                  <w:pPr>
                    <w:pStyle w:val="25"/>
                    <w:widowControl w:val="0"/>
                    <w:kinsoku/>
                    <w:autoSpaceDE/>
                    <w:autoSpaceDN/>
                    <w:adjustRightInd/>
                    <w:snapToGrid/>
                    <w:spacing w:after="0"/>
                    <w:ind w:left="0" w:leftChars="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50</w:t>
                  </w:r>
                </w:p>
              </w:tc>
              <w:tc>
                <w:tcPr>
                  <w:tcW w:w="1028" w:type="dxa"/>
                  <w:vAlign w:val="center"/>
                </w:tcPr>
                <w:p w14:paraId="7DA407E7">
                  <w:pPr>
                    <w:pStyle w:val="25"/>
                    <w:widowControl w:val="0"/>
                    <w:kinsoku/>
                    <w:autoSpaceDE/>
                    <w:autoSpaceDN/>
                    <w:adjustRightInd/>
                    <w:snapToGrid/>
                    <w:spacing w:after="0"/>
                    <w:ind w:left="0" w:leftChars="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60</w:t>
                  </w:r>
                </w:p>
              </w:tc>
              <w:tc>
                <w:tcPr>
                  <w:tcW w:w="1028" w:type="dxa"/>
                  <w:vAlign w:val="center"/>
                </w:tcPr>
                <w:p w14:paraId="39609767">
                  <w:pPr>
                    <w:pStyle w:val="25"/>
                    <w:widowControl w:val="0"/>
                    <w:kinsoku/>
                    <w:autoSpaceDE/>
                    <w:autoSpaceDN/>
                    <w:adjustRightInd/>
                    <w:snapToGrid/>
                    <w:spacing w:after="0"/>
                    <w:ind w:left="0" w:leftChars="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70</w:t>
                  </w:r>
                </w:p>
              </w:tc>
            </w:tr>
            <w:tr w14:paraId="33CDC21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85" w:type="dxa"/>
                  <w:vAlign w:val="center"/>
                </w:tcPr>
                <w:p w14:paraId="3516808F">
                  <w:pPr>
                    <w:pStyle w:val="25"/>
                    <w:widowControl w:val="0"/>
                    <w:kinsoku/>
                    <w:autoSpaceDE/>
                    <w:autoSpaceDN/>
                    <w:adjustRightInd/>
                    <w:snapToGrid/>
                    <w:spacing w:after="0"/>
                    <w:ind w:left="0" w:leftChars="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沉降速度(m/s)</w:t>
                  </w:r>
                </w:p>
              </w:tc>
              <w:tc>
                <w:tcPr>
                  <w:tcW w:w="922" w:type="dxa"/>
                  <w:vAlign w:val="center"/>
                </w:tcPr>
                <w:p w14:paraId="52935AF1">
                  <w:pPr>
                    <w:pStyle w:val="25"/>
                    <w:widowControl w:val="0"/>
                    <w:kinsoku/>
                    <w:autoSpaceDE/>
                    <w:autoSpaceDN/>
                    <w:adjustRightInd/>
                    <w:snapToGrid/>
                    <w:spacing w:after="0"/>
                    <w:ind w:left="0" w:leftChars="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3</w:t>
                  </w:r>
                </w:p>
              </w:tc>
              <w:tc>
                <w:tcPr>
                  <w:tcW w:w="875" w:type="dxa"/>
                  <w:vAlign w:val="center"/>
                </w:tcPr>
                <w:p w14:paraId="643FC0CD">
                  <w:pPr>
                    <w:pStyle w:val="25"/>
                    <w:widowControl w:val="0"/>
                    <w:kinsoku/>
                    <w:autoSpaceDE/>
                    <w:autoSpaceDN/>
                    <w:adjustRightInd/>
                    <w:snapToGrid/>
                    <w:spacing w:after="0"/>
                    <w:ind w:left="0" w:leftChars="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0.012</w:t>
                  </w:r>
                </w:p>
              </w:tc>
              <w:tc>
                <w:tcPr>
                  <w:tcW w:w="1027" w:type="dxa"/>
                  <w:vAlign w:val="center"/>
                </w:tcPr>
                <w:p w14:paraId="654DCC16">
                  <w:pPr>
                    <w:pStyle w:val="25"/>
                    <w:widowControl w:val="0"/>
                    <w:kinsoku/>
                    <w:autoSpaceDE/>
                    <w:autoSpaceDN/>
                    <w:adjustRightInd/>
                    <w:snapToGrid/>
                    <w:spacing w:after="0"/>
                    <w:ind w:left="0" w:leftChars="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0.027</w:t>
                  </w:r>
                </w:p>
              </w:tc>
              <w:tc>
                <w:tcPr>
                  <w:tcW w:w="1027" w:type="dxa"/>
                  <w:vAlign w:val="center"/>
                </w:tcPr>
                <w:p w14:paraId="1CC23D25">
                  <w:pPr>
                    <w:pStyle w:val="25"/>
                    <w:widowControl w:val="0"/>
                    <w:kinsoku/>
                    <w:autoSpaceDE/>
                    <w:autoSpaceDN/>
                    <w:adjustRightInd/>
                    <w:snapToGrid/>
                    <w:spacing w:after="0"/>
                    <w:ind w:left="0" w:leftChars="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0.048</w:t>
                  </w:r>
                </w:p>
              </w:tc>
              <w:tc>
                <w:tcPr>
                  <w:tcW w:w="1028" w:type="dxa"/>
                  <w:vAlign w:val="center"/>
                </w:tcPr>
                <w:p w14:paraId="3B2F3D1D">
                  <w:pPr>
                    <w:pStyle w:val="25"/>
                    <w:widowControl w:val="0"/>
                    <w:kinsoku/>
                    <w:autoSpaceDE/>
                    <w:autoSpaceDN/>
                    <w:adjustRightInd/>
                    <w:snapToGrid/>
                    <w:spacing w:after="0"/>
                    <w:ind w:left="0" w:leftChars="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0.075</w:t>
                  </w:r>
                </w:p>
              </w:tc>
              <w:tc>
                <w:tcPr>
                  <w:tcW w:w="1028" w:type="dxa"/>
                  <w:vAlign w:val="center"/>
                </w:tcPr>
                <w:p w14:paraId="1E9D75DC">
                  <w:pPr>
                    <w:pStyle w:val="25"/>
                    <w:widowControl w:val="0"/>
                    <w:kinsoku/>
                    <w:autoSpaceDE/>
                    <w:autoSpaceDN/>
                    <w:adjustRightInd/>
                    <w:snapToGrid/>
                    <w:spacing w:after="0"/>
                    <w:ind w:left="0" w:leftChars="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0.108</w:t>
                  </w:r>
                </w:p>
              </w:tc>
              <w:tc>
                <w:tcPr>
                  <w:tcW w:w="1028" w:type="dxa"/>
                  <w:vAlign w:val="center"/>
                </w:tcPr>
                <w:p w14:paraId="61D8CEC1">
                  <w:pPr>
                    <w:pStyle w:val="25"/>
                    <w:widowControl w:val="0"/>
                    <w:kinsoku/>
                    <w:autoSpaceDE/>
                    <w:autoSpaceDN/>
                    <w:adjustRightInd/>
                    <w:snapToGrid/>
                    <w:spacing w:after="0"/>
                    <w:ind w:left="0" w:leftChars="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0.147</w:t>
                  </w:r>
                </w:p>
              </w:tc>
            </w:tr>
            <w:tr w14:paraId="1FDD02D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85" w:type="dxa"/>
                  <w:vAlign w:val="center"/>
                </w:tcPr>
                <w:p w14:paraId="19ED8371">
                  <w:pPr>
                    <w:pStyle w:val="25"/>
                    <w:widowControl w:val="0"/>
                    <w:kinsoku/>
                    <w:autoSpaceDE/>
                    <w:autoSpaceDN/>
                    <w:adjustRightInd/>
                    <w:snapToGrid/>
                    <w:spacing w:after="0"/>
                    <w:ind w:left="0" w:leftChars="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粒径(μm)</w:t>
                  </w:r>
                </w:p>
              </w:tc>
              <w:tc>
                <w:tcPr>
                  <w:tcW w:w="922" w:type="dxa"/>
                  <w:vAlign w:val="center"/>
                </w:tcPr>
                <w:p w14:paraId="694AD972">
                  <w:pPr>
                    <w:pStyle w:val="25"/>
                    <w:widowControl w:val="0"/>
                    <w:kinsoku/>
                    <w:autoSpaceDE/>
                    <w:autoSpaceDN/>
                    <w:adjustRightInd/>
                    <w:snapToGrid/>
                    <w:spacing w:after="0"/>
                    <w:ind w:left="0" w:leftChars="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80</w:t>
                  </w:r>
                </w:p>
              </w:tc>
              <w:tc>
                <w:tcPr>
                  <w:tcW w:w="875" w:type="dxa"/>
                  <w:vAlign w:val="center"/>
                </w:tcPr>
                <w:p w14:paraId="4FA1C209">
                  <w:pPr>
                    <w:pStyle w:val="25"/>
                    <w:widowControl w:val="0"/>
                    <w:kinsoku/>
                    <w:autoSpaceDE/>
                    <w:autoSpaceDN/>
                    <w:adjustRightInd/>
                    <w:snapToGrid/>
                    <w:spacing w:after="0"/>
                    <w:ind w:left="0" w:leftChars="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90</w:t>
                  </w:r>
                </w:p>
              </w:tc>
              <w:tc>
                <w:tcPr>
                  <w:tcW w:w="1027" w:type="dxa"/>
                  <w:vAlign w:val="center"/>
                </w:tcPr>
                <w:p w14:paraId="07D6A0D6">
                  <w:pPr>
                    <w:pStyle w:val="25"/>
                    <w:widowControl w:val="0"/>
                    <w:kinsoku/>
                    <w:autoSpaceDE/>
                    <w:autoSpaceDN/>
                    <w:adjustRightInd/>
                    <w:snapToGrid/>
                    <w:spacing w:after="0"/>
                    <w:ind w:left="0" w:leftChars="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100</w:t>
                  </w:r>
                </w:p>
              </w:tc>
              <w:tc>
                <w:tcPr>
                  <w:tcW w:w="1027" w:type="dxa"/>
                  <w:vAlign w:val="center"/>
                </w:tcPr>
                <w:p w14:paraId="45E10D3E">
                  <w:pPr>
                    <w:pStyle w:val="25"/>
                    <w:widowControl w:val="0"/>
                    <w:kinsoku/>
                    <w:autoSpaceDE/>
                    <w:autoSpaceDN/>
                    <w:adjustRightInd/>
                    <w:snapToGrid/>
                    <w:spacing w:after="0"/>
                    <w:ind w:left="0" w:leftChars="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150</w:t>
                  </w:r>
                </w:p>
              </w:tc>
              <w:tc>
                <w:tcPr>
                  <w:tcW w:w="1028" w:type="dxa"/>
                  <w:vAlign w:val="center"/>
                </w:tcPr>
                <w:p w14:paraId="7B874D53">
                  <w:pPr>
                    <w:pStyle w:val="25"/>
                    <w:widowControl w:val="0"/>
                    <w:kinsoku/>
                    <w:autoSpaceDE/>
                    <w:autoSpaceDN/>
                    <w:adjustRightInd/>
                    <w:snapToGrid/>
                    <w:spacing w:after="0"/>
                    <w:ind w:left="0" w:leftChars="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200</w:t>
                  </w:r>
                </w:p>
              </w:tc>
              <w:tc>
                <w:tcPr>
                  <w:tcW w:w="1028" w:type="dxa"/>
                  <w:vAlign w:val="center"/>
                </w:tcPr>
                <w:p w14:paraId="252BEC0C">
                  <w:pPr>
                    <w:pStyle w:val="25"/>
                    <w:widowControl w:val="0"/>
                    <w:kinsoku/>
                    <w:autoSpaceDE/>
                    <w:autoSpaceDN/>
                    <w:adjustRightInd/>
                    <w:snapToGrid/>
                    <w:spacing w:after="0"/>
                    <w:ind w:left="0" w:leftChars="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250</w:t>
                  </w:r>
                </w:p>
              </w:tc>
              <w:tc>
                <w:tcPr>
                  <w:tcW w:w="1028" w:type="dxa"/>
                  <w:vAlign w:val="center"/>
                </w:tcPr>
                <w:p w14:paraId="06C68EBC">
                  <w:pPr>
                    <w:pStyle w:val="25"/>
                    <w:widowControl w:val="0"/>
                    <w:kinsoku/>
                    <w:autoSpaceDE/>
                    <w:autoSpaceDN/>
                    <w:adjustRightInd/>
                    <w:snapToGrid/>
                    <w:spacing w:after="0"/>
                    <w:ind w:left="0" w:leftChars="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350</w:t>
                  </w:r>
                </w:p>
              </w:tc>
            </w:tr>
            <w:tr w14:paraId="6A0B2CE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85" w:type="dxa"/>
                  <w:vAlign w:val="center"/>
                </w:tcPr>
                <w:p w14:paraId="1F40B0C3">
                  <w:pPr>
                    <w:pStyle w:val="25"/>
                    <w:widowControl w:val="0"/>
                    <w:kinsoku/>
                    <w:autoSpaceDE/>
                    <w:autoSpaceDN/>
                    <w:adjustRightInd/>
                    <w:snapToGrid/>
                    <w:spacing w:after="0"/>
                    <w:ind w:left="0" w:leftChars="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沉降速度(m/s)</w:t>
                  </w:r>
                </w:p>
              </w:tc>
              <w:tc>
                <w:tcPr>
                  <w:tcW w:w="922" w:type="dxa"/>
                  <w:vAlign w:val="center"/>
                </w:tcPr>
                <w:p w14:paraId="0D379B54">
                  <w:pPr>
                    <w:pStyle w:val="25"/>
                    <w:widowControl w:val="0"/>
                    <w:kinsoku/>
                    <w:autoSpaceDE/>
                    <w:autoSpaceDN/>
                    <w:adjustRightInd/>
                    <w:snapToGrid/>
                    <w:spacing w:after="0"/>
                    <w:ind w:left="0" w:leftChars="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0.158</w:t>
                  </w:r>
                </w:p>
              </w:tc>
              <w:tc>
                <w:tcPr>
                  <w:tcW w:w="875" w:type="dxa"/>
                  <w:vAlign w:val="center"/>
                </w:tcPr>
                <w:p w14:paraId="193AA542">
                  <w:pPr>
                    <w:pStyle w:val="25"/>
                    <w:widowControl w:val="0"/>
                    <w:kinsoku/>
                    <w:autoSpaceDE/>
                    <w:autoSpaceDN/>
                    <w:adjustRightInd/>
                    <w:snapToGrid/>
                    <w:spacing w:after="0"/>
                    <w:ind w:left="0" w:leftChars="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0.170</w:t>
                  </w:r>
                </w:p>
              </w:tc>
              <w:tc>
                <w:tcPr>
                  <w:tcW w:w="1027" w:type="dxa"/>
                  <w:vAlign w:val="center"/>
                </w:tcPr>
                <w:p w14:paraId="72C331EC">
                  <w:pPr>
                    <w:pStyle w:val="25"/>
                    <w:widowControl w:val="0"/>
                    <w:kinsoku/>
                    <w:autoSpaceDE/>
                    <w:autoSpaceDN/>
                    <w:adjustRightInd/>
                    <w:snapToGrid/>
                    <w:spacing w:after="0"/>
                    <w:ind w:left="0" w:leftChars="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0.182</w:t>
                  </w:r>
                </w:p>
              </w:tc>
              <w:tc>
                <w:tcPr>
                  <w:tcW w:w="1027" w:type="dxa"/>
                  <w:vAlign w:val="center"/>
                </w:tcPr>
                <w:p w14:paraId="5B67CD7E">
                  <w:pPr>
                    <w:pStyle w:val="25"/>
                    <w:widowControl w:val="0"/>
                    <w:kinsoku/>
                    <w:autoSpaceDE/>
                    <w:autoSpaceDN/>
                    <w:adjustRightInd/>
                    <w:snapToGrid/>
                    <w:spacing w:after="0"/>
                    <w:ind w:left="0" w:leftChars="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0.239</w:t>
                  </w:r>
                </w:p>
              </w:tc>
              <w:tc>
                <w:tcPr>
                  <w:tcW w:w="1028" w:type="dxa"/>
                  <w:vAlign w:val="center"/>
                </w:tcPr>
                <w:p w14:paraId="569C7540">
                  <w:pPr>
                    <w:pStyle w:val="25"/>
                    <w:widowControl w:val="0"/>
                    <w:kinsoku/>
                    <w:autoSpaceDE/>
                    <w:autoSpaceDN/>
                    <w:adjustRightInd/>
                    <w:snapToGrid/>
                    <w:spacing w:after="0"/>
                    <w:ind w:left="0" w:leftChars="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0.804</w:t>
                  </w:r>
                </w:p>
              </w:tc>
              <w:tc>
                <w:tcPr>
                  <w:tcW w:w="1028" w:type="dxa"/>
                  <w:vAlign w:val="center"/>
                </w:tcPr>
                <w:p w14:paraId="0AEBC969">
                  <w:pPr>
                    <w:pStyle w:val="25"/>
                    <w:widowControl w:val="0"/>
                    <w:kinsoku/>
                    <w:autoSpaceDE/>
                    <w:autoSpaceDN/>
                    <w:adjustRightInd/>
                    <w:snapToGrid/>
                    <w:spacing w:after="0"/>
                    <w:ind w:left="0" w:leftChars="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1.005</w:t>
                  </w:r>
                </w:p>
              </w:tc>
              <w:tc>
                <w:tcPr>
                  <w:tcW w:w="1028" w:type="dxa"/>
                  <w:vAlign w:val="center"/>
                </w:tcPr>
                <w:p w14:paraId="66169A8D">
                  <w:pPr>
                    <w:pStyle w:val="25"/>
                    <w:widowControl w:val="0"/>
                    <w:kinsoku/>
                    <w:autoSpaceDE/>
                    <w:autoSpaceDN/>
                    <w:adjustRightInd/>
                    <w:snapToGrid/>
                    <w:spacing w:after="0"/>
                    <w:ind w:left="0" w:leftChars="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1.829</w:t>
                  </w:r>
                </w:p>
              </w:tc>
            </w:tr>
            <w:tr w14:paraId="42B7A9A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85" w:type="dxa"/>
                  <w:vAlign w:val="center"/>
                </w:tcPr>
                <w:p w14:paraId="1FDC725D">
                  <w:pPr>
                    <w:pStyle w:val="25"/>
                    <w:widowControl w:val="0"/>
                    <w:kinsoku/>
                    <w:autoSpaceDE/>
                    <w:autoSpaceDN/>
                    <w:adjustRightInd/>
                    <w:snapToGrid/>
                    <w:spacing w:after="0"/>
                    <w:ind w:left="0" w:leftChars="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粒径(μm)</w:t>
                  </w:r>
                </w:p>
              </w:tc>
              <w:tc>
                <w:tcPr>
                  <w:tcW w:w="922" w:type="dxa"/>
                  <w:vAlign w:val="center"/>
                </w:tcPr>
                <w:p w14:paraId="2859D5CE">
                  <w:pPr>
                    <w:pStyle w:val="25"/>
                    <w:widowControl w:val="0"/>
                    <w:kinsoku/>
                    <w:autoSpaceDE/>
                    <w:autoSpaceDN/>
                    <w:adjustRightInd/>
                    <w:snapToGrid/>
                    <w:spacing w:after="0"/>
                    <w:ind w:left="0" w:leftChars="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450</w:t>
                  </w:r>
                </w:p>
              </w:tc>
              <w:tc>
                <w:tcPr>
                  <w:tcW w:w="875" w:type="dxa"/>
                  <w:vAlign w:val="center"/>
                </w:tcPr>
                <w:p w14:paraId="30B2B9A2">
                  <w:pPr>
                    <w:pStyle w:val="25"/>
                    <w:widowControl w:val="0"/>
                    <w:kinsoku/>
                    <w:autoSpaceDE/>
                    <w:autoSpaceDN/>
                    <w:adjustRightInd/>
                    <w:snapToGrid/>
                    <w:spacing w:after="0"/>
                    <w:ind w:left="0" w:leftChars="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550</w:t>
                  </w:r>
                </w:p>
              </w:tc>
              <w:tc>
                <w:tcPr>
                  <w:tcW w:w="1027" w:type="dxa"/>
                  <w:vAlign w:val="center"/>
                </w:tcPr>
                <w:p w14:paraId="3AC6EB33">
                  <w:pPr>
                    <w:pStyle w:val="25"/>
                    <w:widowControl w:val="0"/>
                    <w:kinsoku/>
                    <w:autoSpaceDE/>
                    <w:autoSpaceDN/>
                    <w:adjustRightInd/>
                    <w:snapToGrid/>
                    <w:spacing w:after="0"/>
                    <w:ind w:left="0" w:leftChars="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650</w:t>
                  </w:r>
                </w:p>
              </w:tc>
              <w:tc>
                <w:tcPr>
                  <w:tcW w:w="1027" w:type="dxa"/>
                  <w:vAlign w:val="center"/>
                </w:tcPr>
                <w:p w14:paraId="0ECEDA1A">
                  <w:pPr>
                    <w:pStyle w:val="25"/>
                    <w:widowControl w:val="0"/>
                    <w:kinsoku/>
                    <w:autoSpaceDE/>
                    <w:autoSpaceDN/>
                    <w:adjustRightInd/>
                    <w:snapToGrid/>
                    <w:spacing w:after="0"/>
                    <w:ind w:left="0" w:leftChars="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750</w:t>
                  </w:r>
                </w:p>
              </w:tc>
              <w:tc>
                <w:tcPr>
                  <w:tcW w:w="1028" w:type="dxa"/>
                  <w:vAlign w:val="center"/>
                </w:tcPr>
                <w:p w14:paraId="35635E5F">
                  <w:pPr>
                    <w:pStyle w:val="25"/>
                    <w:widowControl w:val="0"/>
                    <w:kinsoku/>
                    <w:autoSpaceDE/>
                    <w:autoSpaceDN/>
                    <w:adjustRightInd/>
                    <w:snapToGrid/>
                    <w:spacing w:after="0"/>
                    <w:ind w:left="0" w:leftChars="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850</w:t>
                  </w:r>
                </w:p>
              </w:tc>
              <w:tc>
                <w:tcPr>
                  <w:tcW w:w="1028" w:type="dxa"/>
                  <w:vAlign w:val="center"/>
                </w:tcPr>
                <w:p w14:paraId="3E140EBD">
                  <w:pPr>
                    <w:pStyle w:val="25"/>
                    <w:widowControl w:val="0"/>
                    <w:kinsoku/>
                    <w:autoSpaceDE/>
                    <w:autoSpaceDN/>
                    <w:adjustRightInd/>
                    <w:snapToGrid/>
                    <w:spacing w:after="0"/>
                    <w:ind w:left="0" w:leftChars="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950</w:t>
                  </w:r>
                </w:p>
              </w:tc>
              <w:tc>
                <w:tcPr>
                  <w:tcW w:w="1028" w:type="dxa"/>
                  <w:vAlign w:val="center"/>
                </w:tcPr>
                <w:p w14:paraId="5F930F79">
                  <w:pPr>
                    <w:pStyle w:val="25"/>
                    <w:widowControl w:val="0"/>
                    <w:kinsoku/>
                    <w:autoSpaceDE/>
                    <w:autoSpaceDN/>
                    <w:adjustRightInd/>
                    <w:snapToGrid/>
                    <w:spacing w:after="0"/>
                    <w:ind w:left="0" w:leftChars="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1050</w:t>
                  </w:r>
                </w:p>
              </w:tc>
            </w:tr>
            <w:tr w14:paraId="643C555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85" w:type="dxa"/>
                  <w:vAlign w:val="center"/>
                </w:tcPr>
                <w:p w14:paraId="7895E98A">
                  <w:pPr>
                    <w:pStyle w:val="25"/>
                    <w:widowControl w:val="0"/>
                    <w:kinsoku/>
                    <w:autoSpaceDE/>
                    <w:autoSpaceDN/>
                    <w:adjustRightInd/>
                    <w:snapToGrid/>
                    <w:spacing w:after="0"/>
                    <w:ind w:left="0" w:leftChars="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沉降速度(m/s)</w:t>
                  </w:r>
                </w:p>
              </w:tc>
              <w:tc>
                <w:tcPr>
                  <w:tcW w:w="922" w:type="dxa"/>
                  <w:vAlign w:val="center"/>
                </w:tcPr>
                <w:p w14:paraId="7E3263A4">
                  <w:pPr>
                    <w:pStyle w:val="25"/>
                    <w:widowControl w:val="0"/>
                    <w:kinsoku/>
                    <w:autoSpaceDE/>
                    <w:autoSpaceDN/>
                    <w:adjustRightInd/>
                    <w:snapToGrid/>
                    <w:spacing w:after="0"/>
                    <w:ind w:left="0" w:leftChars="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2.211</w:t>
                  </w:r>
                </w:p>
              </w:tc>
              <w:tc>
                <w:tcPr>
                  <w:tcW w:w="875" w:type="dxa"/>
                  <w:vAlign w:val="center"/>
                </w:tcPr>
                <w:p w14:paraId="0C4A93E7">
                  <w:pPr>
                    <w:pStyle w:val="25"/>
                    <w:widowControl w:val="0"/>
                    <w:kinsoku/>
                    <w:autoSpaceDE/>
                    <w:autoSpaceDN/>
                    <w:adjustRightInd/>
                    <w:snapToGrid/>
                    <w:spacing w:after="0"/>
                    <w:ind w:left="0" w:leftChars="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2.614</w:t>
                  </w:r>
                </w:p>
              </w:tc>
              <w:tc>
                <w:tcPr>
                  <w:tcW w:w="1027" w:type="dxa"/>
                  <w:vAlign w:val="center"/>
                </w:tcPr>
                <w:p w14:paraId="4FF15894">
                  <w:pPr>
                    <w:pStyle w:val="25"/>
                    <w:widowControl w:val="0"/>
                    <w:kinsoku/>
                    <w:autoSpaceDE/>
                    <w:autoSpaceDN/>
                    <w:adjustRightInd/>
                    <w:snapToGrid/>
                    <w:spacing w:after="0"/>
                    <w:ind w:left="0" w:leftChars="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3.016</w:t>
                  </w:r>
                </w:p>
              </w:tc>
              <w:tc>
                <w:tcPr>
                  <w:tcW w:w="1027" w:type="dxa"/>
                  <w:vAlign w:val="center"/>
                </w:tcPr>
                <w:p w14:paraId="2E960DA5">
                  <w:pPr>
                    <w:pStyle w:val="25"/>
                    <w:widowControl w:val="0"/>
                    <w:kinsoku/>
                    <w:autoSpaceDE/>
                    <w:autoSpaceDN/>
                    <w:adjustRightInd/>
                    <w:snapToGrid/>
                    <w:spacing w:after="0"/>
                    <w:ind w:left="0" w:leftChars="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3.418</w:t>
                  </w:r>
                </w:p>
              </w:tc>
              <w:tc>
                <w:tcPr>
                  <w:tcW w:w="1028" w:type="dxa"/>
                  <w:vAlign w:val="center"/>
                </w:tcPr>
                <w:p w14:paraId="701EC181">
                  <w:pPr>
                    <w:pStyle w:val="25"/>
                    <w:widowControl w:val="0"/>
                    <w:kinsoku/>
                    <w:autoSpaceDE/>
                    <w:autoSpaceDN/>
                    <w:adjustRightInd/>
                    <w:snapToGrid/>
                    <w:spacing w:after="0"/>
                    <w:ind w:left="0" w:leftChars="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3.820</w:t>
                  </w:r>
                </w:p>
              </w:tc>
              <w:tc>
                <w:tcPr>
                  <w:tcW w:w="1028" w:type="dxa"/>
                  <w:vAlign w:val="center"/>
                </w:tcPr>
                <w:p w14:paraId="6E16FA8A">
                  <w:pPr>
                    <w:pStyle w:val="25"/>
                    <w:widowControl w:val="0"/>
                    <w:kinsoku/>
                    <w:autoSpaceDE/>
                    <w:autoSpaceDN/>
                    <w:adjustRightInd/>
                    <w:snapToGrid/>
                    <w:spacing w:after="0"/>
                    <w:ind w:left="0" w:leftChars="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4.222</w:t>
                  </w:r>
                </w:p>
              </w:tc>
              <w:tc>
                <w:tcPr>
                  <w:tcW w:w="1028" w:type="dxa"/>
                  <w:vAlign w:val="center"/>
                </w:tcPr>
                <w:p w14:paraId="74D6199C">
                  <w:pPr>
                    <w:pStyle w:val="25"/>
                    <w:widowControl w:val="0"/>
                    <w:kinsoku/>
                    <w:autoSpaceDE/>
                    <w:autoSpaceDN/>
                    <w:adjustRightInd/>
                    <w:snapToGrid/>
                    <w:spacing w:after="0"/>
                    <w:ind w:left="0" w:leftChars="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4.624</w:t>
                  </w:r>
                </w:p>
              </w:tc>
            </w:tr>
          </w:tbl>
          <w:p w14:paraId="6B8017E9">
            <w:pPr>
              <w:widowControl w:val="0"/>
              <w:kinsoku/>
              <w:autoSpaceDE/>
              <w:autoSpaceDN/>
              <w:spacing w:line="360" w:lineRule="auto"/>
              <w:ind w:firstLine="480" w:firstLineChars="200"/>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由上表可知，尘粒的沉降速度随着粒径的增大而增大，当粒径大于250μm时，主要影响范围在扬尘点下风向近距离范围内，对外环境影响的主要为微小尘粒，由于施工季节的不同，其影响范围和方向也不同。施工期若经常洒水抑尘，可以大大降低扬尘的产生，表4-2为天气干燥、风速3.5m/s条件下施工场地洒水抑尘试验结果。</w:t>
            </w:r>
          </w:p>
          <w:p w14:paraId="46695508">
            <w:pPr>
              <w:spacing w:before="3" w:line="360" w:lineRule="auto"/>
              <w:ind w:right="106"/>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表4-2  施工场地洒水抑尘试验结果</w:t>
            </w:r>
          </w:p>
          <w:tbl>
            <w:tblPr>
              <w:tblStyle w:val="33"/>
              <w:tblW w:w="8220"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24"/>
              <w:gridCol w:w="1394"/>
              <w:gridCol w:w="1306"/>
              <w:gridCol w:w="1331"/>
              <w:gridCol w:w="1237"/>
              <w:gridCol w:w="1228"/>
            </w:tblGrid>
            <w:tr w14:paraId="521B8E6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148" w:type="dxa"/>
                  <w:gridSpan w:val="2"/>
                  <w:vAlign w:val="center"/>
                </w:tcPr>
                <w:p w14:paraId="51CE3C4A">
                  <w:pPr>
                    <w:widowControl w:val="0"/>
                    <w:kinsoku/>
                    <w:autoSpaceDE/>
                    <w:autoSpaceDN/>
                    <w:jc w:val="center"/>
                    <w:textAlignment w:val="auto"/>
                    <w:rPr>
                      <w:rFonts w:hint="default" w:ascii="Times New Roman" w:hAnsi="Times New Roman" w:eastAsia="宋体" w:cs="Times New Roman"/>
                      <w:snapToGrid/>
                      <w:color w:val="auto"/>
                      <w:kern w:val="2"/>
                    </w:rPr>
                  </w:pPr>
                  <w:r>
                    <w:rPr>
                      <w:rFonts w:hint="default" w:ascii="Times New Roman" w:hAnsi="Times New Roman" w:eastAsia="宋体" w:cs="Times New Roman"/>
                      <w:snapToGrid/>
                      <w:color w:val="auto"/>
                      <w:kern w:val="2"/>
                    </w:rPr>
                    <w:t>距离（m）</w:t>
                  </w:r>
                </w:p>
              </w:tc>
              <w:tc>
                <w:tcPr>
                  <w:tcW w:w="1318" w:type="dxa"/>
                  <w:vAlign w:val="center"/>
                </w:tcPr>
                <w:p w14:paraId="66F37EA8">
                  <w:pPr>
                    <w:widowControl w:val="0"/>
                    <w:kinsoku/>
                    <w:autoSpaceDE/>
                    <w:autoSpaceDN/>
                    <w:jc w:val="center"/>
                    <w:textAlignment w:val="auto"/>
                    <w:rPr>
                      <w:rFonts w:hint="default" w:ascii="Times New Roman" w:hAnsi="Times New Roman" w:eastAsia="宋体" w:cs="Times New Roman"/>
                      <w:snapToGrid/>
                      <w:color w:val="auto"/>
                      <w:kern w:val="2"/>
                    </w:rPr>
                  </w:pPr>
                  <w:r>
                    <w:rPr>
                      <w:rFonts w:hint="default" w:ascii="Times New Roman" w:hAnsi="Times New Roman" w:eastAsia="宋体" w:cs="Times New Roman"/>
                      <w:snapToGrid/>
                      <w:color w:val="auto"/>
                      <w:kern w:val="2"/>
                    </w:rPr>
                    <w:t>5</w:t>
                  </w:r>
                </w:p>
              </w:tc>
              <w:tc>
                <w:tcPr>
                  <w:tcW w:w="1346" w:type="dxa"/>
                  <w:vAlign w:val="center"/>
                </w:tcPr>
                <w:p w14:paraId="7A1B5520">
                  <w:pPr>
                    <w:widowControl w:val="0"/>
                    <w:kinsoku/>
                    <w:autoSpaceDE/>
                    <w:autoSpaceDN/>
                    <w:jc w:val="center"/>
                    <w:textAlignment w:val="auto"/>
                    <w:rPr>
                      <w:rFonts w:hint="default" w:ascii="Times New Roman" w:hAnsi="Times New Roman" w:eastAsia="宋体" w:cs="Times New Roman"/>
                      <w:snapToGrid/>
                      <w:color w:val="auto"/>
                      <w:kern w:val="2"/>
                    </w:rPr>
                  </w:pPr>
                  <w:r>
                    <w:rPr>
                      <w:rFonts w:hint="default" w:ascii="Times New Roman" w:hAnsi="Times New Roman" w:eastAsia="宋体" w:cs="Times New Roman"/>
                      <w:snapToGrid/>
                      <w:color w:val="auto"/>
                      <w:kern w:val="2"/>
                    </w:rPr>
                    <w:t>20</w:t>
                  </w:r>
                </w:p>
              </w:tc>
              <w:tc>
                <w:tcPr>
                  <w:tcW w:w="1250" w:type="dxa"/>
                  <w:vAlign w:val="center"/>
                </w:tcPr>
                <w:p w14:paraId="1D16B444">
                  <w:pPr>
                    <w:widowControl w:val="0"/>
                    <w:kinsoku/>
                    <w:autoSpaceDE/>
                    <w:autoSpaceDN/>
                    <w:jc w:val="center"/>
                    <w:textAlignment w:val="auto"/>
                    <w:rPr>
                      <w:rFonts w:hint="default" w:ascii="Times New Roman" w:hAnsi="Times New Roman" w:eastAsia="宋体" w:cs="Times New Roman"/>
                      <w:snapToGrid/>
                      <w:color w:val="auto"/>
                      <w:kern w:val="2"/>
                    </w:rPr>
                  </w:pPr>
                  <w:r>
                    <w:rPr>
                      <w:rFonts w:hint="default" w:ascii="Times New Roman" w:hAnsi="Times New Roman" w:eastAsia="宋体" w:cs="Times New Roman"/>
                      <w:snapToGrid/>
                      <w:color w:val="auto"/>
                      <w:kern w:val="2"/>
                    </w:rPr>
                    <w:t>50</w:t>
                  </w:r>
                </w:p>
              </w:tc>
              <w:tc>
                <w:tcPr>
                  <w:tcW w:w="1241" w:type="dxa"/>
                  <w:vAlign w:val="center"/>
                </w:tcPr>
                <w:p w14:paraId="6F88DF3A">
                  <w:pPr>
                    <w:widowControl w:val="0"/>
                    <w:kinsoku/>
                    <w:autoSpaceDE/>
                    <w:autoSpaceDN/>
                    <w:jc w:val="center"/>
                    <w:textAlignment w:val="auto"/>
                    <w:rPr>
                      <w:rFonts w:hint="default" w:ascii="Times New Roman" w:hAnsi="Times New Roman" w:eastAsia="宋体" w:cs="Times New Roman"/>
                      <w:snapToGrid/>
                      <w:color w:val="auto"/>
                      <w:kern w:val="2"/>
                    </w:rPr>
                  </w:pPr>
                  <w:r>
                    <w:rPr>
                      <w:rFonts w:hint="default" w:ascii="Times New Roman" w:hAnsi="Times New Roman" w:eastAsia="宋体" w:cs="Times New Roman"/>
                      <w:snapToGrid/>
                      <w:color w:val="auto"/>
                      <w:kern w:val="2"/>
                    </w:rPr>
                    <w:t>100</w:t>
                  </w:r>
                </w:p>
              </w:tc>
            </w:tr>
            <w:tr w14:paraId="5C5DE59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735" w:type="dxa"/>
                  <w:vMerge w:val="restart"/>
                  <w:vAlign w:val="center"/>
                </w:tcPr>
                <w:p w14:paraId="79DEA1C3">
                  <w:pPr>
                    <w:widowControl w:val="0"/>
                    <w:kinsoku/>
                    <w:autoSpaceDE/>
                    <w:autoSpaceDN/>
                    <w:jc w:val="center"/>
                    <w:textAlignment w:val="auto"/>
                    <w:rPr>
                      <w:rFonts w:hint="default" w:ascii="Times New Roman" w:hAnsi="Times New Roman" w:eastAsia="宋体" w:cs="Times New Roman"/>
                      <w:snapToGrid/>
                      <w:color w:val="auto"/>
                      <w:kern w:val="2"/>
                    </w:rPr>
                  </w:pPr>
                  <w:r>
                    <w:rPr>
                      <w:rFonts w:hint="default" w:ascii="Times New Roman" w:hAnsi="Times New Roman" w:eastAsia="宋体" w:cs="Times New Roman"/>
                      <w:snapToGrid/>
                      <w:color w:val="auto"/>
                      <w:kern w:val="2"/>
                    </w:rPr>
                    <w:t>TSP小时平均浓</w:t>
                  </w:r>
                </w:p>
                <w:p w14:paraId="5834DABD">
                  <w:pPr>
                    <w:widowControl w:val="0"/>
                    <w:kinsoku/>
                    <w:autoSpaceDE/>
                    <w:autoSpaceDN/>
                    <w:jc w:val="center"/>
                    <w:textAlignment w:val="auto"/>
                    <w:rPr>
                      <w:rFonts w:hint="default" w:ascii="Times New Roman" w:hAnsi="Times New Roman" w:eastAsia="宋体" w:cs="Times New Roman"/>
                      <w:snapToGrid/>
                      <w:color w:val="auto"/>
                      <w:kern w:val="2"/>
                    </w:rPr>
                  </w:pPr>
                  <w:r>
                    <w:rPr>
                      <w:rFonts w:hint="default" w:ascii="Times New Roman" w:hAnsi="Times New Roman" w:eastAsia="宋体" w:cs="Times New Roman"/>
                      <w:snapToGrid/>
                      <w:color w:val="auto"/>
                      <w:kern w:val="2"/>
                    </w:rPr>
                    <w:t>度（mg/m</w:t>
                  </w:r>
                  <w:r>
                    <w:rPr>
                      <w:rFonts w:hint="default" w:ascii="Times New Roman" w:hAnsi="Times New Roman" w:eastAsia="宋体" w:cs="Times New Roman"/>
                      <w:snapToGrid/>
                      <w:color w:val="auto"/>
                      <w:kern w:val="2"/>
                      <w:vertAlign w:val="superscript"/>
                    </w:rPr>
                    <w:t>3</w:t>
                  </w:r>
                  <w:r>
                    <w:rPr>
                      <w:rFonts w:hint="default" w:ascii="Times New Roman" w:hAnsi="Times New Roman" w:eastAsia="宋体" w:cs="Times New Roman"/>
                      <w:snapToGrid/>
                      <w:color w:val="auto"/>
                      <w:kern w:val="2"/>
                    </w:rPr>
                    <w:t>）</w:t>
                  </w:r>
                </w:p>
              </w:tc>
              <w:tc>
                <w:tcPr>
                  <w:tcW w:w="1413" w:type="dxa"/>
                  <w:vAlign w:val="center"/>
                </w:tcPr>
                <w:p w14:paraId="640EB1C6">
                  <w:pPr>
                    <w:widowControl w:val="0"/>
                    <w:kinsoku/>
                    <w:autoSpaceDE/>
                    <w:autoSpaceDN/>
                    <w:jc w:val="center"/>
                    <w:textAlignment w:val="auto"/>
                    <w:rPr>
                      <w:rFonts w:hint="default" w:ascii="Times New Roman" w:hAnsi="Times New Roman" w:eastAsia="宋体" w:cs="Times New Roman"/>
                      <w:snapToGrid/>
                      <w:color w:val="auto"/>
                      <w:kern w:val="2"/>
                    </w:rPr>
                  </w:pPr>
                  <w:r>
                    <w:rPr>
                      <w:rFonts w:hint="default" w:ascii="Times New Roman" w:hAnsi="Times New Roman" w:eastAsia="宋体" w:cs="Times New Roman"/>
                      <w:snapToGrid/>
                      <w:color w:val="auto"/>
                      <w:kern w:val="2"/>
                    </w:rPr>
                    <w:t>不洒水</w:t>
                  </w:r>
                </w:p>
              </w:tc>
              <w:tc>
                <w:tcPr>
                  <w:tcW w:w="1318" w:type="dxa"/>
                  <w:vAlign w:val="center"/>
                </w:tcPr>
                <w:p w14:paraId="0ACBE59B">
                  <w:pPr>
                    <w:widowControl w:val="0"/>
                    <w:kinsoku/>
                    <w:autoSpaceDE/>
                    <w:autoSpaceDN/>
                    <w:jc w:val="center"/>
                    <w:textAlignment w:val="auto"/>
                    <w:rPr>
                      <w:rFonts w:hint="default" w:ascii="Times New Roman" w:hAnsi="Times New Roman" w:eastAsia="宋体" w:cs="Times New Roman"/>
                      <w:snapToGrid/>
                      <w:color w:val="auto"/>
                      <w:kern w:val="2"/>
                    </w:rPr>
                  </w:pPr>
                  <w:r>
                    <w:rPr>
                      <w:rFonts w:hint="default" w:ascii="Times New Roman" w:hAnsi="Times New Roman" w:eastAsia="宋体" w:cs="Times New Roman"/>
                      <w:snapToGrid/>
                      <w:color w:val="auto"/>
                      <w:kern w:val="2"/>
                    </w:rPr>
                    <w:t>10.14</w:t>
                  </w:r>
                </w:p>
              </w:tc>
              <w:tc>
                <w:tcPr>
                  <w:tcW w:w="1346" w:type="dxa"/>
                  <w:vAlign w:val="center"/>
                </w:tcPr>
                <w:p w14:paraId="577BA356">
                  <w:pPr>
                    <w:widowControl w:val="0"/>
                    <w:kinsoku/>
                    <w:autoSpaceDE/>
                    <w:autoSpaceDN/>
                    <w:jc w:val="center"/>
                    <w:textAlignment w:val="auto"/>
                    <w:rPr>
                      <w:rFonts w:hint="default" w:ascii="Times New Roman" w:hAnsi="Times New Roman" w:eastAsia="宋体" w:cs="Times New Roman"/>
                      <w:snapToGrid/>
                      <w:color w:val="auto"/>
                      <w:kern w:val="2"/>
                    </w:rPr>
                  </w:pPr>
                  <w:r>
                    <w:rPr>
                      <w:rFonts w:hint="default" w:ascii="Times New Roman" w:hAnsi="Times New Roman" w:eastAsia="宋体" w:cs="Times New Roman"/>
                      <w:snapToGrid/>
                      <w:color w:val="auto"/>
                      <w:kern w:val="2"/>
                    </w:rPr>
                    <w:t>2.86</w:t>
                  </w:r>
                </w:p>
              </w:tc>
              <w:tc>
                <w:tcPr>
                  <w:tcW w:w="1250" w:type="dxa"/>
                  <w:vAlign w:val="center"/>
                </w:tcPr>
                <w:p w14:paraId="12644BE4">
                  <w:pPr>
                    <w:widowControl w:val="0"/>
                    <w:kinsoku/>
                    <w:autoSpaceDE/>
                    <w:autoSpaceDN/>
                    <w:jc w:val="center"/>
                    <w:textAlignment w:val="auto"/>
                    <w:rPr>
                      <w:rFonts w:hint="default" w:ascii="Times New Roman" w:hAnsi="Times New Roman" w:eastAsia="宋体" w:cs="Times New Roman"/>
                      <w:snapToGrid/>
                      <w:color w:val="auto"/>
                      <w:kern w:val="2"/>
                    </w:rPr>
                  </w:pPr>
                  <w:r>
                    <w:rPr>
                      <w:rFonts w:hint="default" w:ascii="Times New Roman" w:hAnsi="Times New Roman" w:eastAsia="宋体" w:cs="Times New Roman"/>
                      <w:snapToGrid/>
                      <w:color w:val="auto"/>
                      <w:kern w:val="2"/>
                    </w:rPr>
                    <w:t>1.15</w:t>
                  </w:r>
                </w:p>
              </w:tc>
              <w:tc>
                <w:tcPr>
                  <w:tcW w:w="1241" w:type="dxa"/>
                  <w:vAlign w:val="center"/>
                </w:tcPr>
                <w:p w14:paraId="05DA45C1">
                  <w:pPr>
                    <w:widowControl w:val="0"/>
                    <w:kinsoku/>
                    <w:autoSpaceDE/>
                    <w:autoSpaceDN/>
                    <w:jc w:val="center"/>
                    <w:textAlignment w:val="auto"/>
                    <w:rPr>
                      <w:rFonts w:hint="default" w:ascii="Times New Roman" w:hAnsi="Times New Roman" w:eastAsia="宋体" w:cs="Times New Roman"/>
                      <w:snapToGrid/>
                      <w:color w:val="auto"/>
                      <w:kern w:val="2"/>
                    </w:rPr>
                  </w:pPr>
                  <w:r>
                    <w:rPr>
                      <w:rFonts w:hint="default" w:ascii="Times New Roman" w:hAnsi="Times New Roman" w:eastAsia="宋体" w:cs="Times New Roman"/>
                      <w:snapToGrid/>
                      <w:color w:val="auto"/>
                      <w:kern w:val="2"/>
                    </w:rPr>
                    <w:t>0.86</w:t>
                  </w:r>
                </w:p>
              </w:tc>
            </w:tr>
            <w:tr w14:paraId="4D8ECEC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735" w:type="dxa"/>
                  <w:vMerge w:val="continue"/>
                  <w:vAlign w:val="center"/>
                </w:tcPr>
                <w:p w14:paraId="58918F9E">
                  <w:pPr>
                    <w:widowControl w:val="0"/>
                    <w:kinsoku/>
                    <w:autoSpaceDE/>
                    <w:autoSpaceDN/>
                    <w:jc w:val="center"/>
                    <w:textAlignment w:val="auto"/>
                    <w:rPr>
                      <w:rFonts w:hint="default" w:ascii="Times New Roman" w:hAnsi="Times New Roman" w:eastAsia="宋体" w:cs="Times New Roman"/>
                      <w:snapToGrid/>
                      <w:color w:val="auto"/>
                      <w:kern w:val="2"/>
                    </w:rPr>
                  </w:pPr>
                </w:p>
              </w:tc>
              <w:tc>
                <w:tcPr>
                  <w:tcW w:w="1413" w:type="dxa"/>
                  <w:vAlign w:val="center"/>
                </w:tcPr>
                <w:p w14:paraId="1AC45A3B">
                  <w:pPr>
                    <w:widowControl w:val="0"/>
                    <w:kinsoku/>
                    <w:autoSpaceDE/>
                    <w:autoSpaceDN/>
                    <w:jc w:val="center"/>
                    <w:textAlignment w:val="auto"/>
                    <w:rPr>
                      <w:rFonts w:hint="default" w:ascii="Times New Roman" w:hAnsi="Times New Roman" w:eastAsia="宋体" w:cs="Times New Roman"/>
                      <w:snapToGrid/>
                      <w:color w:val="auto"/>
                      <w:kern w:val="2"/>
                    </w:rPr>
                  </w:pPr>
                  <w:r>
                    <w:rPr>
                      <w:rFonts w:hint="default" w:ascii="Times New Roman" w:hAnsi="Times New Roman" w:eastAsia="宋体" w:cs="Times New Roman"/>
                      <w:snapToGrid/>
                      <w:color w:val="auto"/>
                      <w:kern w:val="2"/>
                    </w:rPr>
                    <w:t>洒水</w:t>
                  </w:r>
                </w:p>
              </w:tc>
              <w:tc>
                <w:tcPr>
                  <w:tcW w:w="1318" w:type="dxa"/>
                  <w:vAlign w:val="center"/>
                </w:tcPr>
                <w:p w14:paraId="6C07E226">
                  <w:pPr>
                    <w:widowControl w:val="0"/>
                    <w:kinsoku/>
                    <w:autoSpaceDE/>
                    <w:autoSpaceDN/>
                    <w:jc w:val="center"/>
                    <w:textAlignment w:val="auto"/>
                    <w:rPr>
                      <w:rFonts w:hint="default" w:ascii="Times New Roman" w:hAnsi="Times New Roman" w:eastAsia="宋体" w:cs="Times New Roman"/>
                      <w:snapToGrid/>
                      <w:color w:val="auto"/>
                      <w:kern w:val="2"/>
                    </w:rPr>
                  </w:pPr>
                  <w:r>
                    <w:rPr>
                      <w:rFonts w:hint="default" w:ascii="Times New Roman" w:hAnsi="Times New Roman" w:eastAsia="宋体" w:cs="Times New Roman"/>
                      <w:snapToGrid/>
                      <w:color w:val="auto"/>
                      <w:kern w:val="2"/>
                    </w:rPr>
                    <w:t>2.01</w:t>
                  </w:r>
                </w:p>
              </w:tc>
              <w:tc>
                <w:tcPr>
                  <w:tcW w:w="1346" w:type="dxa"/>
                  <w:vAlign w:val="center"/>
                </w:tcPr>
                <w:p w14:paraId="4F61C2B4">
                  <w:pPr>
                    <w:widowControl w:val="0"/>
                    <w:kinsoku/>
                    <w:autoSpaceDE/>
                    <w:autoSpaceDN/>
                    <w:jc w:val="center"/>
                    <w:textAlignment w:val="auto"/>
                    <w:rPr>
                      <w:rFonts w:hint="default" w:ascii="Times New Roman" w:hAnsi="Times New Roman" w:eastAsia="宋体" w:cs="Times New Roman"/>
                      <w:snapToGrid/>
                      <w:color w:val="auto"/>
                      <w:kern w:val="2"/>
                    </w:rPr>
                  </w:pPr>
                  <w:r>
                    <w:rPr>
                      <w:rFonts w:hint="default" w:ascii="Times New Roman" w:hAnsi="Times New Roman" w:eastAsia="宋体" w:cs="Times New Roman"/>
                      <w:snapToGrid/>
                      <w:color w:val="auto"/>
                      <w:kern w:val="2"/>
                    </w:rPr>
                    <w:t>1.40</w:t>
                  </w:r>
                </w:p>
              </w:tc>
              <w:tc>
                <w:tcPr>
                  <w:tcW w:w="1250" w:type="dxa"/>
                  <w:vAlign w:val="center"/>
                </w:tcPr>
                <w:p w14:paraId="27C9E572">
                  <w:pPr>
                    <w:widowControl w:val="0"/>
                    <w:kinsoku/>
                    <w:autoSpaceDE/>
                    <w:autoSpaceDN/>
                    <w:jc w:val="center"/>
                    <w:textAlignment w:val="auto"/>
                    <w:rPr>
                      <w:rFonts w:hint="default" w:ascii="Times New Roman" w:hAnsi="Times New Roman" w:eastAsia="宋体" w:cs="Times New Roman"/>
                      <w:snapToGrid/>
                      <w:color w:val="auto"/>
                      <w:kern w:val="2"/>
                    </w:rPr>
                  </w:pPr>
                  <w:r>
                    <w:rPr>
                      <w:rFonts w:hint="default" w:ascii="Times New Roman" w:hAnsi="Times New Roman" w:eastAsia="宋体" w:cs="Times New Roman"/>
                      <w:snapToGrid/>
                      <w:color w:val="auto"/>
                      <w:kern w:val="2"/>
                    </w:rPr>
                    <w:t>0.67</w:t>
                  </w:r>
                </w:p>
              </w:tc>
              <w:tc>
                <w:tcPr>
                  <w:tcW w:w="1241" w:type="dxa"/>
                  <w:vAlign w:val="center"/>
                </w:tcPr>
                <w:p w14:paraId="7D81C6C1">
                  <w:pPr>
                    <w:widowControl w:val="0"/>
                    <w:kinsoku/>
                    <w:autoSpaceDE/>
                    <w:autoSpaceDN/>
                    <w:jc w:val="center"/>
                    <w:textAlignment w:val="auto"/>
                    <w:rPr>
                      <w:rFonts w:hint="default" w:ascii="Times New Roman" w:hAnsi="Times New Roman" w:eastAsia="宋体" w:cs="Times New Roman"/>
                      <w:snapToGrid/>
                      <w:color w:val="auto"/>
                      <w:kern w:val="2"/>
                    </w:rPr>
                  </w:pPr>
                  <w:r>
                    <w:rPr>
                      <w:rFonts w:hint="default" w:ascii="Times New Roman" w:hAnsi="Times New Roman" w:eastAsia="宋体" w:cs="Times New Roman"/>
                      <w:snapToGrid/>
                      <w:color w:val="auto"/>
                      <w:kern w:val="2"/>
                    </w:rPr>
                    <w:t>0.60</w:t>
                  </w:r>
                </w:p>
              </w:tc>
            </w:tr>
          </w:tbl>
          <w:p w14:paraId="79A41133">
            <w:pPr>
              <w:widowControl w:val="0"/>
              <w:kinsoku/>
              <w:autoSpaceDE/>
              <w:autoSpaceDN/>
              <w:spacing w:line="360" w:lineRule="auto"/>
              <w:ind w:firstLine="480" w:firstLineChars="200"/>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本项目在不采取措施的情况下，施工扬尘浓度超过1.0mg/m</w:t>
            </w:r>
            <w:r>
              <w:rPr>
                <w:rFonts w:hint="default" w:ascii="Times New Roman" w:hAnsi="Times New Roman" w:eastAsia="宋体" w:cs="Times New Roman"/>
                <w:snapToGrid/>
                <w:color w:val="auto"/>
                <w:kern w:val="2"/>
                <w:sz w:val="24"/>
                <w:szCs w:val="24"/>
                <w:vertAlign w:val="superscript"/>
              </w:rPr>
              <w:t>3</w:t>
            </w:r>
            <w:r>
              <w:rPr>
                <w:rFonts w:hint="default" w:ascii="Times New Roman" w:hAnsi="Times New Roman" w:eastAsia="宋体" w:cs="Times New Roman"/>
                <w:snapToGrid/>
                <w:color w:val="auto"/>
                <w:kern w:val="2"/>
                <w:sz w:val="24"/>
                <w:szCs w:val="24"/>
              </w:rPr>
              <w:t>。采取禁止在大风天气时进行此类作业以及在土方和材料的临时堆放场周围设置硬质围挡和定期洒水等降尘措施后，能抑制70-90%以上的粉尘，则排放浓度可小于 1.0mg/m</w:t>
            </w:r>
            <w:r>
              <w:rPr>
                <w:rFonts w:hint="default" w:ascii="Times New Roman" w:hAnsi="Times New Roman" w:eastAsia="宋体" w:cs="Times New Roman"/>
                <w:snapToGrid/>
                <w:color w:val="auto"/>
                <w:kern w:val="2"/>
                <w:sz w:val="24"/>
                <w:szCs w:val="24"/>
                <w:vertAlign w:val="superscript"/>
              </w:rPr>
              <w:t>3</w:t>
            </w:r>
            <w:r>
              <w:rPr>
                <w:rFonts w:hint="default" w:ascii="Times New Roman" w:hAnsi="Times New Roman" w:eastAsia="宋体" w:cs="Times New Roman"/>
                <w:snapToGrid/>
                <w:color w:val="auto"/>
                <w:kern w:val="2"/>
                <w:sz w:val="24"/>
                <w:szCs w:val="24"/>
              </w:rPr>
              <w:t>。</w:t>
            </w:r>
          </w:p>
          <w:p w14:paraId="2A79E02E">
            <w:pPr>
              <w:widowControl w:val="0"/>
              <w:kinsoku/>
              <w:autoSpaceDE/>
              <w:autoSpaceDN/>
              <w:spacing w:line="360" w:lineRule="auto"/>
              <w:ind w:firstLine="480" w:firstLineChars="200"/>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在施工过程中，作业场地应采取围挡、围护以减少扬尘扩散。在施工现场周围，设置不低于1.5m高的围挡，以避免对周围环境造成影响。在施工场地安排员工定期对施工场地洒水以减少扬尘量，避免在大风天气下进行施工作业。对运输建筑材料及建筑垃圾的车辆加盖蓬布减少洒落。建筑材料堆放场地加盖蓬布或洒水，防止二次扬尘。对建筑垃圾及时清运、以减少占地，防止扬尘污染，改善施工场地的环境。采取以上措施后，施工扬尘的影响得到较大程度的缓解，对环境敏感目标影响很小，施工结束后，扬尘影响随即消失。</w:t>
            </w:r>
          </w:p>
          <w:p w14:paraId="5D353CE2">
            <w:pPr>
              <w:widowControl w:val="0"/>
              <w:kinsoku/>
              <w:autoSpaceDE/>
              <w:autoSpaceDN/>
              <w:spacing w:line="360" w:lineRule="auto"/>
              <w:ind w:firstLine="480" w:firstLineChars="200"/>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②运输机械产生的扬尘</w:t>
            </w:r>
          </w:p>
          <w:p w14:paraId="611E4EC7">
            <w:pPr>
              <w:widowControl w:val="0"/>
              <w:kinsoku/>
              <w:autoSpaceDE/>
              <w:autoSpaceDN/>
              <w:spacing w:line="360" w:lineRule="auto"/>
              <w:ind w:firstLine="480" w:firstLineChars="200"/>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道路扬尘来自于施工机械和车辆的往来过程，扬尘排放方式为间歇不定量排放，其影响范围为施工现场附近和运输道路沿途。出入工地的施工机械车轮轮胎和履带将工地上的泥土粘带到沿途道路上，经过往车辆碾轧形成灰尘，造成雨天泥泞，晴天风干，飘散飞扬。</w:t>
            </w:r>
          </w:p>
          <w:p w14:paraId="01E96335">
            <w:pPr>
              <w:widowControl w:val="0"/>
              <w:kinsoku/>
              <w:autoSpaceDE/>
              <w:autoSpaceDN/>
              <w:spacing w:line="360" w:lineRule="auto"/>
              <w:ind w:firstLine="480" w:firstLineChars="200"/>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经类比分析可知，在路面同样清洁度的条件下，车速越快，扬尘越大，而在同样车速下，路面越脏，扬尘越大。因此，限速行驶与保持路面清洁是减少汽车扬尘的有效措施。施工期间以TSP污染为主，主要产生于工程施工过程中、材料运输过程中以及装卸过程。根据经验类比可知，距离施工现场100m处，环境空气中TSP浓度高达11.7mg/m</w:t>
            </w:r>
            <w:r>
              <w:rPr>
                <w:rFonts w:hint="default" w:ascii="Times New Roman" w:hAnsi="Times New Roman" w:eastAsia="宋体" w:cs="Times New Roman"/>
                <w:snapToGrid/>
                <w:color w:val="auto"/>
                <w:kern w:val="2"/>
                <w:sz w:val="24"/>
                <w:szCs w:val="24"/>
                <w:vertAlign w:val="superscript"/>
              </w:rPr>
              <w:t>3</w:t>
            </w:r>
            <w:r>
              <w:rPr>
                <w:rFonts w:hint="default" w:ascii="Times New Roman" w:hAnsi="Times New Roman" w:eastAsia="宋体" w:cs="Times New Roman"/>
                <w:snapToGrid/>
                <w:color w:val="auto"/>
                <w:kern w:val="2"/>
                <w:sz w:val="24"/>
                <w:szCs w:val="24"/>
              </w:rPr>
              <w:t>，距离施工现场150m处，环境空气中TSP浓度仍达5.0mg/m</w:t>
            </w:r>
            <w:r>
              <w:rPr>
                <w:rFonts w:hint="default" w:ascii="Times New Roman" w:hAnsi="Times New Roman" w:eastAsia="宋体" w:cs="Times New Roman"/>
                <w:snapToGrid/>
                <w:color w:val="auto"/>
                <w:kern w:val="2"/>
                <w:sz w:val="24"/>
                <w:szCs w:val="24"/>
                <w:vertAlign w:val="superscript"/>
              </w:rPr>
              <w:t>3</w:t>
            </w:r>
            <w:r>
              <w:rPr>
                <w:rFonts w:hint="default" w:ascii="Times New Roman" w:hAnsi="Times New Roman" w:eastAsia="宋体" w:cs="Times New Roman"/>
                <w:snapToGrid/>
                <w:color w:val="auto"/>
                <w:kern w:val="2"/>
                <w:sz w:val="24"/>
                <w:szCs w:val="24"/>
              </w:rPr>
              <w:t>，施工期间产生的施工扬尘对附近居民产生不良影响，但影响周期短，且将随施工结束而消失。</w:t>
            </w:r>
          </w:p>
          <w:p w14:paraId="32C35A30">
            <w:pPr>
              <w:widowControl w:val="0"/>
              <w:kinsoku/>
              <w:autoSpaceDE/>
              <w:autoSpaceDN/>
              <w:spacing w:line="360" w:lineRule="auto"/>
              <w:ind w:firstLine="480" w:firstLineChars="200"/>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（2）车辆尾气</w:t>
            </w:r>
          </w:p>
          <w:p w14:paraId="25DB9D0C">
            <w:pPr>
              <w:widowControl w:val="0"/>
              <w:kinsoku/>
              <w:autoSpaceDE/>
              <w:autoSpaceDN/>
              <w:spacing w:line="360" w:lineRule="auto"/>
              <w:ind w:firstLine="480" w:firstLineChars="200"/>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施工阶段，使用机动车辆运输建筑材料、施工设备及器材、建筑垃圾等，排出的机动车尾气主要污染物是CH、CO、NOx等。CO主要来自燃料不完全燃烧，施工中的载重车辆常常处在空转、减速、加速等工作状态中，因而燃料燃烧往往不完全。而对施工车辆运转状态不同，CO排放量也不同，排放的HC 主要来自内燃机所排出的废气，其次是曲轴箱的泄漏和燃料系统的蒸发。</w:t>
            </w:r>
          </w:p>
          <w:p w14:paraId="6823B6C9">
            <w:pPr>
              <w:widowControl w:val="0"/>
              <w:kinsoku/>
              <w:autoSpaceDE/>
              <w:autoSpaceDN/>
              <w:spacing w:line="360" w:lineRule="auto"/>
              <w:ind w:firstLine="480" w:firstLineChars="200"/>
              <w:jc w:val="both"/>
              <w:textAlignment w:val="auto"/>
              <w:rPr>
                <w:rFonts w:hint="default" w:ascii="Times New Roman" w:hAnsi="Times New Roman" w:eastAsia="宋体" w:cs="Times New Roman"/>
                <w:snapToGrid/>
                <w:color w:val="auto"/>
                <w:kern w:val="2"/>
                <w:sz w:val="24"/>
              </w:rPr>
            </w:pPr>
            <w:r>
              <w:rPr>
                <w:rFonts w:hint="default" w:ascii="Times New Roman" w:hAnsi="Times New Roman" w:eastAsia="宋体" w:cs="Times New Roman"/>
                <w:snapToGrid/>
                <w:color w:val="auto"/>
                <w:kern w:val="2"/>
                <w:sz w:val="24"/>
                <w:szCs w:val="24"/>
              </w:rPr>
              <w:t>在施工过程中施工方应保证施工机械及车辆运行状态的良好。在机械、车辆运转状况良好的条件下，产生的上述污染物质浓度较低，不会对环境空气质量产生较明显的影响，并且施工期在一般情况下相对运营期较短，主体建筑物施工结束后，施工机械即停止运转，因此施工机械对环境的影响仅是暂时性的，不会对当地的环境空气质量带来长久的影响。车辆在施工现场范围内活动，尾气呈面源污染形式；汽车排气筒高度较低，尾气扩散范围不大，对周围地区影响较小；车辆为非连续行驶状态，污染物排放时间及排放量相对较少。这种影响仅限于施工期，随施工的结束而消失</w:t>
            </w:r>
            <w:r>
              <w:rPr>
                <w:rFonts w:hint="default" w:ascii="Times New Roman" w:hAnsi="Times New Roman" w:eastAsia="宋体" w:cs="Times New Roman"/>
                <w:snapToGrid/>
                <w:color w:val="auto"/>
                <w:kern w:val="2"/>
                <w:sz w:val="24"/>
              </w:rPr>
              <w:t>。</w:t>
            </w:r>
          </w:p>
          <w:p w14:paraId="221A9D4D">
            <w:pPr>
              <w:pStyle w:val="25"/>
              <w:widowControl w:val="0"/>
              <w:kinsoku/>
              <w:autoSpaceDE/>
              <w:autoSpaceDN/>
              <w:adjustRightInd/>
              <w:snapToGrid/>
              <w:spacing w:after="0" w:line="360" w:lineRule="auto"/>
              <w:ind w:left="0" w:leftChars="0" w:firstLine="480" w:firstLineChars="200"/>
              <w:jc w:val="both"/>
              <w:textAlignment w:val="auto"/>
              <w:rPr>
                <w:rFonts w:hint="default" w:ascii="Times New Roman" w:hAnsi="Times New Roman" w:eastAsia="宋体" w:cs="Times New Roman"/>
                <w:snapToGrid/>
                <w:color w:val="auto"/>
                <w:kern w:val="2"/>
                <w:sz w:val="24"/>
              </w:rPr>
            </w:pPr>
            <w:r>
              <w:rPr>
                <w:rFonts w:hint="default" w:ascii="Times New Roman" w:hAnsi="Times New Roman" w:eastAsia="宋体" w:cs="Times New Roman"/>
                <w:snapToGrid/>
                <w:color w:val="auto"/>
                <w:kern w:val="2"/>
                <w:sz w:val="24"/>
              </w:rPr>
              <w:t>（3）沥青烟气</w:t>
            </w:r>
          </w:p>
          <w:p w14:paraId="7FD4E5CB">
            <w:pPr>
              <w:pStyle w:val="25"/>
              <w:widowControl w:val="0"/>
              <w:kinsoku/>
              <w:autoSpaceDE/>
              <w:autoSpaceDN/>
              <w:adjustRightInd/>
              <w:snapToGrid/>
              <w:spacing w:after="0" w:line="360" w:lineRule="auto"/>
              <w:ind w:left="0" w:leftChars="0" w:firstLine="480" w:firstLineChars="200"/>
              <w:jc w:val="both"/>
              <w:textAlignment w:val="auto"/>
              <w:rPr>
                <w:rFonts w:hint="default" w:ascii="Times New Roman" w:hAnsi="Times New Roman" w:eastAsia="宋体" w:cs="Times New Roman"/>
                <w:snapToGrid/>
                <w:color w:val="auto"/>
                <w:kern w:val="2"/>
                <w:sz w:val="24"/>
              </w:rPr>
            </w:pPr>
            <w:r>
              <w:rPr>
                <w:rFonts w:hint="default" w:ascii="Times New Roman" w:hAnsi="Times New Roman" w:eastAsia="宋体" w:cs="Times New Roman"/>
                <w:snapToGrid/>
                <w:color w:val="auto"/>
                <w:kern w:val="2"/>
                <w:sz w:val="24"/>
              </w:rPr>
              <w:t>本项目采用商品沥青，工程使用的沥青均为外购，对沥青的熬制在沥青储运站完成，用保温罐运至施工工地，不使用未熬制的生沥青，不设沥青搅拌场和堆置场。因此，只在道路铺设过程中产生微量的沥青烟，沥青烟气中主要有THC、PM</w:t>
            </w:r>
            <w:r>
              <w:rPr>
                <w:rFonts w:hint="default" w:ascii="Times New Roman" w:hAnsi="Times New Roman" w:eastAsia="宋体" w:cs="Times New Roman"/>
                <w:snapToGrid/>
                <w:color w:val="auto"/>
                <w:kern w:val="2"/>
                <w:sz w:val="24"/>
                <w:vertAlign w:val="subscript"/>
              </w:rPr>
              <w:t>10</w:t>
            </w:r>
            <w:r>
              <w:rPr>
                <w:rFonts w:hint="default" w:ascii="Times New Roman" w:hAnsi="Times New Roman" w:eastAsia="宋体" w:cs="Times New Roman"/>
                <w:snapToGrid/>
                <w:color w:val="auto"/>
                <w:kern w:val="2"/>
                <w:sz w:val="24"/>
              </w:rPr>
              <w:t>和苯并[a]芘等污染物，会对人体健康产生影响。沥青烟气的产生绝大部分在沥青熔融过程。沥青混合料摊铺温度控制在135~165℃，对施工现场的影响只有沥青冷却固化过程中挥发的少量烟气。由于摊铺工作处于室外，施工现场空旷，扩散条件好，类比同类市政道路项目，沥青烟不会对周围环境空气质量产生明显影响。</w:t>
            </w:r>
          </w:p>
          <w:p w14:paraId="0AE5CDFD">
            <w:pPr>
              <w:pStyle w:val="25"/>
              <w:widowControl w:val="0"/>
              <w:kinsoku/>
              <w:autoSpaceDE/>
              <w:autoSpaceDN/>
              <w:adjustRightInd/>
              <w:snapToGrid/>
              <w:spacing w:after="0" w:line="360" w:lineRule="auto"/>
              <w:ind w:left="0" w:leftChars="0" w:firstLine="480" w:firstLineChars="200"/>
              <w:jc w:val="both"/>
              <w:textAlignment w:val="auto"/>
              <w:rPr>
                <w:rFonts w:hint="default" w:ascii="Times New Roman" w:hAnsi="Times New Roman" w:eastAsia="宋体" w:cs="Times New Roman"/>
                <w:snapToGrid/>
                <w:color w:val="auto"/>
                <w:kern w:val="2"/>
                <w:sz w:val="24"/>
              </w:rPr>
            </w:pPr>
            <w:r>
              <w:rPr>
                <w:rFonts w:hint="default" w:ascii="Times New Roman" w:hAnsi="Times New Roman" w:eastAsia="宋体" w:cs="Times New Roman"/>
                <w:snapToGrid/>
                <w:color w:val="auto"/>
                <w:kern w:val="2"/>
                <w:sz w:val="24"/>
                <w:lang w:eastAsia="zh-CN"/>
              </w:rPr>
              <w:t>（</w:t>
            </w:r>
            <w:r>
              <w:rPr>
                <w:rFonts w:hint="default" w:ascii="Times New Roman" w:hAnsi="Times New Roman" w:eastAsia="宋体" w:cs="Times New Roman"/>
                <w:snapToGrid/>
                <w:color w:val="auto"/>
                <w:kern w:val="2"/>
                <w:sz w:val="24"/>
                <w:lang w:val="en-US" w:eastAsia="zh-CN"/>
              </w:rPr>
              <w:t>4</w:t>
            </w:r>
            <w:r>
              <w:rPr>
                <w:rFonts w:hint="default" w:ascii="Times New Roman" w:hAnsi="Times New Roman" w:eastAsia="宋体" w:cs="Times New Roman"/>
                <w:snapToGrid/>
                <w:color w:val="auto"/>
                <w:kern w:val="2"/>
                <w:sz w:val="24"/>
                <w:lang w:eastAsia="zh-CN"/>
              </w:rPr>
              <w:t>）</w:t>
            </w:r>
            <w:r>
              <w:rPr>
                <w:rFonts w:hint="default" w:ascii="Times New Roman" w:hAnsi="Times New Roman" w:eastAsia="宋体" w:cs="Times New Roman"/>
                <w:snapToGrid/>
                <w:color w:val="auto"/>
                <w:kern w:val="2"/>
                <w:sz w:val="24"/>
              </w:rPr>
              <w:t>农药喷洒异味</w:t>
            </w:r>
          </w:p>
          <w:p w14:paraId="39548697">
            <w:pPr>
              <w:pStyle w:val="25"/>
              <w:widowControl w:val="0"/>
              <w:kinsoku/>
              <w:autoSpaceDE/>
              <w:autoSpaceDN/>
              <w:adjustRightInd/>
              <w:snapToGrid/>
              <w:spacing w:after="0" w:line="360" w:lineRule="auto"/>
              <w:ind w:left="0" w:leftChars="0" w:firstLine="480" w:firstLineChars="200"/>
              <w:jc w:val="both"/>
              <w:textAlignment w:val="auto"/>
              <w:rPr>
                <w:rFonts w:hint="default" w:ascii="Times New Roman" w:hAnsi="Times New Roman" w:eastAsia="宋体" w:cs="Times New Roman"/>
                <w:snapToGrid/>
                <w:color w:val="auto"/>
                <w:kern w:val="2"/>
                <w:sz w:val="24"/>
                <w:lang w:eastAsia="zh-CN"/>
              </w:rPr>
            </w:pPr>
            <w:r>
              <w:rPr>
                <w:rFonts w:hint="default" w:ascii="Times New Roman" w:hAnsi="Times New Roman" w:eastAsia="宋体" w:cs="Times New Roman"/>
                <w:snapToGrid/>
                <w:color w:val="auto"/>
                <w:kern w:val="2"/>
                <w:sz w:val="24"/>
              </w:rPr>
              <w:t>项目抚育阶段农药喷洒扩散过程中会产生一定的刺鼻异味，该异味主要来源于农药中的有机成分，通过挥发或颗粒物吸附后以气体状态在空气中进一步扩散，从而造成区域面源性污染。项目通过科学适量喷洒低毒低残留农药后，结合区域大气稀释扩散能力，可有效降低农药喷洒产生的异味对周边环境空气质量造成的不良影响</w:t>
            </w:r>
            <w:r>
              <w:rPr>
                <w:rFonts w:hint="default" w:ascii="Times New Roman" w:hAnsi="Times New Roman" w:eastAsia="宋体" w:cs="Times New Roman"/>
                <w:snapToGrid/>
                <w:color w:val="auto"/>
                <w:kern w:val="2"/>
                <w:sz w:val="24"/>
                <w:lang w:eastAsia="zh-CN"/>
              </w:rPr>
              <w:t>。</w:t>
            </w:r>
          </w:p>
          <w:p w14:paraId="08A03D43">
            <w:pPr>
              <w:pStyle w:val="25"/>
              <w:widowControl w:val="0"/>
              <w:kinsoku/>
              <w:autoSpaceDE/>
              <w:autoSpaceDN/>
              <w:adjustRightInd/>
              <w:snapToGrid/>
              <w:spacing w:after="0" w:line="360" w:lineRule="auto"/>
              <w:ind w:left="0" w:leftChars="0" w:firstLine="526" w:firstLineChars="200"/>
              <w:jc w:val="both"/>
              <w:textAlignment w:val="auto"/>
              <w:rPr>
                <w:rFonts w:hint="default" w:ascii="Times New Roman" w:hAnsi="Times New Roman" w:eastAsia="宋体" w:cs="Times New Roman"/>
                <w:b/>
                <w:bCs/>
                <w:color w:val="auto"/>
                <w:spacing w:val="11"/>
                <w:sz w:val="24"/>
                <w:szCs w:val="24"/>
              </w:rPr>
            </w:pPr>
            <w:r>
              <w:rPr>
                <w:rFonts w:hint="default" w:ascii="Times New Roman" w:hAnsi="Times New Roman" w:eastAsia="宋体" w:cs="Times New Roman"/>
                <w:b/>
                <w:bCs/>
                <w:color w:val="auto"/>
                <w:spacing w:val="11"/>
                <w:sz w:val="24"/>
                <w:szCs w:val="24"/>
              </w:rPr>
              <w:t>3、施工期废水影响分析</w:t>
            </w:r>
          </w:p>
          <w:p w14:paraId="0E80A1A5">
            <w:pPr>
              <w:widowControl w:val="0"/>
              <w:kinsoku/>
              <w:autoSpaceDE/>
              <w:autoSpaceDN/>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本项目施工期废水主要为施工废水、施工人员生活污水、主要含CODcr、BOD</w:t>
            </w:r>
            <w:r>
              <w:rPr>
                <w:rFonts w:hint="default" w:ascii="Times New Roman" w:hAnsi="Times New Roman" w:eastAsia="宋体" w:cs="Times New Roman"/>
                <w:color w:val="auto"/>
                <w:sz w:val="24"/>
                <w:szCs w:val="24"/>
                <w:vertAlign w:val="subscript"/>
              </w:rPr>
              <w:t>5</w:t>
            </w:r>
            <w:r>
              <w:rPr>
                <w:rFonts w:hint="default" w:ascii="Times New Roman" w:hAnsi="Times New Roman" w:eastAsia="宋体" w:cs="Times New Roman"/>
                <w:color w:val="auto"/>
                <w:sz w:val="24"/>
                <w:szCs w:val="24"/>
              </w:rPr>
              <w:t>、NH</w:t>
            </w:r>
            <w:r>
              <w:rPr>
                <w:rFonts w:hint="default" w:ascii="Times New Roman" w:hAnsi="Times New Roman" w:eastAsia="宋体" w:cs="Times New Roman"/>
                <w:color w:val="auto"/>
                <w:sz w:val="24"/>
                <w:szCs w:val="24"/>
                <w:vertAlign w:val="subscript"/>
              </w:rPr>
              <w:t>3</w:t>
            </w:r>
            <w:r>
              <w:rPr>
                <w:rFonts w:hint="default" w:ascii="Times New Roman" w:hAnsi="Times New Roman" w:eastAsia="宋体" w:cs="Times New Roman"/>
                <w:color w:val="auto"/>
                <w:sz w:val="24"/>
                <w:szCs w:val="24"/>
              </w:rPr>
              <w:t>-N、SS等。</w:t>
            </w:r>
          </w:p>
          <w:p w14:paraId="7152AE00">
            <w:pPr>
              <w:spacing w:line="360" w:lineRule="auto"/>
              <w:ind w:firstLine="480" w:firstLineChars="200"/>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（1）施工废水</w:t>
            </w:r>
          </w:p>
          <w:p w14:paraId="5110C2FD">
            <w:pPr>
              <w:spacing w:line="360" w:lineRule="auto"/>
              <w:ind w:firstLine="480" w:firstLineChars="200"/>
              <w:jc w:val="both"/>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本项目施工废水主要为冲洗废水，主要来源于作业面冲洗废水和施工机械、车辆等冲洗废水，该废水悬浮物浓度较高，pH值呈弱碱性，并带有少量的油污，类比同类工程，其浓度SS约2000~4000mg/L，石油类&lt;10mg/L。施工期间设置的临时沉淀池，就近设置在施工区低洼处，临时沉淀池采用便携式的PVC防水隔层，后续可循环使用，对环境影响较小。</w:t>
            </w:r>
          </w:p>
          <w:p w14:paraId="205D78FF">
            <w:pPr>
              <w:spacing w:line="360" w:lineRule="auto"/>
              <w:ind w:firstLine="480" w:firstLineChars="200"/>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（2）生活污水</w:t>
            </w:r>
          </w:p>
          <w:p w14:paraId="180FA6BF">
            <w:pPr>
              <w:widowControl w:val="0"/>
              <w:kinsoku/>
              <w:autoSpaceDE/>
              <w:autoSpaceDN/>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bidi="ar"/>
              </w:rPr>
              <w:t>根据建设单位提供资料，项目施工期平均民工人数可达60人左右。施工期间全部回家解决食宿。用水量按120L/人·d计，总生活用水量为7.2m</w:t>
            </w:r>
            <w:r>
              <w:rPr>
                <w:rFonts w:hint="default" w:ascii="Times New Roman" w:hAnsi="Times New Roman" w:eastAsia="宋体" w:cs="Times New Roman"/>
                <w:color w:val="auto"/>
                <w:sz w:val="24"/>
                <w:szCs w:val="24"/>
                <w:vertAlign w:val="superscript"/>
                <w:lang w:bidi="ar"/>
              </w:rPr>
              <w:t>3</w:t>
            </w:r>
            <w:r>
              <w:rPr>
                <w:rFonts w:hint="default" w:ascii="Times New Roman" w:hAnsi="Times New Roman" w:eastAsia="宋体" w:cs="Times New Roman"/>
                <w:color w:val="auto"/>
                <w:sz w:val="24"/>
                <w:szCs w:val="24"/>
                <w:lang w:bidi="ar"/>
              </w:rPr>
              <w:t>/d，产污系数按0.85计，因此施工期间施工人员生活污水产生总量为6.12m</w:t>
            </w:r>
            <w:r>
              <w:rPr>
                <w:rFonts w:hint="default" w:ascii="Times New Roman" w:hAnsi="Times New Roman" w:eastAsia="宋体" w:cs="Times New Roman"/>
                <w:color w:val="auto"/>
                <w:sz w:val="24"/>
                <w:szCs w:val="24"/>
                <w:vertAlign w:val="superscript"/>
                <w:lang w:bidi="ar"/>
              </w:rPr>
              <w:t>3</w:t>
            </w:r>
            <w:r>
              <w:rPr>
                <w:rFonts w:hint="default" w:ascii="Times New Roman" w:hAnsi="Times New Roman" w:eastAsia="宋体" w:cs="Times New Roman"/>
                <w:color w:val="auto"/>
                <w:sz w:val="24"/>
                <w:szCs w:val="24"/>
                <w:lang w:bidi="ar"/>
              </w:rPr>
              <w:t>/d，主要污染物为COD、BOD</w:t>
            </w:r>
            <w:r>
              <w:rPr>
                <w:rFonts w:hint="default" w:ascii="Times New Roman" w:hAnsi="Times New Roman" w:eastAsia="宋体" w:cs="Times New Roman"/>
                <w:color w:val="auto"/>
                <w:sz w:val="24"/>
                <w:szCs w:val="24"/>
                <w:vertAlign w:val="subscript"/>
                <w:lang w:bidi="ar"/>
              </w:rPr>
              <w:t>5</w:t>
            </w:r>
            <w:r>
              <w:rPr>
                <w:rFonts w:hint="default" w:ascii="Times New Roman" w:hAnsi="Times New Roman" w:eastAsia="宋体" w:cs="Times New Roman"/>
                <w:color w:val="auto"/>
                <w:sz w:val="24"/>
                <w:szCs w:val="24"/>
                <w:lang w:bidi="ar"/>
              </w:rPr>
              <w:t>、NH</w:t>
            </w:r>
            <w:r>
              <w:rPr>
                <w:rFonts w:hint="default" w:ascii="Times New Roman" w:hAnsi="Times New Roman" w:eastAsia="宋体" w:cs="Times New Roman"/>
                <w:color w:val="auto"/>
                <w:sz w:val="24"/>
                <w:szCs w:val="24"/>
                <w:vertAlign w:val="subscript"/>
                <w:lang w:bidi="ar"/>
              </w:rPr>
              <w:t>3</w:t>
            </w:r>
            <w:r>
              <w:rPr>
                <w:rFonts w:hint="default" w:ascii="Times New Roman" w:hAnsi="Times New Roman" w:eastAsia="宋体" w:cs="Times New Roman"/>
                <w:color w:val="auto"/>
                <w:sz w:val="24"/>
                <w:szCs w:val="24"/>
                <w:lang w:bidi="ar"/>
              </w:rPr>
              <w:t>-N、SS等</w:t>
            </w:r>
            <w:r>
              <w:rPr>
                <w:rFonts w:hint="default" w:ascii="Times New Roman" w:hAnsi="Times New Roman" w:eastAsia="宋体" w:cs="Times New Roman"/>
                <w:color w:val="auto"/>
                <w:sz w:val="24"/>
                <w:szCs w:val="24"/>
              </w:rPr>
              <w:t>。生活污水依托村民房屋自建旱厕处理，对环境影响较小。</w:t>
            </w:r>
          </w:p>
          <w:p w14:paraId="052020CC">
            <w:pPr>
              <w:spacing w:line="360" w:lineRule="auto"/>
              <w:ind w:firstLine="482" w:firstLineChars="200"/>
              <w:rPr>
                <w:rFonts w:hint="default" w:ascii="Times New Roman" w:hAnsi="Times New Roman" w:eastAsia="宋体" w:cs="Times New Roman"/>
                <w:b/>
                <w:bCs/>
                <w:iCs/>
                <w:color w:val="auto"/>
                <w:sz w:val="24"/>
                <w:szCs w:val="24"/>
              </w:rPr>
            </w:pPr>
            <w:r>
              <w:rPr>
                <w:rFonts w:hint="default" w:ascii="Times New Roman" w:hAnsi="Times New Roman" w:eastAsia="宋体" w:cs="Times New Roman"/>
                <w:b/>
                <w:bCs/>
                <w:iCs/>
                <w:color w:val="auto"/>
                <w:sz w:val="24"/>
                <w:szCs w:val="24"/>
              </w:rPr>
              <w:t>4、施工期噪声影响分析</w:t>
            </w:r>
          </w:p>
          <w:p w14:paraId="74490A47">
            <w:pPr>
              <w:pStyle w:val="14"/>
              <w:spacing w:line="360" w:lineRule="auto"/>
              <w:ind w:firstLine="480" w:firstLineChars="200"/>
              <w:rPr>
                <w:rFonts w:hint="default" w:ascii="Times New Roman" w:hAnsi="Times New Roman" w:eastAsia="宋体" w:cs="Times New Roman"/>
                <w:iCs/>
                <w:color w:val="auto"/>
                <w:sz w:val="24"/>
                <w:szCs w:val="24"/>
              </w:rPr>
            </w:pPr>
            <w:r>
              <w:rPr>
                <w:rFonts w:hint="default" w:ascii="Times New Roman" w:hAnsi="Times New Roman" w:eastAsia="宋体" w:cs="Times New Roman"/>
                <w:iCs/>
                <w:color w:val="auto"/>
                <w:sz w:val="24"/>
                <w:szCs w:val="24"/>
              </w:rPr>
              <w:t>施工期噪声污染源主要是施工机械和运输车辆，在施工期间，作业机械类型较多，如挖掘机、推土机、铲运机、平地机及运输车等。因此，这些突发性非稳态噪声源将对周围环境也产生一定影响。工程施工过程中常见的声源及其声级见下表。</w:t>
            </w:r>
          </w:p>
          <w:p w14:paraId="3C721631">
            <w:pPr>
              <w:spacing w:before="3" w:line="360" w:lineRule="auto"/>
              <w:ind w:right="106"/>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表4-3  施工期主要噪声源及源强   单位：dB(A)</w:t>
            </w:r>
          </w:p>
          <w:tbl>
            <w:tblPr>
              <w:tblStyle w:val="33"/>
              <w:tblW w:w="822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78"/>
              <w:gridCol w:w="2017"/>
              <w:gridCol w:w="1351"/>
              <w:gridCol w:w="856"/>
              <w:gridCol w:w="873"/>
              <w:gridCol w:w="2445"/>
            </w:tblGrid>
            <w:tr w14:paraId="4B9A26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678" w:type="dxa"/>
                  <w:vAlign w:val="center"/>
                </w:tcPr>
                <w:p w14:paraId="1B38AD01">
                  <w:pPr>
                    <w:pStyle w:val="11"/>
                    <w:widowControl w:val="0"/>
                    <w:kinsoku/>
                    <w:autoSpaceDE/>
                    <w:autoSpaceDN/>
                    <w:adjustRightInd/>
                    <w:snapToGrid/>
                    <w:spacing w:before="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序号</w:t>
                  </w:r>
                </w:p>
              </w:tc>
              <w:tc>
                <w:tcPr>
                  <w:tcW w:w="2017" w:type="dxa"/>
                  <w:vAlign w:val="center"/>
                </w:tcPr>
                <w:p w14:paraId="33ABACC1">
                  <w:pPr>
                    <w:pStyle w:val="11"/>
                    <w:widowControl w:val="0"/>
                    <w:kinsoku/>
                    <w:autoSpaceDE/>
                    <w:autoSpaceDN/>
                    <w:adjustRightInd/>
                    <w:snapToGrid/>
                    <w:spacing w:before="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设备名称</w:t>
                  </w:r>
                </w:p>
              </w:tc>
              <w:tc>
                <w:tcPr>
                  <w:tcW w:w="1351" w:type="dxa"/>
                  <w:vAlign w:val="center"/>
                </w:tcPr>
                <w:p w14:paraId="588EE080">
                  <w:pPr>
                    <w:pStyle w:val="11"/>
                    <w:widowControl w:val="0"/>
                    <w:kinsoku/>
                    <w:autoSpaceDE/>
                    <w:autoSpaceDN/>
                    <w:adjustRightInd/>
                    <w:snapToGrid/>
                    <w:spacing w:before="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规格型号</w:t>
                  </w:r>
                </w:p>
              </w:tc>
              <w:tc>
                <w:tcPr>
                  <w:tcW w:w="856" w:type="dxa"/>
                  <w:vAlign w:val="center"/>
                </w:tcPr>
                <w:p w14:paraId="2B7856F8">
                  <w:pPr>
                    <w:pStyle w:val="11"/>
                    <w:widowControl w:val="0"/>
                    <w:kinsoku/>
                    <w:autoSpaceDE/>
                    <w:autoSpaceDN/>
                    <w:adjustRightInd/>
                    <w:snapToGrid/>
                    <w:spacing w:before="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单位</w:t>
                  </w:r>
                </w:p>
              </w:tc>
              <w:tc>
                <w:tcPr>
                  <w:tcW w:w="873" w:type="dxa"/>
                  <w:vAlign w:val="center"/>
                </w:tcPr>
                <w:p w14:paraId="7D5687E7">
                  <w:pPr>
                    <w:pStyle w:val="11"/>
                    <w:widowControl w:val="0"/>
                    <w:kinsoku/>
                    <w:autoSpaceDE/>
                    <w:autoSpaceDN/>
                    <w:adjustRightInd/>
                    <w:snapToGrid/>
                    <w:spacing w:before="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数量</w:t>
                  </w:r>
                </w:p>
              </w:tc>
              <w:tc>
                <w:tcPr>
                  <w:tcW w:w="2445" w:type="dxa"/>
                  <w:vAlign w:val="center"/>
                </w:tcPr>
                <w:p w14:paraId="195E8C7E">
                  <w:pPr>
                    <w:pStyle w:val="11"/>
                    <w:widowControl w:val="0"/>
                    <w:kinsoku/>
                    <w:autoSpaceDE/>
                    <w:autoSpaceDN/>
                    <w:adjustRightInd/>
                    <w:snapToGrid/>
                    <w:spacing w:before="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距离设备5m处噪声值</w:t>
                  </w:r>
                </w:p>
              </w:tc>
            </w:tr>
            <w:tr w14:paraId="5065CA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3" w:hRule="atLeast"/>
                <w:jc w:val="center"/>
              </w:trPr>
              <w:tc>
                <w:tcPr>
                  <w:tcW w:w="678" w:type="dxa"/>
                  <w:vAlign w:val="center"/>
                </w:tcPr>
                <w:p w14:paraId="7D2029DF">
                  <w:pPr>
                    <w:pStyle w:val="11"/>
                    <w:widowControl w:val="0"/>
                    <w:kinsoku/>
                    <w:autoSpaceDE/>
                    <w:autoSpaceDN/>
                    <w:adjustRightInd/>
                    <w:snapToGrid/>
                    <w:spacing w:before="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1</w:t>
                  </w:r>
                </w:p>
              </w:tc>
              <w:tc>
                <w:tcPr>
                  <w:tcW w:w="2017" w:type="dxa"/>
                  <w:vAlign w:val="center"/>
                </w:tcPr>
                <w:p w14:paraId="497713C3">
                  <w:pPr>
                    <w:pStyle w:val="46"/>
                    <w:spacing w:line="251" w:lineRule="exact"/>
                    <w:ind w:left="110" w:right="97"/>
                    <w:jc w:val="center"/>
                    <w:rPr>
                      <w:rFonts w:hint="default" w:ascii="Times New Roman" w:hAnsi="Times New Roman" w:eastAsia="宋体" w:cs="Times New Roman"/>
                      <w:snapToGrid/>
                      <w:color w:val="auto"/>
                      <w:kern w:val="2"/>
                      <w:sz w:val="21"/>
                      <w:lang w:eastAsia="zh-CN"/>
                    </w:rPr>
                  </w:pPr>
                  <w:r>
                    <w:rPr>
                      <w:rFonts w:hint="default" w:ascii="Times New Roman" w:hAnsi="Times New Roman" w:eastAsia="宋体" w:cs="Times New Roman"/>
                      <w:snapToGrid/>
                      <w:color w:val="auto"/>
                      <w:kern w:val="2"/>
                      <w:sz w:val="21"/>
                      <w:lang w:eastAsia="zh-CN"/>
                    </w:rPr>
                    <w:t>挖掘机</w:t>
                  </w:r>
                </w:p>
              </w:tc>
              <w:tc>
                <w:tcPr>
                  <w:tcW w:w="1351" w:type="dxa"/>
                  <w:vAlign w:val="center"/>
                </w:tcPr>
                <w:p w14:paraId="6BD6F103">
                  <w:pPr>
                    <w:pStyle w:val="11"/>
                    <w:widowControl w:val="0"/>
                    <w:kinsoku/>
                    <w:autoSpaceDE/>
                    <w:autoSpaceDN/>
                    <w:adjustRightInd/>
                    <w:snapToGrid/>
                    <w:spacing w:before="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1.6m</w:t>
                  </w:r>
                  <w:r>
                    <w:rPr>
                      <w:rFonts w:hint="default" w:ascii="Times New Roman" w:hAnsi="Times New Roman" w:eastAsia="宋体" w:cs="Times New Roman"/>
                      <w:snapToGrid/>
                      <w:color w:val="auto"/>
                      <w:kern w:val="2"/>
                      <w:sz w:val="21"/>
                      <w:szCs w:val="21"/>
                      <w:vertAlign w:val="superscript"/>
                    </w:rPr>
                    <w:t>3</w:t>
                  </w:r>
                </w:p>
              </w:tc>
              <w:tc>
                <w:tcPr>
                  <w:tcW w:w="856" w:type="dxa"/>
                  <w:vAlign w:val="center"/>
                </w:tcPr>
                <w:p w14:paraId="360C2248">
                  <w:pPr>
                    <w:pStyle w:val="11"/>
                    <w:widowControl w:val="0"/>
                    <w:kinsoku/>
                    <w:autoSpaceDE/>
                    <w:autoSpaceDN/>
                    <w:adjustRightInd/>
                    <w:snapToGrid/>
                    <w:spacing w:before="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台</w:t>
                  </w:r>
                </w:p>
              </w:tc>
              <w:tc>
                <w:tcPr>
                  <w:tcW w:w="873" w:type="dxa"/>
                  <w:vAlign w:val="center"/>
                </w:tcPr>
                <w:p w14:paraId="64646F0C">
                  <w:pPr>
                    <w:pStyle w:val="11"/>
                    <w:widowControl w:val="0"/>
                    <w:kinsoku/>
                    <w:autoSpaceDE/>
                    <w:autoSpaceDN/>
                    <w:adjustRightInd/>
                    <w:snapToGrid/>
                    <w:spacing w:before="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4</w:t>
                  </w:r>
                </w:p>
              </w:tc>
              <w:tc>
                <w:tcPr>
                  <w:tcW w:w="2445" w:type="dxa"/>
                  <w:vAlign w:val="center"/>
                </w:tcPr>
                <w:p w14:paraId="4CDBEFA2">
                  <w:pPr>
                    <w:pStyle w:val="46"/>
                    <w:spacing w:line="241" w:lineRule="exact"/>
                    <w:ind w:left="79" w:right="63"/>
                    <w:jc w:val="center"/>
                    <w:rPr>
                      <w:rFonts w:hint="default" w:ascii="Times New Roman" w:hAnsi="Times New Roman" w:eastAsia="宋体" w:cs="Times New Roman"/>
                      <w:snapToGrid/>
                      <w:color w:val="auto"/>
                      <w:kern w:val="2"/>
                      <w:sz w:val="21"/>
                      <w:lang w:eastAsia="zh-CN"/>
                    </w:rPr>
                  </w:pPr>
                  <w:r>
                    <w:rPr>
                      <w:rFonts w:hint="default" w:ascii="Times New Roman" w:hAnsi="Times New Roman" w:eastAsia="宋体" w:cs="Times New Roman"/>
                      <w:iCs/>
                      <w:color w:val="auto"/>
                      <w:sz w:val="21"/>
                      <w:lang w:eastAsia="zh-CN"/>
                    </w:rPr>
                    <w:t>90</w:t>
                  </w:r>
                </w:p>
              </w:tc>
            </w:tr>
            <w:tr w14:paraId="49687D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678" w:type="dxa"/>
                  <w:vAlign w:val="center"/>
                </w:tcPr>
                <w:p w14:paraId="6A5A21FF">
                  <w:pPr>
                    <w:pStyle w:val="11"/>
                    <w:widowControl w:val="0"/>
                    <w:kinsoku/>
                    <w:autoSpaceDE/>
                    <w:autoSpaceDN/>
                    <w:adjustRightInd/>
                    <w:snapToGrid/>
                    <w:spacing w:before="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2</w:t>
                  </w:r>
                </w:p>
              </w:tc>
              <w:tc>
                <w:tcPr>
                  <w:tcW w:w="2017" w:type="dxa"/>
                  <w:vAlign w:val="center"/>
                </w:tcPr>
                <w:p w14:paraId="191F242A">
                  <w:pPr>
                    <w:pStyle w:val="46"/>
                    <w:spacing w:line="251" w:lineRule="exact"/>
                    <w:ind w:left="110" w:right="97"/>
                    <w:jc w:val="center"/>
                    <w:rPr>
                      <w:rFonts w:hint="default" w:ascii="Times New Roman" w:hAnsi="Times New Roman" w:eastAsia="宋体" w:cs="Times New Roman"/>
                      <w:snapToGrid/>
                      <w:color w:val="auto"/>
                      <w:kern w:val="2"/>
                      <w:sz w:val="21"/>
                      <w:lang w:eastAsia="zh-CN"/>
                    </w:rPr>
                  </w:pPr>
                  <w:r>
                    <w:rPr>
                      <w:rFonts w:hint="default" w:ascii="Times New Roman" w:hAnsi="Times New Roman" w:eastAsia="宋体" w:cs="Times New Roman"/>
                      <w:snapToGrid/>
                      <w:color w:val="auto"/>
                      <w:kern w:val="2"/>
                      <w:sz w:val="21"/>
                      <w:lang w:eastAsia="zh-CN"/>
                    </w:rPr>
                    <w:t>装载机</w:t>
                  </w:r>
                </w:p>
              </w:tc>
              <w:tc>
                <w:tcPr>
                  <w:tcW w:w="1351" w:type="dxa"/>
                  <w:vAlign w:val="center"/>
                </w:tcPr>
                <w:p w14:paraId="1DAE7CA0">
                  <w:pPr>
                    <w:pStyle w:val="11"/>
                    <w:widowControl w:val="0"/>
                    <w:kinsoku/>
                    <w:autoSpaceDE/>
                    <w:autoSpaceDN/>
                    <w:adjustRightInd/>
                    <w:snapToGrid/>
                    <w:spacing w:before="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ZL40</w:t>
                  </w:r>
                </w:p>
              </w:tc>
              <w:tc>
                <w:tcPr>
                  <w:tcW w:w="856" w:type="dxa"/>
                  <w:vAlign w:val="center"/>
                </w:tcPr>
                <w:p w14:paraId="2FF80E26">
                  <w:pPr>
                    <w:pStyle w:val="11"/>
                    <w:widowControl w:val="0"/>
                    <w:kinsoku/>
                    <w:autoSpaceDE/>
                    <w:autoSpaceDN/>
                    <w:adjustRightInd/>
                    <w:snapToGrid/>
                    <w:spacing w:before="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台</w:t>
                  </w:r>
                </w:p>
              </w:tc>
              <w:tc>
                <w:tcPr>
                  <w:tcW w:w="873" w:type="dxa"/>
                  <w:vAlign w:val="center"/>
                </w:tcPr>
                <w:p w14:paraId="256B6794">
                  <w:pPr>
                    <w:pStyle w:val="11"/>
                    <w:widowControl w:val="0"/>
                    <w:kinsoku/>
                    <w:autoSpaceDE/>
                    <w:autoSpaceDN/>
                    <w:adjustRightInd/>
                    <w:snapToGrid/>
                    <w:spacing w:before="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2</w:t>
                  </w:r>
                </w:p>
              </w:tc>
              <w:tc>
                <w:tcPr>
                  <w:tcW w:w="2445" w:type="dxa"/>
                  <w:vAlign w:val="center"/>
                </w:tcPr>
                <w:p w14:paraId="77EADAB1">
                  <w:pPr>
                    <w:pStyle w:val="46"/>
                    <w:ind w:left="79" w:right="63"/>
                    <w:jc w:val="center"/>
                    <w:rPr>
                      <w:rFonts w:hint="default" w:ascii="Times New Roman" w:hAnsi="Times New Roman" w:eastAsia="宋体" w:cs="Times New Roman"/>
                      <w:snapToGrid/>
                      <w:color w:val="auto"/>
                      <w:kern w:val="2"/>
                      <w:sz w:val="21"/>
                      <w:lang w:eastAsia="zh-CN"/>
                    </w:rPr>
                  </w:pPr>
                  <w:r>
                    <w:rPr>
                      <w:rFonts w:hint="default" w:ascii="Times New Roman" w:hAnsi="Times New Roman" w:eastAsia="宋体" w:cs="Times New Roman"/>
                      <w:iCs/>
                      <w:color w:val="auto"/>
                      <w:sz w:val="21"/>
                      <w:lang w:eastAsia="zh-CN"/>
                    </w:rPr>
                    <w:t>80</w:t>
                  </w:r>
                </w:p>
              </w:tc>
            </w:tr>
            <w:tr w14:paraId="42BC51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678" w:type="dxa"/>
                  <w:vAlign w:val="center"/>
                </w:tcPr>
                <w:p w14:paraId="767B0032">
                  <w:pPr>
                    <w:pStyle w:val="11"/>
                    <w:widowControl w:val="0"/>
                    <w:kinsoku/>
                    <w:autoSpaceDE/>
                    <w:autoSpaceDN/>
                    <w:adjustRightInd/>
                    <w:snapToGrid/>
                    <w:spacing w:before="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3</w:t>
                  </w:r>
                </w:p>
              </w:tc>
              <w:tc>
                <w:tcPr>
                  <w:tcW w:w="2017" w:type="dxa"/>
                  <w:vAlign w:val="center"/>
                </w:tcPr>
                <w:p w14:paraId="34019199">
                  <w:pPr>
                    <w:pStyle w:val="46"/>
                    <w:spacing w:before="1" w:line="251" w:lineRule="exact"/>
                    <w:ind w:left="110" w:right="97"/>
                    <w:jc w:val="center"/>
                    <w:rPr>
                      <w:rFonts w:hint="default" w:ascii="Times New Roman" w:hAnsi="Times New Roman" w:eastAsia="宋体" w:cs="Times New Roman"/>
                      <w:snapToGrid/>
                      <w:color w:val="auto"/>
                      <w:kern w:val="2"/>
                      <w:sz w:val="21"/>
                      <w:lang w:eastAsia="zh-CN"/>
                    </w:rPr>
                  </w:pPr>
                  <w:r>
                    <w:rPr>
                      <w:rFonts w:hint="default" w:ascii="Times New Roman" w:hAnsi="Times New Roman" w:eastAsia="宋体" w:cs="Times New Roman"/>
                      <w:snapToGrid/>
                      <w:color w:val="auto"/>
                      <w:kern w:val="2"/>
                      <w:sz w:val="21"/>
                      <w:lang w:eastAsia="zh-CN"/>
                    </w:rPr>
                    <w:t>压路机</w:t>
                  </w:r>
                </w:p>
              </w:tc>
              <w:tc>
                <w:tcPr>
                  <w:tcW w:w="1351" w:type="dxa"/>
                  <w:vAlign w:val="center"/>
                </w:tcPr>
                <w:p w14:paraId="21EA65EB">
                  <w:pPr>
                    <w:pStyle w:val="11"/>
                    <w:widowControl w:val="0"/>
                    <w:kinsoku/>
                    <w:autoSpaceDE/>
                    <w:autoSpaceDN/>
                    <w:adjustRightInd/>
                    <w:snapToGrid/>
                    <w:spacing w:before="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w:t>
                  </w:r>
                </w:p>
              </w:tc>
              <w:tc>
                <w:tcPr>
                  <w:tcW w:w="856" w:type="dxa"/>
                  <w:vAlign w:val="center"/>
                </w:tcPr>
                <w:p w14:paraId="14364F4B">
                  <w:pPr>
                    <w:pStyle w:val="11"/>
                    <w:widowControl w:val="0"/>
                    <w:kinsoku/>
                    <w:autoSpaceDE/>
                    <w:autoSpaceDN/>
                    <w:adjustRightInd/>
                    <w:snapToGrid/>
                    <w:spacing w:before="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台</w:t>
                  </w:r>
                </w:p>
              </w:tc>
              <w:tc>
                <w:tcPr>
                  <w:tcW w:w="873" w:type="dxa"/>
                  <w:vAlign w:val="center"/>
                </w:tcPr>
                <w:p w14:paraId="2E98CE46">
                  <w:pPr>
                    <w:pStyle w:val="11"/>
                    <w:widowControl w:val="0"/>
                    <w:kinsoku/>
                    <w:autoSpaceDE/>
                    <w:autoSpaceDN/>
                    <w:adjustRightInd/>
                    <w:snapToGrid/>
                    <w:spacing w:before="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2</w:t>
                  </w:r>
                </w:p>
              </w:tc>
              <w:tc>
                <w:tcPr>
                  <w:tcW w:w="2445" w:type="dxa"/>
                  <w:vAlign w:val="center"/>
                </w:tcPr>
                <w:p w14:paraId="6E332C12">
                  <w:pPr>
                    <w:pStyle w:val="46"/>
                    <w:spacing w:before="1"/>
                    <w:ind w:left="79" w:right="63"/>
                    <w:jc w:val="center"/>
                    <w:rPr>
                      <w:rFonts w:hint="default" w:ascii="Times New Roman" w:hAnsi="Times New Roman" w:eastAsia="宋体" w:cs="Times New Roman"/>
                      <w:snapToGrid/>
                      <w:color w:val="auto"/>
                      <w:kern w:val="2"/>
                      <w:sz w:val="21"/>
                      <w:lang w:eastAsia="zh-CN"/>
                    </w:rPr>
                  </w:pPr>
                  <w:r>
                    <w:rPr>
                      <w:rFonts w:hint="default" w:ascii="Times New Roman" w:hAnsi="Times New Roman" w:eastAsia="宋体" w:cs="Times New Roman"/>
                      <w:iCs/>
                      <w:color w:val="auto"/>
                      <w:sz w:val="21"/>
                      <w:lang w:eastAsia="zh-CN"/>
                    </w:rPr>
                    <w:t>70</w:t>
                  </w:r>
                </w:p>
              </w:tc>
            </w:tr>
            <w:tr w14:paraId="3B3424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678" w:type="dxa"/>
                  <w:vAlign w:val="center"/>
                </w:tcPr>
                <w:p w14:paraId="727FB80B">
                  <w:pPr>
                    <w:pStyle w:val="11"/>
                    <w:widowControl w:val="0"/>
                    <w:kinsoku/>
                    <w:autoSpaceDE/>
                    <w:autoSpaceDN/>
                    <w:adjustRightInd/>
                    <w:snapToGrid/>
                    <w:spacing w:before="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4</w:t>
                  </w:r>
                </w:p>
              </w:tc>
              <w:tc>
                <w:tcPr>
                  <w:tcW w:w="2017" w:type="dxa"/>
                  <w:vAlign w:val="center"/>
                </w:tcPr>
                <w:p w14:paraId="6345F59D">
                  <w:pPr>
                    <w:pStyle w:val="46"/>
                    <w:spacing w:line="252" w:lineRule="exact"/>
                    <w:ind w:left="107" w:right="97"/>
                    <w:jc w:val="center"/>
                    <w:rPr>
                      <w:rFonts w:hint="default" w:ascii="Times New Roman" w:hAnsi="Times New Roman" w:eastAsia="宋体" w:cs="Times New Roman"/>
                      <w:snapToGrid/>
                      <w:color w:val="auto"/>
                      <w:kern w:val="2"/>
                      <w:sz w:val="21"/>
                      <w:lang w:eastAsia="zh-CN"/>
                    </w:rPr>
                  </w:pPr>
                  <w:r>
                    <w:rPr>
                      <w:rFonts w:hint="default" w:ascii="Times New Roman" w:hAnsi="Times New Roman" w:eastAsia="宋体" w:cs="Times New Roman"/>
                      <w:snapToGrid/>
                      <w:color w:val="auto"/>
                      <w:kern w:val="2"/>
                      <w:sz w:val="21"/>
                      <w:lang w:eastAsia="zh-CN"/>
                    </w:rPr>
                    <w:t>推土机</w:t>
                  </w:r>
                </w:p>
              </w:tc>
              <w:tc>
                <w:tcPr>
                  <w:tcW w:w="1351" w:type="dxa"/>
                  <w:vAlign w:val="center"/>
                </w:tcPr>
                <w:p w14:paraId="1600BE08">
                  <w:pPr>
                    <w:pStyle w:val="11"/>
                    <w:widowControl w:val="0"/>
                    <w:kinsoku/>
                    <w:autoSpaceDE/>
                    <w:autoSpaceDN/>
                    <w:adjustRightInd/>
                    <w:snapToGrid/>
                    <w:spacing w:before="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59~132kw</w:t>
                  </w:r>
                </w:p>
              </w:tc>
              <w:tc>
                <w:tcPr>
                  <w:tcW w:w="856" w:type="dxa"/>
                  <w:vAlign w:val="center"/>
                </w:tcPr>
                <w:p w14:paraId="23C18160">
                  <w:pPr>
                    <w:pStyle w:val="11"/>
                    <w:widowControl w:val="0"/>
                    <w:kinsoku/>
                    <w:autoSpaceDE/>
                    <w:autoSpaceDN/>
                    <w:adjustRightInd/>
                    <w:snapToGrid/>
                    <w:spacing w:before="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台</w:t>
                  </w:r>
                </w:p>
              </w:tc>
              <w:tc>
                <w:tcPr>
                  <w:tcW w:w="873" w:type="dxa"/>
                  <w:vAlign w:val="center"/>
                </w:tcPr>
                <w:p w14:paraId="1BFBFB6E">
                  <w:pPr>
                    <w:pStyle w:val="11"/>
                    <w:widowControl w:val="0"/>
                    <w:kinsoku/>
                    <w:autoSpaceDE/>
                    <w:autoSpaceDN/>
                    <w:adjustRightInd/>
                    <w:snapToGrid/>
                    <w:spacing w:before="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1</w:t>
                  </w:r>
                </w:p>
              </w:tc>
              <w:tc>
                <w:tcPr>
                  <w:tcW w:w="2445" w:type="dxa"/>
                  <w:vAlign w:val="center"/>
                </w:tcPr>
                <w:p w14:paraId="3002DC71">
                  <w:pPr>
                    <w:pStyle w:val="46"/>
                    <w:spacing w:line="240" w:lineRule="exact"/>
                    <w:ind w:left="79" w:right="63"/>
                    <w:jc w:val="center"/>
                    <w:rPr>
                      <w:rFonts w:hint="default" w:ascii="Times New Roman" w:hAnsi="Times New Roman" w:eastAsia="宋体" w:cs="Times New Roman"/>
                      <w:snapToGrid/>
                      <w:color w:val="auto"/>
                      <w:kern w:val="2"/>
                      <w:sz w:val="21"/>
                      <w:lang w:eastAsia="zh-CN"/>
                    </w:rPr>
                  </w:pPr>
                  <w:r>
                    <w:rPr>
                      <w:rFonts w:hint="default" w:ascii="Times New Roman" w:hAnsi="Times New Roman" w:eastAsia="宋体" w:cs="Times New Roman"/>
                      <w:iCs/>
                      <w:color w:val="auto"/>
                      <w:sz w:val="21"/>
                      <w:lang w:eastAsia="zh-CN"/>
                    </w:rPr>
                    <w:t>85</w:t>
                  </w:r>
                </w:p>
              </w:tc>
            </w:tr>
            <w:tr w14:paraId="51C333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678" w:type="dxa"/>
                  <w:vAlign w:val="center"/>
                </w:tcPr>
                <w:p w14:paraId="089043D4">
                  <w:pPr>
                    <w:pStyle w:val="11"/>
                    <w:widowControl w:val="0"/>
                    <w:kinsoku/>
                    <w:autoSpaceDE/>
                    <w:autoSpaceDN/>
                    <w:adjustRightInd/>
                    <w:snapToGrid/>
                    <w:spacing w:before="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5</w:t>
                  </w:r>
                </w:p>
              </w:tc>
              <w:tc>
                <w:tcPr>
                  <w:tcW w:w="2017" w:type="dxa"/>
                  <w:vAlign w:val="center"/>
                </w:tcPr>
                <w:p w14:paraId="2047F3A5">
                  <w:pPr>
                    <w:pStyle w:val="46"/>
                    <w:spacing w:line="252" w:lineRule="exact"/>
                    <w:ind w:left="110" w:right="97"/>
                    <w:jc w:val="center"/>
                    <w:rPr>
                      <w:rFonts w:hint="default" w:ascii="Times New Roman" w:hAnsi="Times New Roman" w:eastAsia="宋体" w:cs="Times New Roman"/>
                      <w:snapToGrid/>
                      <w:color w:val="auto"/>
                      <w:kern w:val="2"/>
                      <w:sz w:val="21"/>
                      <w:lang w:eastAsia="zh-CN"/>
                    </w:rPr>
                  </w:pPr>
                  <w:r>
                    <w:rPr>
                      <w:rFonts w:hint="default" w:ascii="Times New Roman" w:hAnsi="Times New Roman" w:eastAsia="宋体" w:cs="Times New Roman"/>
                      <w:snapToGrid/>
                      <w:color w:val="auto"/>
                      <w:kern w:val="2"/>
                      <w:sz w:val="21"/>
                      <w:lang w:eastAsia="zh-CN"/>
                    </w:rPr>
                    <w:t>打桩机</w:t>
                  </w:r>
                </w:p>
              </w:tc>
              <w:tc>
                <w:tcPr>
                  <w:tcW w:w="1351" w:type="dxa"/>
                  <w:vAlign w:val="center"/>
                </w:tcPr>
                <w:p w14:paraId="683BB576">
                  <w:pPr>
                    <w:pStyle w:val="11"/>
                    <w:widowControl w:val="0"/>
                    <w:kinsoku/>
                    <w:autoSpaceDE/>
                    <w:autoSpaceDN/>
                    <w:adjustRightInd/>
                    <w:snapToGrid/>
                    <w:spacing w:before="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w:t>
                  </w:r>
                </w:p>
              </w:tc>
              <w:tc>
                <w:tcPr>
                  <w:tcW w:w="856" w:type="dxa"/>
                  <w:vAlign w:val="center"/>
                </w:tcPr>
                <w:p w14:paraId="4B5F1B80">
                  <w:pPr>
                    <w:pStyle w:val="11"/>
                    <w:widowControl w:val="0"/>
                    <w:kinsoku/>
                    <w:autoSpaceDE/>
                    <w:autoSpaceDN/>
                    <w:adjustRightInd/>
                    <w:snapToGrid/>
                    <w:spacing w:before="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台</w:t>
                  </w:r>
                </w:p>
              </w:tc>
              <w:tc>
                <w:tcPr>
                  <w:tcW w:w="873" w:type="dxa"/>
                  <w:vAlign w:val="center"/>
                </w:tcPr>
                <w:p w14:paraId="45DF34AA">
                  <w:pPr>
                    <w:pStyle w:val="11"/>
                    <w:widowControl w:val="0"/>
                    <w:kinsoku/>
                    <w:autoSpaceDE/>
                    <w:autoSpaceDN/>
                    <w:adjustRightInd/>
                    <w:snapToGrid/>
                    <w:spacing w:before="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10</w:t>
                  </w:r>
                </w:p>
              </w:tc>
              <w:tc>
                <w:tcPr>
                  <w:tcW w:w="2445" w:type="dxa"/>
                  <w:vAlign w:val="center"/>
                </w:tcPr>
                <w:p w14:paraId="207B81C9">
                  <w:pPr>
                    <w:pStyle w:val="46"/>
                    <w:ind w:left="79" w:right="63"/>
                    <w:jc w:val="center"/>
                    <w:rPr>
                      <w:rFonts w:hint="default" w:ascii="Times New Roman" w:hAnsi="Times New Roman" w:eastAsia="宋体" w:cs="Times New Roman"/>
                      <w:snapToGrid/>
                      <w:color w:val="auto"/>
                      <w:kern w:val="2"/>
                      <w:sz w:val="21"/>
                      <w:lang w:eastAsia="zh-CN"/>
                    </w:rPr>
                  </w:pPr>
                  <w:r>
                    <w:rPr>
                      <w:rFonts w:hint="default" w:ascii="Times New Roman" w:hAnsi="Times New Roman" w:eastAsia="宋体" w:cs="Times New Roman"/>
                      <w:iCs/>
                      <w:color w:val="auto"/>
                      <w:sz w:val="21"/>
                      <w:lang w:eastAsia="zh-CN"/>
                    </w:rPr>
                    <w:t>90</w:t>
                  </w:r>
                </w:p>
              </w:tc>
            </w:tr>
            <w:tr w14:paraId="6AF4B6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678" w:type="dxa"/>
                  <w:vAlign w:val="center"/>
                </w:tcPr>
                <w:p w14:paraId="72D4CAF4">
                  <w:pPr>
                    <w:pStyle w:val="11"/>
                    <w:widowControl w:val="0"/>
                    <w:kinsoku/>
                    <w:autoSpaceDE/>
                    <w:autoSpaceDN/>
                    <w:adjustRightInd/>
                    <w:snapToGrid/>
                    <w:spacing w:before="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6</w:t>
                  </w:r>
                </w:p>
              </w:tc>
              <w:tc>
                <w:tcPr>
                  <w:tcW w:w="2017" w:type="dxa"/>
                  <w:vAlign w:val="center"/>
                </w:tcPr>
                <w:p w14:paraId="2B98DC95">
                  <w:pPr>
                    <w:pStyle w:val="46"/>
                    <w:spacing w:before="1" w:line="252" w:lineRule="exact"/>
                    <w:ind w:left="107" w:right="97"/>
                    <w:jc w:val="center"/>
                    <w:rPr>
                      <w:rFonts w:hint="default" w:ascii="Times New Roman" w:hAnsi="Times New Roman" w:eastAsia="宋体" w:cs="Times New Roman"/>
                      <w:snapToGrid/>
                      <w:color w:val="auto"/>
                      <w:kern w:val="2"/>
                      <w:sz w:val="21"/>
                      <w:lang w:eastAsia="zh-CN"/>
                    </w:rPr>
                  </w:pPr>
                  <w:r>
                    <w:rPr>
                      <w:rFonts w:hint="default" w:ascii="Times New Roman" w:hAnsi="Times New Roman" w:eastAsia="宋体" w:cs="Times New Roman"/>
                      <w:snapToGrid/>
                      <w:color w:val="auto"/>
                      <w:kern w:val="2"/>
                      <w:sz w:val="21"/>
                      <w:lang w:eastAsia="zh-CN"/>
                    </w:rPr>
                    <w:t>自卸汽车</w:t>
                  </w:r>
                </w:p>
              </w:tc>
              <w:tc>
                <w:tcPr>
                  <w:tcW w:w="1351" w:type="dxa"/>
                  <w:vAlign w:val="center"/>
                </w:tcPr>
                <w:p w14:paraId="73143881">
                  <w:pPr>
                    <w:pStyle w:val="11"/>
                    <w:widowControl w:val="0"/>
                    <w:kinsoku/>
                    <w:autoSpaceDE/>
                    <w:autoSpaceDN/>
                    <w:adjustRightInd/>
                    <w:snapToGrid/>
                    <w:spacing w:before="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15t</w:t>
                  </w:r>
                </w:p>
              </w:tc>
              <w:tc>
                <w:tcPr>
                  <w:tcW w:w="856" w:type="dxa"/>
                  <w:vAlign w:val="center"/>
                </w:tcPr>
                <w:p w14:paraId="0DAFC3F1">
                  <w:pPr>
                    <w:pStyle w:val="11"/>
                    <w:widowControl w:val="0"/>
                    <w:kinsoku/>
                    <w:autoSpaceDE/>
                    <w:autoSpaceDN/>
                    <w:adjustRightInd/>
                    <w:snapToGrid/>
                    <w:spacing w:before="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辆</w:t>
                  </w:r>
                </w:p>
              </w:tc>
              <w:tc>
                <w:tcPr>
                  <w:tcW w:w="873" w:type="dxa"/>
                  <w:vAlign w:val="center"/>
                </w:tcPr>
                <w:p w14:paraId="3BE85AB2">
                  <w:pPr>
                    <w:pStyle w:val="11"/>
                    <w:widowControl w:val="0"/>
                    <w:kinsoku/>
                    <w:autoSpaceDE/>
                    <w:autoSpaceDN/>
                    <w:adjustRightInd/>
                    <w:snapToGrid/>
                    <w:spacing w:before="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10</w:t>
                  </w:r>
                </w:p>
              </w:tc>
              <w:tc>
                <w:tcPr>
                  <w:tcW w:w="2445" w:type="dxa"/>
                  <w:vAlign w:val="center"/>
                </w:tcPr>
                <w:p w14:paraId="3FDFBE9F">
                  <w:pPr>
                    <w:pStyle w:val="46"/>
                    <w:spacing w:before="1"/>
                    <w:ind w:left="79" w:right="63"/>
                    <w:jc w:val="center"/>
                    <w:rPr>
                      <w:rFonts w:hint="default" w:ascii="Times New Roman" w:hAnsi="Times New Roman" w:eastAsia="宋体" w:cs="Times New Roman"/>
                      <w:snapToGrid/>
                      <w:color w:val="auto"/>
                      <w:kern w:val="2"/>
                      <w:sz w:val="21"/>
                      <w:lang w:eastAsia="zh-CN"/>
                    </w:rPr>
                  </w:pPr>
                  <w:r>
                    <w:rPr>
                      <w:rFonts w:hint="default" w:ascii="Times New Roman" w:hAnsi="Times New Roman" w:eastAsia="宋体" w:cs="Times New Roman"/>
                      <w:iCs/>
                      <w:color w:val="auto"/>
                      <w:sz w:val="21"/>
                      <w:lang w:eastAsia="zh-CN"/>
                    </w:rPr>
                    <w:t>70</w:t>
                  </w:r>
                </w:p>
              </w:tc>
            </w:tr>
            <w:tr w14:paraId="2ECDF7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678" w:type="dxa"/>
                  <w:vAlign w:val="center"/>
                </w:tcPr>
                <w:p w14:paraId="46AD0746">
                  <w:pPr>
                    <w:pStyle w:val="11"/>
                    <w:widowControl w:val="0"/>
                    <w:kinsoku/>
                    <w:autoSpaceDE/>
                    <w:autoSpaceDN/>
                    <w:adjustRightInd/>
                    <w:snapToGrid/>
                    <w:spacing w:before="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7</w:t>
                  </w:r>
                </w:p>
              </w:tc>
              <w:tc>
                <w:tcPr>
                  <w:tcW w:w="2017" w:type="dxa"/>
                  <w:vAlign w:val="center"/>
                </w:tcPr>
                <w:p w14:paraId="50875C7E">
                  <w:pPr>
                    <w:pStyle w:val="46"/>
                    <w:spacing w:before="1" w:line="252" w:lineRule="exact"/>
                    <w:ind w:left="107" w:right="97"/>
                    <w:jc w:val="center"/>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电锯</w:t>
                  </w:r>
                </w:p>
              </w:tc>
              <w:tc>
                <w:tcPr>
                  <w:tcW w:w="1351" w:type="dxa"/>
                  <w:vAlign w:val="center"/>
                </w:tcPr>
                <w:p w14:paraId="07BDE7D1">
                  <w:pPr>
                    <w:pStyle w:val="11"/>
                    <w:widowControl w:val="0"/>
                    <w:kinsoku/>
                    <w:autoSpaceDE/>
                    <w:autoSpaceDN/>
                    <w:adjustRightInd/>
                    <w:snapToGrid/>
                    <w:spacing w:before="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w:t>
                  </w:r>
                </w:p>
              </w:tc>
              <w:tc>
                <w:tcPr>
                  <w:tcW w:w="856" w:type="dxa"/>
                  <w:vAlign w:val="center"/>
                </w:tcPr>
                <w:p w14:paraId="65A01AF9">
                  <w:pPr>
                    <w:pStyle w:val="11"/>
                    <w:widowControl w:val="0"/>
                    <w:kinsoku/>
                    <w:autoSpaceDE/>
                    <w:autoSpaceDN/>
                    <w:adjustRightInd/>
                    <w:snapToGrid/>
                    <w:spacing w:before="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个</w:t>
                  </w:r>
                </w:p>
              </w:tc>
              <w:tc>
                <w:tcPr>
                  <w:tcW w:w="873" w:type="dxa"/>
                  <w:vAlign w:val="center"/>
                </w:tcPr>
                <w:p w14:paraId="1B23C48B">
                  <w:pPr>
                    <w:pStyle w:val="11"/>
                    <w:widowControl w:val="0"/>
                    <w:kinsoku/>
                    <w:autoSpaceDE/>
                    <w:autoSpaceDN/>
                    <w:adjustRightInd/>
                    <w:snapToGrid/>
                    <w:spacing w:before="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8</w:t>
                  </w:r>
                </w:p>
              </w:tc>
              <w:tc>
                <w:tcPr>
                  <w:tcW w:w="2445" w:type="dxa"/>
                  <w:vAlign w:val="center"/>
                </w:tcPr>
                <w:p w14:paraId="13261CAE">
                  <w:pPr>
                    <w:pStyle w:val="46"/>
                    <w:spacing w:before="1"/>
                    <w:ind w:left="79" w:right="63"/>
                    <w:jc w:val="center"/>
                    <w:rPr>
                      <w:rFonts w:hint="default" w:ascii="Times New Roman" w:hAnsi="Times New Roman" w:eastAsia="宋体" w:cs="Times New Roman"/>
                      <w:iCs/>
                      <w:color w:val="auto"/>
                      <w:sz w:val="21"/>
                      <w:lang w:eastAsia="zh-CN"/>
                    </w:rPr>
                  </w:pPr>
                  <w:r>
                    <w:rPr>
                      <w:rFonts w:hint="default" w:ascii="Times New Roman" w:hAnsi="Times New Roman" w:eastAsia="宋体" w:cs="Times New Roman"/>
                      <w:iCs/>
                      <w:color w:val="auto"/>
                      <w:sz w:val="21"/>
                      <w:lang w:eastAsia="zh-CN"/>
                    </w:rPr>
                    <w:t>85</w:t>
                  </w:r>
                </w:p>
              </w:tc>
            </w:tr>
            <w:tr w14:paraId="2E191C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678" w:type="dxa"/>
                  <w:vAlign w:val="center"/>
                </w:tcPr>
                <w:p w14:paraId="73064FF5">
                  <w:pPr>
                    <w:pStyle w:val="11"/>
                    <w:widowControl w:val="0"/>
                    <w:kinsoku/>
                    <w:autoSpaceDE/>
                    <w:autoSpaceDN/>
                    <w:adjustRightInd/>
                    <w:snapToGrid/>
                    <w:spacing w:before="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8</w:t>
                  </w:r>
                </w:p>
              </w:tc>
              <w:tc>
                <w:tcPr>
                  <w:tcW w:w="2017" w:type="dxa"/>
                  <w:vAlign w:val="center"/>
                </w:tcPr>
                <w:p w14:paraId="190D6210">
                  <w:pPr>
                    <w:pStyle w:val="46"/>
                    <w:spacing w:before="1" w:line="252" w:lineRule="exact"/>
                    <w:ind w:left="107" w:right="97"/>
                    <w:jc w:val="center"/>
                    <w:rPr>
                      <w:rFonts w:hint="default" w:ascii="Times New Roman" w:hAnsi="Times New Roman" w:eastAsia="宋体" w:cs="Times New Roman"/>
                      <w:color w:val="auto"/>
                      <w:sz w:val="21"/>
                      <w:lang w:eastAsia="zh-CN"/>
                    </w:rPr>
                  </w:pPr>
                  <w:r>
                    <w:rPr>
                      <w:rFonts w:hint="default" w:ascii="Times New Roman" w:hAnsi="Times New Roman" w:eastAsia="宋体" w:cs="Times New Roman"/>
                      <w:color w:val="auto"/>
                      <w:sz w:val="21"/>
                      <w:lang w:eastAsia="zh-CN"/>
                    </w:rPr>
                    <w:t>电锤</w:t>
                  </w:r>
                </w:p>
              </w:tc>
              <w:tc>
                <w:tcPr>
                  <w:tcW w:w="1351" w:type="dxa"/>
                  <w:vAlign w:val="center"/>
                </w:tcPr>
                <w:p w14:paraId="7C9EAC1C">
                  <w:pPr>
                    <w:pStyle w:val="11"/>
                    <w:widowControl w:val="0"/>
                    <w:kinsoku/>
                    <w:autoSpaceDE/>
                    <w:autoSpaceDN/>
                    <w:adjustRightInd/>
                    <w:snapToGrid/>
                    <w:spacing w:before="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w:t>
                  </w:r>
                </w:p>
              </w:tc>
              <w:tc>
                <w:tcPr>
                  <w:tcW w:w="856" w:type="dxa"/>
                  <w:vAlign w:val="center"/>
                </w:tcPr>
                <w:p w14:paraId="1D4784F3">
                  <w:pPr>
                    <w:pStyle w:val="11"/>
                    <w:widowControl w:val="0"/>
                    <w:kinsoku/>
                    <w:autoSpaceDE/>
                    <w:autoSpaceDN/>
                    <w:adjustRightInd/>
                    <w:snapToGrid/>
                    <w:spacing w:before="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个</w:t>
                  </w:r>
                </w:p>
              </w:tc>
              <w:tc>
                <w:tcPr>
                  <w:tcW w:w="873" w:type="dxa"/>
                  <w:vAlign w:val="center"/>
                </w:tcPr>
                <w:p w14:paraId="58F53300">
                  <w:pPr>
                    <w:pStyle w:val="11"/>
                    <w:widowControl w:val="0"/>
                    <w:kinsoku/>
                    <w:autoSpaceDE/>
                    <w:autoSpaceDN/>
                    <w:adjustRightInd/>
                    <w:snapToGrid/>
                    <w:spacing w:before="0"/>
                    <w:jc w:val="center"/>
                    <w:textAlignment w:val="auto"/>
                    <w:rPr>
                      <w:rFonts w:hint="default" w:ascii="Times New Roman" w:hAnsi="Times New Roman" w:eastAsia="宋体" w:cs="Times New Roman"/>
                      <w:snapToGrid/>
                      <w:color w:val="auto"/>
                      <w:kern w:val="2"/>
                      <w:sz w:val="21"/>
                      <w:szCs w:val="21"/>
                    </w:rPr>
                  </w:pPr>
                  <w:r>
                    <w:rPr>
                      <w:rFonts w:hint="default" w:ascii="Times New Roman" w:hAnsi="Times New Roman" w:eastAsia="宋体" w:cs="Times New Roman"/>
                      <w:snapToGrid/>
                      <w:color w:val="auto"/>
                      <w:kern w:val="2"/>
                      <w:sz w:val="21"/>
                      <w:szCs w:val="21"/>
                    </w:rPr>
                    <w:t>10</w:t>
                  </w:r>
                </w:p>
              </w:tc>
              <w:tc>
                <w:tcPr>
                  <w:tcW w:w="2445" w:type="dxa"/>
                  <w:vAlign w:val="center"/>
                </w:tcPr>
                <w:p w14:paraId="7F65793A">
                  <w:pPr>
                    <w:pStyle w:val="46"/>
                    <w:spacing w:before="1"/>
                    <w:ind w:left="79" w:right="63"/>
                    <w:jc w:val="center"/>
                    <w:rPr>
                      <w:rFonts w:hint="default" w:ascii="Times New Roman" w:hAnsi="Times New Roman" w:eastAsia="宋体" w:cs="Times New Roman"/>
                      <w:iCs/>
                      <w:color w:val="auto"/>
                      <w:sz w:val="21"/>
                      <w:lang w:eastAsia="zh-CN"/>
                    </w:rPr>
                  </w:pPr>
                  <w:r>
                    <w:rPr>
                      <w:rFonts w:hint="default" w:ascii="Times New Roman" w:hAnsi="Times New Roman" w:eastAsia="宋体" w:cs="Times New Roman"/>
                      <w:iCs/>
                      <w:color w:val="auto"/>
                      <w:sz w:val="21"/>
                      <w:lang w:eastAsia="zh-CN"/>
                    </w:rPr>
                    <w:t>90</w:t>
                  </w:r>
                </w:p>
              </w:tc>
            </w:tr>
          </w:tbl>
          <w:p w14:paraId="094907F6">
            <w:pPr>
              <w:pStyle w:val="11"/>
              <w:widowControl w:val="0"/>
              <w:kinsoku/>
              <w:autoSpaceDE/>
              <w:autoSpaceDN/>
              <w:adjustRightInd/>
              <w:snapToGrid/>
              <w:spacing w:before="0" w:line="360" w:lineRule="auto"/>
              <w:ind w:firstLine="480" w:firstLineChars="200"/>
              <w:jc w:val="both"/>
              <w:textAlignment w:val="auto"/>
              <w:rPr>
                <w:rFonts w:hint="default" w:ascii="Times New Roman" w:hAnsi="Times New Roman" w:eastAsia="宋体" w:cs="Times New Roman"/>
                <w:snapToGrid/>
                <w:color w:val="auto"/>
                <w:kern w:val="2"/>
              </w:rPr>
            </w:pPr>
            <w:r>
              <w:rPr>
                <w:rFonts w:hint="default" w:ascii="Times New Roman" w:hAnsi="Times New Roman" w:eastAsia="宋体" w:cs="Times New Roman"/>
                <w:snapToGrid/>
                <w:color w:val="auto"/>
                <w:kern w:val="2"/>
              </w:rPr>
              <w:t>（1）预测模式</w:t>
            </w:r>
          </w:p>
          <w:p w14:paraId="5AF972A6">
            <w:pPr>
              <w:pStyle w:val="11"/>
              <w:widowControl w:val="0"/>
              <w:kinsoku/>
              <w:autoSpaceDE/>
              <w:autoSpaceDN/>
              <w:adjustRightInd/>
              <w:snapToGrid/>
              <w:spacing w:before="0" w:line="360" w:lineRule="auto"/>
              <w:ind w:firstLine="480" w:firstLineChars="200"/>
              <w:jc w:val="both"/>
              <w:textAlignment w:val="auto"/>
              <w:rPr>
                <w:rFonts w:hint="default" w:ascii="Times New Roman" w:hAnsi="Times New Roman" w:eastAsia="宋体" w:cs="Times New Roman"/>
                <w:snapToGrid/>
                <w:color w:val="auto"/>
                <w:kern w:val="2"/>
              </w:rPr>
            </w:pPr>
            <w:r>
              <w:rPr>
                <w:rFonts w:hint="default" w:ascii="Times New Roman" w:hAnsi="Times New Roman" w:eastAsia="宋体" w:cs="Times New Roman"/>
                <w:snapToGrid/>
                <w:color w:val="auto"/>
                <w:kern w:val="2"/>
              </w:rPr>
              <w:t>项目工程施工区为开阔地，故声源处于半自由空间，施工机械噪声采用如下模式进行预测计算：</w:t>
            </w:r>
          </w:p>
          <w:p w14:paraId="7EFD57CB">
            <w:pPr>
              <w:pStyle w:val="14"/>
              <w:spacing w:line="360" w:lineRule="auto"/>
              <w:ind w:firstLine="482" w:firstLineChars="200"/>
              <w:jc w:val="center"/>
              <w:rPr>
                <w:rFonts w:hint="default" w:ascii="Times New Roman" w:hAnsi="Times New Roman" w:eastAsia="宋体" w:cs="Times New Roman"/>
                <w:b/>
                <w:iCs/>
                <w:color w:val="auto"/>
                <w:sz w:val="24"/>
                <w:szCs w:val="24"/>
              </w:rPr>
            </w:pPr>
            <w:r>
              <w:rPr>
                <w:rFonts w:hint="default" w:ascii="Times New Roman" w:hAnsi="Times New Roman" w:eastAsia="宋体" w:cs="Times New Roman"/>
                <w:b/>
                <w:iCs/>
                <w:color w:val="auto"/>
                <w:sz w:val="24"/>
                <w:szCs w:val="24"/>
              </w:rPr>
              <w:t>LA(r)= LAW-20lg(r)-8</w:t>
            </w:r>
          </w:p>
          <w:p w14:paraId="0204A2C1">
            <w:pPr>
              <w:pStyle w:val="14"/>
              <w:spacing w:line="360" w:lineRule="auto"/>
              <w:ind w:firstLine="480" w:firstLineChars="200"/>
              <w:rPr>
                <w:rFonts w:hint="default" w:ascii="Times New Roman" w:hAnsi="Times New Roman" w:eastAsia="宋体" w:cs="Times New Roman"/>
                <w:iCs/>
                <w:color w:val="auto"/>
                <w:sz w:val="24"/>
                <w:szCs w:val="21"/>
              </w:rPr>
            </w:pPr>
            <w:r>
              <w:rPr>
                <w:rFonts w:hint="default" w:ascii="Times New Roman" w:hAnsi="Times New Roman" w:eastAsia="宋体" w:cs="Times New Roman"/>
                <w:iCs/>
                <w:color w:val="auto"/>
                <w:sz w:val="24"/>
                <w:szCs w:val="21"/>
              </w:rPr>
              <w:t>式中：LA(r)—为距离声源r处的A声级，dB(A)；</w:t>
            </w:r>
          </w:p>
          <w:p w14:paraId="46410CD0">
            <w:pPr>
              <w:pStyle w:val="14"/>
              <w:spacing w:line="360" w:lineRule="auto"/>
              <w:ind w:firstLine="480" w:firstLineChars="200"/>
              <w:rPr>
                <w:rFonts w:hint="default" w:ascii="Times New Roman" w:hAnsi="Times New Roman" w:eastAsia="宋体" w:cs="Times New Roman"/>
                <w:iCs/>
                <w:color w:val="auto"/>
                <w:sz w:val="24"/>
                <w:szCs w:val="21"/>
              </w:rPr>
            </w:pPr>
            <w:r>
              <w:rPr>
                <w:rFonts w:hint="default" w:ascii="Times New Roman" w:hAnsi="Times New Roman" w:eastAsia="宋体" w:cs="Times New Roman"/>
                <w:iCs/>
                <w:color w:val="auto"/>
                <w:sz w:val="24"/>
                <w:szCs w:val="21"/>
              </w:rPr>
              <w:t>LAW—为声源的A声级，dB(A)；</w:t>
            </w:r>
          </w:p>
          <w:p w14:paraId="67FBBF30">
            <w:pPr>
              <w:pStyle w:val="14"/>
              <w:spacing w:line="360" w:lineRule="auto"/>
              <w:ind w:firstLine="480" w:firstLineChars="200"/>
              <w:rPr>
                <w:rFonts w:hint="default" w:ascii="Times New Roman" w:hAnsi="Times New Roman" w:eastAsia="宋体" w:cs="Times New Roman"/>
                <w:iCs/>
                <w:color w:val="auto"/>
                <w:sz w:val="24"/>
                <w:szCs w:val="21"/>
              </w:rPr>
            </w:pPr>
            <w:r>
              <w:rPr>
                <w:rFonts w:hint="default" w:ascii="Times New Roman" w:hAnsi="Times New Roman" w:eastAsia="宋体" w:cs="Times New Roman"/>
                <w:iCs/>
                <w:color w:val="auto"/>
                <w:sz w:val="24"/>
                <w:szCs w:val="21"/>
              </w:rPr>
              <w:t>r—关注点与声源距离，m；</w:t>
            </w:r>
          </w:p>
          <w:p w14:paraId="1710D91C">
            <w:pPr>
              <w:spacing w:before="224"/>
              <w:ind w:left="101" w:right="95" w:firstLine="481"/>
              <w:jc w:val="center"/>
              <w:rPr>
                <w:rFonts w:hint="default" w:ascii="Times New Roman" w:hAnsi="Times New Roman" w:eastAsia="宋体" w:cs="Times New Roman"/>
                <w:iCs/>
                <w:color w:val="auto"/>
                <w:sz w:val="24"/>
              </w:rPr>
            </w:pPr>
            <w:r>
              <w:rPr>
                <w:rFonts w:hint="default" w:ascii="Times New Roman" w:hAnsi="Times New Roman" w:eastAsia="宋体" w:cs="Times New Roman"/>
                <w:iCs/>
                <w:color w:val="auto"/>
                <w:sz w:val="24"/>
                <w:szCs w:val="24"/>
              </w:rPr>
              <w:drawing>
                <wp:inline distT="0" distB="0" distL="0" distR="0">
                  <wp:extent cx="1483995" cy="471170"/>
                  <wp:effectExtent l="0" t="0" r="1905" b="5080"/>
                  <wp:docPr id="13"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9.png"/>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483995" cy="471170"/>
                          </a:xfrm>
                          <a:prstGeom prst="rect">
                            <a:avLst/>
                          </a:prstGeom>
                        </pic:spPr>
                      </pic:pic>
                    </a:graphicData>
                  </a:graphic>
                </wp:inline>
              </w:drawing>
            </w:r>
          </w:p>
          <w:p w14:paraId="5F284355">
            <w:pPr>
              <w:pStyle w:val="14"/>
              <w:spacing w:line="360" w:lineRule="auto"/>
              <w:ind w:firstLine="480" w:firstLineChars="200"/>
              <w:rPr>
                <w:rFonts w:hint="default" w:ascii="Times New Roman" w:hAnsi="Times New Roman" w:eastAsia="宋体" w:cs="Times New Roman"/>
                <w:iCs/>
                <w:color w:val="auto"/>
                <w:sz w:val="24"/>
                <w:szCs w:val="21"/>
              </w:rPr>
            </w:pPr>
            <w:r>
              <w:rPr>
                <w:rFonts w:hint="default" w:ascii="Times New Roman" w:hAnsi="Times New Roman" w:eastAsia="宋体" w:cs="Times New Roman"/>
                <w:iCs/>
                <w:color w:val="auto"/>
                <w:sz w:val="24"/>
                <w:szCs w:val="21"/>
              </w:rPr>
              <w:t>式中：L总—预测声级，dB；</w:t>
            </w:r>
          </w:p>
          <w:p w14:paraId="524C0C97">
            <w:pPr>
              <w:pStyle w:val="14"/>
              <w:spacing w:line="360" w:lineRule="auto"/>
              <w:ind w:firstLine="480" w:firstLineChars="200"/>
              <w:rPr>
                <w:rFonts w:hint="default" w:ascii="Times New Roman" w:hAnsi="Times New Roman" w:eastAsia="宋体" w:cs="Times New Roman"/>
                <w:iCs/>
                <w:color w:val="auto"/>
                <w:sz w:val="24"/>
                <w:szCs w:val="21"/>
              </w:rPr>
            </w:pPr>
            <w:r>
              <w:rPr>
                <w:rFonts w:hint="default" w:ascii="Times New Roman" w:hAnsi="Times New Roman" w:eastAsia="宋体" w:cs="Times New Roman"/>
                <w:iCs/>
                <w:color w:val="auto"/>
                <w:sz w:val="24"/>
                <w:szCs w:val="21"/>
              </w:rPr>
              <w:t>Li—各叠加声级，dB。</w:t>
            </w:r>
          </w:p>
          <w:p w14:paraId="010FE62A">
            <w:pPr>
              <w:spacing w:before="224" w:line="360" w:lineRule="auto"/>
              <w:ind w:left="101" w:right="95" w:firstLine="481"/>
              <w:rPr>
                <w:rFonts w:hint="default" w:ascii="Times New Roman" w:hAnsi="Times New Roman" w:eastAsia="宋体" w:cs="Times New Roman"/>
                <w:iCs/>
                <w:color w:val="auto"/>
                <w:sz w:val="24"/>
              </w:rPr>
            </w:pPr>
            <w:r>
              <w:rPr>
                <w:rFonts w:hint="default" w:ascii="Times New Roman" w:hAnsi="Times New Roman" w:eastAsia="宋体" w:cs="Times New Roman"/>
                <w:iCs/>
                <w:color w:val="auto"/>
                <w:sz w:val="24"/>
              </w:rPr>
              <w:t>（2）施工机械噪声影响分析</w:t>
            </w:r>
          </w:p>
          <w:p w14:paraId="68449C70">
            <w:pPr>
              <w:pStyle w:val="11"/>
              <w:widowControl w:val="0"/>
              <w:kinsoku/>
              <w:autoSpaceDE/>
              <w:autoSpaceDN/>
              <w:adjustRightInd/>
              <w:snapToGrid/>
              <w:spacing w:before="0" w:line="360" w:lineRule="auto"/>
              <w:ind w:firstLine="480" w:firstLineChars="200"/>
              <w:jc w:val="both"/>
              <w:textAlignment w:val="auto"/>
              <w:rPr>
                <w:rFonts w:hint="default" w:ascii="Times New Roman" w:hAnsi="Times New Roman" w:eastAsia="宋体" w:cs="Times New Roman"/>
                <w:snapToGrid/>
                <w:color w:val="auto"/>
                <w:kern w:val="2"/>
              </w:rPr>
            </w:pPr>
            <w:r>
              <w:rPr>
                <w:rFonts w:hint="default" w:ascii="Times New Roman" w:hAnsi="Times New Roman" w:eastAsia="宋体" w:cs="Times New Roman"/>
                <w:snapToGrid/>
                <w:color w:val="auto"/>
                <w:kern w:val="2"/>
              </w:rPr>
              <w:t>根据各施工机械的噪声级范围，预测施工机械噪声源对不同距离的噪声贡献值，本次评价选择部分高噪声设备进行预测，其满负荷运行时的噪声级和噪 声影响范围见下表：</w:t>
            </w:r>
          </w:p>
          <w:p w14:paraId="13AA3047">
            <w:pPr>
              <w:pStyle w:val="11"/>
              <w:widowControl w:val="0"/>
              <w:kinsoku/>
              <w:autoSpaceDE/>
              <w:autoSpaceDN/>
              <w:adjustRightInd/>
              <w:snapToGrid/>
              <w:spacing w:before="0"/>
              <w:jc w:val="center"/>
              <w:textAlignment w:val="auto"/>
              <w:rPr>
                <w:rFonts w:hint="default" w:ascii="Times New Roman" w:hAnsi="Times New Roman" w:eastAsia="宋体" w:cs="Times New Roman"/>
                <w:b/>
                <w:bCs/>
                <w:iCs/>
                <w:color w:val="auto"/>
                <w:sz w:val="21"/>
                <w:szCs w:val="21"/>
              </w:rPr>
            </w:pPr>
            <w:r>
              <w:rPr>
                <w:rFonts w:hint="default" w:ascii="Times New Roman" w:hAnsi="Times New Roman" w:eastAsia="宋体" w:cs="Times New Roman"/>
                <w:b/>
                <w:bCs/>
                <w:iCs/>
                <w:color w:val="auto"/>
                <w:sz w:val="21"/>
                <w:szCs w:val="21"/>
              </w:rPr>
              <w:t>表4-4  主要施工机械噪声影响程度及范围一览表</w:t>
            </w:r>
          </w:p>
          <w:tbl>
            <w:tblPr>
              <w:tblStyle w:val="32"/>
              <w:tblW w:w="4943" w:type="pct"/>
              <w:jc w:val="center"/>
              <w:tblBorders>
                <w:top w:val="single" w:color="auto" w:sz="12" w:space="0"/>
                <w:left w:val="none" w:color="auto" w:sz="0" w:space="0"/>
                <w:bottom w:val="single" w:color="auto" w:sz="12" w:space="0"/>
                <w:right w:val="none" w:color="auto" w:sz="0" w:space="0"/>
                <w:insideH w:val="single" w:color="000000" w:sz="6" w:space="0"/>
                <w:insideV w:val="single" w:color="000000" w:sz="6" w:space="0"/>
              </w:tblBorders>
              <w:tblLayout w:type="autofit"/>
              <w:tblCellMar>
                <w:top w:w="0" w:type="dxa"/>
                <w:left w:w="0" w:type="dxa"/>
                <w:bottom w:w="0" w:type="dxa"/>
                <w:right w:w="0" w:type="dxa"/>
              </w:tblCellMar>
            </w:tblPr>
            <w:tblGrid>
              <w:gridCol w:w="604"/>
              <w:gridCol w:w="1511"/>
              <w:gridCol w:w="903"/>
              <w:gridCol w:w="964"/>
              <w:gridCol w:w="898"/>
              <w:gridCol w:w="908"/>
              <w:gridCol w:w="843"/>
              <w:gridCol w:w="802"/>
              <w:gridCol w:w="786"/>
            </w:tblGrid>
            <w:tr w14:paraId="60DE0EDA">
              <w:tblPrEx>
                <w:tblBorders>
                  <w:top w:val="single" w:color="auto" w:sz="12" w:space="0"/>
                  <w:left w:val="none" w:color="auto" w:sz="0" w:space="0"/>
                  <w:bottom w:val="single" w:color="auto"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272" w:hRule="atLeast"/>
                <w:jc w:val="center"/>
              </w:trPr>
              <w:tc>
                <w:tcPr>
                  <w:tcW w:w="368" w:type="pct"/>
                  <w:vMerge w:val="restart"/>
                  <w:vAlign w:val="center"/>
                </w:tcPr>
                <w:p w14:paraId="0EF1BA3D">
                  <w:pPr>
                    <w:pStyle w:val="46"/>
                    <w:spacing w:before="145"/>
                    <w:ind w:left="109"/>
                    <w:rPr>
                      <w:rFonts w:hint="default" w:ascii="Times New Roman" w:hAnsi="Times New Roman" w:eastAsia="宋体" w:cs="Times New Roman"/>
                      <w:iCs/>
                      <w:color w:val="auto"/>
                      <w:sz w:val="21"/>
                    </w:rPr>
                  </w:pPr>
                  <w:r>
                    <w:rPr>
                      <w:rFonts w:hint="default" w:ascii="Times New Roman" w:hAnsi="Times New Roman" w:eastAsia="宋体" w:cs="Times New Roman"/>
                      <w:iCs/>
                      <w:color w:val="auto"/>
                      <w:sz w:val="21"/>
                    </w:rPr>
                    <w:t>序号</w:t>
                  </w:r>
                </w:p>
              </w:tc>
              <w:tc>
                <w:tcPr>
                  <w:tcW w:w="919" w:type="pct"/>
                  <w:vMerge w:val="restart"/>
                  <w:vAlign w:val="center"/>
                </w:tcPr>
                <w:p w14:paraId="2A3526E5">
                  <w:pPr>
                    <w:pStyle w:val="46"/>
                    <w:spacing w:before="145"/>
                    <w:ind w:left="110" w:right="97"/>
                    <w:jc w:val="center"/>
                    <w:rPr>
                      <w:rFonts w:hint="default" w:ascii="Times New Roman" w:hAnsi="Times New Roman" w:eastAsia="宋体" w:cs="Times New Roman"/>
                      <w:iCs/>
                      <w:color w:val="auto"/>
                      <w:sz w:val="21"/>
                    </w:rPr>
                  </w:pPr>
                  <w:r>
                    <w:rPr>
                      <w:rFonts w:hint="default" w:ascii="Times New Roman" w:hAnsi="Times New Roman" w:eastAsia="宋体" w:cs="Times New Roman"/>
                      <w:iCs/>
                      <w:color w:val="auto"/>
                      <w:sz w:val="21"/>
                    </w:rPr>
                    <w:t>声源</w:t>
                  </w:r>
                </w:p>
              </w:tc>
              <w:tc>
                <w:tcPr>
                  <w:tcW w:w="3712" w:type="pct"/>
                  <w:gridSpan w:val="7"/>
                  <w:vAlign w:val="center"/>
                </w:tcPr>
                <w:p w14:paraId="38856531">
                  <w:pPr>
                    <w:pStyle w:val="46"/>
                    <w:spacing w:before="1" w:line="251" w:lineRule="exact"/>
                    <w:jc w:val="center"/>
                    <w:rPr>
                      <w:rFonts w:hint="default" w:ascii="Times New Roman" w:hAnsi="Times New Roman" w:eastAsia="宋体" w:cs="Times New Roman"/>
                      <w:iCs/>
                      <w:color w:val="auto"/>
                      <w:sz w:val="21"/>
                      <w:lang w:eastAsia="zh-CN"/>
                    </w:rPr>
                  </w:pPr>
                  <w:r>
                    <w:rPr>
                      <w:rFonts w:hint="default" w:ascii="Times New Roman" w:hAnsi="Times New Roman" w:eastAsia="宋体" w:cs="Times New Roman"/>
                      <w:iCs/>
                      <w:color w:val="auto"/>
                      <w:sz w:val="21"/>
                      <w:lang w:eastAsia="zh-CN"/>
                    </w:rPr>
                    <w:t>离声源不同距离的噪声预测值(dB)</w:t>
                  </w:r>
                </w:p>
              </w:tc>
            </w:tr>
            <w:tr w14:paraId="44D57BC7">
              <w:tblPrEx>
                <w:tblBorders>
                  <w:top w:val="single" w:color="auto" w:sz="12" w:space="0"/>
                  <w:left w:val="none" w:color="auto" w:sz="0" w:space="0"/>
                  <w:bottom w:val="single" w:color="auto"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99" w:hRule="atLeast"/>
                <w:jc w:val="center"/>
              </w:trPr>
              <w:tc>
                <w:tcPr>
                  <w:tcW w:w="368" w:type="pct"/>
                  <w:vMerge w:val="continue"/>
                  <w:tcBorders>
                    <w:top w:val="nil"/>
                  </w:tcBorders>
                  <w:vAlign w:val="center"/>
                </w:tcPr>
                <w:p w14:paraId="7B3E204F">
                  <w:pPr>
                    <w:rPr>
                      <w:rFonts w:hint="default" w:ascii="Times New Roman" w:hAnsi="Times New Roman" w:eastAsia="宋体" w:cs="Times New Roman"/>
                      <w:iCs/>
                      <w:color w:val="auto"/>
                      <w:sz w:val="2"/>
                      <w:szCs w:val="2"/>
                    </w:rPr>
                  </w:pPr>
                </w:p>
              </w:tc>
              <w:tc>
                <w:tcPr>
                  <w:tcW w:w="919" w:type="pct"/>
                  <w:vMerge w:val="continue"/>
                  <w:tcBorders>
                    <w:top w:val="nil"/>
                  </w:tcBorders>
                  <w:vAlign w:val="center"/>
                </w:tcPr>
                <w:p w14:paraId="02410F99">
                  <w:pPr>
                    <w:jc w:val="center"/>
                    <w:rPr>
                      <w:rFonts w:hint="default" w:ascii="Times New Roman" w:hAnsi="Times New Roman" w:eastAsia="宋体" w:cs="Times New Roman"/>
                      <w:iCs/>
                      <w:color w:val="auto"/>
                      <w:sz w:val="2"/>
                      <w:szCs w:val="2"/>
                    </w:rPr>
                  </w:pPr>
                </w:p>
              </w:tc>
              <w:tc>
                <w:tcPr>
                  <w:tcW w:w="549" w:type="pct"/>
                  <w:vAlign w:val="center"/>
                </w:tcPr>
                <w:p w14:paraId="4783F155">
                  <w:pPr>
                    <w:pStyle w:val="46"/>
                    <w:spacing w:before="2" w:line="251" w:lineRule="exact"/>
                    <w:ind w:left="79" w:right="65"/>
                    <w:jc w:val="center"/>
                    <w:rPr>
                      <w:rFonts w:hint="default" w:ascii="Times New Roman" w:hAnsi="Times New Roman" w:eastAsia="宋体" w:cs="Times New Roman"/>
                      <w:iCs/>
                      <w:color w:val="auto"/>
                      <w:sz w:val="21"/>
                      <w:lang w:eastAsia="zh-CN"/>
                    </w:rPr>
                  </w:pPr>
                  <w:r>
                    <w:rPr>
                      <w:rFonts w:hint="default" w:ascii="Times New Roman" w:hAnsi="Times New Roman" w:eastAsia="宋体" w:cs="Times New Roman"/>
                      <w:iCs/>
                      <w:color w:val="auto"/>
                      <w:sz w:val="21"/>
                      <w:lang w:eastAsia="zh-CN"/>
                    </w:rPr>
                    <w:t>5m</w:t>
                  </w:r>
                </w:p>
              </w:tc>
              <w:tc>
                <w:tcPr>
                  <w:tcW w:w="586" w:type="pct"/>
                  <w:vAlign w:val="center"/>
                </w:tcPr>
                <w:p w14:paraId="5D21555C">
                  <w:pPr>
                    <w:pStyle w:val="46"/>
                    <w:spacing w:before="2" w:line="251" w:lineRule="exact"/>
                    <w:ind w:left="66" w:right="51"/>
                    <w:jc w:val="center"/>
                    <w:rPr>
                      <w:rFonts w:hint="default" w:ascii="Times New Roman" w:hAnsi="Times New Roman" w:eastAsia="宋体" w:cs="Times New Roman"/>
                      <w:iCs/>
                      <w:color w:val="auto"/>
                      <w:sz w:val="21"/>
                      <w:lang w:eastAsia="zh-CN"/>
                    </w:rPr>
                  </w:pPr>
                  <w:r>
                    <w:rPr>
                      <w:rFonts w:hint="default" w:ascii="Times New Roman" w:hAnsi="Times New Roman" w:eastAsia="宋体" w:cs="Times New Roman"/>
                      <w:iCs/>
                      <w:color w:val="auto"/>
                      <w:sz w:val="21"/>
                      <w:lang w:eastAsia="zh-CN"/>
                    </w:rPr>
                    <w:t>10m</w:t>
                  </w:r>
                </w:p>
              </w:tc>
              <w:tc>
                <w:tcPr>
                  <w:tcW w:w="546" w:type="pct"/>
                  <w:vAlign w:val="center"/>
                </w:tcPr>
                <w:p w14:paraId="4CDF1170">
                  <w:pPr>
                    <w:pStyle w:val="46"/>
                    <w:spacing w:before="2" w:line="251" w:lineRule="exact"/>
                    <w:ind w:left="93" w:right="79"/>
                    <w:jc w:val="center"/>
                    <w:rPr>
                      <w:rFonts w:hint="default" w:ascii="Times New Roman" w:hAnsi="Times New Roman" w:eastAsia="宋体" w:cs="Times New Roman"/>
                      <w:iCs/>
                      <w:color w:val="auto"/>
                      <w:sz w:val="21"/>
                      <w:lang w:eastAsia="zh-CN"/>
                    </w:rPr>
                  </w:pPr>
                  <w:r>
                    <w:rPr>
                      <w:rFonts w:hint="default" w:ascii="Times New Roman" w:hAnsi="Times New Roman" w:eastAsia="宋体" w:cs="Times New Roman"/>
                      <w:iCs/>
                      <w:color w:val="auto"/>
                      <w:sz w:val="21"/>
                      <w:lang w:eastAsia="zh-CN"/>
                    </w:rPr>
                    <w:t>20m</w:t>
                  </w:r>
                </w:p>
              </w:tc>
              <w:tc>
                <w:tcPr>
                  <w:tcW w:w="552" w:type="pct"/>
                  <w:vAlign w:val="center"/>
                </w:tcPr>
                <w:p w14:paraId="37BA1382">
                  <w:pPr>
                    <w:pStyle w:val="46"/>
                    <w:spacing w:before="2" w:line="251" w:lineRule="exact"/>
                    <w:ind w:left="74" w:right="61"/>
                    <w:jc w:val="center"/>
                    <w:rPr>
                      <w:rFonts w:hint="default" w:ascii="Times New Roman" w:hAnsi="Times New Roman" w:eastAsia="宋体" w:cs="Times New Roman"/>
                      <w:iCs/>
                      <w:color w:val="auto"/>
                      <w:sz w:val="21"/>
                      <w:lang w:eastAsia="zh-CN"/>
                    </w:rPr>
                  </w:pPr>
                  <w:r>
                    <w:rPr>
                      <w:rFonts w:hint="default" w:ascii="Times New Roman" w:hAnsi="Times New Roman" w:eastAsia="宋体" w:cs="Times New Roman"/>
                      <w:iCs/>
                      <w:color w:val="auto"/>
                      <w:sz w:val="21"/>
                      <w:lang w:eastAsia="zh-CN"/>
                    </w:rPr>
                    <w:t>50m</w:t>
                  </w:r>
                </w:p>
              </w:tc>
              <w:tc>
                <w:tcPr>
                  <w:tcW w:w="513" w:type="pct"/>
                  <w:vAlign w:val="center"/>
                </w:tcPr>
                <w:p w14:paraId="05A89503">
                  <w:pPr>
                    <w:pStyle w:val="46"/>
                    <w:spacing w:before="2" w:line="251" w:lineRule="exact"/>
                    <w:ind w:left="61" w:right="46"/>
                    <w:jc w:val="center"/>
                    <w:rPr>
                      <w:rFonts w:hint="default" w:ascii="Times New Roman" w:hAnsi="Times New Roman" w:eastAsia="宋体" w:cs="Times New Roman"/>
                      <w:iCs/>
                      <w:color w:val="auto"/>
                      <w:sz w:val="21"/>
                      <w:lang w:eastAsia="zh-CN"/>
                    </w:rPr>
                  </w:pPr>
                  <w:r>
                    <w:rPr>
                      <w:rFonts w:hint="default" w:ascii="Times New Roman" w:hAnsi="Times New Roman" w:eastAsia="宋体" w:cs="Times New Roman"/>
                      <w:iCs/>
                      <w:color w:val="auto"/>
                      <w:sz w:val="21"/>
                      <w:lang w:eastAsia="zh-CN"/>
                    </w:rPr>
                    <w:t>100m</w:t>
                  </w:r>
                </w:p>
              </w:tc>
              <w:tc>
                <w:tcPr>
                  <w:tcW w:w="488" w:type="pct"/>
                  <w:vAlign w:val="center"/>
                </w:tcPr>
                <w:p w14:paraId="00311732">
                  <w:pPr>
                    <w:pStyle w:val="46"/>
                    <w:spacing w:before="2" w:line="251" w:lineRule="exact"/>
                    <w:jc w:val="center"/>
                    <w:rPr>
                      <w:rFonts w:hint="default" w:ascii="Times New Roman" w:hAnsi="Times New Roman" w:eastAsia="宋体" w:cs="Times New Roman"/>
                      <w:iCs/>
                      <w:color w:val="auto"/>
                      <w:sz w:val="21"/>
                      <w:lang w:eastAsia="zh-CN"/>
                    </w:rPr>
                  </w:pPr>
                  <w:r>
                    <w:rPr>
                      <w:rFonts w:hint="default" w:ascii="Times New Roman" w:hAnsi="Times New Roman" w:eastAsia="宋体" w:cs="Times New Roman"/>
                      <w:iCs/>
                      <w:color w:val="auto"/>
                      <w:sz w:val="21"/>
                      <w:lang w:eastAsia="zh-CN"/>
                    </w:rPr>
                    <w:t>150m</w:t>
                  </w:r>
                </w:p>
              </w:tc>
              <w:tc>
                <w:tcPr>
                  <w:tcW w:w="474" w:type="pct"/>
                  <w:vAlign w:val="center"/>
                </w:tcPr>
                <w:p w14:paraId="46B2D19D">
                  <w:pPr>
                    <w:pStyle w:val="46"/>
                    <w:spacing w:before="2" w:line="251" w:lineRule="exact"/>
                    <w:jc w:val="center"/>
                    <w:rPr>
                      <w:rFonts w:hint="default" w:ascii="Times New Roman" w:hAnsi="Times New Roman" w:eastAsia="宋体" w:cs="Times New Roman"/>
                      <w:iCs/>
                      <w:color w:val="auto"/>
                      <w:sz w:val="21"/>
                      <w:lang w:eastAsia="zh-CN"/>
                    </w:rPr>
                  </w:pPr>
                  <w:r>
                    <w:rPr>
                      <w:rFonts w:hint="default" w:ascii="Times New Roman" w:hAnsi="Times New Roman" w:eastAsia="宋体" w:cs="Times New Roman"/>
                      <w:iCs/>
                      <w:color w:val="auto"/>
                      <w:sz w:val="21"/>
                      <w:lang w:eastAsia="zh-CN"/>
                    </w:rPr>
                    <w:t>200m</w:t>
                  </w:r>
                </w:p>
              </w:tc>
            </w:tr>
            <w:tr w14:paraId="72D4490D">
              <w:tblPrEx>
                <w:tblBorders>
                  <w:top w:val="single" w:color="auto" w:sz="12" w:space="0"/>
                  <w:left w:val="none" w:color="auto" w:sz="0" w:space="0"/>
                  <w:bottom w:val="single" w:color="auto"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291" w:hRule="atLeast"/>
                <w:jc w:val="center"/>
              </w:trPr>
              <w:tc>
                <w:tcPr>
                  <w:tcW w:w="368" w:type="pct"/>
                  <w:vAlign w:val="center"/>
                </w:tcPr>
                <w:p w14:paraId="0EF34BD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w:t>
                  </w:r>
                </w:p>
              </w:tc>
              <w:tc>
                <w:tcPr>
                  <w:tcW w:w="1511" w:type="dxa"/>
                  <w:vAlign w:val="center"/>
                </w:tcPr>
                <w:p w14:paraId="00F12D2B">
                  <w:pPr>
                    <w:pStyle w:val="46"/>
                    <w:spacing w:line="251" w:lineRule="exact"/>
                    <w:ind w:left="110" w:right="97"/>
                    <w:jc w:val="center"/>
                    <w:rPr>
                      <w:rFonts w:hint="default" w:ascii="Times New Roman" w:hAnsi="Times New Roman" w:eastAsia="宋体" w:cs="Times New Roman"/>
                      <w:iCs/>
                      <w:color w:val="auto"/>
                      <w:sz w:val="21"/>
                      <w:lang w:eastAsia="zh-CN"/>
                    </w:rPr>
                  </w:pPr>
                  <w:r>
                    <w:rPr>
                      <w:rFonts w:hint="default" w:ascii="Times New Roman" w:hAnsi="Times New Roman" w:eastAsia="宋体" w:cs="Times New Roman"/>
                      <w:snapToGrid/>
                      <w:color w:val="auto"/>
                      <w:kern w:val="2"/>
                      <w:sz w:val="21"/>
                      <w:lang w:eastAsia="zh-CN"/>
                    </w:rPr>
                    <w:t>挖掘机</w:t>
                  </w:r>
                </w:p>
              </w:tc>
              <w:tc>
                <w:tcPr>
                  <w:tcW w:w="903" w:type="dxa"/>
                  <w:vAlign w:val="center"/>
                </w:tcPr>
                <w:p w14:paraId="671A111B">
                  <w:pPr>
                    <w:pStyle w:val="46"/>
                    <w:spacing w:line="241" w:lineRule="exact"/>
                    <w:ind w:left="79" w:right="63"/>
                    <w:jc w:val="center"/>
                    <w:rPr>
                      <w:rFonts w:hint="default" w:ascii="Times New Roman" w:hAnsi="Times New Roman" w:eastAsia="宋体" w:cs="Times New Roman"/>
                      <w:iCs/>
                      <w:color w:val="auto"/>
                      <w:sz w:val="21"/>
                      <w:lang w:eastAsia="zh-CN"/>
                    </w:rPr>
                  </w:pPr>
                  <w:r>
                    <w:rPr>
                      <w:rFonts w:hint="default" w:ascii="Times New Roman" w:hAnsi="Times New Roman" w:eastAsia="宋体" w:cs="Times New Roman"/>
                      <w:iCs/>
                      <w:color w:val="auto"/>
                      <w:sz w:val="21"/>
                      <w:lang w:eastAsia="zh-CN"/>
                    </w:rPr>
                    <w:t>90</w:t>
                  </w:r>
                </w:p>
              </w:tc>
              <w:tc>
                <w:tcPr>
                  <w:tcW w:w="586" w:type="pct"/>
                  <w:vAlign w:val="center"/>
                </w:tcPr>
                <w:p w14:paraId="7515BF39">
                  <w:pPr>
                    <w:pStyle w:val="46"/>
                    <w:spacing w:line="241" w:lineRule="exact"/>
                    <w:ind w:left="63" w:right="51"/>
                    <w:jc w:val="center"/>
                    <w:rPr>
                      <w:rFonts w:hint="default" w:ascii="Times New Roman" w:hAnsi="Times New Roman" w:eastAsia="宋体" w:cs="Times New Roman"/>
                      <w:iCs/>
                      <w:color w:val="auto"/>
                      <w:sz w:val="21"/>
                      <w:lang w:eastAsia="zh-CN"/>
                    </w:rPr>
                  </w:pPr>
                  <w:r>
                    <w:rPr>
                      <w:rFonts w:hint="default" w:ascii="Times New Roman" w:hAnsi="Times New Roman" w:eastAsia="宋体" w:cs="Times New Roman"/>
                      <w:iCs/>
                      <w:color w:val="auto"/>
                      <w:sz w:val="21"/>
                      <w:lang w:eastAsia="zh-CN"/>
                    </w:rPr>
                    <w:t>81</w:t>
                  </w:r>
                </w:p>
              </w:tc>
              <w:tc>
                <w:tcPr>
                  <w:tcW w:w="546" w:type="pct"/>
                  <w:vAlign w:val="center"/>
                </w:tcPr>
                <w:p w14:paraId="33725FF4">
                  <w:pPr>
                    <w:pStyle w:val="46"/>
                    <w:spacing w:line="241" w:lineRule="exact"/>
                    <w:ind w:left="92" w:right="79"/>
                    <w:jc w:val="center"/>
                    <w:rPr>
                      <w:rFonts w:hint="default" w:ascii="Times New Roman" w:hAnsi="Times New Roman" w:eastAsia="宋体" w:cs="Times New Roman"/>
                      <w:iCs/>
                      <w:color w:val="auto"/>
                      <w:sz w:val="21"/>
                      <w:lang w:eastAsia="zh-CN"/>
                    </w:rPr>
                  </w:pPr>
                  <w:r>
                    <w:rPr>
                      <w:rFonts w:hint="default" w:ascii="Times New Roman" w:hAnsi="Times New Roman" w:eastAsia="宋体" w:cs="Times New Roman"/>
                      <w:iCs/>
                      <w:color w:val="auto"/>
                      <w:sz w:val="21"/>
                      <w:lang w:eastAsia="zh-CN"/>
                    </w:rPr>
                    <w:t>69</w:t>
                  </w:r>
                </w:p>
              </w:tc>
              <w:tc>
                <w:tcPr>
                  <w:tcW w:w="552" w:type="pct"/>
                  <w:vAlign w:val="center"/>
                </w:tcPr>
                <w:p w14:paraId="646E10E8">
                  <w:pPr>
                    <w:pStyle w:val="46"/>
                    <w:spacing w:line="241" w:lineRule="exact"/>
                    <w:ind w:left="74" w:right="59"/>
                    <w:jc w:val="center"/>
                    <w:rPr>
                      <w:rFonts w:hint="default" w:ascii="Times New Roman" w:hAnsi="Times New Roman" w:eastAsia="宋体" w:cs="Times New Roman"/>
                      <w:iCs/>
                      <w:color w:val="auto"/>
                      <w:sz w:val="21"/>
                      <w:lang w:eastAsia="zh-CN"/>
                    </w:rPr>
                  </w:pPr>
                  <w:r>
                    <w:rPr>
                      <w:rFonts w:hint="default" w:ascii="Times New Roman" w:hAnsi="Times New Roman" w:eastAsia="宋体" w:cs="Times New Roman"/>
                      <w:iCs/>
                      <w:color w:val="auto"/>
                      <w:sz w:val="21"/>
                      <w:lang w:eastAsia="zh-CN"/>
                    </w:rPr>
                    <w:t>58</w:t>
                  </w:r>
                </w:p>
              </w:tc>
              <w:tc>
                <w:tcPr>
                  <w:tcW w:w="513" w:type="pct"/>
                  <w:vAlign w:val="center"/>
                </w:tcPr>
                <w:p w14:paraId="2A92E30C">
                  <w:pPr>
                    <w:pStyle w:val="46"/>
                    <w:spacing w:line="241" w:lineRule="exact"/>
                    <w:ind w:left="60" w:right="46"/>
                    <w:jc w:val="center"/>
                    <w:rPr>
                      <w:rFonts w:hint="default" w:ascii="Times New Roman" w:hAnsi="Times New Roman" w:eastAsia="宋体" w:cs="Times New Roman"/>
                      <w:iCs/>
                      <w:color w:val="auto"/>
                      <w:sz w:val="21"/>
                      <w:lang w:eastAsia="zh-CN"/>
                    </w:rPr>
                  </w:pPr>
                  <w:r>
                    <w:rPr>
                      <w:rFonts w:hint="default" w:ascii="Times New Roman" w:hAnsi="Times New Roman" w:eastAsia="宋体" w:cs="Times New Roman"/>
                      <w:iCs/>
                      <w:color w:val="auto"/>
                      <w:sz w:val="21"/>
                      <w:lang w:eastAsia="zh-CN"/>
                    </w:rPr>
                    <w:t>50</w:t>
                  </w:r>
                </w:p>
              </w:tc>
              <w:tc>
                <w:tcPr>
                  <w:tcW w:w="488" w:type="pct"/>
                  <w:vAlign w:val="center"/>
                </w:tcPr>
                <w:p w14:paraId="292A085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46</w:t>
                  </w:r>
                </w:p>
              </w:tc>
              <w:tc>
                <w:tcPr>
                  <w:tcW w:w="474" w:type="pct"/>
                  <w:vAlign w:val="center"/>
                </w:tcPr>
                <w:p w14:paraId="22D0C5FE">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43</w:t>
                  </w:r>
                </w:p>
              </w:tc>
            </w:tr>
            <w:tr w14:paraId="2D68EFF8">
              <w:tblPrEx>
                <w:tblBorders>
                  <w:top w:val="single" w:color="auto" w:sz="12" w:space="0"/>
                  <w:left w:val="none" w:color="auto" w:sz="0" w:space="0"/>
                  <w:bottom w:val="single" w:color="auto"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9" w:hRule="atLeast"/>
                <w:jc w:val="center"/>
              </w:trPr>
              <w:tc>
                <w:tcPr>
                  <w:tcW w:w="368" w:type="pct"/>
                  <w:vAlign w:val="center"/>
                </w:tcPr>
                <w:p w14:paraId="4113D14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2</w:t>
                  </w:r>
                </w:p>
              </w:tc>
              <w:tc>
                <w:tcPr>
                  <w:tcW w:w="1511" w:type="dxa"/>
                  <w:vAlign w:val="center"/>
                </w:tcPr>
                <w:p w14:paraId="5F6B2D9B">
                  <w:pPr>
                    <w:pStyle w:val="46"/>
                    <w:spacing w:line="251" w:lineRule="exact"/>
                    <w:ind w:left="110" w:right="97"/>
                    <w:jc w:val="center"/>
                    <w:rPr>
                      <w:rFonts w:hint="default" w:ascii="Times New Roman" w:hAnsi="Times New Roman" w:eastAsia="宋体" w:cs="Times New Roman"/>
                      <w:iCs/>
                      <w:color w:val="auto"/>
                      <w:sz w:val="21"/>
                      <w:lang w:eastAsia="zh-CN"/>
                    </w:rPr>
                  </w:pPr>
                  <w:r>
                    <w:rPr>
                      <w:rFonts w:hint="default" w:ascii="Times New Roman" w:hAnsi="Times New Roman" w:eastAsia="宋体" w:cs="Times New Roman"/>
                      <w:snapToGrid/>
                      <w:color w:val="auto"/>
                      <w:kern w:val="2"/>
                      <w:sz w:val="21"/>
                      <w:lang w:eastAsia="zh-CN"/>
                    </w:rPr>
                    <w:t>装载机</w:t>
                  </w:r>
                </w:p>
              </w:tc>
              <w:tc>
                <w:tcPr>
                  <w:tcW w:w="903" w:type="dxa"/>
                  <w:vAlign w:val="center"/>
                </w:tcPr>
                <w:p w14:paraId="68FD5C8D">
                  <w:pPr>
                    <w:pStyle w:val="46"/>
                    <w:ind w:left="79" w:right="63"/>
                    <w:jc w:val="center"/>
                    <w:rPr>
                      <w:rFonts w:hint="default" w:ascii="Times New Roman" w:hAnsi="Times New Roman" w:eastAsia="宋体" w:cs="Times New Roman"/>
                      <w:iCs/>
                      <w:color w:val="auto"/>
                      <w:sz w:val="21"/>
                      <w:lang w:eastAsia="zh-CN"/>
                    </w:rPr>
                  </w:pPr>
                  <w:r>
                    <w:rPr>
                      <w:rFonts w:hint="default" w:ascii="Times New Roman" w:hAnsi="Times New Roman" w:eastAsia="宋体" w:cs="Times New Roman"/>
                      <w:iCs/>
                      <w:color w:val="auto"/>
                      <w:sz w:val="21"/>
                      <w:lang w:eastAsia="zh-CN"/>
                    </w:rPr>
                    <w:t>80</w:t>
                  </w:r>
                </w:p>
              </w:tc>
              <w:tc>
                <w:tcPr>
                  <w:tcW w:w="586" w:type="pct"/>
                  <w:vAlign w:val="center"/>
                </w:tcPr>
                <w:p w14:paraId="484B7005">
                  <w:pPr>
                    <w:pStyle w:val="46"/>
                    <w:ind w:left="63" w:right="51"/>
                    <w:jc w:val="center"/>
                    <w:rPr>
                      <w:rFonts w:hint="default" w:ascii="Times New Roman" w:hAnsi="Times New Roman" w:eastAsia="宋体" w:cs="Times New Roman"/>
                      <w:iCs/>
                      <w:color w:val="auto"/>
                      <w:sz w:val="21"/>
                      <w:lang w:eastAsia="zh-CN"/>
                    </w:rPr>
                  </w:pPr>
                  <w:r>
                    <w:rPr>
                      <w:rFonts w:hint="default" w:ascii="Times New Roman" w:hAnsi="Times New Roman" w:eastAsia="宋体" w:cs="Times New Roman"/>
                      <w:iCs/>
                      <w:color w:val="auto"/>
                      <w:sz w:val="21"/>
                      <w:lang w:eastAsia="zh-CN"/>
                    </w:rPr>
                    <w:t>71</w:t>
                  </w:r>
                </w:p>
              </w:tc>
              <w:tc>
                <w:tcPr>
                  <w:tcW w:w="546" w:type="pct"/>
                  <w:vAlign w:val="center"/>
                </w:tcPr>
                <w:p w14:paraId="3B2C3DDB">
                  <w:pPr>
                    <w:pStyle w:val="46"/>
                    <w:ind w:left="92" w:right="79"/>
                    <w:jc w:val="center"/>
                    <w:rPr>
                      <w:rFonts w:hint="default" w:ascii="Times New Roman" w:hAnsi="Times New Roman" w:eastAsia="宋体" w:cs="Times New Roman"/>
                      <w:iCs/>
                      <w:color w:val="auto"/>
                      <w:sz w:val="21"/>
                      <w:lang w:eastAsia="zh-CN"/>
                    </w:rPr>
                  </w:pPr>
                  <w:r>
                    <w:rPr>
                      <w:rFonts w:hint="default" w:ascii="Times New Roman" w:hAnsi="Times New Roman" w:eastAsia="宋体" w:cs="Times New Roman"/>
                      <w:iCs/>
                      <w:color w:val="auto"/>
                      <w:sz w:val="21"/>
                      <w:lang w:eastAsia="zh-CN"/>
                    </w:rPr>
                    <w:t>60</w:t>
                  </w:r>
                </w:p>
              </w:tc>
              <w:tc>
                <w:tcPr>
                  <w:tcW w:w="552" w:type="pct"/>
                  <w:vAlign w:val="center"/>
                </w:tcPr>
                <w:p w14:paraId="2516F1B6">
                  <w:pPr>
                    <w:pStyle w:val="46"/>
                    <w:ind w:left="74" w:right="59"/>
                    <w:jc w:val="center"/>
                    <w:rPr>
                      <w:rFonts w:hint="default" w:ascii="Times New Roman" w:hAnsi="Times New Roman" w:eastAsia="宋体" w:cs="Times New Roman"/>
                      <w:iCs/>
                      <w:color w:val="auto"/>
                      <w:sz w:val="21"/>
                      <w:lang w:eastAsia="zh-CN"/>
                    </w:rPr>
                  </w:pPr>
                  <w:r>
                    <w:rPr>
                      <w:rFonts w:hint="default" w:ascii="Times New Roman" w:hAnsi="Times New Roman" w:eastAsia="宋体" w:cs="Times New Roman"/>
                      <w:iCs/>
                      <w:color w:val="auto"/>
                      <w:sz w:val="21"/>
                      <w:lang w:eastAsia="zh-CN"/>
                    </w:rPr>
                    <w:t>51</w:t>
                  </w:r>
                </w:p>
              </w:tc>
              <w:tc>
                <w:tcPr>
                  <w:tcW w:w="513" w:type="pct"/>
                  <w:vAlign w:val="center"/>
                </w:tcPr>
                <w:p w14:paraId="2C96BD06">
                  <w:pPr>
                    <w:pStyle w:val="46"/>
                    <w:ind w:left="60" w:right="46"/>
                    <w:jc w:val="center"/>
                    <w:rPr>
                      <w:rFonts w:hint="default" w:ascii="Times New Roman" w:hAnsi="Times New Roman" w:eastAsia="宋体" w:cs="Times New Roman"/>
                      <w:iCs/>
                      <w:color w:val="auto"/>
                      <w:sz w:val="21"/>
                      <w:lang w:eastAsia="zh-CN"/>
                    </w:rPr>
                  </w:pPr>
                  <w:r>
                    <w:rPr>
                      <w:rFonts w:hint="default" w:ascii="Times New Roman" w:hAnsi="Times New Roman" w:eastAsia="宋体" w:cs="Times New Roman"/>
                      <w:iCs/>
                      <w:color w:val="auto"/>
                      <w:sz w:val="21"/>
                      <w:lang w:eastAsia="zh-CN"/>
                    </w:rPr>
                    <w:t>40</w:t>
                  </w:r>
                </w:p>
              </w:tc>
              <w:tc>
                <w:tcPr>
                  <w:tcW w:w="488" w:type="pct"/>
                  <w:vAlign w:val="center"/>
                </w:tcPr>
                <w:p w14:paraId="69F4DF04">
                  <w:pPr>
                    <w:jc w:val="center"/>
                    <w:rPr>
                      <w:rFonts w:hint="default" w:ascii="Times New Roman" w:hAnsi="Times New Roman" w:eastAsia="宋体" w:cs="Times New Roman"/>
                      <w:iCs/>
                      <w:color w:val="auto"/>
                    </w:rPr>
                  </w:pPr>
                  <w:r>
                    <w:rPr>
                      <w:rFonts w:hint="default" w:ascii="Times New Roman" w:hAnsi="Times New Roman" w:eastAsia="宋体" w:cs="Times New Roman"/>
                      <w:iCs/>
                      <w:color w:val="auto"/>
                    </w:rPr>
                    <w:t>37</w:t>
                  </w:r>
                </w:p>
              </w:tc>
              <w:tc>
                <w:tcPr>
                  <w:tcW w:w="474" w:type="pct"/>
                  <w:vAlign w:val="center"/>
                </w:tcPr>
                <w:p w14:paraId="581D0BB1">
                  <w:pPr>
                    <w:jc w:val="center"/>
                    <w:rPr>
                      <w:rFonts w:hint="default" w:ascii="Times New Roman" w:hAnsi="Times New Roman" w:eastAsia="宋体" w:cs="Times New Roman"/>
                      <w:iCs/>
                      <w:color w:val="auto"/>
                    </w:rPr>
                  </w:pPr>
                  <w:r>
                    <w:rPr>
                      <w:rFonts w:hint="default" w:ascii="Times New Roman" w:hAnsi="Times New Roman" w:eastAsia="宋体" w:cs="Times New Roman"/>
                      <w:iCs/>
                      <w:color w:val="auto"/>
                    </w:rPr>
                    <w:t>33</w:t>
                  </w:r>
                </w:p>
              </w:tc>
            </w:tr>
            <w:tr w14:paraId="3BE2EC84">
              <w:tblPrEx>
                <w:tblBorders>
                  <w:top w:val="single" w:color="auto" w:sz="12" w:space="0"/>
                  <w:left w:val="none" w:color="auto" w:sz="0" w:space="0"/>
                  <w:bottom w:val="single" w:color="auto"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51" w:hRule="atLeast"/>
                <w:jc w:val="center"/>
              </w:trPr>
              <w:tc>
                <w:tcPr>
                  <w:tcW w:w="368" w:type="pct"/>
                  <w:vAlign w:val="center"/>
                </w:tcPr>
                <w:p w14:paraId="13AB9AA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3</w:t>
                  </w:r>
                </w:p>
              </w:tc>
              <w:tc>
                <w:tcPr>
                  <w:tcW w:w="1511" w:type="dxa"/>
                  <w:vAlign w:val="center"/>
                </w:tcPr>
                <w:p w14:paraId="6CFC4005">
                  <w:pPr>
                    <w:pStyle w:val="46"/>
                    <w:spacing w:before="1" w:line="251" w:lineRule="exact"/>
                    <w:ind w:left="110" w:right="97"/>
                    <w:jc w:val="center"/>
                    <w:rPr>
                      <w:rFonts w:hint="default" w:ascii="Times New Roman" w:hAnsi="Times New Roman" w:eastAsia="宋体" w:cs="Times New Roman"/>
                      <w:iCs/>
                      <w:color w:val="auto"/>
                      <w:sz w:val="21"/>
                      <w:lang w:eastAsia="zh-CN"/>
                    </w:rPr>
                  </w:pPr>
                  <w:r>
                    <w:rPr>
                      <w:rFonts w:hint="default" w:ascii="Times New Roman" w:hAnsi="Times New Roman" w:eastAsia="宋体" w:cs="Times New Roman"/>
                      <w:snapToGrid/>
                      <w:color w:val="auto"/>
                      <w:kern w:val="2"/>
                      <w:sz w:val="21"/>
                      <w:lang w:eastAsia="zh-CN"/>
                    </w:rPr>
                    <w:t>压路机</w:t>
                  </w:r>
                </w:p>
              </w:tc>
              <w:tc>
                <w:tcPr>
                  <w:tcW w:w="903" w:type="dxa"/>
                  <w:vAlign w:val="center"/>
                </w:tcPr>
                <w:p w14:paraId="0E815502">
                  <w:pPr>
                    <w:pStyle w:val="46"/>
                    <w:spacing w:before="1"/>
                    <w:ind w:left="79" w:right="63"/>
                    <w:jc w:val="center"/>
                    <w:rPr>
                      <w:rFonts w:hint="default" w:ascii="Times New Roman" w:hAnsi="Times New Roman" w:eastAsia="宋体" w:cs="Times New Roman"/>
                      <w:iCs/>
                      <w:color w:val="auto"/>
                      <w:sz w:val="21"/>
                      <w:lang w:eastAsia="zh-CN"/>
                    </w:rPr>
                  </w:pPr>
                  <w:r>
                    <w:rPr>
                      <w:rFonts w:hint="default" w:ascii="Times New Roman" w:hAnsi="Times New Roman" w:eastAsia="宋体" w:cs="Times New Roman"/>
                      <w:iCs/>
                      <w:color w:val="auto"/>
                      <w:sz w:val="21"/>
                      <w:lang w:eastAsia="zh-CN"/>
                    </w:rPr>
                    <w:t>70</w:t>
                  </w:r>
                </w:p>
              </w:tc>
              <w:tc>
                <w:tcPr>
                  <w:tcW w:w="586" w:type="pct"/>
                  <w:vAlign w:val="center"/>
                </w:tcPr>
                <w:p w14:paraId="7B505DA5">
                  <w:pPr>
                    <w:pStyle w:val="46"/>
                    <w:spacing w:before="1"/>
                    <w:ind w:left="63" w:right="51"/>
                    <w:jc w:val="center"/>
                    <w:rPr>
                      <w:rFonts w:hint="default" w:ascii="Times New Roman" w:hAnsi="Times New Roman" w:eastAsia="宋体" w:cs="Times New Roman"/>
                      <w:iCs/>
                      <w:color w:val="auto"/>
                      <w:sz w:val="21"/>
                      <w:lang w:eastAsia="zh-CN"/>
                    </w:rPr>
                  </w:pPr>
                  <w:r>
                    <w:rPr>
                      <w:rFonts w:hint="default" w:ascii="Times New Roman" w:hAnsi="Times New Roman" w:eastAsia="宋体" w:cs="Times New Roman"/>
                      <w:iCs/>
                      <w:color w:val="auto"/>
                      <w:sz w:val="21"/>
                      <w:lang w:eastAsia="zh-CN"/>
                    </w:rPr>
                    <w:t>61</w:t>
                  </w:r>
                </w:p>
              </w:tc>
              <w:tc>
                <w:tcPr>
                  <w:tcW w:w="546" w:type="pct"/>
                  <w:vAlign w:val="center"/>
                </w:tcPr>
                <w:p w14:paraId="10AAECE9">
                  <w:pPr>
                    <w:pStyle w:val="46"/>
                    <w:spacing w:before="1"/>
                    <w:ind w:left="92" w:right="79"/>
                    <w:jc w:val="center"/>
                    <w:rPr>
                      <w:rFonts w:hint="default" w:ascii="Times New Roman" w:hAnsi="Times New Roman" w:eastAsia="宋体" w:cs="Times New Roman"/>
                      <w:iCs/>
                      <w:color w:val="auto"/>
                      <w:sz w:val="21"/>
                      <w:lang w:eastAsia="zh-CN"/>
                    </w:rPr>
                  </w:pPr>
                  <w:r>
                    <w:rPr>
                      <w:rFonts w:hint="default" w:ascii="Times New Roman" w:hAnsi="Times New Roman" w:eastAsia="宋体" w:cs="Times New Roman"/>
                      <w:iCs/>
                      <w:color w:val="auto"/>
                      <w:sz w:val="21"/>
                      <w:lang w:eastAsia="zh-CN"/>
                    </w:rPr>
                    <w:t>50</w:t>
                  </w:r>
                </w:p>
              </w:tc>
              <w:tc>
                <w:tcPr>
                  <w:tcW w:w="552" w:type="pct"/>
                  <w:vAlign w:val="center"/>
                </w:tcPr>
                <w:p w14:paraId="33C2713D">
                  <w:pPr>
                    <w:pStyle w:val="46"/>
                    <w:spacing w:before="1"/>
                    <w:ind w:left="74" w:right="59"/>
                    <w:jc w:val="center"/>
                    <w:rPr>
                      <w:rFonts w:hint="default" w:ascii="Times New Roman" w:hAnsi="Times New Roman" w:eastAsia="宋体" w:cs="Times New Roman"/>
                      <w:iCs/>
                      <w:color w:val="auto"/>
                      <w:sz w:val="21"/>
                      <w:lang w:eastAsia="zh-CN"/>
                    </w:rPr>
                  </w:pPr>
                  <w:r>
                    <w:rPr>
                      <w:rFonts w:hint="default" w:ascii="Times New Roman" w:hAnsi="Times New Roman" w:eastAsia="宋体" w:cs="Times New Roman"/>
                      <w:iCs/>
                      <w:color w:val="auto"/>
                      <w:sz w:val="21"/>
                      <w:lang w:eastAsia="zh-CN"/>
                    </w:rPr>
                    <w:t>42</w:t>
                  </w:r>
                </w:p>
              </w:tc>
              <w:tc>
                <w:tcPr>
                  <w:tcW w:w="513" w:type="pct"/>
                  <w:vAlign w:val="center"/>
                </w:tcPr>
                <w:p w14:paraId="2ED76762">
                  <w:pPr>
                    <w:pStyle w:val="46"/>
                    <w:spacing w:before="1"/>
                    <w:ind w:left="60" w:right="46"/>
                    <w:jc w:val="center"/>
                    <w:rPr>
                      <w:rFonts w:hint="default" w:ascii="Times New Roman" w:hAnsi="Times New Roman" w:eastAsia="宋体" w:cs="Times New Roman"/>
                      <w:iCs/>
                      <w:color w:val="auto"/>
                      <w:sz w:val="21"/>
                      <w:lang w:eastAsia="zh-CN"/>
                    </w:rPr>
                  </w:pPr>
                  <w:r>
                    <w:rPr>
                      <w:rFonts w:hint="default" w:ascii="Times New Roman" w:hAnsi="Times New Roman" w:eastAsia="宋体" w:cs="Times New Roman"/>
                      <w:iCs/>
                      <w:color w:val="auto"/>
                      <w:sz w:val="21"/>
                      <w:lang w:eastAsia="zh-CN"/>
                    </w:rPr>
                    <w:t>35</w:t>
                  </w:r>
                </w:p>
              </w:tc>
              <w:tc>
                <w:tcPr>
                  <w:tcW w:w="488" w:type="pct"/>
                  <w:vAlign w:val="center"/>
                </w:tcPr>
                <w:p w14:paraId="4B0D7828">
                  <w:pPr>
                    <w:jc w:val="center"/>
                    <w:rPr>
                      <w:rFonts w:hint="default" w:ascii="Times New Roman" w:hAnsi="Times New Roman" w:eastAsia="宋体" w:cs="Times New Roman"/>
                      <w:iCs/>
                      <w:color w:val="auto"/>
                    </w:rPr>
                  </w:pPr>
                  <w:r>
                    <w:rPr>
                      <w:rFonts w:hint="default" w:ascii="Times New Roman" w:hAnsi="Times New Roman" w:eastAsia="宋体" w:cs="Times New Roman"/>
                      <w:iCs/>
                      <w:color w:val="auto"/>
                    </w:rPr>
                    <w:t>26</w:t>
                  </w:r>
                </w:p>
              </w:tc>
              <w:tc>
                <w:tcPr>
                  <w:tcW w:w="474" w:type="pct"/>
                  <w:vAlign w:val="center"/>
                </w:tcPr>
                <w:p w14:paraId="7F9E4E25">
                  <w:pPr>
                    <w:jc w:val="center"/>
                    <w:rPr>
                      <w:rFonts w:hint="default" w:ascii="Times New Roman" w:hAnsi="Times New Roman" w:eastAsia="宋体" w:cs="Times New Roman"/>
                      <w:iCs/>
                      <w:color w:val="auto"/>
                    </w:rPr>
                  </w:pPr>
                  <w:r>
                    <w:rPr>
                      <w:rFonts w:hint="default" w:ascii="Times New Roman" w:hAnsi="Times New Roman" w:eastAsia="宋体" w:cs="Times New Roman"/>
                      <w:iCs/>
                      <w:color w:val="auto"/>
                    </w:rPr>
                    <w:t>24</w:t>
                  </w:r>
                </w:p>
              </w:tc>
            </w:tr>
            <w:tr w14:paraId="6806B202">
              <w:tblPrEx>
                <w:tblBorders>
                  <w:top w:val="single" w:color="auto" w:sz="12" w:space="0"/>
                  <w:left w:val="none" w:color="auto" w:sz="0" w:space="0"/>
                  <w:bottom w:val="single" w:color="auto"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71" w:hRule="atLeast"/>
                <w:jc w:val="center"/>
              </w:trPr>
              <w:tc>
                <w:tcPr>
                  <w:tcW w:w="368" w:type="pct"/>
                  <w:vAlign w:val="center"/>
                </w:tcPr>
                <w:p w14:paraId="13E177F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4</w:t>
                  </w:r>
                </w:p>
              </w:tc>
              <w:tc>
                <w:tcPr>
                  <w:tcW w:w="1511" w:type="dxa"/>
                  <w:vAlign w:val="center"/>
                </w:tcPr>
                <w:p w14:paraId="3EC3303E">
                  <w:pPr>
                    <w:pStyle w:val="46"/>
                    <w:spacing w:line="252" w:lineRule="exact"/>
                    <w:ind w:left="107" w:right="97"/>
                    <w:jc w:val="center"/>
                    <w:rPr>
                      <w:rFonts w:hint="default" w:ascii="Times New Roman" w:hAnsi="Times New Roman" w:eastAsia="宋体" w:cs="Times New Roman"/>
                      <w:iCs/>
                      <w:color w:val="auto"/>
                      <w:sz w:val="21"/>
                      <w:lang w:eastAsia="zh-CN"/>
                    </w:rPr>
                  </w:pPr>
                  <w:r>
                    <w:rPr>
                      <w:rFonts w:hint="default" w:ascii="Times New Roman" w:hAnsi="Times New Roman" w:eastAsia="宋体" w:cs="Times New Roman"/>
                      <w:snapToGrid/>
                      <w:color w:val="auto"/>
                      <w:kern w:val="2"/>
                      <w:sz w:val="21"/>
                      <w:lang w:eastAsia="zh-CN"/>
                    </w:rPr>
                    <w:t>推土机</w:t>
                  </w:r>
                </w:p>
              </w:tc>
              <w:tc>
                <w:tcPr>
                  <w:tcW w:w="903" w:type="dxa"/>
                  <w:vAlign w:val="center"/>
                </w:tcPr>
                <w:p w14:paraId="0AF88411">
                  <w:pPr>
                    <w:pStyle w:val="46"/>
                    <w:spacing w:line="240" w:lineRule="exact"/>
                    <w:ind w:left="79" w:right="63"/>
                    <w:jc w:val="center"/>
                    <w:rPr>
                      <w:rFonts w:hint="default" w:ascii="Times New Roman" w:hAnsi="Times New Roman" w:eastAsia="宋体" w:cs="Times New Roman"/>
                      <w:iCs/>
                      <w:color w:val="auto"/>
                      <w:sz w:val="21"/>
                      <w:lang w:eastAsia="zh-CN"/>
                    </w:rPr>
                  </w:pPr>
                  <w:r>
                    <w:rPr>
                      <w:rFonts w:hint="default" w:ascii="Times New Roman" w:hAnsi="Times New Roman" w:eastAsia="宋体" w:cs="Times New Roman"/>
                      <w:iCs/>
                      <w:color w:val="auto"/>
                      <w:sz w:val="21"/>
                      <w:lang w:eastAsia="zh-CN"/>
                    </w:rPr>
                    <w:t>85</w:t>
                  </w:r>
                </w:p>
              </w:tc>
              <w:tc>
                <w:tcPr>
                  <w:tcW w:w="586" w:type="pct"/>
                  <w:vAlign w:val="center"/>
                </w:tcPr>
                <w:p w14:paraId="5FC5785F">
                  <w:pPr>
                    <w:pStyle w:val="46"/>
                    <w:spacing w:line="240" w:lineRule="exact"/>
                    <w:ind w:left="63" w:right="51"/>
                    <w:jc w:val="center"/>
                    <w:rPr>
                      <w:rFonts w:hint="default" w:ascii="Times New Roman" w:hAnsi="Times New Roman" w:eastAsia="宋体" w:cs="Times New Roman"/>
                      <w:iCs/>
                      <w:color w:val="auto"/>
                      <w:sz w:val="21"/>
                      <w:lang w:eastAsia="zh-CN"/>
                    </w:rPr>
                  </w:pPr>
                  <w:r>
                    <w:rPr>
                      <w:rFonts w:hint="default" w:ascii="Times New Roman" w:hAnsi="Times New Roman" w:eastAsia="宋体" w:cs="Times New Roman"/>
                      <w:iCs/>
                      <w:color w:val="auto"/>
                      <w:sz w:val="21"/>
                      <w:lang w:eastAsia="zh-CN"/>
                    </w:rPr>
                    <w:t>70</w:t>
                  </w:r>
                </w:p>
              </w:tc>
              <w:tc>
                <w:tcPr>
                  <w:tcW w:w="546" w:type="pct"/>
                  <w:vAlign w:val="center"/>
                </w:tcPr>
                <w:p w14:paraId="6A58373C">
                  <w:pPr>
                    <w:pStyle w:val="46"/>
                    <w:spacing w:line="240" w:lineRule="exact"/>
                    <w:ind w:left="92" w:right="79"/>
                    <w:jc w:val="center"/>
                    <w:rPr>
                      <w:rFonts w:hint="default" w:ascii="Times New Roman" w:hAnsi="Times New Roman" w:eastAsia="宋体" w:cs="Times New Roman"/>
                      <w:iCs/>
                      <w:color w:val="auto"/>
                      <w:sz w:val="21"/>
                      <w:lang w:eastAsia="zh-CN"/>
                    </w:rPr>
                  </w:pPr>
                  <w:r>
                    <w:rPr>
                      <w:rFonts w:hint="default" w:ascii="Times New Roman" w:hAnsi="Times New Roman" w:eastAsia="宋体" w:cs="Times New Roman"/>
                      <w:iCs/>
                      <w:color w:val="auto"/>
                      <w:sz w:val="21"/>
                      <w:lang w:eastAsia="zh-CN"/>
                    </w:rPr>
                    <w:t>63</w:t>
                  </w:r>
                </w:p>
              </w:tc>
              <w:tc>
                <w:tcPr>
                  <w:tcW w:w="552" w:type="pct"/>
                  <w:vAlign w:val="center"/>
                </w:tcPr>
                <w:p w14:paraId="70D30670">
                  <w:pPr>
                    <w:pStyle w:val="46"/>
                    <w:spacing w:line="240" w:lineRule="exact"/>
                    <w:ind w:left="74" w:right="59"/>
                    <w:jc w:val="center"/>
                    <w:rPr>
                      <w:rFonts w:hint="default" w:ascii="Times New Roman" w:hAnsi="Times New Roman" w:eastAsia="宋体" w:cs="Times New Roman"/>
                      <w:iCs/>
                      <w:color w:val="auto"/>
                      <w:sz w:val="21"/>
                      <w:lang w:eastAsia="zh-CN"/>
                    </w:rPr>
                  </w:pPr>
                  <w:r>
                    <w:rPr>
                      <w:rFonts w:hint="default" w:ascii="Times New Roman" w:hAnsi="Times New Roman" w:eastAsia="宋体" w:cs="Times New Roman"/>
                      <w:iCs/>
                      <w:color w:val="auto"/>
                      <w:sz w:val="21"/>
                      <w:lang w:eastAsia="zh-CN"/>
                    </w:rPr>
                    <w:t>52</w:t>
                  </w:r>
                </w:p>
              </w:tc>
              <w:tc>
                <w:tcPr>
                  <w:tcW w:w="513" w:type="pct"/>
                  <w:vAlign w:val="center"/>
                </w:tcPr>
                <w:p w14:paraId="2A72172C">
                  <w:pPr>
                    <w:pStyle w:val="46"/>
                    <w:spacing w:line="240" w:lineRule="exact"/>
                    <w:ind w:left="60" w:right="46"/>
                    <w:jc w:val="center"/>
                    <w:rPr>
                      <w:rFonts w:hint="default" w:ascii="Times New Roman" w:hAnsi="Times New Roman" w:eastAsia="宋体" w:cs="Times New Roman"/>
                      <w:iCs/>
                      <w:color w:val="auto"/>
                      <w:sz w:val="21"/>
                      <w:lang w:eastAsia="zh-CN"/>
                    </w:rPr>
                  </w:pPr>
                  <w:r>
                    <w:rPr>
                      <w:rFonts w:hint="default" w:ascii="Times New Roman" w:hAnsi="Times New Roman" w:eastAsia="宋体" w:cs="Times New Roman"/>
                      <w:iCs/>
                      <w:color w:val="auto"/>
                      <w:sz w:val="21"/>
                      <w:lang w:eastAsia="zh-CN"/>
                    </w:rPr>
                    <w:t>45</w:t>
                  </w:r>
                </w:p>
              </w:tc>
              <w:tc>
                <w:tcPr>
                  <w:tcW w:w="488" w:type="pct"/>
                  <w:vAlign w:val="center"/>
                </w:tcPr>
                <w:p w14:paraId="6424C9AC">
                  <w:pPr>
                    <w:jc w:val="center"/>
                    <w:rPr>
                      <w:rFonts w:hint="default" w:ascii="Times New Roman" w:hAnsi="Times New Roman" w:eastAsia="宋体" w:cs="Times New Roman"/>
                      <w:iCs/>
                      <w:color w:val="auto"/>
                    </w:rPr>
                  </w:pPr>
                  <w:r>
                    <w:rPr>
                      <w:rFonts w:hint="default" w:ascii="Times New Roman" w:hAnsi="Times New Roman" w:eastAsia="宋体" w:cs="Times New Roman"/>
                      <w:iCs/>
                      <w:color w:val="auto"/>
                    </w:rPr>
                    <w:t>40</w:t>
                  </w:r>
                </w:p>
              </w:tc>
              <w:tc>
                <w:tcPr>
                  <w:tcW w:w="474" w:type="pct"/>
                  <w:vAlign w:val="center"/>
                </w:tcPr>
                <w:p w14:paraId="782B32AE">
                  <w:pPr>
                    <w:jc w:val="center"/>
                    <w:rPr>
                      <w:rFonts w:hint="default" w:ascii="Times New Roman" w:hAnsi="Times New Roman" w:eastAsia="宋体" w:cs="Times New Roman"/>
                      <w:iCs/>
                      <w:color w:val="auto"/>
                    </w:rPr>
                  </w:pPr>
                  <w:r>
                    <w:rPr>
                      <w:rFonts w:hint="default" w:ascii="Times New Roman" w:hAnsi="Times New Roman" w:eastAsia="宋体" w:cs="Times New Roman"/>
                      <w:iCs/>
                      <w:color w:val="auto"/>
                    </w:rPr>
                    <w:t>38</w:t>
                  </w:r>
                </w:p>
              </w:tc>
            </w:tr>
            <w:tr w14:paraId="1AA18672">
              <w:tblPrEx>
                <w:tblBorders>
                  <w:top w:val="single" w:color="auto" w:sz="12" w:space="0"/>
                  <w:left w:val="none" w:color="auto" w:sz="0" w:space="0"/>
                  <w:bottom w:val="single" w:color="auto"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54" w:hRule="atLeast"/>
                <w:jc w:val="center"/>
              </w:trPr>
              <w:tc>
                <w:tcPr>
                  <w:tcW w:w="368" w:type="pct"/>
                  <w:vAlign w:val="center"/>
                </w:tcPr>
                <w:p w14:paraId="461417A5">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5</w:t>
                  </w:r>
                </w:p>
              </w:tc>
              <w:tc>
                <w:tcPr>
                  <w:tcW w:w="1511" w:type="dxa"/>
                  <w:vAlign w:val="center"/>
                </w:tcPr>
                <w:p w14:paraId="634D54D2">
                  <w:pPr>
                    <w:pStyle w:val="46"/>
                    <w:spacing w:line="252" w:lineRule="exact"/>
                    <w:ind w:left="110" w:right="97"/>
                    <w:jc w:val="center"/>
                    <w:rPr>
                      <w:rFonts w:hint="default" w:ascii="Times New Roman" w:hAnsi="Times New Roman" w:eastAsia="宋体" w:cs="Times New Roman"/>
                      <w:iCs/>
                      <w:color w:val="auto"/>
                      <w:sz w:val="21"/>
                      <w:lang w:eastAsia="zh-CN"/>
                    </w:rPr>
                  </w:pPr>
                  <w:r>
                    <w:rPr>
                      <w:rFonts w:hint="default" w:ascii="Times New Roman" w:hAnsi="Times New Roman" w:eastAsia="宋体" w:cs="Times New Roman"/>
                      <w:snapToGrid/>
                      <w:color w:val="auto"/>
                      <w:kern w:val="2"/>
                      <w:sz w:val="21"/>
                      <w:lang w:eastAsia="zh-CN"/>
                    </w:rPr>
                    <w:t>打桩机</w:t>
                  </w:r>
                </w:p>
              </w:tc>
              <w:tc>
                <w:tcPr>
                  <w:tcW w:w="903" w:type="dxa"/>
                  <w:vAlign w:val="center"/>
                </w:tcPr>
                <w:p w14:paraId="71264C07">
                  <w:pPr>
                    <w:pStyle w:val="46"/>
                    <w:ind w:left="79" w:right="63"/>
                    <w:jc w:val="center"/>
                    <w:rPr>
                      <w:rFonts w:hint="default" w:ascii="Times New Roman" w:hAnsi="Times New Roman" w:eastAsia="宋体" w:cs="Times New Roman"/>
                      <w:iCs/>
                      <w:color w:val="auto"/>
                      <w:sz w:val="21"/>
                      <w:lang w:eastAsia="zh-CN"/>
                    </w:rPr>
                  </w:pPr>
                  <w:r>
                    <w:rPr>
                      <w:rFonts w:hint="default" w:ascii="Times New Roman" w:hAnsi="Times New Roman" w:eastAsia="宋体" w:cs="Times New Roman"/>
                      <w:iCs/>
                      <w:color w:val="auto"/>
                      <w:sz w:val="21"/>
                      <w:lang w:eastAsia="zh-CN"/>
                    </w:rPr>
                    <w:t>90</w:t>
                  </w:r>
                </w:p>
              </w:tc>
              <w:tc>
                <w:tcPr>
                  <w:tcW w:w="586" w:type="pct"/>
                  <w:vAlign w:val="center"/>
                </w:tcPr>
                <w:p w14:paraId="41BDDA88">
                  <w:pPr>
                    <w:pStyle w:val="46"/>
                    <w:ind w:left="63" w:right="51"/>
                    <w:jc w:val="center"/>
                    <w:rPr>
                      <w:rFonts w:hint="default" w:ascii="Times New Roman" w:hAnsi="Times New Roman" w:eastAsia="宋体" w:cs="Times New Roman"/>
                      <w:iCs/>
                      <w:color w:val="auto"/>
                      <w:sz w:val="21"/>
                      <w:lang w:eastAsia="zh-CN"/>
                    </w:rPr>
                  </w:pPr>
                  <w:r>
                    <w:rPr>
                      <w:rFonts w:hint="default" w:ascii="Times New Roman" w:hAnsi="Times New Roman" w:eastAsia="宋体" w:cs="Times New Roman"/>
                      <w:iCs/>
                      <w:color w:val="auto"/>
                      <w:sz w:val="21"/>
                      <w:lang w:eastAsia="zh-CN"/>
                    </w:rPr>
                    <w:t>78</w:t>
                  </w:r>
                </w:p>
              </w:tc>
              <w:tc>
                <w:tcPr>
                  <w:tcW w:w="546" w:type="pct"/>
                  <w:vAlign w:val="center"/>
                </w:tcPr>
                <w:p w14:paraId="6FA7FD07">
                  <w:pPr>
                    <w:pStyle w:val="46"/>
                    <w:ind w:left="92" w:right="79"/>
                    <w:jc w:val="center"/>
                    <w:rPr>
                      <w:rFonts w:hint="default" w:ascii="Times New Roman" w:hAnsi="Times New Roman" w:eastAsia="宋体" w:cs="Times New Roman"/>
                      <w:iCs/>
                      <w:color w:val="auto"/>
                      <w:sz w:val="21"/>
                      <w:lang w:eastAsia="zh-CN"/>
                    </w:rPr>
                  </w:pPr>
                  <w:r>
                    <w:rPr>
                      <w:rFonts w:hint="default" w:ascii="Times New Roman" w:hAnsi="Times New Roman" w:eastAsia="宋体" w:cs="Times New Roman"/>
                      <w:iCs/>
                      <w:color w:val="auto"/>
                      <w:sz w:val="21"/>
                      <w:lang w:eastAsia="zh-CN"/>
                    </w:rPr>
                    <w:t>65</w:t>
                  </w:r>
                </w:p>
              </w:tc>
              <w:tc>
                <w:tcPr>
                  <w:tcW w:w="552" w:type="pct"/>
                  <w:vAlign w:val="center"/>
                </w:tcPr>
                <w:p w14:paraId="108BD9DB">
                  <w:pPr>
                    <w:pStyle w:val="46"/>
                    <w:ind w:left="74" w:right="59"/>
                    <w:jc w:val="center"/>
                    <w:rPr>
                      <w:rFonts w:hint="default" w:ascii="Times New Roman" w:hAnsi="Times New Roman" w:eastAsia="宋体" w:cs="Times New Roman"/>
                      <w:iCs/>
                      <w:color w:val="auto"/>
                      <w:sz w:val="21"/>
                      <w:lang w:eastAsia="zh-CN"/>
                    </w:rPr>
                  </w:pPr>
                  <w:r>
                    <w:rPr>
                      <w:rFonts w:hint="default" w:ascii="Times New Roman" w:hAnsi="Times New Roman" w:eastAsia="宋体" w:cs="Times New Roman"/>
                      <w:iCs/>
                      <w:color w:val="auto"/>
                      <w:sz w:val="21"/>
                      <w:lang w:eastAsia="zh-CN"/>
                    </w:rPr>
                    <w:t>57</w:t>
                  </w:r>
                </w:p>
              </w:tc>
              <w:tc>
                <w:tcPr>
                  <w:tcW w:w="513" w:type="pct"/>
                  <w:vAlign w:val="center"/>
                </w:tcPr>
                <w:p w14:paraId="10F5A232">
                  <w:pPr>
                    <w:pStyle w:val="46"/>
                    <w:ind w:left="60" w:right="46"/>
                    <w:jc w:val="center"/>
                    <w:rPr>
                      <w:rFonts w:hint="default" w:ascii="Times New Roman" w:hAnsi="Times New Roman" w:eastAsia="宋体" w:cs="Times New Roman"/>
                      <w:iCs/>
                      <w:color w:val="auto"/>
                      <w:sz w:val="21"/>
                      <w:lang w:eastAsia="zh-CN"/>
                    </w:rPr>
                  </w:pPr>
                  <w:r>
                    <w:rPr>
                      <w:rFonts w:hint="default" w:ascii="Times New Roman" w:hAnsi="Times New Roman" w:eastAsia="宋体" w:cs="Times New Roman"/>
                      <w:iCs/>
                      <w:color w:val="auto"/>
                      <w:sz w:val="21"/>
                      <w:lang w:eastAsia="zh-CN"/>
                    </w:rPr>
                    <w:t>50</w:t>
                  </w:r>
                </w:p>
              </w:tc>
              <w:tc>
                <w:tcPr>
                  <w:tcW w:w="488" w:type="pct"/>
                  <w:vAlign w:val="center"/>
                </w:tcPr>
                <w:p w14:paraId="1D9CAA6C">
                  <w:pPr>
                    <w:jc w:val="center"/>
                    <w:rPr>
                      <w:rFonts w:hint="default" w:ascii="Times New Roman" w:hAnsi="Times New Roman" w:eastAsia="宋体" w:cs="Times New Roman"/>
                      <w:iCs/>
                      <w:color w:val="auto"/>
                    </w:rPr>
                  </w:pPr>
                  <w:r>
                    <w:rPr>
                      <w:rFonts w:hint="default" w:ascii="Times New Roman" w:hAnsi="Times New Roman" w:eastAsia="宋体" w:cs="Times New Roman"/>
                      <w:iCs/>
                      <w:color w:val="auto"/>
                    </w:rPr>
                    <w:t>46</w:t>
                  </w:r>
                </w:p>
              </w:tc>
              <w:tc>
                <w:tcPr>
                  <w:tcW w:w="474" w:type="pct"/>
                  <w:vAlign w:val="center"/>
                </w:tcPr>
                <w:p w14:paraId="18DACF50">
                  <w:pPr>
                    <w:jc w:val="center"/>
                    <w:rPr>
                      <w:rFonts w:hint="default" w:ascii="Times New Roman" w:hAnsi="Times New Roman" w:eastAsia="宋体" w:cs="Times New Roman"/>
                      <w:iCs/>
                      <w:color w:val="auto"/>
                    </w:rPr>
                  </w:pPr>
                  <w:r>
                    <w:rPr>
                      <w:rFonts w:hint="default" w:ascii="Times New Roman" w:hAnsi="Times New Roman" w:eastAsia="宋体" w:cs="Times New Roman"/>
                      <w:iCs/>
                      <w:color w:val="auto"/>
                    </w:rPr>
                    <w:t>43</w:t>
                  </w:r>
                </w:p>
              </w:tc>
            </w:tr>
            <w:tr w14:paraId="58CBE4F3">
              <w:tblPrEx>
                <w:tblBorders>
                  <w:top w:val="single" w:color="auto" w:sz="12" w:space="0"/>
                  <w:left w:val="none" w:color="auto" w:sz="0" w:space="0"/>
                  <w:bottom w:val="single" w:color="auto"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38" w:hRule="atLeast"/>
                <w:jc w:val="center"/>
              </w:trPr>
              <w:tc>
                <w:tcPr>
                  <w:tcW w:w="368" w:type="pct"/>
                  <w:vAlign w:val="center"/>
                </w:tcPr>
                <w:p w14:paraId="2F94664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6</w:t>
                  </w:r>
                </w:p>
              </w:tc>
              <w:tc>
                <w:tcPr>
                  <w:tcW w:w="1511" w:type="dxa"/>
                  <w:vAlign w:val="center"/>
                </w:tcPr>
                <w:p w14:paraId="3314EB5C">
                  <w:pPr>
                    <w:pStyle w:val="46"/>
                    <w:spacing w:before="1" w:line="252" w:lineRule="exact"/>
                    <w:ind w:left="107" w:right="97"/>
                    <w:jc w:val="center"/>
                    <w:rPr>
                      <w:rFonts w:hint="default" w:ascii="Times New Roman" w:hAnsi="Times New Roman" w:eastAsia="宋体" w:cs="Times New Roman"/>
                      <w:iCs/>
                      <w:color w:val="auto"/>
                      <w:sz w:val="21"/>
                      <w:lang w:eastAsia="zh-CN"/>
                    </w:rPr>
                  </w:pPr>
                  <w:r>
                    <w:rPr>
                      <w:rFonts w:hint="default" w:ascii="Times New Roman" w:hAnsi="Times New Roman" w:eastAsia="宋体" w:cs="Times New Roman"/>
                      <w:snapToGrid/>
                      <w:color w:val="auto"/>
                      <w:kern w:val="2"/>
                      <w:sz w:val="21"/>
                      <w:lang w:eastAsia="zh-CN"/>
                    </w:rPr>
                    <w:t>自卸汽车</w:t>
                  </w:r>
                </w:p>
              </w:tc>
              <w:tc>
                <w:tcPr>
                  <w:tcW w:w="903" w:type="dxa"/>
                  <w:vAlign w:val="center"/>
                </w:tcPr>
                <w:p w14:paraId="3BA1DBE0">
                  <w:pPr>
                    <w:pStyle w:val="46"/>
                    <w:spacing w:before="1"/>
                    <w:ind w:left="79" w:right="63"/>
                    <w:jc w:val="center"/>
                    <w:rPr>
                      <w:rFonts w:hint="default" w:ascii="Times New Roman" w:hAnsi="Times New Roman" w:eastAsia="宋体" w:cs="Times New Roman"/>
                      <w:iCs/>
                      <w:color w:val="auto"/>
                      <w:sz w:val="21"/>
                      <w:lang w:eastAsia="zh-CN"/>
                    </w:rPr>
                  </w:pPr>
                  <w:r>
                    <w:rPr>
                      <w:rFonts w:hint="default" w:ascii="Times New Roman" w:hAnsi="Times New Roman" w:eastAsia="宋体" w:cs="Times New Roman"/>
                      <w:iCs/>
                      <w:color w:val="auto"/>
                      <w:sz w:val="21"/>
                      <w:lang w:eastAsia="zh-CN"/>
                    </w:rPr>
                    <w:t>70</w:t>
                  </w:r>
                </w:p>
              </w:tc>
              <w:tc>
                <w:tcPr>
                  <w:tcW w:w="586" w:type="pct"/>
                  <w:vAlign w:val="center"/>
                </w:tcPr>
                <w:p w14:paraId="2F8223E9">
                  <w:pPr>
                    <w:pStyle w:val="46"/>
                    <w:spacing w:before="1"/>
                    <w:ind w:left="63" w:right="51"/>
                    <w:jc w:val="center"/>
                    <w:rPr>
                      <w:rFonts w:hint="default" w:ascii="Times New Roman" w:hAnsi="Times New Roman" w:eastAsia="宋体" w:cs="Times New Roman"/>
                      <w:iCs/>
                      <w:color w:val="auto"/>
                      <w:sz w:val="21"/>
                      <w:lang w:eastAsia="zh-CN"/>
                    </w:rPr>
                  </w:pPr>
                  <w:r>
                    <w:rPr>
                      <w:rFonts w:hint="default" w:ascii="Times New Roman" w:hAnsi="Times New Roman" w:eastAsia="宋体" w:cs="Times New Roman"/>
                      <w:iCs/>
                      <w:color w:val="auto"/>
                      <w:sz w:val="21"/>
                      <w:lang w:eastAsia="zh-CN"/>
                    </w:rPr>
                    <w:t>66</w:t>
                  </w:r>
                </w:p>
              </w:tc>
              <w:tc>
                <w:tcPr>
                  <w:tcW w:w="546" w:type="pct"/>
                  <w:vAlign w:val="center"/>
                </w:tcPr>
                <w:p w14:paraId="56E3FE7D">
                  <w:pPr>
                    <w:pStyle w:val="46"/>
                    <w:spacing w:before="1"/>
                    <w:ind w:left="92" w:right="79"/>
                    <w:jc w:val="center"/>
                    <w:rPr>
                      <w:rFonts w:hint="default" w:ascii="Times New Roman" w:hAnsi="Times New Roman" w:eastAsia="宋体" w:cs="Times New Roman"/>
                      <w:iCs/>
                      <w:color w:val="auto"/>
                      <w:sz w:val="21"/>
                      <w:lang w:eastAsia="zh-CN"/>
                    </w:rPr>
                  </w:pPr>
                  <w:r>
                    <w:rPr>
                      <w:rFonts w:hint="default" w:ascii="Times New Roman" w:hAnsi="Times New Roman" w:eastAsia="宋体" w:cs="Times New Roman"/>
                      <w:iCs/>
                      <w:color w:val="auto"/>
                      <w:sz w:val="21"/>
                      <w:lang w:eastAsia="zh-CN"/>
                    </w:rPr>
                    <w:t>55</w:t>
                  </w:r>
                </w:p>
              </w:tc>
              <w:tc>
                <w:tcPr>
                  <w:tcW w:w="552" w:type="pct"/>
                  <w:vAlign w:val="center"/>
                </w:tcPr>
                <w:p w14:paraId="3624E2A3">
                  <w:pPr>
                    <w:pStyle w:val="46"/>
                    <w:spacing w:before="1"/>
                    <w:ind w:left="74" w:right="59"/>
                    <w:jc w:val="center"/>
                    <w:rPr>
                      <w:rFonts w:hint="default" w:ascii="Times New Roman" w:hAnsi="Times New Roman" w:eastAsia="宋体" w:cs="Times New Roman"/>
                      <w:iCs/>
                      <w:color w:val="auto"/>
                      <w:sz w:val="21"/>
                      <w:lang w:eastAsia="zh-CN"/>
                    </w:rPr>
                  </w:pPr>
                  <w:r>
                    <w:rPr>
                      <w:rFonts w:hint="default" w:ascii="Times New Roman" w:hAnsi="Times New Roman" w:eastAsia="宋体" w:cs="Times New Roman"/>
                      <w:iCs/>
                      <w:color w:val="auto"/>
                      <w:sz w:val="21"/>
                      <w:lang w:eastAsia="zh-CN"/>
                    </w:rPr>
                    <w:t>46</w:t>
                  </w:r>
                </w:p>
              </w:tc>
              <w:tc>
                <w:tcPr>
                  <w:tcW w:w="513" w:type="pct"/>
                  <w:vAlign w:val="center"/>
                </w:tcPr>
                <w:p w14:paraId="6E4B5A51">
                  <w:pPr>
                    <w:pStyle w:val="46"/>
                    <w:spacing w:before="1"/>
                    <w:ind w:left="60" w:right="46"/>
                    <w:jc w:val="center"/>
                    <w:rPr>
                      <w:rFonts w:hint="default" w:ascii="Times New Roman" w:hAnsi="Times New Roman" w:eastAsia="宋体" w:cs="Times New Roman"/>
                      <w:iCs/>
                      <w:color w:val="auto"/>
                      <w:sz w:val="21"/>
                      <w:lang w:eastAsia="zh-CN"/>
                    </w:rPr>
                  </w:pPr>
                  <w:r>
                    <w:rPr>
                      <w:rFonts w:hint="default" w:ascii="Times New Roman" w:hAnsi="Times New Roman" w:eastAsia="宋体" w:cs="Times New Roman"/>
                      <w:iCs/>
                      <w:color w:val="auto"/>
                      <w:sz w:val="21"/>
                      <w:lang w:eastAsia="zh-CN"/>
                    </w:rPr>
                    <w:t>40</w:t>
                  </w:r>
                </w:p>
              </w:tc>
              <w:tc>
                <w:tcPr>
                  <w:tcW w:w="488" w:type="pct"/>
                  <w:vAlign w:val="center"/>
                </w:tcPr>
                <w:p w14:paraId="28A28E8C">
                  <w:pPr>
                    <w:jc w:val="center"/>
                    <w:rPr>
                      <w:rFonts w:hint="default" w:ascii="Times New Roman" w:hAnsi="Times New Roman" w:eastAsia="宋体" w:cs="Times New Roman"/>
                      <w:iCs/>
                      <w:color w:val="auto"/>
                    </w:rPr>
                  </w:pPr>
                  <w:r>
                    <w:rPr>
                      <w:rFonts w:hint="default" w:ascii="Times New Roman" w:hAnsi="Times New Roman" w:eastAsia="宋体" w:cs="Times New Roman"/>
                      <w:iCs/>
                      <w:color w:val="auto"/>
                    </w:rPr>
                    <w:t>35</w:t>
                  </w:r>
                </w:p>
              </w:tc>
              <w:tc>
                <w:tcPr>
                  <w:tcW w:w="474" w:type="pct"/>
                  <w:vAlign w:val="center"/>
                </w:tcPr>
                <w:p w14:paraId="29B108A2">
                  <w:pPr>
                    <w:jc w:val="center"/>
                    <w:rPr>
                      <w:rFonts w:hint="default" w:ascii="Times New Roman" w:hAnsi="Times New Roman" w:eastAsia="宋体" w:cs="Times New Roman"/>
                      <w:iCs/>
                      <w:color w:val="auto"/>
                    </w:rPr>
                  </w:pPr>
                  <w:r>
                    <w:rPr>
                      <w:rFonts w:hint="default" w:ascii="Times New Roman" w:hAnsi="Times New Roman" w:eastAsia="宋体" w:cs="Times New Roman"/>
                      <w:iCs/>
                      <w:color w:val="auto"/>
                    </w:rPr>
                    <w:t>31</w:t>
                  </w:r>
                </w:p>
              </w:tc>
            </w:tr>
            <w:tr w14:paraId="4E41A4AA">
              <w:tblPrEx>
                <w:tblBorders>
                  <w:top w:val="single" w:color="auto" w:sz="12" w:space="0"/>
                  <w:left w:val="none" w:color="auto" w:sz="0" w:space="0"/>
                  <w:bottom w:val="single" w:color="auto"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32" w:hRule="atLeast"/>
                <w:jc w:val="center"/>
              </w:trPr>
              <w:tc>
                <w:tcPr>
                  <w:tcW w:w="368" w:type="pct"/>
                  <w:vAlign w:val="center"/>
                </w:tcPr>
                <w:p w14:paraId="42BF01FD">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7</w:t>
                  </w:r>
                </w:p>
              </w:tc>
              <w:tc>
                <w:tcPr>
                  <w:tcW w:w="1511" w:type="dxa"/>
                  <w:vAlign w:val="center"/>
                </w:tcPr>
                <w:p w14:paraId="59129EEF">
                  <w:pPr>
                    <w:pStyle w:val="46"/>
                    <w:spacing w:before="1" w:line="252" w:lineRule="exact"/>
                    <w:ind w:left="107" w:right="97"/>
                    <w:jc w:val="center"/>
                    <w:rPr>
                      <w:rFonts w:hint="default" w:ascii="Times New Roman" w:hAnsi="Times New Roman" w:eastAsia="宋体" w:cs="Times New Roman"/>
                      <w:iCs/>
                      <w:color w:val="auto"/>
                      <w:sz w:val="21"/>
                      <w:lang w:eastAsia="zh-CN"/>
                    </w:rPr>
                  </w:pPr>
                  <w:r>
                    <w:rPr>
                      <w:rFonts w:hint="default" w:ascii="Times New Roman" w:hAnsi="Times New Roman" w:eastAsia="宋体" w:cs="Times New Roman"/>
                      <w:color w:val="auto"/>
                      <w:sz w:val="21"/>
                      <w:lang w:eastAsia="zh-CN"/>
                    </w:rPr>
                    <w:t>电锯</w:t>
                  </w:r>
                </w:p>
              </w:tc>
              <w:tc>
                <w:tcPr>
                  <w:tcW w:w="903" w:type="dxa"/>
                  <w:vAlign w:val="center"/>
                </w:tcPr>
                <w:p w14:paraId="049C23DE">
                  <w:pPr>
                    <w:pStyle w:val="46"/>
                    <w:spacing w:before="1"/>
                    <w:ind w:left="79" w:right="63"/>
                    <w:jc w:val="center"/>
                    <w:rPr>
                      <w:rFonts w:hint="default" w:ascii="Times New Roman" w:hAnsi="Times New Roman" w:eastAsia="宋体" w:cs="Times New Roman"/>
                      <w:iCs/>
                      <w:color w:val="auto"/>
                      <w:sz w:val="21"/>
                      <w:lang w:eastAsia="zh-CN"/>
                    </w:rPr>
                  </w:pPr>
                  <w:r>
                    <w:rPr>
                      <w:rFonts w:hint="default" w:ascii="Times New Roman" w:hAnsi="Times New Roman" w:eastAsia="宋体" w:cs="Times New Roman"/>
                      <w:iCs/>
                      <w:color w:val="auto"/>
                      <w:sz w:val="21"/>
                      <w:lang w:eastAsia="zh-CN"/>
                    </w:rPr>
                    <w:t>85</w:t>
                  </w:r>
                </w:p>
              </w:tc>
              <w:tc>
                <w:tcPr>
                  <w:tcW w:w="586" w:type="pct"/>
                  <w:vAlign w:val="center"/>
                </w:tcPr>
                <w:p w14:paraId="50C2639D">
                  <w:pPr>
                    <w:pStyle w:val="46"/>
                    <w:spacing w:before="1"/>
                    <w:ind w:left="63" w:right="51"/>
                    <w:jc w:val="center"/>
                    <w:rPr>
                      <w:rFonts w:hint="default" w:ascii="Times New Roman" w:hAnsi="Times New Roman" w:eastAsia="宋体" w:cs="Times New Roman"/>
                      <w:iCs/>
                      <w:color w:val="auto"/>
                      <w:sz w:val="21"/>
                      <w:lang w:eastAsia="zh-CN"/>
                    </w:rPr>
                  </w:pPr>
                  <w:r>
                    <w:rPr>
                      <w:rFonts w:hint="default" w:ascii="Times New Roman" w:hAnsi="Times New Roman" w:eastAsia="宋体" w:cs="Times New Roman"/>
                      <w:iCs/>
                      <w:color w:val="auto"/>
                      <w:sz w:val="21"/>
                      <w:lang w:eastAsia="zh-CN"/>
                    </w:rPr>
                    <w:t>65</w:t>
                  </w:r>
                </w:p>
              </w:tc>
              <w:tc>
                <w:tcPr>
                  <w:tcW w:w="546" w:type="pct"/>
                  <w:vAlign w:val="center"/>
                </w:tcPr>
                <w:p w14:paraId="5B1E121E">
                  <w:pPr>
                    <w:pStyle w:val="46"/>
                    <w:spacing w:before="1"/>
                    <w:ind w:left="92" w:right="79"/>
                    <w:jc w:val="center"/>
                    <w:rPr>
                      <w:rFonts w:hint="default" w:ascii="Times New Roman" w:hAnsi="Times New Roman" w:eastAsia="宋体" w:cs="Times New Roman"/>
                      <w:iCs/>
                      <w:color w:val="auto"/>
                      <w:sz w:val="21"/>
                      <w:lang w:eastAsia="zh-CN"/>
                    </w:rPr>
                  </w:pPr>
                  <w:r>
                    <w:rPr>
                      <w:rFonts w:hint="default" w:ascii="Times New Roman" w:hAnsi="Times New Roman" w:eastAsia="宋体" w:cs="Times New Roman"/>
                      <w:iCs/>
                      <w:color w:val="auto"/>
                      <w:sz w:val="21"/>
                      <w:lang w:eastAsia="zh-CN"/>
                    </w:rPr>
                    <w:t>56</w:t>
                  </w:r>
                </w:p>
              </w:tc>
              <w:tc>
                <w:tcPr>
                  <w:tcW w:w="552" w:type="pct"/>
                  <w:vAlign w:val="center"/>
                </w:tcPr>
                <w:p w14:paraId="69108724">
                  <w:pPr>
                    <w:pStyle w:val="46"/>
                    <w:spacing w:before="1"/>
                    <w:ind w:left="74" w:right="59"/>
                    <w:jc w:val="center"/>
                    <w:rPr>
                      <w:rFonts w:hint="default" w:ascii="Times New Roman" w:hAnsi="Times New Roman" w:eastAsia="宋体" w:cs="Times New Roman"/>
                      <w:iCs/>
                      <w:color w:val="auto"/>
                      <w:sz w:val="21"/>
                      <w:lang w:eastAsia="zh-CN"/>
                    </w:rPr>
                  </w:pPr>
                  <w:r>
                    <w:rPr>
                      <w:rFonts w:hint="default" w:ascii="Times New Roman" w:hAnsi="Times New Roman" w:eastAsia="宋体" w:cs="Times New Roman"/>
                      <w:iCs/>
                      <w:color w:val="auto"/>
                      <w:sz w:val="21"/>
                      <w:lang w:eastAsia="zh-CN"/>
                    </w:rPr>
                    <w:t>45</w:t>
                  </w:r>
                </w:p>
              </w:tc>
              <w:tc>
                <w:tcPr>
                  <w:tcW w:w="513" w:type="pct"/>
                  <w:vAlign w:val="center"/>
                </w:tcPr>
                <w:p w14:paraId="4687C93E">
                  <w:pPr>
                    <w:pStyle w:val="46"/>
                    <w:spacing w:before="1"/>
                    <w:ind w:left="60" w:right="46"/>
                    <w:jc w:val="center"/>
                    <w:rPr>
                      <w:rFonts w:hint="default" w:ascii="Times New Roman" w:hAnsi="Times New Roman" w:eastAsia="宋体" w:cs="Times New Roman"/>
                      <w:iCs/>
                      <w:color w:val="auto"/>
                      <w:sz w:val="21"/>
                      <w:lang w:eastAsia="zh-CN"/>
                    </w:rPr>
                  </w:pPr>
                  <w:r>
                    <w:rPr>
                      <w:rFonts w:hint="default" w:ascii="Times New Roman" w:hAnsi="Times New Roman" w:eastAsia="宋体" w:cs="Times New Roman"/>
                      <w:iCs/>
                      <w:color w:val="auto"/>
                      <w:sz w:val="21"/>
                      <w:lang w:eastAsia="zh-CN"/>
                    </w:rPr>
                    <w:t>40</w:t>
                  </w:r>
                </w:p>
              </w:tc>
              <w:tc>
                <w:tcPr>
                  <w:tcW w:w="488" w:type="pct"/>
                  <w:vAlign w:val="center"/>
                </w:tcPr>
                <w:p w14:paraId="2941DDE2">
                  <w:pPr>
                    <w:jc w:val="center"/>
                    <w:rPr>
                      <w:rFonts w:hint="default" w:ascii="Times New Roman" w:hAnsi="Times New Roman" w:eastAsia="宋体" w:cs="Times New Roman"/>
                      <w:iCs/>
                      <w:color w:val="auto"/>
                    </w:rPr>
                  </w:pPr>
                  <w:r>
                    <w:rPr>
                      <w:rFonts w:hint="default" w:ascii="Times New Roman" w:hAnsi="Times New Roman" w:eastAsia="宋体" w:cs="Times New Roman"/>
                      <w:iCs/>
                      <w:color w:val="auto"/>
                    </w:rPr>
                    <w:t>36.5</w:t>
                  </w:r>
                </w:p>
              </w:tc>
              <w:tc>
                <w:tcPr>
                  <w:tcW w:w="474" w:type="pct"/>
                  <w:vAlign w:val="center"/>
                </w:tcPr>
                <w:p w14:paraId="70E083A6">
                  <w:pPr>
                    <w:jc w:val="center"/>
                    <w:rPr>
                      <w:rFonts w:hint="default" w:ascii="Times New Roman" w:hAnsi="Times New Roman" w:eastAsia="宋体" w:cs="Times New Roman"/>
                      <w:iCs/>
                      <w:color w:val="auto"/>
                    </w:rPr>
                  </w:pPr>
                  <w:r>
                    <w:rPr>
                      <w:rFonts w:hint="default" w:ascii="Times New Roman" w:hAnsi="Times New Roman" w:eastAsia="宋体" w:cs="Times New Roman"/>
                      <w:iCs/>
                      <w:color w:val="auto"/>
                    </w:rPr>
                    <w:t>34</w:t>
                  </w:r>
                </w:p>
              </w:tc>
            </w:tr>
            <w:tr w14:paraId="171F60F1">
              <w:tblPrEx>
                <w:tblBorders>
                  <w:top w:val="single" w:color="auto" w:sz="12" w:space="0"/>
                  <w:left w:val="none" w:color="auto" w:sz="0" w:space="0"/>
                  <w:bottom w:val="single" w:color="auto"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10" w:hRule="atLeast"/>
                <w:jc w:val="center"/>
              </w:trPr>
              <w:tc>
                <w:tcPr>
                  <w:tcW w:w="368" w:type="pct"/>
                  <w:vAlign w:val="center"/>
                </w:tcPr>
                <w:p w14:paraId="4B2F6570">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8</w:t>
                  </w:r>
                </w:p>
              </w:tc>
              <w:tc>
                <w:tcPr>
                  <w:tcW w:w="1511" w:type="dxa"/>
                  <w:vAlign w:val="center"/>
                </w:tcPr>
                <w:p w14:paraId="49E6A277">
                  <w:pPr>
                    <w:pStyle w:val="46"/>
                    <w:spacing w:before="1" w:line="252" w:lineRule="exact"/>
                    <w:ind w:left="107" w:right="97"/>
                    <w:jc w:val="center"/>
                    <w:rPr>
                      <w:rFonts w:hint="default" w:ascii="Times New Roman" w:hAnsi="Times New Roman" w:eastAsia="宋体" w:cs="Times New Roman"/>
                      <w:iCs/>
                      <w:color w:val="auto"/>
                      <w:sz w:val="21"/>
                      <w:lang w:eastAsia="zh-CN"/>
                    </w:rPr>
                  </w:pPr>
                  <w:r>
                    <w:rPr>
                      <w:rFonts w:hint="default" w:ascii="Times New Roman" w:hAnsi="Times New Roman" w:eastAsia="宋体" w:cs="Times New Roman"/>
                      <w:color w:val="auto"/>
                      <w:sz w:val="21"/>
                      <w:lang w:eastAsia="zh-CN"/>
                    </w:rPr>
                    <w:t>电锤</w:t>
                  </w:r>
                </w:p>
              </w:tc>
              <w:tc>
                <w:tcPr>
                  <w:tcW w:w="903" w:type="dxa"/>
                  <w:vAlign w:val="center"/>
                </w:tcPr>
                <w:p w14:paraId="2EF869E0">
                  <w:pPr>
                    <w:pStyle w:val="46"/>
                    <w:spacing w:before="1"/>
                    <w:ind w:left="79" w:right="63"/>
                    <w:jc w:val="center"/>
                    <w:rPr>
                      <w:rFonts w:hint="default" w:ascii="Times New Roman" w:hAnsi="Times New Roman" w:eastAsia="宋体" w:cs="Times New Roman"/>
                      <w:iCs/>
                      <w:color w:val="auto"/>
                      <w:sz w:val="21"/>
                      <w:lang w:eastAsia="zh-CN"/>
                    </w:rPr>
                  </w:pPr>
                  <w:r>
                    <w:rPr>
                      <w:rFonts w:hint="default" w:ascii="Times New Roman" w:hAnsi="Times New Roman" w:eastAsia="宋体" w:cs="Times New Roman"/>
                      <w:iCs/>
                      <w:color w:val="auto"/>
                      <w:sz w:val="21"/>
                      <w:lang w:eastAsia="zh-CN"/>
                    </w:rPr>
                    <w:t>90</w:t>
                  </w:r>
                </w:p>
              </w:tc>
              <w:tc>
                <w:tcPr>
                  <w:tcW w:w="586" w:type="pct"/>
                  <w:vAlign w:val="center"/>
                </w:tcPr>
                <w:p w14:paraId="2EACACAD">
                  <w:pPr>
                    <w:pStyle w:val="46"/>
                    <w:spacing w:before="1"/>
                    <w:ind w:left="63" w:right="51"/>
                    <w:jc w:val="center"/>
                    <w:rPr>
                      <w:rFonts w:hint="default" w:ascii="Times New Roman" w:hAnsi="Times New Roman" w:eastAsia="宋体" w:cs="Times New Roman"/>
                      <w:iCs/>
                      <w:color w:val="auto"/>
                      <w:sz w:val="21"/>
                      <w:lang w:eastAsia="zh-CN"/>
                    </w:rPr>
                  </w:pPr>
                  <w:r>
                    <w:rPr>
                      <w:rFonts w:hint="default" w:ascii="Times New Roman" w:hAnsi="Times New Roman" w:eastAsia="宋体" w:cs="Times New Roman"/>
                      <w:iCs/>
                      <w:color w:val="auto"/>
                      <w:sz w:val="21"/>
                      <w:lang w:eastAsia="zh-CN"/>
                    </w:rPr>
                    <w:t>59</w:t>
                  </w:r>
                </w:p>
              </w:tc>
              <w:tc>
                <w:tcPr>
                  <w:tcW w:w="546" w:type="pct"/>
                  <w:vAlign w:val="center"/>
                </w:tcPr>
                <w:p w14:paraId="349F933C">
                  <w:pPr>
                    <w:pStyle w:val="46"/>
                    <w:spacing w:before="1"/>
                    <w:ind w:left="92" w:right="79"/>
                    <w:jc w:val="center"/>
                    <w:rPr>
                      <w:rFonts w:hint="default" w:ascii="Times New Roman" w:hAnsi="Times New Roman" w:eastAsia="宋体" w:cs="Times New Roman"/>
                      <w:iCs/>
                      <w:color w:val="auto"/>
                      <w:sz w:val="21"/>
                      <w:lang w:eastAsia="zh-CN"/>
                    </w:rPr>
                  </w:pPr>
                  <w:r>
                    <w:rPr>
                      <w:rFonts w:hint="default" w:ascii="Times New Roman" w:hAnsi="Times New Roman" w:eastAsia="宋体" w:cs="Times New Roman"/>
                      <w:iCs/>
                      <w:color w:val="auto"/>
                      <w:sz w:val="21"/>
                      <w:lang w:eastAsia="zh-CN"/>
                    </w:rPr>
                    <w:t>46</w:t>
                  </w:r>
                </w:p>
              </w:tc>
              <w:tc>
                <w:tcPr>
                  <w:tcW w:w="552" w:type="pct"/>
                  <w:vAlign w:val="center"/>
                </w:tcPr>
                <w:p w14:paraId="277886AE">
                  <w:pPr>
                    <w:pStyle w:val="46"/>
                    <w:spacing w:before="1"/>
                    <w:ind w:left="74" w:right="59"/>
                    <w:jc w:val="center"/>
                    <w:rPr>
                      <w:rFonts w:hint="default" w:ascii="Times New Roman" w:hAnsi="Times New Roman" w:eastAsia="宋体" w:cs="Times New Roman"/>
                      <w:iCs/>
                      <w:color w:val="auto"/>
                      <w:sz w:val="21"/>
                      <w:lang w:eastAsia="zh-CN"/>
                    </w:rPr>
                  </w:pPr>
                  <w:r>
                    <w:rPr>
                      <w:rFonts w:hint="default" w:ascii="Times New Roman" w:hAnsi="Times New Roman" w:eastAsia="宋体" w:cs="Times New Roman"/>
                      <w:iCs/>
                      <w:color w:val="auto"/>
                      <w:sz w:val="21"/>
                      <w:lang w:eastAsia="zh-CN"/>
                    </w:rPr>
                    <w:t>38</w:t>
                  </w:r>
                </w:p>
              </w:tc>
              <w:tc>
                <w:tcPr>
                  <w:tcW w:w="513" w:type="pct"/>
                  <w:vAlign w:val="center"/>
                </w:tcPr>
                <w:p w14:paraId="2C434920">
                  <w:pPr>
                    <w:pStyle w:val="46"/>
                    <w:spacing w:before="1"/>
                    <w:ind w:left="60" w:right="46"/>
                    <w:jc w:val="center"/>
                    <w:rPr>
                      <w:rFonts w:hint="default" w:ascii="Times New Roman" w:hAnsi="Times New Roman" w:eastAsia="宋体" w:cs="Times New Roman"/>
                      <w:iCs/>
                      <w:color w:val="auto"/>
                      <w:sz w:val="21"/>
                      <w:lang w:eastAsia="zh-CN"/>
                    </w:rPr>
                  </w:pPr>
                  <w:r>
                    <w:rPr>
                      <w:rFonts w:hint="default" w:ascii="Times New Roman" w:hAnsi="Times New Roman" w:eastAsia="宋体" w:cs="Times New Roman"/>
                      <w:iCs/>
                      <w:color w:val="auto"/>
                      <w:sz w:val="21"/>
                      <w:lang w:eastAsia="zh-CN"/>
                    </w:rPr>
                    <w:t>30</w:t>
                  </w:r>
                </w:p>
              </w:tc>
              <w:tc>
                <w:tcPr>
                  <w:tcW w:w="488" w:type="pct"/>
                  <w:vAlign w:val="center"/>
                </w:tcPr>
                <w:p w14:paraId="00549D43">
                  <w:pPr>
                    <w:jc w:val="center"/>
                    <w:rPr>
                      <w:rFonts w:hint="default" w:ascii="Times New Roman" w:hAnsi="Times New Roman" w:eastAsia="宋体" w:cs="Times New Roman"/>
                      <w:iCs/>
                      <w:color w:val="auto"/>
                    </w:rPr>
                  </w:pPr>
                  <w:r>
                    <w:rPr>
                      <w:rFonts w:hint="default" w:ascii="Times New Roman" w:hAnsi="Times New Roman" w:eastAsia="宋体" w:cs="Times New Roman"/>
                      <w:iCs/>
                      <w:color w:val="auto"/>
                    </w:rPr>
                    <w:t>26</w:t>
                  </w:r>
                </w:p>
              </w:tc>
              <w:tc>
                <w:tcPr>
                  <w:tcW w:w="474" w:type="pct"/>
                  <w:vAlign w:val="center"/>
                </w:tcPr>
                <w:p w14:paraId="530E29A9">
                  <w:pPr>
                    <w:jc w:val="center"/>
                    <w:rPr>
                      <w:rFonts w:hint="default" w:ascii="Times New Roman" w:hAnsi="Times New Roman" w:eastAsia="宋体" w:cs="Times New Roman"/>
                      <w:iCs/>
                      <w:color w:val="auto"/>
                    </w:rPr>
                  </w:pPr>
                  <w:r>
                    <w:rPr>
                      <w:rFonts w:hint="default" w:ascii="Times New Roman" w:hAnsi="Times New Roman" w:eastAsia="宋体" w:cs="Times New Roman"/>
                      <w:iCs/>
                      <w:color w:val="auto"/>
                    </w:rPr>
                    <w:t>23</w:t>
                  </w:r>
                </w:p>
              </w:tc>
            </w:tr>
          </w:tbl>
          <w:p w14:paraId="74A46230">
            <w:pPr>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表4-5  多台施工机械设备同时运转的噪声预测值 单位：dB（A）</w:t>
            </w:r>
          </w:p>
          <w:tbl>
            <w:tblPr>
              <w:tblStyle w:val="33"/>
              <w:tblW w:w="822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36"/>
              <w:gridCol w:w="868"/>
              <w:gridCol w:w="868"/>
              <w:gridCol w:w="869"/>
              <w:gridCol w:w="869"/>
              <w:gridCol w:w="870"/>
              <w:gridCol w:w="870"/>
              <w:gridCol w:w="870"/>
            </w:tblGrid>
            <w:tr w14:paraId="773704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6" w:hRule="atLeast"/>
                <w:jc w:val="center"/>
              </w:trPr>
              <w:tc>
                <w:tcPr>
                  <w:tcW w:w="1764" w:type="dxa"/>
                  <w:vAlign w:val="center"/>
                </w:tcPr>
                <w:p w14:paraId="07E55FB9">
                  <w:pPr>
                    <w:spacing w:before="224"/>
                    <w:ind w:right="95"/>
                    <w:jc w:val="center"/>
                    <w:rPr>
                      <w:rFonts w:hint="default" w:ascii="Times New Roman" w:hAnsi="Times New Roman" w:eastAsia="宋体" w:cs="Times New Roman"/>
                      <w:iCs/>
                      <w:color w:val="auto"/>
                      <w:sz w:val="24"/>
                    </w:rPr>
                  </w:pPr>
                  <w:r>
                    <w:rPr>
                      <w:rFonts w:hint="default" w:ascii="Times New Roman" w:hAnsi="Times New Roman" w:eastAsia="宋体" w:cs="Times New Roman"/>
                      <w:iCs/>
                      <w:color w:val="auto"/>
                    </w:rPr>
                    <w:t>距离（m）</w:t>
                  </w:r>
                </w:p>
              </w:tc>
              <w:tc>
                <w:tcPr>
                  <w:tcW w:w="717" w:type="dxa"/>
                  <w:vAlign w:val="center"/>
                </w:tcPr>
                <w:p w14:paraId="2DDA17AA">
                  <w:pPr>
                    <w:spacing w:before="224"/>
                    <w:ind w:right="95"/>
                    <w:jc w:val="center"/>
                    <w:rPr>
                      <w:rFonts w:hint="default" w:ascii="Times New Roman" w:hAnsi="Times New Roman" w:eastAsia="宋体" w:cs="Times New Roman"/>
                      <w:iCs/>
                      <w:color w:val="auto"/>
                    </w:rPr>
                  </w:pPr>
                  <w:r>
                    <w:rPr>
                      <w:rFonts w:hint="default" w:ascii="Times New Roman" w:hAnsi="Times New Roman" w:eastAsia="宋体" w:cs="Times New Roman"/>
                      <w:iCs/>
                      <w:color w:val="auto"/>
                    </w:rPr>
                    <w:t>5</w:t>
                  </w:r>
                </w:p>
              </w:tc>
              <w:tc>
                <w:tcPr>
                  <w:tcW w:w="717" w:type="dxa"/>
                  <w:vAlign w:val="center"/>
                </w:tcPr>
                <w:p w14:paraId="18491BEF">
                  <w:pPr>
                    <w:spacing w:before="224"/>
                    <w:ind w:right="95"/>
                    <w:jc w:val="center"/>
                    <w:rPr>
                      <w:rFonts w:hint="default" w:ascii="Times New Roman" w:hAnsi="Times New Roman" w:eastAsia="宋体" w:cs="Times New Roman"/>
                      <w:iCs/>
                      <w:color w:val="auto"/>
                    </w:rPr>
                  </w:pPr>
                  <w:r>
                    <w:rPr>
                      <w:rFonts w:hint="default" w:ascii="Times New Roman" w:hAnsi="Times New Roman" w:eastAsia="宋体" w:cs="Times New Roman"/>
                      <w:iCs/>
                      <w:color w:val="auto"/>
                    </w:rPr>
                    <w:t>10</w:t>
                  </w:r>
                </w:p>
              </w:tc>
              <w:tc>
                <w:tcPr>
                  <w:tcW w:w="717" w:type="dxa"/>
                  <w:vAlign w:val="center"/>
                </w:tcPr>
                <w:p w14:paraId="43AA91FA">
                  <w:pPr>
                    <w:spacing w:before="224"/>
                    <w:ind w:right="95"/>
                    <w:jc w:val="center"/>
                    <w:rPr>
                      <w:rFonts w:hint="default" w:ascii="Times New Roman" w:hAnsi="Times New Roman" w:eastAsia="宋体" w:cs="Times New Roman"/>
                      <w:iCs/>
                      <w:color w:val="auto"/>
                    </w:rPr>
                  </w:pPr>
                  <w:r>
                    <w:rPr>
                      <w:rFonts w:hint="default" w:ascii="Times New Roman" w:hAnsi="Times New Roman" w:eastAsia="宋体" w:cs="Times New Roman"/>
                      <w:iCs/>
                      <w:color w:val="auto"/>
                    </w:rPr>
                    <w:t>20</w:t>
                  </w:r>
                </w:p>
              </w:tc>
              <w:tc>
                <w:tcPr>
                  <w:tcW w:w="717" w:type="dxa"/>
                  <w:vAlign w:val="center"/>
                </w:tcPr>
                <w:p w14:paraId="20A39A2E">
                  <w:pPr>
                    <w:spacing w:before="224"/>
                    <w:ind w:right="95"/>
                    <w:jc w:val="center"/>
                    <w:rPr>
                      <w:rFonts w:hint="default" w:ascii="Times New Roman" w:hAnsi="Times New Roman" w:eastAsia="宋体" w:cs="Times New Roman"/>
                      <w:iCs/>
                      <w:color w:val="auto"/>
                    </w:rPr>
                  </w:pPr>
                  <w:r>
                    <w:rPr>
                      <w:rFonts w:hint="default" w:ascii="Times New Roman" w:hAnsi="Times New Roman" w:eastAsia="宋体" w:cs="Times New Roman"/>
                      <w:iCs/>
                      <w:color w:val="auto"/>
                    </w:rPr>
                    <w:t>50</w:t>
                  </w:r>
                </w:p>
              </w:tc>
              <w:tc>
                <w:tcPr>
                  <w:tcW w:w="718" w:type="dxa"/>
                  <w:vAlign w:val="center"/>
                </w:tcPr>
                <w:p w14:paraId="74C56331">
                  <w:pPr>
                    <w:spacing w:before="224"/>
                    <w:ind w:right="95"/>
                    <w:jc w:val="center"/>
                    <w:rPr>
                      <w:rFonts w:hint="default" w:ascii="Times New Roman" w:hAnsi="Times New Roman" w:eastAsia="宋体" w:cs="Times New Roman"/>
                      <w:iCs/>
                      <w:color w:val="auto"/>
                    </w:rPr>
                  </w:pPr>
                  <w:r>
                    <w:rPr>
                      <w:rFonts w:hint="default" w:ascii="Times New Roman" w:hAnsi="Times New Roman" w:eastAsia="宋体" w:cs="Times New Roman"/>
                      <w:iCs/>
                      <w:color w:val="auto"/>
                    </w:rPr>
                    <w:t>100</w:t>
                  </w:r>
                </w:p>
              </w:tc>
              <w:tc>
                <w:tcPr>
                  <w:tcW w:w="718" w:type="dxa"/>
                  <w:vAlign w:val="center"/>
                </w:tcPr>
                <w:p w14:paraId="53165747">
                  <w:pPr>
                    <w:spacing w:before="224"/>
                    <w:ind w:right="95"/>
                    <w:jc w:val="center"/>
                    <w:rPr>
                      <w:rFonts w:hint="default" w:ascii="Times New Roman" w:hAnsi="Times New Roman" w:eastAsia="宋体" w:cs="Times New Roman"/>
                      <w:iCs/>
                      <w:color w:val="auto"/>
                    </w:rPr>
                  </w:pPr>
                  <w:r>
                    <w:rPr>
                      <w:rFonts w:hint="default" w:ascii="Times New Roman" w:hAnsi="Times New Roman" w:eastAsia="宋体" w:cs="Times New Roman"/>
                      <w:iCs/>
                      <w:color w:val="auto"/>
                    </w:rPr>
                    <w:t>150</w:t>
                  </w:r>
                </w:p>
              </w:tc>
              <w:tc>
                <w:tcPr>
                  <w:tcW w:w="718" w:type="dxa"/>
                  <w:vAlign w:val="center"/>
                </w:tcPr>
                <w:p w14:paraId="094A7AA5">
                  <w:pPr>
                    <w:spacing w:before="224"/>
                    <w:ind w:right="95"/>
                    <w:jc w:val="center"/>
                    <w:rPr>
                      <w:rFonts w:hint="default" w:ascii="Times New Roman" w:hAnsi="Times New Roman" w:eastAsia="宋体" w:cs="Times New Roman"/>
                      <w:iCs/>
                      <w:color w:val="auto"/>
                    </w:rPr>
                  </w:pPr>
                  <w:r>
                    <w:rPr>
                      <w:rFonts w:hint="default" w:ascii="Times New Roman" w:hAnsi="Times New Roman" w:eastAsia="宋体" w:cs="Times New Roman"/>
                      <w:iCs/>
                      <w:color w:val="auto"/>
                    </w:rPr>
                    <w:t>200</w:t>
                  </w:r>
                </w:p>
              </w:tc>
            </w:tr>
            <w:tr w14:paraId="5FE619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764" w:type="dxa"/>
                  <w:vAlign w:val="center"/>
                </w:tcPr>
                <w:p w14:paraId="3E87432D">
                  <w:pPr>
                    <w:spacing w:before="224"/>
                    <w:ind w:right="95"/>
                    <w:jc w:val="center"/>
                    <w:rPr>
                      <w:rFonts w:hint="default" w:ascii="Times New Roman" w:hAnsi="Times New Roman" w:eastAsia="宋体" w:cs="Times New Roman"/>
                      <w:iCs/>
                      <w:color w:val="auto"/>
                      <w:sz w:val="24"/>
                    </w:rPr>
                  </w:pPr>
                  <w:r>
                    <w:rPr>
                      <w:rFonts w:hint="default" w:ascii="Times New Roman" w:hAnsi="Times New Roman" w:eastAsia="宋体" w:cs="Times New Roman"/>
                      <w:iCs/>
                      <w:color w:val="auto"/>
                    </w:rPr>
                    <w:t>噪声预测值</w:t>
                  </w:r>
                </w:p>
              </w:tc>
              <w:tc>
                <w:tcPr>
                  <w:tcW w:w="717" w:type="dxa"/>
                  <w:vAlign w:val="center"/>
                </w:tcPr>
                <w:p w14:paraId="00E072F6">
                  <w:pPr>
                    <w:spacing w:before="224"/>
                    <w:ind w:right="95"/>
                    <w:jc w:val="center"/>
                    <w:rPr>
                      <w:rFonts w:hint="default" w:ascii="Times New Roman" w:hAnsi="Times New Roman" w:eastAsia="宋体" w:cs="Times New Roman"/>
                      <w:iCs/>
                      <w:color w:val="auto"/>
                    </w:rPr>
                  </w:pPr>
                  <w:r>
                    <w:rPr>
                      <w:rFonts w:hint="default" w:ascii="Times New Roman" w:hAnsi="Times New Roman" w:eastAsia="宋体" w:cs="Times New Roman"/>
                      <w:iCs/>
                      <w:color w:val="auto"/>
                    </w:rPr>
                    <w:t>90.1</w:t>
                  </w:r>
                </w:p>
              </w:tc>
              <w:tc>
                <w:tcPr>
                  <w:tcW w:w="717" w:type="dxa"/>
                  <w:vAlign w:val="center"/>
                </w:tcPr>
                <w:p w14:paraId="733E9AEF">
                  <w:pPr>
                    <w:spacing w:before="224"/>
                    <w:ind w:right="95"/>
                    <w:jc w:val="center"/>
                    <w:rPr>
                      <w:rFonts w:hint="default" w:ascii="Times New Roman" w:hAnsi="Times New Roman" w:eastAsia="宋体" w:cs="Times New Roman"/>
                      <w:iCs/>
                      <w:color w:val="auto"/>
                    </w:rPr>
                  </w:pPr>
                  <w:r>
                    <w:rPr>
                      <w:rFonts w:hint="default" w:ascii="Times New Roman" w:hAnsi="Times New Roman" w:eastAsia="宋体" w:cs="Times New Roman"/>
                      <w:iCs/>
                      <w:color w:val="auto"/>
                    </w:rPr>
                    <w:t>76.1</w:t>
                  </w:r>
                </w:p>
              </w:tc>
              <w:tc>
                <w:tcPr>
                  <w:tcW w:w="717" w:type="dxa"/>
                  <w:vAlign w:val="center"/>
                </w:tcPr>
                <w:p w14:paraId="5E5ED4C7">
                  <w:pPr>
                    <w:spacing w:before="224"/>
                    <w:ind w:right="95"/>
                    <w:jc w:val="center"/>
                    <w:rPr>
                      <w:rFonts w:hint="default" w:ascii="Times New Roman" w:hAnsi="Times New Roman" w:eastAsia="宋体" w:cs="Times New Roman"/>
                      <w:iCs/>
                      <w:color w:val="auto"/>
                    </w:rPr>
                  </w:pPr>
                  <w:r>
                    <w:rPr>
                      <w:rFonts w:hint="default" w:ascii="Times New Roman" w:hAnsi="Times New Roman" w:eastAsia="宋体" w:cs="Times New Roman"/>
                      <w:iCs/>
                      <w:color w:val="auto"/>
                    </w:rPr>
                    <w:t>70.2</w:t>
                  </w:r>
                </w:p>
              </w:tc>
              <w:tc>
                <w:tcPr>
                  <w:tcW w:w="717" w:type="dxa"/>
                  <w:vAlign w:val="center"/>
                </w:tcPr>
                <w:p w14:paraId="3574AB3A">
                  <w:pPr>
                    <w:spacing w:before="224"/>
                    <w:ind w:right="95"/>
                    <w:jc w:val="center"/>
                    <w:rPr>
                      <w:rFonts w:hint="default" w:ascii="Times New Roman" w:hAnsi="Times New Roman" w:eastAsia="宋体" w:cs="Times New Roman"/>
                      <w:iCs/>
                      <w:color w:val="auto"/>
                    </w:rPr>
                  </w:pPr>
                  <w:r>
                    <w:rPr>
                      <w:rFonts w:hint="default" w:ascii="Times New Roman" w:hAnsi="Times New Roman" w:eastAsia="宋体" w:cs="Times New Roman"/>
                      <w:iCs/>
                      <w:color w:val="auto"/>
                    </w:rPr>
                    <w:t>60.2</w:t>
                  </w:r>
                </w:p>
              </w:tc>
              <w:tc>
                <w:tcPr>
                  <w:tcW w:w="718" w:type="dxa"/>
                  <w:vAlign w:val="center"/>
                </w:tcPr>
                <w:p w14:paraId="22FC3946">
                  <w:pPr>
                    <w:spacing w:before="224"/>
                    <w:ind w:right="95"/>
                    <w:jc w:val="center"/>
                    <w:rPr>
                      <w:rFonts w:hint="default" w:ascii="Times New Roman" w:hAnsi="Times New Roman" w:eastAsia="宋体" w:cs="Times New Roman"/>
                      <w:iCs/>
                      <w:color w:val="auto"/>
                    </w:rPr>
                  </w:pPr>
                  <w:r>
                    <w:rPr>
                      <w:rFonts w:hint="default" w:ascii="Times New Roman" w:hAnsi="Times New Roman" w:eastAsia="宋体" w:cs="Times New Roman"/>
                      <w:iCs/>
                      <w:color w:val="auto"/>
                    </w:rPr>
                    <w:t>50.3</w:t>
                  </w:r>
                </w:p>
              </w:tc>
              <w:tc>
                <w:tcPr>
                  <w:tcW w:w="718" w:type="dxa"/>
                  <w:vAlign w:val="center"/>
                </w:tcPr>
                <w:p w14:paraId="256087BA">
                  <w:pPr>
                    <w:spacing w:before="224"/>
                    <w:ind w:right="95"/>
                    <w:jc w:val="center"/>
                    <w:rPr>
                      <w:rFonts w:hint="default" w:ascii="Times New Roman" w:hAnsi="Times New Roman" w:eastAsia="宋体" w:cs="Times New Roman"/>
                      <w:iCs/>
                      <w:color w:val="auto"/>
                    </w:rPr>
                  </w:pPr>
                  <w:r>
                    <w:rPr>
                      <w:rFonts w:hint="default" w:ascii="Times New Roman" w:hAnsi="Times New Roman" w:eastAsia="宋体" w:cs="Times New Roman"/>
                      <w:iCs/>
                      <w:color w:val="auto"/>
                    </w:rPr>
                    <w:t>48.4</w:t>
                  </w:r>
                </w:p>
              </w:tc>
              <w:tc>
                <w:tcPr>
                  <w:tcW w:w="718" w:type="dxa"/>
                  <w:vAlign w:val="center"/>
                </w:tcPr>
                <w:p w14:paraId="26C7EA9E">
                  <w:pPr>
                    <w:spacing w:before="224"/>
                    <w:ind w:right="95"/>
                    <w:jc w:val="center"/>
                    <w:rPr>
                      <w:rFonts w:hint="default" w:ascii="Times New Roman" w:hAnsi="Times New Roman" w:eastAsia="宋体" w:cs="Times New Roman"/>
                      <w:iCs/>
                      <w:color w:val="auto"/>
                    </w:rPr>
                  </w:pPr>
                  <w:r>
                    <w:rPr>
                      <w:rFonts w:hint="default" w:ascii="Times New Roman" w:hAnsi="Times New Roman" w:eastAsia="宋体" w:cs="Times New Roman"/>
                      <w:iCs/>
                      <w:color w:val="auto"/>
                    </w:rPr>
                    <w:t>45.5</w:t>
                  </w:r>
                </w:p>
              </w:tc>
            </w:tr>
          </w:tbl>
          <w:p w14:paraId="0CB2EFAC">
            <w:pPr>
              <w:pStyle w:val="11"/>
              <w:widowControl w:val="0"/>
              <w:kinsoku/>
              <w:autoSpaceDE/>
              <w:autoSpaceDN/>
              <w:adjustRightInd/>
              <w:snapToGrid/>
              <w:spacing w:before="0" w:line="360" w:lineRule="auto"/>
              <w:ind w:firstLine="480" w:firstLineChars="200"/>
              <w:jc w:val="both"/>
              <w:textAlignment w:val="auto"/>
              <w:rPr>
                <w:rFonts w:hint="default" w:ascii="Times New Roman" w:hAnsi="Times New Roman" w:eastAsia="宋体" w:cs="Times New Roman"/>
                <w:snapToGrid/>
                <w:color w:val="auto"/>
                <w:kern w:val="2"/>
              </w:rPr>
            </w:pPr>
            <w:r>
              <w:rPr>
                <w:rFonts w:hint="default" w:ascii="Times New Roman" w:hAnsi="Times New Roman" w:eastAsia="宋体" w:cs="Times New Roman"/>
                <w:snapToGrid/>
                <w:color w:val="auto"/>
                <w:kern w:val="2"/>
              </w:rPr>
              <w:t>根据《建筑施工场界环境噪声排放标准》（GB12523-2011）的规定，施工场界昼间的噪声限值为70dB（A），夜间的噪声限值为55dB（A）。根据表4-6预测结果，昼间20m外施工噪声满足《建筑施工场界环境噪声排放标准》（GB12523-2011）限值要求，夜间100m外才满足《建筑施工场界环境噪声排放标准》（GB12523-2011）限值要求。</w:t>
            </w:r>
          </w:p>
          <w:p w14:paraId="70941C38">
            <w:pPr>
              <w:pStyle w:val="11"/>
              <w:widowControl w:val="0"/>
              <w:kinsoku/>
              <w:autoSpaceDE/>
              <w:autoSpaceDN/>
              <w:adjustRightInd/>
              <w:snapToGrid/>
              <w:spacing w:before="0" w:line="360" w:lineRule="auto"/>
              <w:ind w:firstLine="480" w:firstLineChars="200"/>
              <w:jc w:val="both"/>
              <w:textAlignment w:val="auto"/>
              <w:rPr>
                <w:rFonts w:hint="default" w:ascii="Times New Roman" w:hAnsi="Times New Roman" w:eastAsia="宋体" w:cs="Times New Roman"/>
                <w:snapToGrid/>
                <w:color w:val="auto"/>
                <w:kern w:val="2"/>
              </w:rPr>
            </w:pPr>
            <w:r>
              <w:rPr>
                <w:rFonts w:hint="default" w:ascii="Times New Roman" w:hAnsi="Times New Roman" w:eastAsia="宋体" w:cs="Times New Roman"/>
                <w:snapToGrid/>
                <w:color w:val="auto"/>
                <w:kern w:val="2"/>
              </w:rPr>
              <w:t>由项目外环境关系可知，本工程主要的噪声敏感点为附近紧邻居民，最近距离约为32m，因此施工噪声对影响较大，特别是夜间施工产生的影响更为突出，必须严格按照环评提出的措施要求，通过采取对高噪声设备临时隔声、增设高2.5m围挡、合理安排工期、严禁夜间施工等措施，加强管理，控制施工时间等，对周边声学环境的影响在可允许的范围内，但施工期的噪声影响是短期的，项目建成后，施工期噪声的影响也就此结束。</w:t>
            </w:r>
          </w:p>
          <w:p w14:paraId="56AF96E6">
            <w:pPr>
              <w:pStyle w:val="11"/>
              <w:widowControl w:val="0"/>
              <w:kinsoku/>
              <w:autoSpaceDE/>
              <w:autoSpaceDN/>
              <w:adjustRightInd/>
              <w:snapToGrid/>
              <w:spacing w:before="0" w:line="360" w:lineRule="auto"/>
              <w:ind w:firstLine="480" w:firstLineChars="200"/>
              <w:jc w:val="both"/>
              <w:textAlignment w:val="auto"/>
              <w:rPr>
                <w:rFonts w:hint="default" w:ascii="Times New Roman" w:hAnsi="Times New Roman" w:eastAsia="宋体" w:cs="Times New Roman"/>
                <w:b/>
                <w:bCs/>
                <w:snapToGrid/>
                <w:color w:val="auto"/>
                <w:kern w:val="2"/>
              </w:rPr>
            </w:pPr>
            <w:r>
              <w:rPr>
                <w:rFonts w:hint="default" w:ascii="Times New Roman" w:hAnsi="Times New Roman" w:eastAsia="宋体" w:cs="Times New Roman"/>
                <w:iCs/>
                <w:color w:val="auto"/>
              </w:rPr>
              <w:t>（3）交通运输噪声影响分析</w:t>
            </w:r>
          </w:p>
          <w:p w14:paraId="611C9F6C">
            <w:pPr>
              <w:pStyle w:val="14"/>
              <w:spacing w:line="360" w:lineRule="auto"/>
              <w:ind w:firstLine="480" w:firstLineChars="200"/>
              <w:rPr>
                <w:rFonts w:hint="default" w:ascii="Times New Roman" w:hAnsi="Times New Roman" w:eastAsia="宋体" w:cs="Times New Roman"/>
                <w:iCs/>
                <w:color w:val="auto"/>
                <w:sz w:val="24"/>
                <w:szCs w:val="24"/>
              </w:rPr>
            </w:pPr>
            <w:r>
              <w:rPr>
                <w:rFonts w:hint="default" w:ascii="Times New Roman" w:hAnsi="Times New Roman" w:eastAsia="宋体" w:cs="Times New Roman"/>
                <w:iCs/>
                <w:color w:val="auto"/>
                <w:sz w:val="24"/>
                <w:szCs w:val="24"/>
              </w:rPr>
              <w:t>施工车辆噪声属于交通运输噪声，对施工车辆进行规范管理之后，施工车辆噪声可降至50~60dB（A）。</w:t>
            </w:r>
          </w:p>
          <w:p w14:paraId="124270E3">
            <w:pPr>
              <w:pStyle w:val="14"/>
              <w:spacing w:line="360" w:lineRule="auto"/>
              <w:ind w:firstLine="480" w:firstLineChars="200"/>
              <w:rPr>
                <w:rFonts w:hint="default" w:ascii="Times New Roman" w:hAnsi="Times New Roman" w:eastAsia="宋体" w:cs="Times New Roman"/>
                <w:iCs/>
                <w:color w:val="auto"/>
                <w:sz w:val="24"/>
                <w:szCs w:val="24"/>
              </w:rPr>
            </w:pPr>
            <w:r>
              <w:rPr>
                <w:rFonts w:hint="default" w:ascii="Times New Roman" w:hAnsi="Times New Roman" w:eastAsia="宋体" w:cs="Times New Roman"/>
                <w:iCs/>
                <w:color w:val="auto"/>
                <w:sz w:val="24"/>
                <w:szCs w:val="24"/>
              </w:rPr>
              <w:t>据现场调查结果可知，工程区工程周围地势较为开阔，因此工程流动噪声的总体影响较小，随工程结束，噪声随即消失。</w:t>
            </w:r>
          </w:p>
          <w:p w14:paraId="709C439B">
            <w:pPr>
              <w:spacing w:line="360" w:lineRule="auto"/>
              <w:ind w:firstLine="482" w:firstLineChars="20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5、施工期固废的影响分析</w:t>
            </w:r>
          </w:p>
          <w:p w14:paraId="671369B6">
            <w:pPr>
              <w:pStyle w:val="11"/>
              <w:widowControl w:val="0"/>
              <w:kinsoku/>
              <w:autoSpaceDE/>
              <w:autoSpaceDN/>
              <w:adjustRightInd/>
              <w:snapToGrid/>
              <w:spacing w:before="0" w:line="360" w:lineRule="auto"/>
              <w:ind w:firstLine="480" w:firstLineChars="200"/>
              <w:jc w:val="both"/>
              <w:textAlignment w:val="auto"/>
              <w:rPr>
                <w:rFonts w:hint="default" w:ascii="Times New Roman" w:hAnsi="Times New Roman" w:eastAsia="宋体" w:cs="Times New Roman"/>
                <w:snapToGrid/>
                <w:color w:val="auto"/>
                <w:kern w:val="2"/>
              </w:rPr>
            </w:pPr>
            <w:r>
              <w:rPr>
                <w:rFonts w:hint="default" w:ascii="Times New Roman" w:hAnsi="Times New Roman" w:eastAsia="宋体" w:cs="Times New Roman"/>
                <w:snapToGrid/>
                <w:color w:val="auto"/>
                <w:kern w:val="2"/>
              </w:rPr>
              <w:t>施工期间的固体废弃物主要是一些建筑垃圾、弃土和施工人员日常生活产生的生活垃圾。</w:t>
            </w:r>
          </w:p>
          <w:p w14:paraId="20837851">
            <w:pPr>
              <w:pStyle w:val="11"/>
              <w:widowControl w:val="0"/>
              <w:kinsoku/>
              <w:autoSpaceDE/>
              <w:autoSpaceDN/>
              <w:adjustRightInd/>
              <w:snapToGrid/>
              <w:spacing w:before="0" w:line="360" w:lineRule="auto"/>
              <w:ind w:firstLine="480" w:firstLineChars="200"/>
              <w:jc w:val="both"/>
              <w:textAlignment w:val="auto"/>
              <w:rPr>
                <w:rFonts w:hint="default" w:ascii="Times New Roman" w:hAnsi="Times New Roman" w:eastAsia="宋体" w:cs="Times New Roman"/>
                <w:snapToGrid/>
                <w:color w:val="auto"/>
                <w:kern w:val="2"/>
              </w:rPr>
            </w:pPr>
            <w:r>
              <w:rPr>
                <w:rFonts w:hint="default" w:ascii="Times New Roman" w:hAnsi="Times New Roman" w:eastAsia="宋体" w:cs="Times New Roman"/>
                <w:snapToGrid/>
                <w:color w:val="auto"/>
                <w:kern w:val="2"/>
              </w:rPr>
              <w:t>（1）废弃土石方</w:t>
            </w:r>
          </w:p>
          <w:p w14:paraId="4C50649F">
            <w:pPr>
              <w:pStyle w:val="11"/>
              <w:widowControl w:val="0"/>
              <w:kinsoku/>
              <w:autoSpaceDE/>
              <w:autoSpaceDN/>
              <w:adjustRightInd/>
              <w:snapToGrid/>
              <w:spacing w:before="0" w:line="360" w:lineRule="auto"/>
              <w:ind w:firstLine="480" w:firstLineChars="200"/>
              <w:jc w:val="both"/>
              <w:textAlignment w:val="auto"/>
              <w:rPr>
                <w:rFonts w:hint="default" w:ascii="Times New Roman" w:hAnsi="Times New Roman" w:eastAsia="宋体" w:cs="Times New Roman"/>
                <w:snapToGrid/>
                <w:color w:val="auto"/>
                <w:kern w:val="2"/>
              </w:rPr>
            </w:pPr>
            <w:r>
              <w:rPr>
                <w:rFonts w:hint="default" w:ascii="Times New Roman" w:hAnsi="Times New Roman" w:eastAsia="宋体" w:cs="Times New Roman"/>
                <w:snapToGrid/>
                <w:color w:val="auto"/>
                <w:kern w:val="2"/>
              </w:rPr>
              <w:t>本</w:t>
            </w:r>
            <w:r>
              <w:rPr>
                <w:rFonts w:hint="default" w:ascii="Times New Roman" w:hAnsi="Times New Roman" w:eastAsia="宋体" w:cs="Times New Roman"/>
                <w:b w:val="0"/>
                <w:bCs w:val="0"/>
                <w:color w:val="auto"/>
              </w:rPr>
              <w:t>项目营造林工程区不考虑设置弃渣场。</w:t>
            </w:r>
            <w:r>
              <w:rPr>
                <w:rFonts w:hint="default" w:ascii="Times New Roman" w:hAnsi="Times New Roman" w:eastAsia="宋体" w:cs="Times New Roman"/>
                <w:snapToGrid/>
                <w:color w:val="auto"/>
                <w:kern w:val="2"/>
                <w:lang w:val="en-US" w:eastAsia="zh-CN"/>
              </w:rPr>
              <w:t>道路</w:t>
            </w:r>
            <w:r>
              <w:rPr>
                <w:rFonts w:hint="default" w:ascii="Times New Roman" w:hAnsi="Times New Roman" w:eastAsia="宋体" w:cs="Times New Roman"/>
                <w:snapToGrid/>
                <w:color w:val="auto"/>
                <w:kern w:val="2"/>
              </w:rPr>
              <w:t>工程设1个临时弃渣场，位于防火道路K0-250-K4+500设置一处弃渣场，施工结束后进行迹地恢复。项目建设土石开挖总量</w:t>
            </w:r>
            <w:r>
              <w:rPr>
                <w:rFonts w:hint="eastAsia" w:ascii="Times New Roman" w:hAnsi="Times New Roman" w:eastAsia="宋体" w:cs="Times New Roman"/>
                <w:snapToGrid/>
                <w:color w:val="auto"/>
                <w:kern w:val="2"/>
                <w:lang w:val="en-US" w:eastAsia="zh-CN"/>
              </w:rPr>
              <w:t>27</w:t>
            </w:r>
            <w:r>
              <w:rPr>
                <w:rFonts w:hint="default" w:ascii="Times New Roman" w:hAnsi="Times New Roman" w:eastAsia="宋体" w:cs="Times New Roman"/>
                <w:snapToGrid/>
                <w:color w:val="auto"/>
                <w:kern w:val="2"/>
              </w:rPr>
              <w:t>万m</w:t>
            </w:r>
            <w:r>
              <w:rPr>
                <w:rFonts w:hint="default" w:ascii="Times New Roman" w:hAnsi="Times New Roman" w:eastAsia="宋体" w:cs="Times New Roman"/>
                <w:snapToGrid/>
                <w:color w:val="auto"/>
                <w:kern w:val="2"/>
                <w:vertAlign w:val="superscript"/>
              </w:rPr>
              <w:t>3</w:t>
            </w:r>
            <w:r>
              <w:rPr>
                <w:rFonts w:hint="default" w:ascii="Times New Roman" w:hAnsi="Times New Roman" w:eastAsia="宋体" w:cs="Times New Roman"/>
                <w:snapToGrid/>
                <w:color w:val="auto"/>
                <w:kern w:val="2"/>
              </w:rPr>
              <w:t>（自然方，下同），土石回填利用总量</w:t>
            </w:r>
            <w:r>
              <w:rPr>
                <w:rFonts w:hint="eastAsia" w:ascii="Times New Roman" w:hAnsi="Times New Roman" w:eastAsia="宋体" w:cs="Times New Roman"/>
                <w:snapToGrid/>
                <w:color w:val="auto"/>
                <w:kern w:val="2"/>
                <w:lang w:val="en-US" w:eastAsia="zh-CN"/>
              </w:rPr>
              <w:t>27</w:t>
            </w:r>
            <w:r>
              <w:rPr>
                <w:rFonts w:hint="default" w:ascii="Times New Roman" w:hAnsi="Times New Roman" w:eastAsia="宋体" w:cs="Times New Roman"/>
                <w:snapToGrid/>
                <w:color w:val="auto"/>
                <w:kern w:val="2"/>
              </w:rPr>
              <w:t>万m</w:t>
            </w:r>
            <w:r>
              <w:rPr>
                <w:rFonts w:hint="default" w:ascii="Times New Roman" w:hAnsi="Times New Roman" w:eastAsia="宋体" w:cs="Times New Roman"/>
                <w:snapToGrid/>
                <w:color w:val="auto"/>
                <w:kern w:val="2"/>
                <w:vertAlign w:val="superscript"/>
              </w:rPr>
              <w:t>3</w:t>
            </w:r>
            <w:r>
              <w:rPr>
                <w:rFonts w:hint="default" w:ascii="Times New Roman" w:hAnsi="Times New Roman" w:eastAsia="宋体" w:cs="Times New Roman"/>
                <w:snapToGrid/>
                <w:color w:val="auto"/>
                <w:kern w:val="2"/>
              </w:rPr>
              <w:t>，余方总量为0万m</w:t>
            </w:r>
            <w:r>
              <w:rPr>
                <w:rFonts w:hint="default" w:ascii="Times New Roman" w:hAnsi="Times New Roman" w:eastAsia="宋体" w:cs="Times New Roman"/>
                <w:snapToGrid/>
                <w:color w:val="auto"/>
                <w:kern w:val="2"/>
                <w:vertAlign w:val="superscript"/>
              </w:rPr>
              <w:t>3</w:t>
            </w:r>
            <w:r>
              <w:rPr>
                <w:rFonts w:hint="default" w:ascii="Times New Roman" w:hAnsi="Times New Roman" w:eastAsia="宋体" w:cs="Times New Roman"/>
                <w:snapToGrid/>
                <w:color w:val="auto"/>
                <w:kern w:val="2"/>
              </w:rPr>
              <w:t>。</w:t>
            </w:r>
          </w:p>
          <w:p w14:paraId="04562B09">
            <w:pPr>
              <w:pStyle w:val="11"/>
              <w:widowControl w:val="0"/>
              <w:kinsoku/>
              <w:autoSpaceDE/>
              <w:autoSpaceDN/>
              <w:adjustRightInd/>
              <w:snapToGrid/>
              <w:spacing w:before="0" w:line="360" w:lineRule="auto"/>
              <w:ind w:firstLine="480" w:firstLineChars="200"/>
              <w:jc w:val="both"/>
              <w:textAlignment w:val="auto"/>
              <w:rPr>
                <w:rFonts w:hint="default" w:ascii="Times New Roman" w:hAnsi="Times New Roman" w:eastAsia="宋体" w:cs="Times New Roman"/>
                <w:snapToGrid/>
                <w:color w:val="auto"/>
                <w:kern w:val="2"/>
              </w:rPr>
            </w:pPr>
            <w:r>
              <w:rPr>
                <w:rFonts w:hint="default" w:ascii="Times New Roman" w:hAnsi="Times New Roman" w:eastAsia="宋体" w:cs="Times New Roman"/>
                <w:snapToGrid/>
                <w:color w:val="auto"/>
                <w:kern w:val="2"/>
              </w:rPr>
              <w:t>（2）施工区域原有地表挖除的灌木杂草</w:t>
            </w:r>
          </w:p>
          <w:p w14:paraId="42D4EADE">
            <w:pPr>
              <w:pStyle w:val="11"/>
              <w:widowControl w:val="0"/>
              <w:kinsoku/>
              <w:autoSpaceDE/>
              <w:autoSpaceDN/>
              <w:adjustRightInd/>
              <w:snapToGrid/>
              <w:spacing w:before="0" w:line="360" w:lineRule="auto"/>
              <w:ind w:firstLine="480" w:firstLineChars="200"/>
              <w:jc w:val="both"/>
              <w:textAlignment w:val="auto"/>
              <w:rPr>
                <w:rFonts w:hint="default" w:ascii="Times New Roman" w:hAnsi="Times New Roman" w:eastAsia="宋体" w:cs="Times New Roman"/>
                <w:snapToGrid/>
                <w:color w:val="auto"/>
                <w:kern w:val="2"/>
              </w:rPr>
            </w:pPr>
            <w:r>
              <w:rPr>
                <w:rFonts w:hint="default" w:ascii="Times New Roman" w:hAnsi="Times New Roman" w:eastAsia="宋体" w:cs="Times New Roman"/>
                <w:snapToGrid/>
                <w:color w:val="auto"/>
                <w:kern w:val="2"/>
              </w:rPr>
              <w:t>项目永久占地范围内整地过程中需对原有地表挖出的灌木杂草及其根系进行清除，挖除的灌木杂草与土壤中残存的植物根系产生量与项目区原地表植被类型、植被覆盖度等密切相关，难以进行定量分析，该类固废中原有地表挖除的灌木枝干可集中收集后交由附近农民作为薪柴，杂草及根系集中清理后可拉运就近村镇生活垃圾收集点。</w:t>
            </w:r>
          </w:p>
          <w:p w14:paraId="39C02EE1">
            <w:pPr>
              <w:pStyle w:val="11"/>
              <w:widowControl w:val="0"/>
              <w:kinsoku/>
              <w:autoSpaceDE/>
              <w:autoSpaceDN/>
              <w:adjustRightInd/>
              <w:snapToGrid/>
              <w:spacing w:before="0" w:line="360" w:lineRule="auto"/>
              <w:ind w:firstLine="480" w:firstLineChars="200"/>
              <w:jc w:val="both"/>
              <w:textAlignment w:val="auto"/>
              <w:rPr>
                <w:rFonts w:hint="default" w:ascii="Times New Roman" w:hAnsi="Times New Roman" w:eastAsia="宋体" w:cs="Times New Roman"/>
                <w:snapToGrid/>
                <w:color w:val="auto"/>
                <w:kern w:val="2"/>
                <w:lang w:eastAsia="zh-CN"/>
              </w:rPr>
            </w:pPr>
            <w:r>
              <w:rPr>
                <w:rFonts w:hint="default" w:ascii="Times New Roman" w:hAnsi="Times New Roman" w:eastAsia="宋体" w:cs="Times New Roman"/>
                <w:snapToGrid/>
                <w:color w:val="auto"/>
                <w:kern w:val="2"/>
                <w:lang w:eastAsia="zh-CN"/>
              </w:rPr>
              <w:t>（</w:t>
            </w:r>
            <w:r>
              <w:rPr>
                <w:rFonts w:hint="default" w:ascii="Times New Roman" w:hAnsi="Times New Roman" w:eastAsia="宋体" w:cs="Times New Roman"/>
                <w:snapToGrid/>
                <w:color w:val="auto"/>
                <w:kern w:val="2"/>
                <w:lang w:val="en-US" w:eastAsia="zh-CN"/>
              </w:rPr>
              <w:t>3</w:t>
            </w:r>
            <w:r>
              <w:rPr>
                <w:rFonts w:hint="default" w:ascii="Times New Roman" w:hAnsi="Times New Roman" w:eastAsia="宋体" w:cs="Times New Roman"/>
                <w:snapToGrid/>
                <w:color w:val="auto"/>
                <w:kern w:val="2"/>
                <w:lang w:eastAsia="zh-CN"/>
              </w:rPr>
              <w:t>）苗木栽植前拆除的废包装材料</w:t>
            </w:r>
          </w:p>
          <w:p w14:paraId="086CF31F">
            <w:pPr>
              <w:pStyle w:val="11"/>
              <w:widowControl w:val="0"/>
              <w:kinsoku/>
              <w:autoSpaceDE/>
              <w:autoSpaceDN/>
              <w:adjustRightInd/>
              <w:snapToGrid/>
              <w:spacing w:before="0" w:line="360" w:lineRule="auto"/>
              <w:ind w:firstLine="480" w:firstLineChars="200"/>
              <w:jc w:val="both"/>
              <w:textAlignment w:val="auto"/>
              <w:rPr>
                <w:rFonts w:hint="default" w:ascii="Times New Roman" w:hAnsi="Times New Roman" w:eastAsia="宋体" w:cs="Times New Roman"/>
                <w:snapToGrid/>
                <w:color w:val="auto"/>
                <w:kern w:val="2"/>
                <w:lang w:eastAsia="zh-CN"/>
              </w:rPr>
            </w:pPr>
            <w:r>
              <w:rPr>
                <w:rFonts w:hint="default" w:ascii="Times New Roman" w:hAnsi="Times New Roman" w:eastAsia="宋体" w:cs="Times New Roman"/>
                <w:snapToGrid/>
                <w:color w:val="auto"/>
                <w:kern w:val="2"/>
                <w:lang w:eastAsia="zh-CN"/>
              </w:rPr>
              <w:t>项目外购苗木运输过程中为确保根茎保湿及苗木存活，需采用营养杯或无纺布等材料对苗木根茎进行盛装或外包装，由于该类包装材质在土壤中不易降解，因此在苗木栽植前需对其进行拆除，该类固废拆除后需在施工区域内集中收集运至市政部门指定地点处置。</w:t>
            </w:r>
          </w:p>
          <w:p w14:paraId="24EB8562">
            <w:pPr>
              <w:pStyle w:val="11"/>
              <w:widowControl w:val="0"/>
              <w:kinsoku/>
              <w:autoSpaceDE/>
              <w:autoSpaceDN/>
              <w:adjustRightInd/>
              <w:snapToGrid/>
              <w:spacing w:before="0" w:line="360" w:lineRule="auto"/>
              <w:ind w:firstLine="480" w:firstLineChars="200"/>
              <w:jc w:val="both"/>
              <w:textAlignment w:val="auto"/>
              <w:rPr>
                <w:rFonts w:hint="default" w:ascii="Times New Roman" w:hAnsi="Times New Roman" w:eastAsia="宋体" w:cs="Times New Roman"/>
                <w:snapToGrid/>
                <w:color w:val="auto"/>
                <w:kern w:val="2"/>
              </w:rPr>
            </w:pPr>
            <w:r>
              <w:rPr>
                <w:rFonts w:hint="default" w:ascii="Times New Roman" w:hAnsi="Times New Roman" w:eastAsia="宋体" w:cs="Times New Roman"/>
                <w:snapToGrid/>
                <w:color w:val="auto"/>
                <w:kern w:val="2"/>
                <w:lang w:eastAsia="zh-CN"/>
              </w:rPr>
              <w:t>（</w:t>
            </w:r>
            <w:r>
              <w:rPr>
                <w:rFonts w:hint="default" w:ascii="Times New Roman" w:hAnsi="Times New Roman" w:eastAsia="宋体" w:cs="Times New Roman"/>
                <w:snapToGrid/>
                <w:color w:val="auto"/>
                <w:kern w:val="2"/>
                <w:lang w:val="en-US" w:eastAsia="zh-CN"/>
              </w:rPr>
              <w:t>4</w:t>
            </w:r>
            <w:r>
              <w:rPr>
                <w:rFonts w:hint="default" w:ascii="Times New Roman" w:hAnsi="Times New Roman" w:eastAsia="宋体" w:cs="Times New Roman"/>
                <w:snapToGrid/>
                <w:color w:val="auto"/>
                <w:kern w:val="2"/>
                <w:lang w:eastAsia="zh-CN"/>
              </w:rPr>
              <w:t>）</w:t>
            </w:r>
            <w:r>
              <w:rPr>
                <w:rFonts w:hint="default" w:ascii="Times New Roman" w:hAnsi="Times New Roman" w:eastAsia="宋体" w:cs="Times New Roman"/>
                <w:snapToGrid/>
                <w:color w:val="auto"/>
                <w:kern w:val="2"/>
              </w:rPr>
              <w:t>修剪产生的残枝败叶</w:t>
            </w:r>
          </w:p>
          <w:p w14:paraId="291E3504">
            <w:pPr>
              <w:pStyle w:val="11"/>
              <w:widowControl w:val="0"/>
              <w:kinsoku/>
              <w:autoSpaceDE/>
              <w:autoSpaceDN/>
              <w:adjustRightInd/>
              <w:snapToGrid/>
              <w:spacing w:before="0" w:line="360" w:lineRule="auto"/>
              <w:ind w:firstLine="480" w:firstLineChars="200"/>
              <w:jc w:val="both"/>
              <w:textAlignment w:val="auto"/>
              <w:rPr>
                <w:rFonts w:hint="default" w:ascii="Times New Roman" w:hAnsi="Times New Roman" w:eastAsia="宋体" w:cs="Times New Roman"/>
                <w:snapToGrid/>
                <w:color w:val="auto"/>
                <w:kern w:val="2"/>
              </w:rPr>
            </w:pPr>
            <w:r>
              <w:rPr>
                <w:rFonts w:hint="default" w:ascii="Times New Roman" w:hAnsi="Times New Roman" w:eastAsia="宋体" w:cs="Times New Roman"/>
                <w:snapToGrid/>
                <w:color w:val="auto"/>
                <w:kern w:val="2"/>
              </w:rPr>
              <w:t>项目区苗木抚育管护阶段需对苗木进行打头、剪枝等修建工作，该环节中主要产生部分修剪掉的残枝败叶，该类固废中大型枝干可集中收集后交由附近农民作为薪柴，剩余部分可就近条状堆积至造林区域内保留带进行腐熟后作为肥料提高土壤肥力。</w:t>
            </w:r>
          </w:p>
          <w:p w14:paraId="3D8F1E69">
            <w:pPr>
              <w:pStyle w:val="11"/>
              <w:widowControl w:val="0"/>
              <w:kinsoku/>
              <w:autoSpaceDE/>
              <w:autoSpaceDN/>
              <w:adjustRightInd/>
              <w:snapToGrid/>
              <w:spacing w:before="0" w:line="360" w:lineRule="auto"/>
              <w:ind w:firstLine="480" w:firstLineChars="200"/>
              <w:jc w:val="both"/>
              <w:textAlignment w:val="auto"/>
              <w:rPr>
                <w:rFonts w:hint="default" w:ascii="Times New Roman" w:hAnsi="Times New Roman" w:eastAsia="宋体" w:cs="Times New Roman"/>
                <w:snapToGrid/>
                <w:color w:val="auto"/>
                <w:kern w:val="2"/>
              </w:rPr>
            </w:pPr>
            <w:r>
              <w:rPr>
                <w:rFonts w:hint="default" w:ascii="Times New Roman" w:hAnsi="Times New Roman" w:eastAsia="宋体" w:cs="Times New Roman"/>
                <w:snapToGrid/>
                <w:color w:val="auto"/>
                <w:kern w:val="2"/>
                <w:lang w:eastAsia="zh-CN"/>
              </w:rPr>
              <w:t>（</w:t>
            </w:r>
            <w:r>
              <w:rPr>
                <w:rFonts w:hint="default" w:ascii="Times New Roman" w:hAnsi="Times New Roman" w:eastAsia="宋体" w:cs="Times New Roman"/>
                <w:snapToGrid/>
                <w:color w:val="auto"/>
                <w:kern w:val="2"/>
                <w:lang w:val="en-US" w:eastAsia="zh-CN"/>
              </w:rPr>
              <w:t>5</w:t>
            </w:r>
            <w:r>
              <w:rPr>
                <w:rFonts w:hint="default" w:ascii="Times New Roman" w:hAnsi="Times New Roman" w:eastAsia="宋体" w:cs="Times New Roman"/>
                <w:snapToGrid/>
                <w:color w:val="auto"/>
                <w:kern w:val="2"/>
                <w:lang w:eastAsia="zh-CN"/>
              </w:rPr>
              <w:t>）</w:t>
            </w:r>
            <w:r>
              <w:rPr>
                <w:rFonts w:hint="default" w:ascii="Times New Roman" w:hAnsi="Times New Roman" w:eastAsia="宋体" w:cs="Times New Roman"/>
                <w:snapToGrid/>
                <w:color w:val="auto"/>
                <w:kern w:val="2"/>
              </w:rPr>
              <w:t>苗床拆除的废弃地膜或无纺布</w:t>
            </w:r>
          </w:p>
          <w:p w14:paraId="2DD43F76">
            <w:pPr>
              <w:pStyle w:val="11"/>
              <w:widowControl w:val="0"/>
              <w:kinsoku/>
              <w:autoSpaceDE/>
              <w:autoSpaceDN/>
              <w:adjustRightInd/>
              <w:snapToGrid/>
              <w:spacing w:before="0" w:line="360" w:lineRule="auto"/>
              <w:ind w:firstLine="480" w:firstLineChars="200"/>
              <w:jc w:val="both"/>
              <w:textAlignment w:val="auto"/>
              <w:rPr>
                <w:rFonts w:hint="default" w:ascii="Times New Roman" w:hAnsi="Times New Roman" w:eastAsia="宋体" w:cs="Times New Roman"/>
                <w:snapToGrid/>
                <w:color w:val="auto"/>
                <w:kern w:val="2"/>
              </w:rPr>
            </w:pPr>
            <w:r>
              <w:rPr>
                <w:rFonts w:hint="default" w:ascii="Times New Roman" w:hAnsi="Times New Roman" w:eastAsia="宋体" w:cs="Times New Roman"/>
                <w:snapToGrid/>
                <w:color w:val="auto"/>
                <w:kern w:val="2"/>
              </w:rPr>
              <w:t>项目区苗木抚育末期需对苗床上部覆盖的地膜或无纺布进行拆除，便于后期苗木生长，该类固废中可外售专业回收单位收集后进行资源化加工再利用。</w:t>
            </w:r>
          </w:p>
          <w:p w14:paraId="7A339BE2">
            <w:pPr>
              <w:pStyle w:val="11"/>
              <w:widowControl w:val="0"/>
              <w:kinsoku/>
              <w:autoSpaceDE/>
              <w:autoSpaceDN/>
              <w:adjustRightInd/>
              <w:snapToGrid/>
              <w:spacing w:before="0" w:line="360" w:lineRule="auto"/>
              <w:ind w:firstLine="480" w:firstLineChars="200"/>
              <w:jc w:val="both"/>
              <w:textAlignment w:val="auto"/>
              <w:rPr>
                <w:rFonts w:hint="default" w:ascii="Times New Roman" w:hAnsi="Times New Roman" w:eastAsia="宋体" w:cs="Times New Roman"/>
                <w:snapToGrid/>
                <w:color w:val="auto"/>
                <w:kern w:val="2"/>
              </w:rPr>
            </w:pPr>
            <w:r>
              <w:rPr>
                <w:rFonts w:hint="default" w:ascii="Times New Roman" w:hAnsi="Times New Roman" w:eastAsia="宋体" w:cs="Times New Roman"/>
                <w:snapToGrid/>
                <w:color w:val="auto"/>
                <w:kern w:val="2"/>
                <w:lang w:eastAsia="zh-CN"/>
              </w:rPr>
              <w:t>（</w:t>
            </w:r>
            <w:r>
              <w:rPr>
                <w:rFonts w:hint="default" w:ascii="Times New Roman" w:hAnsi="Times New Roman" w:eastAsia="宋体" w:cs="Times New Roman"/>
                <w:snapToGrid/>
                <w:color w:val="auto"/>
                <w:kern w:val="2"/>
                <w:lang w:val="en-US" w:eastAsia="zh-CN"/>
              </w:rPr>
              <w:t>6</w:t>
            </w:r>
            <w:r>
              <w:rPr>
                <w:rFonts w:hint="default" w:ascii="Times New Roman" w:hAnsi="Times New Roman" w:eastAsia="宋体" w:cs="Times New Roman"/>
                <w:snapToGrid/>
                <w:color w:val="auto"/>
                <w:kern w:val="2"/>
                <w:lang w:eastAsia="zh-CN"/>
              </w:rPr>
              <w:t>）</w:t>
            </w:r>
            <w:r>
              <w:rPr>
                <w:rFonts w:hint="default" w:ascii="Times New Roman" w:hAnsi="Times New Roman" w:eastAsia="宋体" w:cs="Times New Roman"/>
                <w:snapToGrid/>
                <w:color w:val="auto"/>
                <w:kern w:val="2"/>
              </w:rPr>
              <w:t>农药废包装容器</w:t>
            </w:r>
          </w:p>
          <w:p w14:paraId="2CFB7326">
            <w:pPr>
              <w:pStyle w:val="11"/>
              <w:widowControl w:val="0"/>
              <w:kinsoku/>
              <w:autoSpaceDE/>
              <w:autoSpaceDN/>
              <w:adjustRightInd/>
              <w:snapToGrid/>
              <w:spacing w:before="0" w:line="360" w:lineRule="auto"/>
              <w:ind w:firstLine="480" w:firstLineChars="200"/>
              <w:jc w:val="both"/>
              <w:textAlignment w:val="auto"/>
              <w:rPr>
                <w:rFonts w:hint="default" w:ascii="Times New Roman" w:hAnsi="Times New Roman" w:eastAsia="宋体" w:cs="Times New Roman"/>
                <w:snapToGrid/>
                <w:color w:val="auto"/>
                <w:kern w:val="2"/>
              </w:rPr>
            </w:pPr>
            <w:r>
              <w:rPr>
                <w:rFonts w:hint="default" w:ascii="Times New Roman" w:hAnsi="Times New Roman" w:eastAsia="宋体" w:cs="Times New Roman"/>
                <w:snapToGrid/>
                <w:color w:val="auto"/>
                <w:kern w:val="2"/>
              </w:rPr>
              <w:t>项目抚育管护期需根据苗木受病虫害的情况及时进行防治病虫害的农药喷洒工作，农药使用后产生的废包装物属于危险废物，按照《国家危险废物名录（2021年版）》，该类危废的废物类别为 HW04，废物代码为 900-003-04。结合危险废物豁免管理清单，农药使用后被废弃的与农药直接接触或含有农药残余物的包装物在收集、运输、利用、处置阶段均有相应的豁免条件，本次评价按照豁免条件要求该类危废在收集、运输、利用阶段依据</w:t>
            </w:r>
            <w:r>
              <w:rPr>
                <w:rFonts w:hint="default" w:ascii="Times New Roman" w:hAnsi="Times New Roman" w:eastAsia="宋体" w:cs="Times New Roman"/>
                <w:snapToGrid/>
                <w:color w:val="auto"/>
                <w:kern w:val="2"/>
              </w:rPr>
              <w:t>《农药包装废弃物回收处理管理办法》中相关要求进行收集、运输、利用后，上述三个环节均不按危险废物管理，收集后交由厂家资源化利用，项目区内不考虑危废暂存需求。</w:t>
            </w:r>
          </w:p>
          <w:p w14:paraId="55CC1974">
            <w:pPr>
              <w:pStyle w:val="11"/>
              <w:widowControl w:val="0"/>
              <w:kinsoku/>
              <w:autoSpaceDE/>
              <w:autoSpaceDN/>
              <w:adjustRightInd/>
              <w:snapToGrid/>
              <w:spacing w:before="0" w:line="360" w:lineRule="auto"/>
              <w:ind w:firstLine="480" w:firstLineChars="200"/>
              <w:jc w:val="both"/>
              <w:textAlignment w:val="auto"/>
              <w:rPr>
                <w:rFonts w:hint="default" w:ascii="Times New Roman" w:hAnsi="Times New Roman" w:eastAsia="宋体" w:cs="Times New Roman"/>
                <w:snapToGrid/>
                <w:color w:val="auto"/>
                <w:kern w:val="2"/>
              </w:rPr>
            </w:pPr>
            <w:r>
              <w:rPr>
                <w:rFonts w:hint="default" w:ascii="Times New Roman" w:hAnsi="Times New Roman" w:eastAsia="宋体" w:cs="Times New Roman"/>
                <w:snapToGrid/>
                <w:color w:val="auto"/>
                <w:kern w:val="2"/>
                <w:lang w:eastAsia="zh-CN"/>
              </w:rPr>
              <w:t>（</w:t>
            </w:r>
            <w:r>
              <w:rPr>
                <w:rFonts w:hint="default" w:ascii="Times New Roman" w:hAnsi="Times New Roman" w:eastAsia="宋体" w:cs="Times New Roman"/>
                <w:snapToGrid/>
                <w:color w:val="auto"/>
                <w:kern w:val="2"/>
                <w:lang w:val="en-US" w:eastAsia="zh-CN"/>
              </w:rPr>
              <w:t>7</w:t>
            </w:r>
            <w:r>
              <w:rPr>
                <w:rFonts w:hint="default" w:ascii="Times New Roman" w:hAnsi="Times New Roman" w:eastAsia="宋体" w:cs="Times New Roman"/>
                <w:snapToGrid/>
                <w:color w:val="auto"/>
                <w:kern w:val="2"/>
                <w:lang w:eastAsia="zh-CN"/>
              </w:rPr>
              <w:t>）</w:t>
            </w:r>
            <w:r>
              <w:rPr>
                <w:rFonts w:hint="default" w:ascii="Times New Roman" w:hAnsi="Times New Roman" w:eastAsia="宋体" w:cs="Times New Roman"/>
                <w:snapToGrid/>
                <w:color w:val="auto"/>
                <w:kern w:val="2"/>
              </w:rPr>
              <w:t>建筑垃圾</w:t>
            </w:r>
          </w:p>
          <w:p w14:paraId="52B2867B">
            <w:pPr>
              <w:pStyle w:val="11"/>
              <w:widowControl w:val="0"/>
              <w:kinsoku/>
              <w:autoSpaceDE/>
              <w:autoSpaceDN/>
              <w:adjustRightInd/>
              <w:snapToGrid/>
              <w:spacing w:before="0" w:line="360" w:lineRule="auto"/>
              <w:ind w:firstLine="480" w:firstLineChars="200"/>
              <w:jc w:val="both"/>
              <w:textAlignment w:val="auto"/>
              <w:rPr>
                <w:rFonts w:hint="default" w:ascii="Times New Roman" w:hAnsi="Times New Roman" w:eastAsia="宋体" w:cs="Times New Roman"/>
                <w:b/>
                <w:bCs/>
                <w:snapToGrid/>
                <w:color w:val="auto"/>
                <w:kern w:val="2"/>
              </w:rPr>
            </w:pPr>
            <w:r>
              <w:rPr>
                <w:rFonts w:hint="default" w:ascii="Times New Roman" w:hAnsi="Times New Roman" w:eastAsia="宋体" w:cs="Times New Roman"/>
                <w:color w:val="auto"/>
              </w:rPr>
              <w:t>建筑垃圾主要是施工结束后临时工程拆除和施工迹地清理时产生的废弃物等</w:t>
            </w:r>
            <w:r>
              <w:rPr>
                <w:rFonts w:hint="default" w:ascii="Times New Roman" w:hAnsi="Times New Roman" w:eastAsia="宋体" w:cs="Times New Roman"/>
                <w:snapToGrid/>
                <w:color w:val="auto"/>
                <w:kern w:val="2"/>
              </w:rPr>
              <w:t>，施工期建筑垃圾产生量约为0.1t/d。建筑垃圾均应统一收集，分类堆存，施工产生的废料首先考虑废料的回收利用，对钢筋、钢板等下角料可分类回收，交废物收购站处理。其他废弃物及时清运至市政部门指定的建筑垃圾填埋场进行处理或采取其它无害化处理，以免影响临时占地的后期用地的恢复和生态恢复。</w:t>
            </w:r>
          </w:p>
          <w:p w14:paraId="4377E6C7">
            <w:pPr>
              <w:pStyle w:val="11"/>
              <w:widowControl w:val="0"/>
              <w:kinsoku/>
              <w:autoSpaceDE/>
              <w:autoSpaceDN/>
              <w:adjustRightInd/>
              <w:snapToGrid/>
              <w:spacing w:before="0" w:line="360" w:lineRule="auto"/>
              <w:ind w:firstLine="480" w:firstLineChars="200"/>
              <w:jc w:val="both"/>
              <w:textAlignment w:val="auto"/>
              <w:rPr>
                <w:rFonts w:hint="default" w:ascii="Times New Roman" w:hAnsi="Times New Roman" w:eastAsia="宋体" w:cs="Times New Roman"/>
                <w:snapToGrid/>
                <w:color w:val="auto"/>
                <w:kern w:val="2"/>
              </w:rPr>
            </w:pPr>
            <w:r>
              <w:rPr>
                <w:rFonts w:hint="default" w:ascii="Times New Roman" w:hAnsi="Times New Roman" w:eastAsia="宋体" w:cs="Times New Roman"/>
                <w:snapToGrid/>
                <w:color w:val="auto"/>
                <w:kern w:val="2"/>
              </w:rPr>
              <w:t>（</w:t>
            </w:r>
            <w:r>
              <w:rPr>
                <w:rFonts w:hint="default" w:ascii="Times New Roman" w:hAnsi="Times New Roman" w:eastAsia="宋体" w:cs="Times New Roman"/>
                <w:snapToGrid/>
                <w:color w:val="auto"/>
                <w:kern w:val="2"/>
                <w:lang w:val="en-US" w:eastAsia="zh-CN"/>
              </w:rPr>
              <w:t>8</w:t>
            </w:r>
            <w:r>
              <w:rPr>
                <w:rFonts w:hint="default" w:ascii="Times New Roman" w:hAnsi="Times New Roman" w:eastAsia="宋体" w:cs="Times New Roman"/>
                <w:snapToGrid/>
                <w:color w:val="auto"/>
                <w:kern w:val="2"/>
              </w:rPr>
              <w:t>）施工人员产生的生活垃圾</w:t>
            </w:r>
          </w:p>
          <w:p w14:paraId="714BDA67">
            <w:pPr>
              <w:pStyle w:val="11"/>
              <w:widowControl w:val="0"/>
              <w:kinsoku/>
              <w:autoSpaceDE/>
              <w:autoSpaceDN/>
              <w:adjustRightInd/>
              <w:snapToGrid/>
              <w:spacing w:before="0" w:line="360" w:lineRule="auto"/>
              <w:ind w:firstLine="480" w:firstLineChars="200"/>
              <w:jc w:val="both"/>
              <w:textAlignment w:val="auto"/>
              <w:rPr>
                <w:rFonts w:hint="default" w:ascii="Times New Roman" w:hAnsi="Times New Roman" w:eastAsia="宋体" w:cs="Times New Roman"/>
                <w:snapToGrid/>
                <w:color w:val="auto"/>
                <w:kern w:val="2"/>
              </w:rPr>
            </w:pPr>
            <w:r>
              <w:rPr>
                <w:rFonts w:hint="default" w:ascii="Times New Roman" w:hAnsi="Times New Roman" w:eastAsia="宋体" w:cs="Times New Roman"/>
                <w:snapToGrid/>
                <w:color w:val="auto"/>
                <w:kern w:val="2"/>
              </w:rPr>
              <w:t>本项目施工期高峰施工人员60人，施工人员生活垃圾产生量按0.5kg/d·人计，则生活垃圾产生量为30kg/d。在施工场地设置生活垃圾集中收集点，经集中收集后统一由当地环卫部门处理，严禁随意堆放。</w:t>
            </w:r>
          </w:p>
          <w:p w14:paraId="5BCDA204">
            <w:pPr>
              <w:spacing w:line="360" w:lineRule="auto"/>
              <w:ind w:firstLine="482" w:firstLineChars="200"/>
              <w:rPr>
                <w:rFonts w:hint="default" w:ascii="Times New Roman" w:hAnsi="Times New Roman" w:eastAsia="宋体" w:cs="Times New Roman"/>
                <w:b/>
                <w:bCs/>
                <w:iCs/>
                <w:color w:val="auto"/>
                <w:sz w:val="24"/>
                <w:szCs w:val="24"/>
              </w:rPr>
            </w:pPr>
            <w:r>
              <w:rPr>
                <w:rFonts w:hint="default" w:ascii="Times New Roman" w:hAnsi="Times New Roman" w:eastAsia="宋体" w:cs="Times New Roman"/>
                <w:b/>
                <w:bCs/>
                <w:iCs/>
                <w:color w:val="auto"/>
                <w:sz w:val="24"/>
                <w:szCs w:val="24"/>
              </w:rPr>
              <w:t>6、施工期地下水、土壤环境影响分析</w:t>
            </w:r>
          </w:p>
          <w:p w14:paraId="625D4E0F">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评价要求施工期合理安排施工进度，加强施工管理，规范施工作业，可使其影响减低到最小程度；加强施工人员的环保意识的宣教工作，禁止施工人员破坏设计用地以外的植被，均可使本工程对土壤环境的影响得到有效控制。</w:t>
            </w:r>
          </w:p>
          <w:p w14:paraId="62BA44AA">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项目所在区域地下水位受地表水及大气降水的补给，随季节变化明显，地下水向远离本项目对地下水水位的影响范围较小。</w:t>
            </w:r>
          </w:p>
          <w:p w14:paraId="56B030B4">
            <w:pPr>
              <w:pStyle w:val="11"/>
              <w:widowControl w:val="0"/>
              <w:kinsoku/>
              <w:autoSpaceDE/>
              <w:autoSpaceDN/>
              <w:adjustRightInd/>
              <w:snapToGrid/>
              <w:spacing w:before="0" w:line="360" w:lineRule="auto"/>
              <w:ind w:firstLine="480" w:firstLineChars="200"/>
              <w:jc w:val="both"/>
              <w:textAlignment w:val="auto"/>
              <w:rPr>
                <w:rFonts w:hint="default" w:ascii="Times New Roman" w:hAnsi="Times New Roman" w:eastAsia="宋体" w:cs="Times New Roman"/>
                <w:color w:val="auto"/>
              </w:rPr>
            </w:pPr>
          </w:p>
          <w:p w14:paraId="722052A7">
            <w:pPr>
              <w:pStyle w:val="11"/>
              <w:widowControl w:val="0"/>
              <w:kinsoku/>
              <w:autoSpaceDE/>
              <w:autoSpaceDN/>
              <w:adjustRightInd/>
              <w:snapToGrid/>
              <w:spacing w:before="0" w:line="360" w:lineRule="auto"/>
              <w:ind w:firstLine="480" w:firstLineChars="200"/>
              <w:jc w:val="both"/>
              <w:textAlignment w:val="auto"/>
              <w:rPr>
                <w:rFonts w:hint="default" w:ascii="Times New Roman" w:hAnsi="Times New Roman" w:eastAsia="宋体" w:cs="Times New Roman"/>
                <w:color w:val="auto"/>
              </w:rPr>
            </w:pPr>
          </w:p>
          <w:p w14:paraId="7E469BC2">
            <w:pPr>
              <w:pStyle w:val="11"/>
              <w:widowControl w:val="0"/>
              <w:kinsoku/>
              <w:autoSpaceDE/>
              <w:autoSpaceDN/>
              <w:adjustRightInd/>
              <w:snapToGrid/>
              <w:spacing w:before="0" w:line="360" w:lineRule="auto"/>
              <w:ind w:firstLine="480" w:firstLineChars="200"/>
              <w:jc w:val="both"/>
              <w:textAlignment w:val="auto"/>
              <w:rPr>
                <w:rFonts w:hint="default" w:ascii="Times New Roman" w:hAnsi="Times New Roman" w:eastAsia="宋体" w:cs="Times New Roman"/>
                <w:color w:val="auto"/>
              </w:rPr>
            </w:pPr>
          </w:p>
          <w:p w14:paraId="156AF2BA">
            <w:pPr>
              <w:pStyle w:val="11"/>
              <w:widowControl w:val="0"/>
              <w:kinsoku/>
              <w:autoSpaceDE/>
              <w:autoSpaceDN/>
              <w:adjustRightInd/>
              <w:snapToGrid/>
              <w:spacing w:before="0" w:line="360" w:lineRule="auto"/>
              <w:ind w:firstLine="480" w:firstLineChars="200"/>
              <w:jc w:val="both"/>
              <w:textAlignment w:val="auto"/>
              <w:rPr>
                <w:rFonts w:hint="default" w:ascii="Times New Roman" w:hAnsi="Times New Roman" w:eastAsia="宋体" w:cs="Times New Roman"/>
                <w:color w:val="auto"/>
              </w:rPr>
            </w:pPr>
          </w:p>
          <w:p w14:paraId="06D668F5">
            <w:pPr>
              <w:pStyle w:val="11"/>
              <w:widowControl w:val="0"/>
              <w:kinsoku/>
              <w:autoSpaceDE/>
              <w:autoSpaceDN/>
              <w:adjustRightInd/>
              <w:snapToGrid/>
              <w:spacing w:before="0" w:line="360" w:lineRule="auto"/>
              <w:jc w:val="both"/>
              <w:textAlignment w:val="auto"/>
              <w:rPr>
                <w:rFonts w:hint="default" w:ascii="Times New Roman" w:hAnsi="Times New Roman" w:eastAsia="宋体" w:cs="Times New Roman"/>
                <w:color w:val="auto"/>
              </w:rPr>
            </w:pPr>
          </w:p>
          <w:p w14:paraId="71957AD1">
            <w:pPr>
              <w:pStyle w:val="11"/>
              <w:widowControl w:val="0"/>
              <w:kinsoku/>
              <w:autoSpaceDE/>
              <w:autoSpaceDN/>
              <w:adjustRightInd/>
              <w:snapToGrid/>
              <w:spacing w:before="0" w:line="360" w:lineRule="auto"/>
              <w:ind w:firstLine="480" w:firstLineChars="200"/>
              <w:jc w:val="both"/>
              <w:textAlignment w:val="auto"/>
              <w:rPr>
                <w:rFonts w:hint="default" w:ascii="Times New Roman" w:hAnsi="Times New Roman" w:eastAsia="宋体" w:cs="Times New Roman"/>
                <w:color w:val="auto"/>
              </w:rPr>
            </w:pPr>
          </w:p>
          <w:p w14:paraId="391A8BF0">
            <w:pPr>
              <w:pStyle w:val="11"/>
              <w:widowControl w:val="0"/>
              <w:kinsoku/>
              <w:autoSpaceDE/>
              <w:autoSpaceDN/>
              <w:adjustRightInd/>
              <w:snapToGrid/>
              <w:spacing w:before="0" w:line="360" w:lineRule="auto"/>
              <w:jc w:val="both"/>
              <w:textAlignment w:val="auto"/>
              <w:rPr>
                <w:rFonts w:hint="default" w:ascii="Times New Roman" w:hAnsi="Times New Roman" w:eastAsia="宋体" w:cs="Times New Roman"/>
                <w:color w:val="auto"/>
              </w:rPr>
            </w:pPr>
          </w:p>
          <w:p w14:paraId="607560B9">
            <w:pPr>
              <w:spacing w:line="360" w:lineRule="auto"/>
              <w:rPr>
                <w:rFonts w:hint="default" w:ascii="Times New Roman" w:hAnsi="Times New Roman" w:eastAsia="宋体" w:cs="Times New Roman"/>
                <w:color w:val="auto"/>
                <w:sz w:val="24"/>
                <w:szCs w:val="24"/>
              </w:rPr>
            </w:pPr>
          </w:p>
          <w:p w14:paraId="5F6EE684">
            <w:pPr>
              <w:spacing w:line="360" w:lineRule="auto"/>
              <w:rPr>
                <w:rFonts w:hint="default" w:ascii="Times New Roman" w:hAnsi="Times New Roman" w:eastAsia="宋体" w:cs="Times New Roman"/>
                <w:color w:val="auto"/>
                <w:sz w:val="24"/>
                <w:szCs w:val="24"/>
              </w:rPr>
            </w:pPr>
          </w:p>
        </w:tc>
      </w:tr>
    </w:tbl>
    <w:p w14:paraId="4BB17FE6">
      <w:pPr>
        <w:spacing w:line="91" w:lineRule="auto"/>
        <w:rPr>
          <w:rFonts w:hint="default" w:ascii="Times New Roman" w:hAnsi="Times New Roman" w:eastAsia="宋体" w:cs="Times New Roman"/>
          <w:color w:val="auto"/>
          <w:sz w:val="2"/>
        </w:rPr>
      </w:pPr>
    </w:p>
    <w:p w14:paraId="04B65626">
      <w:pPr>
        <w:spacing w:line="91" w:lineRule="auto"/>
        <w:rPr>
          <w:rFonts w:hint="default" w:ascii="Times New Roman" w:hAnsi="Times New Roman" w:eastAsia="宋体" w:cs="Times New Roman"/>
          <w:color w:val="auto"/>
          <w:sz w:val="2"/>
        </w:rPr>
      </w:pPr>
    </w:p>
    <w:tbl>
      <w:tblPr>
        <w:tblStyle w:val="43"/>
        <w:tblW w:w="8787"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0" w:type="dxa"/>
          <w:bottom w:w="0" w:type="dxa"/>
          <w:right w:w="0" w:type="dxa"/>
        </w:tblCellMar>
      </w:tblPr>
      <w:tblGrid>
        <w:gridCol w:w="468"/>
        <w:gridCol w:w="8319"/>
      </w:tblGrid>
      <w:tr w14:paraId="7CFBCDC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3544" w:hRule="atLeast"/>
          <w:jc w:val="center"/>
        </w:trPr>
        <w:tc>
          <w:tcPr>
            <w:tcW w:w="468" w:type="dxa"/>
            <w:textDirection w:val="tbRlV"/>
            <w:vAlign w:val="center"/>
          </w:tcPr>
          <w:p w14:paraId="114F4199">
            <w:pPr>
              <w:spacing w:before="110" w:line="180" w:lineRule="auto"/>
              <w:ind w:firstLine="5098"/>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1"/>
                <w:sz w:val="24"/>
                <w:szCs w:val="24"/>
              </w:rPr>
              <w:t>运营期生态环境影响分析</w:t>
            </w:r>
          </w:p>
        </w:tc>
        <w:tc>
          <w:tcPr>
            <w:tcW w:w="8319" w:type="dxa"/>
            <w:vAlign w:val="center"/>
          </w:tcPr>
          <w:p w14:paraId="45A3CC0E">
            <w:pPr>
              <w:spacing w:before="41" w:line="360" w:lineRule="auto"/>
              <w:ind w:firstLine="600"/>
              <w:rPr>
                <w:rFonts w:hint="default" w:ascii="Times New Roman" w:hAnsi="Times New Roman" w:eastAsia="宋体" w:cs="Times New Roman"/>
                <w:b/>
                <w:iCs/>
                <w:snapToGrid/>
                <w:color w:val="auto"/>
                <w:kern w:val="2"/>
                <w:sz w:val="24"/>
                <w:szCs w:val="24"/>
              </w:rPr>
            </w:pPr>
            <w:r>
              <w:rPr>
                <w:rFonts w:hint="default" w:ascii="Times New Roman" w:hAnsi="Times New Roman" w:eastAsia="宋体" w:cs="Times New Roman"/>
                <w:b/>
                <w:iCs/>
                <w:snapToGrid/>
                <w:color w:val="auto"/>
                <w:kern w:val="2"/>
                <w:sz w:val="24"/>
                <w:szCs w:val="24"/>
              </w:rPr>
              <w:t>运营期工艺流程</w:t>
            </w:r>
          </w:p>
          <w:p w14:paraId="69B9C537">
            <w:pPr>
              <w:spacing w:before="41" w:line="360" w:lineRule="auto"/>
              <w:jc w:val="center"/>
              <w:rPr>
                <w:rFonts w:hint="default" w:ascii="Times New Roman" w:hAnsi="Times New Roman" w:eastAsia="宋体" w:cs="Times New Roman"/>
                <w:bCs/>
                <w:iCs/>
                <w:snapToGrid/>
                <w:color w:val="auto"/>
                <w:kern w:val="2"/>
                <w:sz w:val="24"/>
                <w:szCs w:val="24"/>
              </w:rPr>
            </w:pPr>
            <w:r>
              <w:rPr>
                <w:rFonts w:hint="default" w:ascii="Times New Roman" w:hAnsi="Times New Roman" w:eastAsia="宋体" w:cs="Times New Roman"/>
                <w:color w:val="auto"/>
              </w:rPr>
              <w:drawing>
                <wp:inline distT="0" distB="0" distL="0" distR="0">
                  <wp:extent cx="4590415" cy="3060065"/>
                  <wp:effectExtent l="0" t="0" r="635" b="698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45"/>
                          <a:srcRect b="2534"/>
                          <a:stretch>
                            <a:fillRect/>
                          </a:stretch>
                        </pic:blipFill>
                        <pic:spPr>
                          <a:xfrm>
                            <a:off x="0" y="0"/>
                            <a:ext cx="4590415" cy="3060065"/>
                          </a:xfrm>
                          <a:prstGeom prst="rect">
                            <a:avLst/>
                          </a:prstGeom>
                        </pic:spPr>
                      </pic:pic>
                    </a:graphicData>
                  </a:graphic>
                </wp:inline>
              </w:drawing>
            </w:r>
          </w:p>
          <w:p w14:paraId="7E866BCB">
            <w:pPr>
              <w:spacing w:line="360" w:lineRule="auto"/>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图4-1  项目运营期产污示意图</w:t>
            </w:r>
          </w:p>
          <w:p w14:paraId="259A84B8">
            <w:pPr>
              <w:adjustRightInd w:val="0"/>
              <w:snapToGrid w:val="0"/>
              <w:spacing w:line="360" w:lineRule="auto"/>
              <w:jc w:val="center"/>
              <w:rPr>
                <w:rFonts w:hint="default" w:ascii="Times New Roman" w:hAnsi="Times New Roman" w:eastAsia="宋体" w:cs="Times New Roman"/>
                <w:b w:val="0"/>
                <w:bCs/>
                <w:color w:val="auto"/>
                <w:sz w:val="24"/>
                <w:szCs w:val="24"/>
                <w:highlight w:val="none"/>
                <w:lang w:val="en-US" w:eastAsia="zh-CN"/>
              </w:rPr>
            </w:pPr>
            <w:r>
              <w:rPr>
                <w:rFonts w:hint="default" w:ascii="Times New Roman" w:hAnsi="Times New Roman" w:eastAsia="宋体" w:cs="Times New Roman"/>
                <w:color w:val="auto"/>
                <w:sz w:val="24"/>
                <w:szCs w:val="24"/>
              </w:rPr>
              <w:drawing>
                <wp:inline distT="0" distB="0" distL="114300" distR="114300">
                  <wp:extent cx="4084955" cy="828040"/>
                  <wp:effectExtent l="0" t="0" r="10795" b="10160"/>
                  <wp:docPr id="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
                          <pic:cNvPicPr>
                            <a:picLocks noChangeAspect="1"/>
                          </pic:cNvPicPr>
                        </pic:nvPicPr>
                        <pic:blipFill>
                          <a:blip r:embed="rId46"/>
                          <a:stretch>
                            <a:fillRect/>
                          </a:stretch>
                        </pic:blipFill>
                        <pic:spPr>
                          <a:xfrm>
                            <a:off x="0" y="0"/>
                            <a:ext cx="4084955" cy="828040"/>
                          </a:xfrm>
                          <a:prstGeom prst="rect">
                            <a:avLst/>
                          </a:prstGeom>
                          <a:noFill/>
                          <a:ln>
                            <a:noFill/>
                          </a:ln>
                        </pic:spPr>
                      </pic:pic>
                    </a:graphicData>
                  </a:graphic>
                </wp:inline>
              </w:drawing>
            </w:r>
          </w:p>
          <w:p w14:paraId="084B8E67">
            <w:pPr>
              <w:pStyle w:val="26"/>
              <w:spacing w:line="360" w:lineRule="auto"/>
              <w:jc w:val="center"/>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图4-2  林下菌和林下药材种植运期工艺流程图</w:t>
            </w:r>
          </w:p>
          <w:p w14:paraId="751830CC">
            <w:pPr>
              <w:pStyle w:val="26"/>
              <w:spacing w:line="360" w:lineRule="auto"/>
              <w:ind w:firstLine="480" w:firstLineChars="200"/>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本项目中林下菌和林下药材种植采用林下种植不破坏原有优势物种，种植全过程都采用人工，减少对生态的影响。</w:t>
            </w:r>
          </w:p>
          <w:p w14:paraId="31BEC493">
            <w:pPr>
              <w:spacing w:before="40" w:line="360" w:lineRule="auto"/>
              <w:ind w:firstLine="261" w:firstLineChars="100"/>
              <w:outlineLvl w:val="1"/>
              <w:rPr>
                <w:rFonts w:hint="default" w:ascii="Times New Roman" w:hAnsi="Times New Roman" w:eastAsia="宋体" w:cs="Times New Roman"/>
                <w:b/>
                <w:bCs/>
                <w:color w:val="auto"/>
                <w:spacing w:val="-10"/>
                <w:sz w:val="28"/>
                <w:szCs w:val="28"/>
              </w:rPr>
            </w:pPr>
            <w:bookmarkStart w:id="40" w:name="_Toc22989"/>
            <w:r>
              <w:rPr>
                <w:rFonts w:hint="default" w:ascii="Times New Roman" w:hAnsi="Times New Roman" w:eastAsia="宋体" w:cs="Times New Roman"/>
                <w:b/>
                <w:bCs/>
                <w:color w:val="auto"/>
                <w:spacing w:val="-10"/>
                <w:sz w:val="28"/>
                <w:szCs w:val="28"/>
              </w:rPr>
              <w:t>二、运营期环境影响分析</w:t>
            </w:r>
            <w:bookmarkEnd w:id="40"/>
          </w:p>
          <w:p w14:paraId="428A6DCD">
            <w:pPr>
              <w:spacing w:before="41" w:line="360" w:lineRule="auto"/>
              <w:ind w:firstLine="600"/>
              <w:rPr>
                <w:rFonts w:hint="default" w:ascii="Times New Roman" w:hAnsi="Times New Roman" w:eastAsia="宋体" w:cs="Times New Roman"/>
                <w:b/>
                <w:iCs/>
                <w:snapToGrid/>
                <w:color w:val="auto"/>
                <w:kern w:val="2"/>
                <w:sz w:val="24"/>
                <w:szCs w:val="24"/>
              </w:rPr>
            </w:pPr>
            <w:r>
              <w:rPr>
                <w:rFonts w:hint="default" w:ascii="Times New Roman" w:hAnsi="Times New Roman" w:eastAsia="宋体" w:cs="Times New Roman"/>
                <w:b/>
                <w:iCs/>
                <w:snapToGrid/>
                <w:color w:val="auto"/>
                <w:kern w:val="2"/>
                <w:sz w:val="24"/>
                <w:szCs w:val="24"/>
              </w:rPr>
              <w:t>1、生态影响分析</w:t>
            </w:r>
          </w:p>
          <w:p w14:paraId="3CA09328">
            <w:pPr>
              <w:spacing w:before="41" w:line="360" w:lineRule="auto"/>
              <w:ind w:firstLine="600"/>
              <w:rPr>
                <w:rFonts w:hint="default" w:ascii="Times New Roman" w:hAnsi="Times New Roman" w:eastAsia="宋体" w:cs="Times New Roman"/>
                <w:bCs/>
                <w:iCs/>
                <w:snapToGrid/>
                <w:color w:val="auto"/>
                <w:kern w:val="2"/>
                <w:sz w:val="24"/>
                <w:szCs w:val="24"/>
                <w:lang w:eastAsia="zh-CN"/>
              </w:rPr>
            </w:pPr>
            <w:r>
              <w:rPr>
                <w:rFonts w:hint="default" w:ascii="Times New Roman" w:hAnsi="Times New Roman" w:eastAsia="宋体" w:cs="Times New Roman"/>
                <w:bCs/>
                <w:iCs/>
                <w:snapToGrid/>
                <w:color w:val="auto"/>
                <w:kern w:val="2"/>
                <w:sz w:val="24"/>
                <w:szCs w:val="24"/>
              </w:rPr>
              <w:t>本项目为储备林建设项目，项目建成后有利于增加造林地树种、增加植物量，提高生物多样性，有效的控制水土流失，改良土地，保护生物多样性，进而改进当地的生态环境。项目建设过程中应尽量避免外来物种入侵风险，选用适宜当地环境的本土植被。项目运营期活动主要针对造林区域内林木进行施肥、灌溉及必要的病虫害防治作业。上述活动产生的不利环境影响主要体现在污染环节方面，具体包括农药喷洒异味、灌溉期水泵运行噪声、农药废包装容器。项目通过人工造林后运营期对区域生态环境影响趋利</w:t>
            </w:r>
            <w:r>
              <w:rPr>
                <w:rFonts w:hint="default" w:ascii="Times New Roman" w:hAnsi="Times New Roman" w:eastAsia="宋体" w:cs="Times New Roman"/>
                <w:bCs/>
                <w:iCs/>
                <w:snapToGrid/>
                <w:color w:val="auto"/>
                <w:kern w:val="2"/>
                <w:sz w:val="24"/>
                <w:szCs w:val="24"/>
                <w:lang w:eastAsia="zh-CN"/>
              </w:rPr>
              <w:t>。</w:t>
            </w:r>
          </w:p>
          <w:p w14:paraId="1C9EAE8C">
            <w:pPr>
              <w:spacing w:before="41" w:line="360" w:lineRule="auto"/>
              <w:ind w:firstLine="600"/>
              <w:rPr>
                <w:rFonts w:hint="default" w:ascii="Times New Roman" w:hAnsi="Times New Roman" w:eastAsia="宋体" w:cs="Times New Roman"/>
                <w:bCs/>
                <w:iCs/>
                <w:snapToGrid/>
                <w:color w:val="auto"/>
                <w:kern w:val="2"/>
                <w:sz w:val="24"/>
                <w:szCs w:val="24"/>
              </w:rPr>
            </w:pPr>
            <w:r>
              <w:rPr>
                <w:rFonts w:hint="default" w:ascii="Times New Roman" w:hAnsi="Times New Roman" w:eastAsia="宋体" w:cs="Times New Roman"/>
                <w:bCs/>
                <w:iCs/>
                <w:snapToGrid/>
                <w:color w:val="auto"/>
                <w:kern w:val="2"/>
                <w:sz w:val="24"/>
                <w:szCs w:val="24"/>
              </w:rPr>
              <w:t>（1）涵养水源效益分析</w:t>
            </w:r>
          </w:p>
          <w:p w14:paraId="7183E022">
            <w:pPr>
              <w:spacing w:before="41" w:line="360" w:lineRule="auto"/>
              <w:ind w:firstLine="600"/>
              <w:rPr>
                <w:rFonts w:hint="default" w:ascii="Times New Roman" w:hAnsi="Times New Roman" w:eastAsia="宋体" w:cs="Times New Roman"/>
                <w:bCs/>
                <w:iCs/>
                <w:snapToGrid/>
                <w:color w:val="auto"/>
                <w:kern w:val="2"/>
                <w:sz w:val="24"/>
                <w:szCs w:val="24"/>
              </w:rPr>
            </w:pPr>
            <w:r>
              <w:rPr>
                <w:rFonts w:hint="default" w:ascii="Times New Roman" w:hAnsi="Times New Roman" w:eastAsia="宋体" w:cs="Times New Roman"/>
                <w:bCs/>
                <w:iCs/>
                <w:snapToGrid/>
                <w:color w:val="auto"/>
                <w:kern w:val="2"/>
                <w:sz w:val="24"/>
                <w:szCs w:val="24"/>
              </w:rPr>
              <w:t>涵养水源是森林生态系统的生态效益之一，属于非消耗性的利用价值，而水在生态系统中是维持生态系统正常运转、保持生态平衡的关键因素之一，同时也是森林生态系统中的重要载体。森林涵养水源的价值主要表现在增加有效水量，改善水质和调节径流。</w:t>
            </w:r>
          </w:p>
          <w:p w14:paraId="3BB526B7">
            <w:pPr>
              <w:spacing w:before="41" w:line="360" w:lineRule="auto"/>
              <w:ind w:firstLine="600"/>
              <w:rPr>
                <w:rFonts w:hint="default" w:ascii="Times New Roman" w:hAnsi="Times New Roman" w:eastAsia="宋体" w:cs="Times New Roman"/>
                <w:bCs/>
                <w:iCs/>
                <w:snapToGrid/>
                <w:color w:val="auto"/>
                <w:kern w:val="2"/>
                <w:sz w:val="24"/>
                <w:szCs w:val="24"/>
              </w:rPr>
            </w:pPr>
            <w:r>
              <w:rPr>
                <w:rFonts w:hint="default" w:ascii="Times New Roman" w:hAnsi="Times New Roman" w:eastAsia="宋体" w:cs="Times New Roman"/>
                <w:bCs/>
                <w:iCs/>
                <w:snapToGrid/>
                <w:color w:val="auto"/>
                <w:kern w:val="2"/>
                <w:sz w:val="24"/>
                <w:szCs w:val="24"/>
              </w:rPr>
              <w:t>森林土壤表层的枯枝落叶分解后形成腐殖质，增加了土壤的有机质，使土壤具有良好的团粒结构，并产生很多粗空隙，增大了非毛管空隙度，空隙范围可达5%～25%。</w:t>
            </w:r>
          </w:p>
          <w:p w14:paraId="13C0F0B7">
            <w:pPr>
              <w:spacing w:before="41" w:line="360" w:lineRule="auto"/>
              <w:ind w:firstLine="600"/>
              <w:rPr>
                <w:rFonts w:hint="default" w:ascii="Times New Roman" w:hAnsi="Times New Roman" w:eastAsia="宋体" w:cs="Times New Roman"/>
                <w:bCs/>
                <w:iCs/>
                <w:snapToGrid/>
                <w:color w:val="auto"/>
                <w:kern w:val="2"/>
                <w:sz w:val="24"/>
                <w:szCs w:val="24"/>
              </w:rPr>
            </w:pPr>
            <w:r>
              <w:rPr>
                <w:rFonts w:hint="default" w:ascii="Times New Roman" w:hAnsi="Times New Roman" w:eastAsia="宋体" w:cs="Times New Roman"/>
                <w:bCs/>
                <w:iCs/>
                <w:snapToGrid/>
                <w:color w:val="auto"/>
                <w:kern w:val="2"/>
                <w:sz w:val="24"/>
                <w:szCs w:val="24"/>
              </w:rPr>
              <w:t>（2）防止水土流失</w:t>
            </w:r>
          </w:p>
          <w:p w14:paraId="21E2F404">
            <w:pPr>
              <w:spacing w:before="41" w:line="360" w:lineRule="auto"/>
              <w:ind w:firstLine="600"/>
              <w:rPr>
                <w:rFonts w:hint="default" w:ascii="Times New Roman" w:hAnsi="Times New Roman" w:eastAsia="宋体" w:cs="Times New Roman"/>
                <w:bCs/>
                <w:iCs/>
                <w:snapToGrid/>
                <w:color w:val="auto"/>
                <w:kern w:val="2"/>
                <w:sz w:val="24"/>
                <w:szCs w:val="24"/>
              </w:rPr>
            </w:pPr>
            <w:r>
              <w:rPr>
                <w:rFonts w:hint="default" w:ascii="Times New Roman" w:hAnsi="Times New Roman" w:eastAsia="宋体" w:cs="Times New Roman"/>
                <w:bCs/>
                <w:iCs/>
                <w:snapToGrid/>
                <w:color w:val="auto"/>
                <w:kern w:val="2"/>
                <w:sz w:val="24"/>
                <w:szCs w:val="24"/>
              </w:rPr>
              <w:t>本项目为储备林建设项目，施工过程中加强植被管理，本项目建成后区域生态环境会有较大改观，有利于增加造林地树种、增加植物量，提高生物多样性，有效的控制水土流失，改良土地，保护生物多样性，进而改进当地的生态环境。</w:t>
            </w:r>
          </w:p>
          <w:p w14:paraId="5B86973E">
            <w:pPr>
              <w:spacing w:before="41" w:line="360" w:lineRule="auto"/>
              <w:ind w:firstLine="600"/>
              <w:rPr>
                <w:rFonts w:hint="default" w:ascii="Times New Roman" w:hAnsi="Times New Roman" w:eastAsia="宋体" w:cs="Times New Roman"/>
                <w:bCs/>
                <w:iCs/>
                <w:snapToGrid/>
                <w:color w:val="auto"/>
                <w:kern w:val="2"/>
                <w:sz w:val="24"/>
                <w:szCs w:val="24"/>
              </w:rPr>
            </w:pPr>
            <w:r>
              <w:rPr>
                <w:rFonts w:hint="default" w:ascii="Times New Roman" w:hAnsi="Times New Roman" w:eastAsia="宋体" w:cs="Times New Roman"/>
                <w:bCs/>
                <w:iCs/>
                <w:snapToGrid/>
                <w:color w:val="auto"/>
                <w:kern w:val="2"/>
                <w:sz w:val="24"/>
                <w:szCs w:val="24"/>
              </w:rPr>
              <w:t>（3）改良土壤</w:t>
            </w:r>
          </w:p>
          <w:p w14:paraId="4A51B989">
            <w:pPr>
              <w:spacing w:before="41" w:line="360" w:lineRule="auto"/>
              <w:ind w:firstLine="600"/>
              <w:rPr>
                <w:rFonts w:hint="default" w:ascii="Times New Roman" w:hAnsi="Times New Roman" w:eastAsia="宋体" w:cs="Times New Roman"/>
                <w:bCs/>
                <w:iCs/>
                <w:snapToGrid/>
                <w:color w:val="auto"/>
                <w:kern w:val="2"/>
                <w:sz w:val="24"/>
                <w:szCs w:val="24"/>
              </w:rPr>
            </w:pPr>
            <w:r>
              <w:rPr>
                <w:rFonts w:hint="default" w:ascii="Times New Roman" w:hAnsi="Times New Roman" w:eastAsia="宋体" w:cs="Times New Roman"/>
                <w:bCs/>
                <w:iCs/>
                <w:snapToGrid/>
                <w:color w:val="auto"/>
                <w:kern w:val="2"/>
                <w:sz w:val="24"/>
                <w:szCs w:val="24"/>
              </w:rPr>
              <w:t>本项目建成后，项目所在区域范围内植被覆盖迅速提高，林地空气湿度增加，气温和风速降低，土壤水分蒸发量减小，将部分土壤水分蒸发由植物蒸发所取代，从而减少土壤反盐。林土生长激活大量土壤微生物的繁殖，另一方面枯枝落叶分解后成为土壤有机质、有效氮和速效磷的重要来源，有利于土壤有机质增长。土壤微生物增加后，土壤微生物的活动、植被根系呼吸作用放出的二氧化碳溶于水后形成碳酸，以及衍生植物根分泌的柠檬酸和苹果酸等有机酸，对土壤难溶物质的溶解起到促进作用，促进了P、K、Ca等盐类的溶解，从而改善了土壤肥力。</w:t>
            </w:r>
          </w:p>
          <w:p w14:paraId="4A33AAFD">
            <w:pPr>
              <w:spacing w:before="41" w:line="360" w:lineRule="auto"/>
              <w:ind w:firstLine="600"/>
              <w:rPr>
                <w:rFonts w:hint="default" w:ascii="Times New Roman" w:hAnsi="Times New Roman" w:eastAsia="宋体" w:cs="Times New Roman"/>
                <w:bCs/>
                <w:iCs/>
                <w:snapToGrid/>
                <w:color w:val="auto"/>
                <w:kern w:val="2"/>
                <w:sz w:val="24"/>
                <w:szCs w:val="24"/>
              </w:rPr>
            </w:pPr>
            <w:r>
              <w:rPr>
                <w:rFonts w:hint="default" w:ascii="Times New Roman" w:hAnsi="Times New Roman" w:eastAsia="宋体" w:cs="Times New Roman"/>
                <w:bCs/>
                <w:iCs/>
                <w:snapToGrid/>
                <w:color w:val="auto"/>
                <w:kern w:val="2"/>
                <w:sz w:val="24"/>
                <w:szCs w:val="24"/>
              </w:rPr>
              <w:t>（4）调节区域气候</w:t>
            </w:r>
          </w:p>
          <w:p w14:paraId="17836444">
            <w:pPr>
              <w:spacing w:before="41" w:line="360" w:lineRule="auto"/>
              <w:ind w:firstLine="600"/>
              <w:rPr>
                <w:rFonts w:hint="default" w:ascii="Times New Roman" w:hAnsi="Times New Roman" w:eastAsia="宋体" w:cs="Times New Roman"/>
                <w:bCs/>
                <w:iCs/>
                <w:snapToGrid/>
                <w:color w:val="auto"/>
                <w:kern w:val="2"/>
                <w:sz w:val="24"/>
                <w:szCs w:val="24"/>
              </w:rPr>
            </w:pPr>
            <w:r>
              <w:rPr>
                <w:rFonts w:hint="default" w:ascii="Times New Roman" w:hAnsi="Times New Roman" w:eastAsia="宋体" w:cs="Times New Roman"/>
                <w:bCs/>
                <w:iCs/>
                <w:snapToGrid/>
                <w:color w:val="auto"/>
                <w:kern w:val="2"/>
                <w:sz w:val="24"/>
                <w:szCs w:val="24"/>
              </w:rPr>
              <w:t>整地和水土保持措施，会引起局部陆地表面下垫面性质变化，粗糙度改变和贮存水量增加，使得当地大气下垫面之间的水分、热量、辐射及其他物质的关系发生变化，进而影响了区域小气候特征。</w:t>
            </w:r>
          </w:p>
          <w:p w14:paraId="5BC53E8B">
            <w:pPr>
              <w:spacing w:before="41" w:line="360" w:lineRule="auto"/>
              <w:ind w:firstLine="600"/>
              <w:rPr>
                <w:rFonts w:hint="default" w:ascii="Times New Roman" w:hAnsi="Times New Roman" w:eastAsia="宋体" w:cs="Times New Roman"/>
                <w:bCs/>
                <w:iCs/>
                <w:snapToGrid/>
                <w:color w:val="auto"/>
                <w:kern w:val="2"/>
                <w:sz w:val="24"/>
                <w:szCs w:val="24"/>
              </w:rPr>
            </w:pPr>
            <w:r>
              <w:rPr>
                <w:rFonts w:hint="default" w:ascii="Times New Roman" w:hAnsi="Times New Roman" w:eastAsia="宋体" w:cs="Times New Roman"/>
                <w:bCs/>
                <w:iCs/>
                <w:snapToGrid/>
                <w:color w:val="auto"/>
                <w:kern w:val="2"/>
                <w:sz w:val="24"/>
                <w:szCs w:val="24"/>
              </w:rPr>
              <w:t>A.调节温度</w:t>
            </w:r>
          </w:p>
          <w:p w14:paraId="4CDA1EC1">
            <w:pPr>
              <w:spacing w:before="41" w:line="360" w:lineRule="auto"/>
              <w:ind w:firstLine="600"/>
              <w:rPr>
                <w:rFonts w:hint="default" w:ascii="Times New Roman" w:hAnsi="Times New Roman" w:eastAsia="宋体" w:cs="Times New Roman"/>
                <w:bCs/>
                <w:iCs/>
                <w:snapToGrid/>
                <w:color w:val="auto"/>
                <w:kern w:val="2"/>
                <w:sz w:val="24"/>
                <w:szCs w:val="24"/>
              </w:rPr>
            </w:pPr>
            <w:r>
              <w:rPr>
                <w:rFonts w:hint="default" w:ascii="Times New Roman" w:hAnsi="Times New Roman" w:eastAsia="宋体" w:cs="Times New Roman"/>
                <w:bCs/>
                <w:iCs/>
                <w:snapToGrid/>
                <w:color w:val="auto"/>
                <w:kern w:val="2"/>
                <w:sz w:val="24"/>
                <w:szCs w:val="24"/>
              </w:rPr>
              <w:t>由于林木植被的反射率明显低于空旷地或荒地，林区风速减小，空气与地面之间热量交换明显减弱，而且林木和湿润土壤可以更多吸收太阳辐射，并部分消耗于林木叶面的水分蒸发与叶孔蒸腾，使气温和地温相对稳定，一昼夜内不发生骤升骤降的变化，减轻了霜冻的危害。</w:t>
            </w:r>
          </w:p>
          <w:p w14:paraId="31379C79">
            <w:pPr>
              <w:spacing w:before="41" w:line="360" w:lineRule="auto"/>
              <w:ind w:firstLine="600"/>
              <w:rPr>
                <w:rFonts w:hint="default" w:ascii="Times New Roman" w:hAnsi="Times New Roman" w:eastAsia="宋体" w:cs="Times New Roman"/>
                <w:bCs/>
                <w:iCs/>
                <w:snapToGrid/>
                <w:color w:val="auto"/>
                <w:kern w:val="2"/>
                <w:sz w:val="24"/>
                <w:szCs w:val="24"/>
              </w:rPr>
            </w:pPr>
            <w:r>
              <w:rPr>
                <w:rFonts w:hint="default" w:ascii="Times New Roman" w:hAnsi="Times New Roman" w:eastAsia="宋体" w:cs="Times New Roman"/>
                <w:bCs/>
                <w:iCs/>
                <w:snapToGrid/>
                <w:color w:val="auto"/>
                <w:kern w:val="2"/>
                <w:sz w:val="24"/>
                <w:szCs w:val="24"/>
              </w:rPr>
              <w:t>B.提高湿度、增加雾日</w:t>
            </w:r>
          </w:p>
          <w:p w14:paraId="515030BB">
            <w:pPr>
              <w:spacing w:before="41" w:line="360" w:lineRule="auto"/>
              <w:ind w:firstLine="600"/>
              <w:rPr>
                <w:rFonts w:hint="default" w:ascii="Times New Roman" w:hAnsi="Times New Roman" w:eastAsia="宋体" w:cs="Times New Roman"/>
                <w:bCs/>
                <w:iCs/>
                <w:snapToGrid/>
                <w:color w:val="auto"/>
                <w:kern w:val="2"/>
                <w:sz w:val="24"/>
                <w:szCs w:val="24"/>
              </w:rPr>
            </w:pPr>
            <w:r>
              <w:rPr>
                <w:rFonts w:hint="default" w:ascii="Times New Roman" w:hAnsi="Times New Roman" w:eastAsia="宋体" w:cs="Times New Roman"/>
                <w:bCs/>
                <w:iCs/>
                <w:snapToGrid/>
                <w:color w:val="auto"/>
                <w:kern w:val="2"/>
                <w:sz w:val="24"/>
                <w:szCs w:val="24"/>
              </w:rPr>
              <w:t>随着林木植被度的提高，被截留、拦蓄的雨水和径流量将增加林木的蒸腾，加速水分循环，提高空气湿度，并增加有雾天数。另一方面，由于空气不断对流，使空气团之间不停地进行着水汽的扩散和交换，使森林周围产生增湿效应。</w:t>
            </w:r>
          </w:p>
          <w:p w14:paraId="7F1C2A8C">
            <w:pPr>
              <w:spacing w:before="41" w:line="360" w:lineRule="auto"/>
              <w:ind w:firstLine="600"/>
              <w:rPr>
                <w:rFonts w:hint="default" w:ascii="Times New Roman" w:hAnsi="Times New Roman" w:eastAsia="宋体" w:cs="Times New Roman"/>
                <w:bCs/>
                <w:iCs/>
                <w:snapToGrid/>
                <w:color w:val="auto"/>
                <w:kern w:val="2"/>
                <w:sz w:val="24"/>
                <w:szCs w:val="24"/>
              </w:rPr>
            </w:pPr>
            <w:r>
              <w:rPr>
                <w:rFonts w:hint="default" w:ascii="Times New Roman" w:hAnsi="Times New Roman" w:eastAsia="宋体" w:cs="Times New Roman"/>
                <w:bCs/>
                <w:iCs/>
                <w:snapToGrid/>
                <w:color w:val="auto"/>
                <w:kern w:val="2"/>
                <w:sz w:val="24"/>
                <w:szCs w:val="24"/>
              </w:rPr>
              <w:t>C.增加降水</w:t>
            </w:r>
          </w:p>
          <w:p w14:paraId="64A6647B">
            <w:pPr>
              <w:spacing w:before="41" w:line="360" w:lineRule="auto"/>
              <w:ind w:firstLine="600"/>
              <w:rPr>
                <w:rFonts w:hint="default" w:ascii="Times New Roman" w:hAnsi="Times New Roman" w:eastAsia="宋体" w:cs="Times New Roman"/>
                <w:bCs/>
                <w:iCs/>
                <w:snapToGrid/>
                <w:color w:val="auto"/>
                <w:kern w:val="2"/>
                <w:sz w:val="24"/>
                <w:szCs w:val="24"/>
              </w:rPr>
            </w:pPr>
            <w:r>
              <w:rPr>
                <w:rFonts w:hint="default" w:ascii="Times New Roman" w:hAnsi="Times New Roman" w:eastAsia="宋体" w:cs="Times New Roman"/>
                <w:bCs/>
                <w:iCs/>
                <w:snapToGrid/>
                <w:color w:val="auto"/>
                <w:kern w:val="2"/>
                <w:sz w:val="24"/>
                <w:szCs w:val="24"/>
              </w:rPr>
              <w:t>一个地区降水量的多寡，除与所处纬度、离海洋远近及周边地形有关外，主要取决于大气环流和季风的影响，但是，随着陆地下垫面性质的改变，林木植被度提高，截流雨水数量增加，加快了区域水分循环，又由于下垫面粗糙度的提高，林木具有对气流的抬升作用和对流交换的加强作用，使得暖季项目区及其下风向邻近地区降雨量有所增加</w:t>
            </w:r>
          </w:p>
          <w:p w14:paraId="357B93C4">
            <w:pPr>
              <w:spacing w:before="41" w:line="360" w:lineRule="auto"/>
              <w:ind w:firstLine="600"/>
              <w:rPr>
                <w:rFonts w:hint="default" w:ascii="Times New Roman" w:hAnsi="Times New Roman" w:eastAsia="宋体" w:cs="Times New Roman"/>
                <w:b/>
                <w:bCs/>
                <w:color w:val="auto"/>
                <w:sz w:val="24"/>
                <w:szCs w:val="24"/>
              </w:rPr>
            </w:pPr>
            <w:r>
              <w:rPr>
                <w:rFonts w:hint="default" w:ascii="Times New Roman" w:hAnsi="Times New Roman" w:eastAsia="宋体" w:cs="Times New Roman"/>
                <w:b/>
                <w:iCs/>
                <w:snapToGrid/>
                <w:color w:val="auto"/>
                <w:kern w:val="2"/>
                <w:sz w:val="24"/>
                <w:szCs w:val="24"/>
              </w:rPr>
              <w:t>2、废气影响分析</w:t>
            </w:r>
          </w:p>
          <w:p w14:paraId="5E94D29E">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本项目运营期废气主要为采伐油锯产生的少量无组织废气、运输车辆进场产生的扬尘及车辆尾气。</w:t>
            </w:r>
          </w:p>
          <w:p w14:paraId="2329587B">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①采伐油锯废气</w:t>
            </w:r>
          </w:p>
          <w:p w14:paraId="08B35B2C">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业主提供的资料，本项目在达到主伐（更新采伐）年龄之前完成两次间伐，第一次间伐在第1年进行，每间隔7年后开展第二次。采伐的人数及时间按照林木生产情况确定，此过程中采伐油锯使用时产生的少量无组织废气。</w:t>
            </w:r>
          </w:p>
          <w:p w14:paraId="17B0D9C5">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②运输车辆废气</w:t>
            </w:r>
          </w:p>
          <w:p w14:paraId="6B9B5C32">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采伐的木材运输过程中，运输车辆进场会产生扬尘及车辆尾气。尤其是在风速较大或汽车行驶速度较快的情况下，扬尘的污染较严重；车辆尾气产生量较少，尾气中含有THC、CO、NOx等污染物，为无组织排放。</w:t>
            </w:r>
          </w:p>
          <w:p w14:paraId="3BD66830">
            <w:pPr>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③项目运营期需结合林木病虫害防治要求适当喷洒农药，农药喷洒时间较为集中且周期较短，农药喷洒过程中产生的刺鼻异味影响通常与所使用农药的化学成分和喷洒时间相关，项目通过科学适量喷洒低毒低残留农药后，结合大气稀释扩散能力，可有效降低农药喷洒产生的异味对周边环境空气质量造成的不良影响。</w:t>
            </w:r>
          </w:p>
          <w:p w14:paraId="7CED1971">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本项目运营期废气主要为采伐油锯产生的少量无组织废气、运输车辆进场产生的扬尘及车辆尾气，由于项目区比较空旷，空气流动性好，因此运营期产生的废气对周围环境影响较小。</w:t>
            </w:r>
          </w:p>
          <w:p w14:paraId="7F9C26ED">
            <w:pPr>
              <w:spacing w:before="41" w:line="360" w:lineRule="auto"/>
              <w:ind w:firstLine="600"/>
              <w:rPr>
                <w:rFonts w:hint="default" w:ascii="Times New Roman" w:hAnsi="Times New Roman" w:eastAsia="宋体" w:cs="Times New Roman"/>
                <w:b/>
                <w:iCs/>
                <w:snapToGrid/>
                <w:color w:val="auto"/>
                <w:kern w:val="2"/>
                <w:sz w:val="24"/>
                <w:szCs w:val="24"/>
              </w:rPr>
            </w:pPr>
            <w:r>
              <w:rPr>
                <w:rFonts w:hint="default" w:ascii="Times New Roman" w:hAnsi="Times New Roman" w:eastAsia="宋体" w:cs="Times New Roman"/>
                <w:b/>
                <w:iCs/>
                <w:snapToGrid/>
                <w:color w:val="auto"/>
                <w:kern w:val="2"/>
                <w:sz w:val="24"/>
                <w:szCs w:val="24"/>
              </w:rPr>
              <w:t>3、水环境影响分析</w:t>
            </w:r>
          </w:p>
          <w:p w14:paraId="16499399">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建设内容中均未涉及水源保护区的占用及穿越工程，本项目运营后靠近水源的林地施肥尽量使用有机肥、绿肥和进行林间套种固氮植物；使用无机肥料应严格按照造林设计的要求进行，采用穴施，施后立即覆土，严禁地表撒施。</w:t>
            </w:r>
          </w:p>
          <w:p w14:paraId="27E2BDB6">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在抚育和森林病虫害防治时，如农药施用不当，会污染土壤。如直接在地表施肥，将导致肥料流失，污染水体和土壤。林地长期使用化肥，会导致土壤的理化性质发生变化，使土壤板结，土质恶化。根据病虫害防治计划，本项目使用易降解的农药和有机肥，农药使用后残留量可以较快速度降减至农残标准以下，影响时间短，对环境影响小。</w:t>
            </w:r>
          </w:p>
          <w:p w14:paraId="674C374F">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营运期废水主要为员工生活污水，项目劳动定员66人，其中管理人员6人，技术人员10人，普通工人（砍伐）50人（雇用附近村民），季节性临时工人（抚育管理人员）均根据需要临时雇佣的周边村民，产生的污水不计入本项目。因此运营期生活污水产生量按已确定人数的管理及养护人员进行计算，用水量按90L/人·d计，管理及养护人员生活用水量为5.94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/d，产污系数按0.80计，因此运营期管理及养护人员生活污水产生量为4.75m3/d，主要污染物为COD、BOD</w:t>
            </w:r>
            <w:r>
              <w:rPr>
                <w:rFonts w:hint="default" w:ascii="Times New Roman" w:hAnsi="Times New Roman" w:eastAsia="宋体" w:cs="Times New Roman"/>
                <w:color w:val="auto"/>
                <w:sz w:val="24"/>
                <w:szCs w:val="24"/>
                <w:vertAlign w:val="subscript"/>
              </w:rPr>
              <w:t>5</w:t>
            </w:r>
            <w:r>
              <w:rPr>
                <w:rFonts w:hint="default" w:ascii="Times New Roman" w:hAnsi="Times New Roman" w:eastAsia="宋体" w:cs="Times New Roman"/>
                <w:color w:val="auto"/>
                <w:sz w:val="24"/>
                <w:szCs w:val="24"/>
              </w:rPr>
              <w:t>、NH</w:t>
            </w:r>
            <w:r>
              <w:rPr>
                <w:rFonts w:hint="default" w:ascii="Times New Roman" w:hAnsi="Times New Roman" w:eastAsia="宋体" w:cs="Times New Roman"/>
                <w:color w:val="auto"/>
                <w:sz w:val="24"/>
                <w:szCs w:val="24"/>
                <w:vertAlign w:val="subscript"/>
              </w:rPr>
              <w:t>3</w:t>
            </w:r>
            <w:r>
              <w:rPr>
                <w:rFonts w:hint="default" w:ascii="Times New Roman" w:hAnsi="Times New Roman" w:eastAsia="宋体" w:cs="Times New Roman"/>
                <w:color w:val="auto"/>
                <w:sz w:val="24"/>
                <w:szCs w:val="24"/>
              </w:rPr>
              <w:t>-N、SS等。本项目大部分员工为采伐工人，雇用附近村民，自行解决食宿问题，依托自家房屋自建旱厕处理，不会对项目区域水环境产生较大影响。</w:t>
            </w:r>
          </w:p>
          <w:p w14:paraId="33AA0BFE">
            <w:pPr>
              <w:spacing w:line="360" w:lineRule="auto"/>
              <w:ind w:firstLine="482" w:firstLineChars="200"/>
              <w:rPr>
                <w:rFonts w:hint="default" w:ascii="Times New Roman" w:hAnsi="Times New Roman" w:eastAsia="宋体" w:cs="Times New Roman"/>
                <w:color w:val="auto"/>
                <w:sz w:val="24"/>
                <w:szCs w:val="24"/>
              </w:rPr>
            </w:pPr>
            <w:r>
              <w:rPr>
                <w:rFonts w:hint="eastAsia" w:ascii="Times New Roman" w:hAnsi="Times New Roman" w:eastAsia="宋体" w:cs="Times New Roman"/>
                <w:b/>
                <w:bCs/>
                <w:color w:val="auto"/>
                <w:sz w:val="24"/>
                <w:szCs w:val="24"/>
              </w:rPr>
              <w:t>面源污染</w:t>
            </w:r>
            <w:r>
              <w:rPr>
                <w:rFonts w:hint="eastAsia" w:ascii="Times New Roman" w:hAnsi="Times New Roman" w:eastAsia="宋体" w:cs="Times New Roman"/>
                <w:b/>
                <w:bCs/>
                <w:color w:val="auto"/>
                <w:sz w:val="24"/>
                <w:szCs w:val="24"/>
                <w:lang w:eastAsia="zh-CN"/>
              </w:rPr>
              <w:t>：</w:t>
            </w:r>
            <w:r>
              <w:rPr>
                <w:rFonts w:hint="default" w:ascii="Times New Roman" w:hAnsi="Times New Roman" w:eastAsia="宋体" w:cs="Times New Roman"/>
                <w:color w:val="auto"/>
                <w:sz w:val="24"/>
                <w:szCs w:val="24"/>
              </w:rPr>
              <w:t>本项目评价范围为</w:t>
            </w:r>
            <w:r>
              <w:rPr>
                <w:rFonts w:hint="eastAsia" w:ascii="Times New Roman" w:hAnsi="Times New Roman" w:eastAsia="宋体" w:cs="Times New Roman"/>
                <w:color w:val="auto"/>
                <w:sz w:val="24"/>
                <w:szCs w:val="24"/>
                <w:lang w:val="en-US" w:eastAsia="zh-CN"/>
              </w:rPr>
              <w:t>项目种植范围</w:t>
            </w:r>
            <w:r>
              <w:rPr>
                <w:rFonts w:hint="default" w:ascii="Times New Roman" w:hAnsi="Times New Roman" w:eastAsia="宋体" w:cs="Times New Roman"/>
                <w:color w:val="auto"/>
                <w:sz w:val="24"/>
                <w:szCs w:val="24"/>
              </w:rPr>
              <w:t>，经调查合计约58082.2亩。采用产污系数法，参考《四川省饮用水水源地基础环境调查及评估》推荐源强系数估算。标准农田污染物源强系数COD10kg/亩年，氨氮2kg/亩年。标准农田种植作物为小麦、土壤类型为壤土、化肥施用量为25~35kg/亩年，降水量在400~800mm范围内。农田流失负荷=农田面积×农田综合修正系数×标准农田源强系数。</w:t>
            </w:r>
          </w:p>
          <w:p w14:paraId="29186ED1">
            <w:pPr>
              <w:spacing w:line="360" w:lineRule="auto"/>
              <w:ind w:firstLine="480" w:firstLineChars="200"/>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（1）</w:t>
            </w:r>
            <w:r>
              <w:rPr>
                <w:rFonts w:hint="default" w:ascii="Times New Roman" w:hAnsi="Times New Roman" w:eastAsia="宋体" w:cs="Times New Roman"/>
                <w:color w:val="auto"/>
                <w:sz w:val="24"/>
                <w:szCs w:val="24"/>
              </w:rPr>
              <w:t>坡度修正土地坡度在25°以下，流失系数为1.0~1.2；25°以上，流失系数为1.2~1.5。</w:t>
            </w:r>
          </w:p>
          <w:p w14:paraId="3272AEE3">
            <w:pPr>
              <w:spacing w:line="360" w:lineRule="auto"/>
              <w:ind w:firstLine="480" w:firstLineChars="200"/>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（2）</w:t>
            </w:r>
            <w:r>
              <w:rPr>
                <w:rFonts w:hint="default" w:ascii="Times New Roman" w:hAnsi="Times New Roman" w:eastAsia="宋体" w:cs="Times New Roman"/>
                <w:color w:val="auto"/>
                <w:sz w:val="24"/>
                <w:szCs w:val="24"/>
              </w:rPr>
              <w:t>农作物类型修正以玉米、高粱、小麦、大麦、水稻、大豆、棉花、油料、糖料、</w:t>
            </w:r>
            <w:r>
              <w:rPr>
                <w:rFonts w:hint="default" w:ascii="Times New Roman" w:hAnsi="Times New Roman" w:eastAsia="宋体" w:cs="Times New Roman"/>
                <w:b/>
                <w:bCs/>
                <w:color w:val="auto"/>
                <w:sz w:val="24"/>
                <w:szCs w:val="24"/>
              </w:rPr>
              <w:t>经济林</w:t>
            </w:r>
            <w:r>
              <w:rPr>
                <w:rFonts w:hint="default" w:ascii="Times New Roman" w:hAnsi="Times New Roman" w:eastAsia="宋体" w:cs="Times New Roman"/>
                <w:color w:val="auto"/>
                <w:sz w:val="24"/>
                <w:szCs w:val="24"/>
              </w:rPr>
              <w:t>等主要作物作为研究对象，确定不同作物的污染物流失修正系数。此修正系数需通过科研和实验进行验证。</w:t>
            </w:r>
          </w:p>
          <w:p w14:paraId="134E4878">
            <w:pPr>
              <w:spacing w:line="360" w:lineRule="auto"/>
              <w:ind w:firstLine="480" w:firstLineChars="200"/>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（3）土壤</w:t>
            </w:r>
            <w:r>
              <w:rPr>
                <w:rFonts w:hint="default" w:ascii="Times New Roman" w:hAnsi="Times New Roman" w:eastAsia="宋体" w:cs="Times New Roman"/>
                <w:color w:val="auto"/>
                <w:sz w:val="24"/>
                <w:szCs w:val="24"/>
              </w:rPr>
              <w:t>类型修正将农田土壤按质地进行分类，即根据土壤成分中的</w:t>
            </w:r>
            <w:r>
              <w:rPr>
                <w:rFonts w:hint="eastAsia" w:ascii="Times New Roman" w:hAnsi="Times New Roman" w:eastAsia="宋体" w:cs="Times New Roman"/>
                <w:color w:val="auto"/>
                <w:sz w:val="24"/>
                <w:szCs w:val="24"/>
              </w:rPr>
              <w:t>粘土</w:t>
            </w:r>
            <w:r>
              <w:rPr>
                <w:rFonts w:hint="default" w:ascii="Times New Roman" w:hAnsi="Times New Roman" w:eastAsia="宋体" w:cs="Times New Roman"/>
                <w:color w:val="auto"/>
                <w:sz w:val="24"/>
                <w:szCs w:val="24"/>
              </w:rPr>
              <w:t>和砂土比例进行分类，分为砂土、壤土和粘土。以壤土为1.0；砂土修正系数为1.0~0.8；粘土修正系数为0.</w:t>
            </w:r>
            <w:r>
              <w:rPr>
                <w:rFonts w:hint="eastAsia" w:ascii="Times New Roman" w:hAnsi="Times New Roman" w:eastAsia="宋体" w:cs="Times New Roman"/>
                <w:color w:val="auto"/>
                <w:sz w:val="24"/>
                <w:szCs w:val="24"/>
              </w:rPr>
              <w:t>6</w:t>
            </w:r>
            <w:r>
              <w:rPr>
                <w:rFonts w:hint="default" w:ascii="Times New Roman" w:hAnsi="Times New Roman" w:eastAsia="宋体" w:cs="Times New Roman"/>
                <w:color w:val="auto"/>
                <w:sz w:val="24"/>
                <w:szCs w:val="24"/>
              </w:rPr>
              <w:t>~0.</w:t>
            </w:r>
            <w:r>
              <w:rPr>
                <w:rFonts w:hint="eastAsia" w:ascii="Times New Roman" w:hAnsi="Times New Roman" w:eastAsia="宋体" w:cs="Times New Roman"/>
                <w:color w:val="auto"/>
                <w:sz w:val="24"/>
                <w:szCs w:val="24"/>
              </w:rPr>
              <w:t>8</w:t>
            </w:r>
            <w:r>
              <w:rPr>
                <w:rFonts w:hint="default" w:ascii="Times New Roman" w:hAnsi="Times New Roman" w:eastAsia="宋体" w:cs="Times New Roman"/>
                <w:color w:val="auto"/>
                <w:sz w:val="24"/>
                <w:szCs w:val="24"/>
              </w:rPr>
              <w:t>。</w:t>
            </w:r>
          </w:p>
          <w:p w14:paraId="7514454C">
            <w:pPr>
              <w:spacing w:line="360" w:lineRule="auto"/>
              <w:ind w:firstLine="480" w:firstLineChars="200"/>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（4）</w:t>
            </w:r>
            <w:r>
              <w:rPr>
                <w:rFonts w:hint="default" w:ascii="Times New Roman" w:hAnsi="Times New Roman" w:eastAsia="宋体" w:cs="Times New Roman"/>
                <w:color w:val="auto"/>
                <w:sz w:val="24"/>
                <w:szCs w:val="24"/>
              </w:rPr>
              <w:t>化肥施用量修正化肥亩施用量在25公斤以下，修正系数取0.8~1.0；在25-35公斤之间，修正系数取1.0~1.2；在35公斤以上，修正系数取1.2~1.5。</w:t>
            </w:r>
          </w:p>
          <w:p w14:paraId="5EAF9654">
            <w:pPr>
              <w:spacing w:line="360" w:lineRule="auto"/>
              <w:ind w:firstLine="480" w:firstLineChars="200"/>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（5）</w:t>
            </w:r>
            <w:r>
              <w:rPr>
                <w:rFonts w:hint="default" w:ascii="Times New Roman" w:hAnsi="Times New Roman" w:eastAsia="宋体" w:cs="Times New Roman"/>
                <w:color w:val="auto"/>
                <w:sz w:val="24"/>
                <w:szCs w:val="24"/>
              </w:rPr>
              <w:t>降水量修正年降雨量在400mL以下的地区取流失系数为0.6~1.0；年降雨量在400~800mL之间的地区取流失系数为1.0~1.2；年降雨量在800mm以上的地区取流失系数为1.2~1.5。</w:t>
            </w:r>
          </w:p>
          <w:p w14:paraId="112D403B">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调查表明，调查区域内共有</w:t>
            </w:r>
            <w:r>
              <w:rPr>
                <w:rFonts w:hint="eastAsia" w:ascii="Times New Roman" w:hAnsi="Times New Roman" w:eastAsia="宋体" w:cs="Times New Roman"/>
                <w:color w:val="auto"/>
                <w:sz w:val="24"/>
                <w:szCs w:val="24"/>
                <w:lang w:val="en-US" w:eastAsia="zh-CN"/>
              </w:rPr>
              <w:t>种植</w:t>
            </w:r>
            <w:r>
              <w:rPr>
                <w:rFonts w:hint="default" w:ascii="Times New Roman" w:hAnsi="Times New Roman" w:eastAsia="宋体" w:cs="Times New Roman"/>
                <w:color w:val="auto"/>
                <w:sz w:val="24"/>
                <w:szCs w:val="24"/>
              </w:rPr>
              <w:t>总面积约为58082.2亩，主要集中在水域两岸，流失系数为1.2；农作物修正系数定为1.1；因土壤类型主要为壤土，其修正系数为1.0；区域农田化肥施用量约25公斤/亩，其修正系数取1.0；区域均降水量约</w:t>
            </w:r>
            <w:r>
              <w:rPr>
                <w:rFonts w:hint="eastAsia" w:ascii="Times New Roman" w:hAnsi="Times New Roman" w:eastAsia="宋体" w:cs="Times New Roman"/>
                <w:color w:val="auto"/>
                <w:sz w:val="24"/>
                <w:szCs w:val="24"/>
              </w:rPr>
              <w:t>764</w:t>
            </w:r>
            <w:r>
              <w:rPr>
                <w:rFonts w:hint="default" w:ascii="Times New Roman" w:hAnsi="Times New Roman" w:eastAsia="宋体" w:cs="Times New Roman"/>
                <w:color w:val="auto"/>
                <w:sz w:val="24"/>
                <w:szCs w:val="24"/>
              </w:rPr>
              <w:t>mm，其流失系数取</w:t>
            </w:r>
            <w:r>
              <w:rPr>
                <w:rFonts w:hint="eastAsia" w:ascii="Times New Roman" w:hAnsi="Times New Roman" w:eastAsia="宋体" w:cs="Times New Roman"/>
                <w:color w:val="auto"/>
                <w:sz w:val="24"/>
                <w:szCs w:val="24"/>
              </w:rPr>
              <w:t>1.0</w:t>
            </w:r>
            <w:r>
              <w:rPr>
                <w:rFonts w:hint="default" w:ascii="Times New Roman" w:hAnsi="Times New Roman" w:eastAsia="宋体" w:cs="Times New Roman"/>
                <w:color w:val="auto"/>
                <w:sz w:val="24"/>
                <w:szCs w:val="24"/>
              </w:rPr>
              <w:t>。考虑到河岸两侧植被的净化作用，面源污染物进入水体占比取30%。</w:t>
            </w:r>
          </w:p>
          <w:p w14:paraId="09C2AB04">
            <w:pPr>
              <w:spacing w:line="240" w:lineRule="auto"/>
              <w:jc w:val="center"/>
              <w:rPr>
                <w:rFonts w:hint="eastAsia" w:ascii="Times New Roman" w:hAnsi="Times New Roman" w:eastAsia="宋体" w:cs="Times New Roman"/>
                <w:b/>
                <w:bCs/>
                <w:color w:val="auto"/>
              </w:rPr>
            </w:pPr>
            <w:r>
              <w:rPr>
                <w:rFonts w:hint="default" w:ascii="Times New Roman" w:hAnsi="Times New Roman" w:eastAsia="宋体" w:cs="Times New Roman"/>
                <w:b/>
                <w:bCs/>
                <w:color w:val="auto"/>
              </w:rPr>
              <w:t>表</w:t>
            </w:r>
            <w:r>
              <w:rPr>
                <w:rFonts w:hint="eastAsia" w:ascii="Times New Roman" w:hAnsi="Times New Roman" w:eastAsia="宋体" w:cs="Times New Roman"/>
                <w:b/>
                <w:bCs/>
                <w:color w:val="auto"/>
                <w:lang w:val="en-US" w:eastAsia="zh-CN"/>
              </w:rPr>
              <w:t>4-6</w:t>
            </w:r>
            <w:r>
              <w:rPr>
                <w:rFonts w:hint="eastAsia" w:ascii="Times New Roman" w:hAnsi="Times New Roman" w:eastAsia="宋体" w:cs="Times New Roman"/>
                <w:b/>
                <w:bCs/>
                <w:color w:val="auto"/>
              </w:rPr>
              <w:t xml:space="preserve">  农田径流污染源产污量（t/a）</w:t>
            </w:r>
          </w:p>
          <w:tbl>
            <w:tblPr>
              <w:tblStyle w:val="3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762"/>
              <w:gridCol w:w="2552"/>
              <w:gridCol w:w="2986"/>
            </w:tblGrid>
            <w:tr w14:paraId="468F7E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63" w:type="pct"/>
                  <w:tcBorders>
                    <w:bottom w:val="single" w:color="auto" w:sz="4" w:space="0"/>
                  </w:tcBorders>
                  <w:noWrap w:val="0"/>
                  <w:vAlign w:val="center"/>
                </w:tcPr>
                <w:p w14:paraId="63C5E596">
                  <w:pPr>
                    <w:spacing w:line="240" w:lineRule="auto"/>
                    <w:jc w:val="center"/>
                    <w:rPr>
                      <w:rFonts w:hint="default" w:ascii="Times New Roman" w:hAnsi="Times New Roman" w:eastAsia="宋体" w:cs="Times New Roman"/>
                      <w:color w:val="auto"/>
                    </w:rPr>
                  </w:pPr>
                  <w:r>
                    <w:rPr>
                      <w:rFonts w:hint="eastAsia" w:ascii="Times New Roman" w:hAnsi="Times New Roman" w:eastAsia="宋体" w:cs="Times New Roman"/>
                      <w:color w:val="auto"/>
                    </w:rPr>
                    <w:t>污染源</w:t>
                  </w:r>
                </w:p>
              </w:tc>
              <w:tc>
                <w:tcPr>
                  <w:tcW w:w="1537" w:type="pct"/>
                  <w:tcBorders>
                    <w:bottom w:val="single" w:color="auto" w:sz="4" w:space="0"/>
                  </w:tcBorders>
                  <w:noWrap w:val="0"/>
                  <w:vAlign w:val="center"/>
                </w:tcPr>
                <w:p w14:paraId="438300DA">
                  <w:pPr>
                    <w:spacing w:line="240" w:lineRule="auto"/>
                    <w:jc w:val="center"/>
                    <w:rPr>
                      <w:rFonts w:hint="default" w:ascii="Times New Roman" w:hAnsi="Times New Roman" w:eastAsia="宋体" w:cs="Times New Roman"/>
                      <w:color w:val="auto"/>
                    </w:rPr>
                  </w:pPr>
                  <w:r>
                    <w:rPr>
                      <w:rFonts w:hint="eastAsia" w:ascii="Times New Roman" w:hAnsi="Times New Roman" w:eastAsia="宋体" w:cs="Times New Roman"/>
                      <w:color w:val="auto"/>
                    </w:rPr>
                    <w:t>COD</w:t>
                  </w:r>
                </w:p>
              </w:tc>
              <w:tc>
                <w:tcPr>
                  <w:tcW w:w="1798" w:type="pct"/>
                  <w:tcBorders>
                    <w:bottom w:val="single" w:color="auto" w:sz="4" w:space="0"/>
                  </w:tcBorders>
                  <w:noWrap w:val="0"/>
                  <w:vAlign w:val="center"/>
                </w:tcPr>
                <w:p w14:paraId="2C39E5B1">
                  <w:pPr>
                    <w:spacing w:line="240" w:lineRule="auto"/>
                    <w:jc w:val="center"/>
                    <w:rPr>
                      <w:rFonts w:hint="default" w:ascii="Times New Roman" w:hAnsi="Times New Roman" w:eastAsia="宋体" w:cs="Times New Roman"/>
                      <w:color w:val="auto"/>
                    </w:rPr>
                  </w:pPr>
                  <w:r>
                    <w:rPr>
                      <w:rFonts w:hint="eastAsia" w:ascii="Times New Roman" w:hAnsi="Times New Roman" w:eastAsia="宋体" w:cs="Times New Roman"/>
                      <w:color w:val="auto"/>
                    </w:rPr>
                    <w:t>NH</w:t>
                  </w:r>
                  <w:r>
                    <w:rPr>
                      <w:rFonts w:hint="eastAsia" w:ascii="Times New Roman" w:hAnsi="Times New Roman" w:eastAsia="宋体" w:cs="Times New Roman"/>
                      <w:color w:val="auto"/>
                      <w:vertAlign w:val="subscript"/>
                    </w:rPr>
                    <w:t>3</w:t>
                  </w:r>
                  <w:r>
                    <w:rPr>
                      <w:rFonts w:hint="eastAsia" w:ascii="Times New Roman" w:hAnsi="Times New Roman" w:eastAsia="宋体" w:cs="Times New Roman"/>
                      <w:color w:val="auto"/>
                    </w:rPr>
                    <w:t>-N</w:t>
                  </w:r>
                </w:p>
              </w:tc>
            </w:tr>
            <w:tr w14:paraId="7C1763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63" w:type="pct"/>
                  <w:tcBorders>
                    <w:top w:val="single" w:color="auto" w:sz="4" w:space="0"/>
                  </w:tcBorders>
                  <w:noWrap w:val="0"/>
                  <w:vAlign w:val="center"/>
                </w:tcPr>
                <w:p w14:paraId="0F1EE4A0">
                  <w:pPr>
                    <w:spacing w:line="240" w:lineRule="auto"/>
                    <w:jc w:val="center"/>
                    <w:rPr>
                      <w:rFonts w:hint="default" w:ascii="Times New Roman" w:hAnsi="Times New Roman" w:eastAsia="宋体" w:cs="Times New Roman"/>
                      <w:color w:val="auto"/>
                    </w:rPr>
                  </w:pPr>
                  <w:r>
                    <w:rPr>
                      <w:rFonts w:hint="eastAsia" w:ascii="Times New Roman" w:hAnsi="Times New Roman" w:eastAsia="宋体" w:cs="Times New Roman"/>
                      <w:color w:val="auto"/>
                    </w:rPr>
                    <w:t>产污量</w:t>
                  </w:r>
                </w:p>
              </w:tc>
              <w:tc>
                <w:tcPr>
                  <w:tcW w:w="1537" w:type="pct"/>
                  <w:tcBorders>
                    <w:top w:val="single" w:color="auto" w:sz="4" w:space="0"/>
                  </w:tcBorders>
                  <w:noWrap w:val="0"/>
                  <w:vAlign w:val="center"/>
                </w:tcPr>
                <w:p w14:paraId="38B8217E">
                  <w:pPr>
                    <w:spacing w:line="240" w:lineRule="auto"/>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191.67</w:t>
                  </w:r>
                </w:p>
              </w:tc>
              <w:tc>
                <w:tcPr>
                  <w:tcW w:w="1798" w:type="pct"/>
                  <w:tcBorders>
                    <w:top w:val="single" w:color="auto" w:sz="4" w:space="0"/>
                  </w:tcBorders>
                  <w:noWrap w:val="0"/>
                  <w:vAlign w:val="center"/>
                </w:tcPr>
                <w:p w14:paraId="00807697">
                  <w:pPr>
                    <w:spacing w:line="240" w:lineRule="auto"/>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38.33</w:t>
                  </w:r>
                </w:p>
              </w:tc>
            </w:tr>
          </w:tbl>
          <w:p w14:paraId="31CDE051">
            <w:pPr>
              <w:spacing w:line="360" w:lineRule="auto"/>
              <w:ind w:firstLine="482" w:firstLineChars="20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4、噪声影响分析</w:t>
            </w:r>
          </w:p>
          <w:p w14:paraId="1BE2FC0D">
            <w:pPr>
              <w:spacing w:line="24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本项目建成运营后，主要噪声源有喷药车、喷雾器等设备噪声，以及运输车辆道路交通噪声和林木采伐噪声，噪声源强在 60~90dB（A）之间，噪声源强见下表：</w:t>
            </w:r>
          </w:p>
          <w:tbl>
            <w:tblPr>
              <w:tblStyle w:val="33"/>
              <w:tblpPr w:leftFromText="180" w:rightFromText="180" w:vertAnchor="text" w:horzAnchor="page" w:tblpXSpec="center" w:tblpY="273"/>
              <w:tblOverlap w:val="never"/>
              <w:tblW w:w="4999" w:type="pct"/>
              <w:jc w:val="center"/>
              <w:tblBorders>
                <w:top w:val="single" w:color="auto" w:sz="4" w:space="0"/>
                <w:left w:val="none" w:color="auto" w:sz="0"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63"/>
              <w:gridCol w:w="2765"/>
              <w:gridCol w:w="2768"/>
            </w:tblGrid>
            <w:tr w14:paraId="25D35B67">
              <w:tblPrEx>
                <w:tblBorders>
                  <w:top w:val="single" w:color="auto" w:sz="4" w:space="0"/>
                  <w:left w:val="none" w:color="auto" w:sz="0"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65" w:type="pct"/>
                  <w:tcBorders>
                    <w:top w:val="single" w:color="auto" w:sz="12" w:space="0"/>
                    <w:bottom w:val="single" w:color="auto" w:sz="4" w:space="0"/>
                  </w:tcBorders>
                  <w:vAlign w:val="center"/>
                </w:tcPr>
                <w:p w14:paraId="0FE358FA">
                  <w:pPr>
                    <w:spacing w:line="240" w:lineRule="auto"/>
                    <w:jc w:val="center"/>
                    <w:rPr>
                      <w:rFonts w:hint="default" w:ascii="Times New Roman" w:hAnsi="Times New Roman" w:eastAsia="宋体" w:cs="Times New Roman"/>
                      <w:color w:val="auto"/>
                    </w:rPr>
                  </w:pPr>
                  <w:r>
                    <w:rPr>
                      <w:rFonts w:hint="default" w:ascii="Times New Roman" w:hAnsi="Times New Roman" w:eastAsia="宋体" w:cs="Times New Roman"/>
                      <w:color w:val="auto"/>
                    </w:rPr>
                    <w:t>噪声源</w:t>
                  </w:r>
                </w:p>
              </w:tc>
              <w:tc>
                <w:tcPr>
                  <w:tcW w:w="1666" w:type="pct"/>
                  <w:tcBorders>
                    <w:top w:val="single" w:color="auto" w:sz="12" w:space="0"/>
                    <w:bottom w:val="single" w:color="auto" w:sz="4" w:space="0"/>
                  </w:tcBorders>
                  <w:vAlign w:val="center"/>
                </w:tcPr>
                <w:p w14:paraId="1D81E3EB">
                  <w:pPr>
                    <w:spacing w:line="240" w:lineRule="auto"/>
                    <w:jc w:val="center"/>
                    <w:rPr>
                      <w:rFonts w:hint="default" w:ascii="Times New Roman" w:hAnsi="Times New Roman" w:eastAsia="宋体" w:cs="Times New Roman"/>
                      <w:color w:val="auto"/>
                    </w:rPr>
                  </w:pPr>
                  <w:r>
                    <w:rPr>
                      <w:rFonts w:hint="default" w:ascii="Times New Roman" w:hAnsi="Times New Roman" w:eastAsia="宋体" w:cs="Times New Roman"/>
                      <w:color w:val="auto"/>
                    </w:rPr>
                    <w:t>声级值dB（A）</w:t>
                  </w:r>
                </w:p>
              </w:tc>
              <w:tc>
                <w:tcPr>
                  <w:tcW w:w="1668" w:type="pct"/>
                  <w:tcBorders>
                    <w:top w:val="single" w:color="auto" w:sz="12" w:space="0"/>
                    <w:bottom w:val="single" w:color="auto" w:sz="4" w:space="0"/>
                    <w:right w:val="nil"/>
                  </w:tcBorders>
                  <w:vAlign w:val="center"/>
                </w:tcPr>
                <w:p w14:paraId="795C3970">
                  <w:pPr>
                    <w:spacing w:line="240" w:lineRule="auto"/>
                    <w:jc w:val="center"/>
                    <w:rPr>
                      <w:rFonts w:hint="default" w:ascii="Times New Roman" w:hAnsi="Times New Roman" w:eastAsia="宋体" w:cs="Times New Roman"/>
                      <w:color w:val="auto"/>
                    </w:rPr>
                  </w:pPr>
                  <w:r>
                    <w:rPr>
                      <w:rFonts w:hint="default" w:ascii="Times New Roman" w:hAnsi="Times New Roman" w:eastAsia="宋体" w:cs="Times New Roman"/>
                      <w:color w:val="auto"/>
                    </w:rPr>
                    <w:t>备注</w:t>
                  </w:r>
                </w:p>
              </w:tc>
            </w:tr>
            <w:tr w14:paraId="25B60340">
              <w:tblPrEx>
                <w:tblBorders>
                  <w:top w:val="single" w:color="auto" w:sz="4" w:space="0"/>
                  <w:left w:val="none" w:color="auto" w:sz="0"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65" w:type="pct"/>
                  <w:tcBorders>
                    <w:top w:val="single" w:color="auto" w:sz="4" w:space="0"/>
                    <w:bottom w:val="single" w:color="auto" w:sz="4" w:space="0"/>
                  </w:tcBorders>
                  <w:vAlign w:val="center"/>
                </w:tcPr>
                <w:p w14:paraId="10E0765A">
                  <w:pPr>
                    <w:spacing w:line="240" w:lineRule="auto"/>
                    <w:jc w:val="center"/>
                    <w:rPr>
                      <w:rFonts w:hint="default" w:ascii="Times New Roman" w:hAnsi="Times New Roman" w:eastAsia="宋体" w:cs="Times New Roman"/>
                      <w:color w:val="auto"/>
                    </w:rPr>
                  </w:pPr>
                  <w:r>
                    <w:rPr>
                      <w:rFonts w:hint="default" w:ascii="Times New Roman" w:hAnsi="Times New Roman" w:eastAsia="宋体" w:cs="Times New Roman"/>
                      <w:color w:val="auto"/>
                    </w:rPr>
                    <w:t>喷药车</w:t>
                  </w:r>
                </w:p>
              </w:tc>
              <w:tc>
                <w:tcPr>
                  <w:tcW w:w="1666" w:type="pct"/>
                  <w:tcBorders>
                    <w:top w:val="single" w:color="auto" w:sz="4" w:space="0"/>
                    <w:bottom w:val="single" w:color="auto" w:sz="4" w:space="0"/>
                  </w:tcBorders>
                  <w:vAlign w:val="center"/>
                </w:tcPr>
                <w:p w14:paraId="42CE9EDB">
                  <w:pPr>
                    <w:spacing w:line="240" w:lineRule="auto"/>
                    <w:jc w:val="center"/>
                    <w:rPr>
                      <w:rFonts w:hint="default" w:ascii="Times New Roman" w:hAnsi="Times New Roman" w:eastAsia="宋体" w:cs="Times New Roman"/>
                      <w:color w:val="auto"/>
                    </w:rPr>
                  </w:pPr>
                  <w:r>
                    <w:rPr>
                      <w:rFonts w:hint="default" w:ascii="Times New Roman" w:hAnsi="Times New Roman" w:eastAsia="宋体" w:cs="Times New Roman"/>
                      <w:color w:val="auto"/>
                    </w:rPr>
                    <w:t>80</w:t>
                  </w:r>
                </w:p>
              </w:tc>
              <w:tc>
                <w:tcPr>
                  <w:tcW w:w="1668" w:type="pct"/>
                  <w:tcBorders>
                    <w:top w:val="single" w:color="auto" w:sz="4" w:space="0"/>
                    <w:bottom w:val="single" w:color="auto" w:sz="4" w:space="0"/>
                    <w:right w:val="nil"/>
                  </w:tcBorders>
                  <w:vAlign w:val="center"/>
                </w:tcPr>
                <w:p w14:paraId="420B8E7D">
                  <w:pPr>
                    <w:spacing w:line="240" w:lineRule="auto"/>
                    <w:jc w:val="center"/>
                    <w:rPr>
                      <w:rFonts w:hint="default" w:ascii="Times New Roman" w:hAnsi="Times New Roman" w:eastAsia="宋体" w:cs="Times New Roman"/>
                      <w:color w:val="auto"/>
                    </w:rPr>
                  </w:pPr>
                  <w:r>
                    <w:rPr>
                      <w:rFonts w:hint="default" w:ascii="Times New Roman" w:hAnsi="Times New Roman" w:eastAsia="宋体" w:cs="Times New Roman"/>
                      <w:color w:val="auto"/>
                    </w:rPr>
                    <w:t>间歇、流动</w:t>
                  </w:r>
                </w:p>
              </w:tc>
            </w:tr>
            <w:tr w14:paraId="246971E1">
              <w:tblPrEx>
                <w:tblBorders>
                  <w:top w:val="single" w:color="auto" w:sz="4" w:space="0"/>
                  <w:left w:val="none" w:color="auto" w:sz="0"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65" w:type="pct"/>
                  <w:tcBorders>
                    <w:top w:val="single" w:color="auto" w:sz="4" w:space="0"/>
                    <w:bottom w:val="single" w:color="auto" w:sz="4" w:space="0"/>
                  </w:tcBorders>
                  <w:vAlign w:val="center"/>
                </w:tcPr>
                <w:p w14:paraId="0A8676A9">
                  <w:pPr>
                    <w:spacing w:line="240" w:lineRule="auto"/>
                    <w:jc w:val="center"/>
                    <w:rPr>
                      <w:rFonts w:hint="default" w:ascii="Times New Roman" w:hAnsi="Times New Roman" w:eastAsia="宋体" w:cs="Times New Roman"/>
                      <w:color w:val="auto"/>
                    </w:rPr>
                  </w:pPr>
                  <w:r>
                    <w:rPr>
                      <w:rFonts w:hint="default" w:ascii="Times New Roman" w:hAnsi="Times New Roman" w:eastAsia="宋体" w:cs="Times New Roman"/>
                      <w:color w:val="auto"/>
                    </w:rPr>
                    <w:t>喷雾器</w:t>
                  </w:r>
                </w:p>
              </w:tc>
              <w:tc>
                <w:tcPr>
                  <w:tcW w:w="1666" w:type="pct"/>
                  <w:tcBorders>
                    <w:top w:val="single" w:color="auto" w:sz="4" w:space="0"/>
                    <w:bottom w:val="single" w:color="auto" w:sz="4" w:space="0"/>
                  </w:tcBorders>
                  <w:vAlign w:val="center"/>
                </w:tcPr>
                <w:p w14:paraId="73E1CB57">
                  <w:pPr>
                    <w:spacing w:line="240" w:lineRule="auto"/>
                    <w:jc w:val="center"/>
                    <w:rPr>
                      <w:rFonts w:hint="default" w:ascii="Times New Roman" w:hAnsi="Times New Roman" w:eastAsia="宋体" w:cs="Times New Roman"/>
                      <w:color w:val="auto"/>
                    </w:rPr>
                  </w:pPr>
                  <w:r>
                    <w:rPr>
                      <w:rFonts w:hint="default" w:ascii="Times New Roman" w:hAnsi="Times New Roman" w:eastAsia="宋体" w:cs="Times New Roman"/>
                      <w:color w:val="auto"/>
                    </w:rPr>
                    <w:t>75</w:t>
                  </w:r>
                </w:p>
              </w:tc>
              <w:tc>
                <w:tcPr>
                  <w:tcW w:w="1668" w:type="pct"/>
                  <w:tcBorders>
                    <w:top w:val="single" w:color="auto" w:sz="4" w:space="0"/>
                    <w:bottom w:val="single" w:color="auto" w:sz="4" w:space="0"/>
                    <w:right w:val="nil"/>
                  </w:tcBorders>
                  <w:vAlign w:val="center"/>
                </w:tcPr>
                <w:p w14:paraId="5D0B3E4A">
                  <w:pPr>
                    <w:spacing w:line="240" w:lineRule="auto"/>
                    <w:jc w:val="center"/>
                    <w:rPr>
                      <w:rFonts w:hint="default" w:ascii="Times New Roman" w:hAnsi="Times New Roman" w:eastAsia="宋体" w:cs="Times New Roman"/>
                      <w:color w:val="auto"/>
                    </w:rPr>
                  </w:pPr>
                  <w:r>
                    <w:rPr>
                      <w:rFonts w:hint="default" w:ascii="Times New Roman" w:hAnsi="Times New Roman" w:eastAsia="宋体" w:cs="Times New Roman"/>
                      <w:color w:val="auto"/>
                    </w:rPr>
                    <w:t>间歇、流动</w:t>
                  </w:r>
                </w:p>
              </w:tc>
            </w:tr>
            <w:tr w14:paraId="306CCDFE">
              <w:tblPrEx>
                <w:tblBorders>
                  <w:top w:val="single" w:color="auto" w:sz="4" w:space="0"/>
                  <w:left w:val="none" w:color="auto" w:sz="0"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65" w:type="pct"/>
                  <w:tcBorders>
                    <w:top w:val="single" w:color="auto" w:sz="4" w:space="0"/>
                    <w:bottom w:val="single" w:color="auto" w:sz="4" w:space="0"/>
                  </w:tcBorders>
                  <w:vAlign w:val="center"/>
                </w:tcPr>
                <w:p w14:paraId="6B9A1979">
                  <w:pPr>
                    <w:spacing w:line="240" w:lineRule="auto"/>
                    <w:jc w:val="center"/>
                    <w:rPr>
                      <w:rFonts w:hint="default" w:ascii="Times New Roman" w:hAnsi="Times New Roman" w:eastAsia="宋体" w:cs="Times New Roman"/>
                      <w:color w:val="auto"/>
                    </w:rPr>
                  </w:pPr>
                  <w:r>
                    <w:rPr>
                      <w:rFonts w:hint="default" w:ascii="Times New Roman" w:hAnsi="Times New Roman" w:eastAsia="宋体" w:cs="Times New Roman"/>
                      <w:color w:val="auto"/>
                    </w:rPr>
                    <w:t>运输车辆</w:t>
                  </w:r>
                </w:p>
              </w:tc>
              <w:tc>
                <w:tcPr>
                  <w:tcW w:w="1666" w:type="pct"/>
                  <w:tcBorders>
                    <w:top w:val="single" w:color="auto" w:sz="4" w:space="0"/>
                    <w:bottom w:val="single" w:color="auto" w:sz="4" w:space="0"/>
                  </w:tcBorders>
                  <w:vAlign w:val="center"/>
                </w:tcPr>
                <w:p w14:paraId="58677516">
                  <w:pPr>
                    <w:spacing w:line="240" w:lineRule="auto"/>
                    <w:jc w:val="center"/>
                    <w:rPr>
                      <w:rFonts w:hint="default" w:ascii="Times New Roman" w:hAnsi="Times New Roman" w:eastAsia="宋体" w:cs="Times New Roman"/>
                      <w:color w:val="auto"/>
                    </w:rPr>
                  </w:pPr>
                  <w:r>
                    <w:rPr>
                      <w:rFonts w:hint="default" w:ascii="Times New Roman" w:hAnsi="Times New Roman" w:eastAsia="宋体" w:cs="Times New Roman"/>
                      <w:color w:val="auto"/>
                    </w:rPr>
                    <w:t>70-85</w:t>
                  </w:r>
                </w:p>
              </w:tc>
              <w:tc>
                <w:tcPr>
                  <w:tcW w:w="1668" w:type="pct"/>
                  <w:tcBorders>
                    <w:top w:val="single" w:color="auto" w:sz="4" w:space="0"/>
                    <w:bottom w:val="single" w:color="auto" w:sz="4" w:space="0"/>
                    <w:right w:val="nil"/>
                  </w:tcBorders>
                  <w:vAlign w:val="center"/>
                </w:tcPr>
                <w:p w14:paraId="07F3BE39">
                  <w:pPr>
                    <w:spacing w:line="240" w:lineRule="auto"/>
                    <w:jc w:val="center"/>
                    <w:rPr>
                      <w:rFonts w:hint="default" w:ascii="Times New Roman" w:hAnsi="Times New Roman" w:eastAsia="宋体" w:cs="Times New Roman"/>
                      <w:color w:val="auto"/>
                    </w:rPr>
                  </w:pPr>
                  <w:r>
                    <w:rPr>
                      <w:rFonts w:hint="default" w:ascii="Times New Roman" w:hAnsi="Times New Roman" w:eastAsia="宋体" w:cs="Times New Roman"/>
                      <w:color w:val="auto"/>
                    </w:rPr>
                    <w:t>间歇、流动</w:t>
                  </w:r>
                </w:p>
              </w:tc>
            </w:tr>
            <w:tr w14:paraId="6F23D0DB">
              <w:tblPrEx>
                <w:tblBorders>
                  <w:top w:val="single" w:color="auto" w:sz="4" w:space="0"/>
                  <w:left w:val="none" w:color="auto" w:sz="0"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65" w:type="pct"/>
                  <w:tcBorders>
                    <w:top w:val="single" w:color="auto" w:sz="4" w:space="0"/>
                    <w:bottom w:val="single" w:color="auto" w:sz="4" w:space="0"/>
                  </w:tcBorders>
                  <w:vAlign w:val="center"/>
                </w:tcPr>
                <w:p w14:paraId="395761FC">
                  <w:pPr>
                    <w:spacing w:line="240" w:lineRule="auto"/>
                    <w:jc w:val="center"/>
                    <w:rPr>
                      <w:rFonts w:hint="default" w:ascii="Times New Roman" w:hAnsi="Times New Roman" w:eastAsia="宋体" w:cs="Times New Roman"/>
                      <w:color w:val="auto"/>
                    </w:rPr>
                  </w:pPr>
                  <w:r>
                    <w:rPr>
                      <w:rFonts w:hint="default" w:ascii="Times New Roman" w:hAnsi="Times New Roman" w:eastAsia="宋体" w:cs="Times New Roman"/>
                      <w:color w:val="auto"/>
                    </w:rPr>
                    <w:t>油锯</w:t>
                  </w:r>
                </w:p>
              </w:tc>
              <w:tc>
                <w:tcPr>
                  <w:tcW w:w="1666" w:type="pct"/>
                  <w:tcBorders>
                    <w:top w:val="single" w:color="auto" w:sz="4" w:space="0"/>
                    <w:bottom w:val="single" w:color="auto" w:sz="4" w:space="0"/>
                  </w:tcBorders>
                  <w:vAlign w:val="center"/>
                </w:tcPr>
                <w:p w14:paraId="141C5C3F">
                  <w:pPr>
                    <w:spacing w:line="240" w:lineRule="auto"/>
                    <w:jc w:val="center"/>
                    <w:rPr>
                      <w:rFonts w:hint="default" w:ascii="Times New Roman" w:hAnsi="Times New Roman" w:eastAsia="宋体" w:cs="Times New Roman"/>
                      <w:color w:val="auto"/>
                    </w:rPr>
                  </w:pPr>
                  <w:r>
                    <w:rPr>
                      <w:rFonts w:hint="default" w:ascii="Times New Roman" w:hAnsi="Times New Roman" w:eastAsia="宋体" w:cs="Times New Roman"/>
                      <w:color w:val="auto"/>
                    </w:rPr>
                    <w:t>60-80</w:t>
                  </w:r>
                </w:p>
              </w:tc>
              <w:tc>
                <w:tcPr>
                  <w:tcW w:w="1668" w:type="pct"/>
                  <w:tcBorders>
                    <w:top w:val="single" w:color="auto" w:sz="4" w:space="0"/>
                    <w:bottom w:val="single" w:color="auto" w:sz="4" w:space="0"/>
                    <w:right w:val="nil"/>
                  </w:tcBorders>
                  <w:vAlign w:val="center"/>
                </w:tcPr>
                <w:p w14:paraId="437695CE">
                  <w:pPr>
                    <w:spacing w:line="240" w:lineRule="auto"/>
                    <w:jc w:val="center"/>
                    <w:rPr>
                      <w:rFonts w:hint="default" w:ascii="Times New Roman" w:hAnsi="Times New Roman" w:eastAsia="宋体" w:cs="Times New Roman"/>
                      <w:color w:val="auto"/>
                    </w:rPr>
                  </w:pPr>
                  <w:r>
                    <w:rPr>
                      <w:rFonts w:hint="default" w:ascii="Times New Roman" w:hAnsi="Times New Roman" w:eastAsia="宋体" w:cs="Times New Roman"/>
                      <w:color w:val="auto"/>
                    </w:rPr>
                    <w:t>间歇、流动</w:t>
                  </w:r>
                </w:p>
              </w:tc>
            </w:tr>
            <w:tr w14:paraId="001C7B4E">
              <w:tblPrEx>
                <w:tblBorders>
                  <w:top w:val="single" w:color="auto" w:sz="4" w:space="0"/>
                  <w:left w:val="none" w:color="auto" w:sz="0"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65" w:type="pct"/>
                  <w:tcBorders>
                    <w:top w:val="single" w:color="auto" w:sz="4" w:space="0"/>
                    <w:bottom w:val="single" w:color="auto" w:sz="12" w:space="0"/>
                  </w:tcBorders>
                  <w:vAlign w:val="center"/>
                </w:tcPr>
                <w:p w14:paraId="0B88D572">
                  <w:pPr>
                    <w:spacing w:line="240" w:lineRule="auto"/>
                    <w:jc w:val="center"/>
                    <w:rPr>
                      <w:rFonts w:hint="default" w:ascii="Times New Roman" w:hAnsi="Times New Roman" w:eastAsia="宋体" w:cs="Times New Roman"/>
                      <w:color w:val="auto"/>
                    </w:rPr>
                  </w:pPr>
                  <w:r>
                    <w:rPr>
                      <w:rFonts w:hint="default" w:ascii="Times New Roman" w:hAnsi="Times New Roman" w:eastAsia="宋体" w:cs="Times New Roman"/>
                      <w:color w:val="auto"/>
                    </w:rPr>
                    <w:t>水泵</w:t>
                  </w:r>
                </w:p>
              </w:tc>
              <w:tc>
                <w:tcPr>
                  <w:tcW w:w="1666" w:type="pct"/>
                  <w:tcBorders>
                    <w:top w:val="single" w:color="auto" w:sz="4" w:space="0"/>
                    <w:bottom w:val="single" w:color="auto" w:sz="12" w:space="0"/>
                  </w:tcBorders>
                  <w:vAlign w:val="center"/>
                </w:tcPr>
                <w:p w14:paraId="616E3FE9">
                  <w:pPr>
                    <w:spacing w:line="240" w:lineRule="auto"/>
                    <w:jc w:val="center"/>
                    <w:rPr>
                      <w:rFonts w:hint="default" w:ascii="Times New Roman" w:hAnsi="Times New Roman" w:eastAsia="宋体" w:cs="Times New Roman"/>
                      <w:color w:val="auto"/>
                    </w:rPr>
                  </w:pPr>
                  <w:r>
                    <w:rPr>
                      <w:rFonts w:hint="default" w:ascii="Times New Roman" w:hAnsi="Times New Roman" w:eastAsia="宋体" w:cs="Times New Roman"/>
                      <w:color w:val="auto"/>
                    </w:rPr>
                    <w:t>85-90</w:t>
                  </w:r>
                </w:p>
              </w:tc>
              <w:tc>
                <w:tcPr>
                  <w:tcW w:w="1668" w:type="pct"/>
                  <w:tcBorders>
                    <w:top w:val="single" w:color="auto" w:sz="4" w:space="0"/>
                    <w:bottom w:val="single" w:color="auto" w:sz="12" w:space="0"/>
                    <w:right w:val="nil"/>
                  </w:tcBorders>
                  <w:vAlign w:val="center"/>
                </w:tcPr>
                <w:p w14:paraId="057CE406">
                  <w:pPr>
                    <w:spacing w:line="240" w:lineRule="auto"/>
                    <w:jc w:val="center"/>
                    <w:rPr>
                      <w:rFonts w:hint="default" w:ascii="Times New Roman" w:hAnsi="Times New Roman" w:eastAsia="宋体" w:cs="Times New Roman"/>
                      <w:color w:val="auto"/>
                    </w:rPr>
                  </w:pPr>
                  <w:r>
                    <w:rPr>
                      <w:rFonts w:hint="default" w:ascii="Times New Roman" w:hAnsi="Times New Roman" w:eastAsia="宋体" w:cs="Times New Roman"/>
                      <w:color w:val="auto"/>
                    </w:rPr>
                    <w:t>连续、固定</w:t>
                  </w:r>
                </w:p>
              </w:tc>
            </w:tr>
          </w:tbl>
          <w:p w14:paraId="7DF45A87">
            <w:pPr>
              <w:spacing w:line="240" w:lineRule="auto"/>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表4-</w:t>
            </w:r>
            <w:r>
              <w:rPr>
                <w:rFonts w:hint="eastAsia" w:ascii="Times New Roman" w:hAnsi="Times New Roman" w:eastAsia="宋体" w:cs="Times New Roman"/>
                <w:b/>
                <w:bCs/>
                <w:color w:val="auto"/>
                <w:lang w:val="en-US" w:eastAsia="zh-CN"/>
              </w:rPr>
              <w:t>7</w:t>
            </w:r>
            <w:r>
              <w:rPr>
                <w:rFonts w:hint="default" w:ascii="Times New Roman" w:hAnsi="Times New Roman" w:eastAsia="宋体" w:cs="Times New Roman"/>
                <w:b/>
                <w:bCs/>
                <w:color w:val="auto"/>
              </w:rPr>
              <w:t xml:space="preserve">  项目主要噪声源</w:t>
            </w:r>
          </w:p>
          <w:p w14:paraId="0879B343">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声源大部分为间歇、流动声源。喷药车、运输车辆等在项目区内运行速度不高，作业时间不确定，不宜按交通噪声进行测量与评价。经选用低噪声设备，加强管理，合理安排采伐时间，控制行驶车速，减少鸣笛等措施后，本项目对环境影响较小。</w:t>
            </w:r>
          </w:p>
          <w:p w14:paraId="7B7103BC">
            <w:pPr>
              <w:spacing w:line="360" w:lineRule="auto"/>
              <w:ind w:firstLine="482" w:firstLineChars="20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5、固体废物影响分析</w:t>
            </w:r>
          </w:p>
          <w:p w14:paraId="7ABCA6BB">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本项目营运期产生的固体废物主要为林木及经济林施肥及喷洒农药过程中产生的肥料废包装袋及农药废包装物、抚育及修剪过程中产生的灌木杂草及枯枝弱叶、养护人员产生的生活垃圾等。</w:t>
            </w:r>
          </w:p>
          <w:p w14:paraId="347BCBF5">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①肥料废包装袋</w:t>
            </w:r>
          </w:p>
          <w:p w14:paraId="13669DA4">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抚育管护施肥过程中会产生少量的废弃包装袋，项目肥料用量为7806.8t/a，其中运营期用量为3435t/a，肥料以25kg/袋计，则项目运营期产生的废弃包装袋数量为137400个，包装袋重量以0.1kg/个计，则项目废弃包装袋产生量约为13.74t/a。产生的废弃包装袋交由有资质单位处理。</w:t>
            </w:r>
          </w:p>
          <w:p w14:paraId="0ECCBE32">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②农药废包装物</w:t>
            </w:r>
          </w:p>
          <w:p w14:paraId="3BC6A142">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根据业主提供的资料，农药使用后的废包装物产生量约为3.5t/a，交由有资质单位处理。</w:t>
            </w:r>
          </w:p>
          <w:p w14:paraId="26D705E3">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③灌木杂草</w:t>
            </w:r>
          </w:p>
          <w:p w14:paraId="118748EB">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本项目抚育管护过程需清除林地内的灌木杂草，根据业主提供的资料，灌木杂草产生量约为324t/a。产生的灌木杂草集地清理，避免表土裸露。</w:t>
            </w:r>
          </w:p>
          <w:p w14:paraId="0FB09327">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④枯枝弱叶</w:t>
            </w:r>
          </w:p>
          <w:p w14:paraId="21BE85EF">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项目修剪过程中需对林木进行修剪，修剪过程中会产生少量的枯枝弱叶，根据业主提供的资料，枯枝落叶产生量约为1.2kg/亩，因此运营期枯枝弱叶产生量约为137.4t/a。产生的枯枝弱叶集地清理，避免表土裸露。</w:t>
            </w:r>
          </w:p>
          <w:p w14:paraId="1A90532F">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⑤生活垃圾</w:t>
            </w:r>
          </w:p>
          <w:p w14:paraId="4EA812BE">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营运期管理、养护、采伐人员均为雇佣的周边村民，村民日常活动会产生生活垃圾。根据业主提供的资料，管理及养护人员约66人，季节性临时工人（抚育管理人员）均根据需要临时雇佣的周边村民。因此运营期生活垃圾产生量按已确定人数的管理及养护人员的进行计算，产生量按0.5kg/人·d 计，因此运营期管理及养护人员生活垃圾产生总量为33kg/d（9.9t/a）。产生的生活垃圾运至当地垃圾收集点处理。</w:t>
            </w:r>
          </w:p>
          <w:p w14:paraId="7A878C13">
            <w:pPr>
              <w:spacing w:line="360" w:lineRule="auto"/>
              <w:ind w:firstLine="482" w:firstLineChars="200"/>
              <w:rPr>
                <w:rFonts w:hint="default" w:ascii="Times New Roman" w:hAnsi="Times New Roman" w:eastAsia="宋体" w:cs="Times New Roman"/>
                <w:color w:val="auto"/>
                <w:sz w:val="24"/>
                <w:szCs w:val="24"/>
              </w:rPr>
            </w:pPr>
            <w:r>
              <w:rPr>
                <w:rFonts w:hint="eastAsia" w:ascii="Times New Roman" w:hAnsi="Times New Roman" w:eastAsia="宋体" w:cs="Times New Roman"/>
                <w:b/>
                <w:bCs/>
                <w:color w:val="auto"/>
                <w:sz w:val="24"/>
                <w:szCs w:val="24"/>
                <w:lang w:val="en-US" w:eastAsia="zh-CN"/>
              </w:rPr>
              <w:t>6</w:t>
            </w:r>
            <w:r>
              <w:rPr>
                <w:rFonts w:hint="default" w:ascii="Times New Roman" w:hAnsi="Times New Roman" w:eastAsia="宋体" w:cs="Times New Roman"/>
                <w:b/>
                <w:bCs/>
                <w:color w:val="auto"/>
                <w:sz w:val="24"/>
                <w:szCs w:val="24"/>
              </w:rPr>
              <w:t>、采伐作业对环境的影响</w:t>
            </w:r>
          </w:p>
          <w:p w14:paraId="0DC7CDBA">
            <w:pPr>
              <w:spacing w:line="360" w:lineRule="auto"/>
              <w:ind w:firstLine="480" w:firstLineChars="200"/>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1</w:t>
            </w:r>
            <w:r>
              <w:rPr>
                <w:rFonts w:hint="eastAsia" w:ascii="Times New Roman" w:hAnsi="Times New Roman" w:eastAsia="宋体" w:cs="Times New Roman"/>
                <w:color w:val="auto"/>
                <w:sz w:val="24"/>
                <w:szCs w:val="24"/>
                <w:lang w:eastAsia="zh-CN"/>
              </w:rPr>
              <w:t>）对土壤的影响</w:t>
            </w:r>
          </w:p>
          <w:p w14:paraId="0841988D">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森林采伐作业对土壤的影响有几个方面。一是对土壤质地的影响。一般来说采伐的程序包括集材和伐区清理等工作，各种采伐作业及工程措施会改变林地土壤移动、有机质被破坏、土壤容重及土壤机械阻力增加，从而导致土壤孔隙度减少、通气性降低、排水能力变差、破坏土壤结构，造成土壤受侵蚀</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二是对土壤养分的影响。采伐后土壤温度会变高，这加快了剩余物分解速度，遇到雨水的冲击会造成林地土壤养分的损失，同时采伐作业会对土壤有机质层带来破坏，土壤胶体团聚能力减弱，使土壤肥力降低。三是造成水</w:t>
            </w:r>
            <w:r>
              <w:rPr>
                <w:rFonts w:hint="eastAsia" w:ascii="Times New Roman" w:hAnsi="Times New Roman" w:eastAsia="宋体" w:cs="Times New Roman"/>
                <w:color w:val="auto"/>
                <w:sz w:val="24"/>
                <w:szCs w:val="24"/>
                <w:lang w:val="en-US" w:eastAsia="zh-CN"/>
              </w:rPr>
              <w:t>土</w:t>
            </w:r>
            <w:r>
              <w:rPr>
                <w:rFonts w:hint="default" w:ascii="Times New Roman" w:hAnsi="Times New Roman" w:eastAsia="宋体" w:cs="Times New Roman"/>
                <w:color w:val="auto"/>
                <w:sz w:val="24"/>
                <w:szCs w:val="24"/>
              </w:rPr>
              <w:t>流失，当大面积采伐作业后，森林失去屏障，林冠挡雨功能减退，土壤表层受到采伐作业的破坏，裸露的土壤受水力冲蚀，造成水土流失加剧。</w:t>
            </w:r>
          </w:p>
          <w:p w14:paraId="2804343A">
            <w:pPr>
              <w:spacing w:line="360" w:lineRule="auto"/>
              <w:ind w:firstLine="480" w:firstLineChars="200"/>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2</w:t>
            </w:r>
            <w:r>
              <w:rPr>
                <w:rFonts w:hint="eastAsia" w:ascii="Times New Roman" w:hAnsi="Times New Roman" w:eastAsia="宋体" w:cs="Times New Roman"/>
                <w:color w:val="auto"/>
                <w:sz w:val="24"/>
                <w:szCs w:val="24"/>
                <w:lang w:eastAsia="zh-CN"/>
              </w:rPr>
              <w:t>）对森林生物多样性的影响</w:t>
            </w:r>
          </w:p>
          <w:p w14:paraId="4FF3AED3">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森林生物多样性是包括所有植物、动物和微生物组成的全部物种、它是一</w:t>
            </w:r>
            <w:r>
              <w:rPr>
                <w:rFonts w:hint="eastAsia" w:ascii="Times New Roman" w:hAnsi="Times New Roman" w:eastAsia="宋体" w:cs="Times New Roman"/>
                <w:color w:val="auto"/>
                <w:sz w:val="24"/>
                <w:szCs w:val="24"/>
                <w:lang w:val="en-US" w:eastAsia="zh-CN"/>
              </w:rPr>
              <w:t>非</w:t>
            </w:r>
            <w:r>
              <w:rPr>
                <w:rFonts w:hint="default" w:ascii="Times New Roman" w:hAnsi="Times New Roman" w:eastAsia="宋体" w:cs="Times New Roman"/>
                <w:color w:val="auto"/>
                <w:sz w:val="24"/>
                <w:szCs w:val="24"/>
              </w:rPr>
              <w:t>常复杂的生态系统。林业采伐会使森林生态系统功能退化甚至</w:t>
            </w:r>
            <w:r>
              <w:rPr>
                <w:rFonts w:hint="eastAsia" w:ascii="Times New Roman" w:hAnsi="Times New Roman" w:eastAsia="宋体" w:cs="Times New Roman"/>
                <w:color w:val="auto"/>
                <w:sz w:val="24"/>
                <w:szCs w:val="24"/>
                <w:lang w:val="en-US" w:eastAsia="zh-CN"/>
              </w:rPr>
              <w:t>消亡</w:t>
            </w: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主要表现</w:t>
            </w:r>
            <w:r>
              <w:rPr>
                <w:rFonts w:hint="default" w:ascii="Times New Roman" w:hAnsi="Times New Roman" w:eastAsia="宋体" w:cs="Times New Roman"/>
                <w:color w:val="auto"/>
                <w:sz w:val="24"/>
                <w:szCs w:val="24"/>
              </w:rPr>
              <w:t>两个方面</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一是目前林木树种单一，并且连片大面积进行种植，这样会导致森林群落的组成非常简单，使物种丰富度下降</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二是在林业采伐作业中，由于选择采伐方式和强度不正确，会留下一些残次林以及森林乱砍乱伐造成的林地沙漠化和盐碱化，破坏森林系统平衡。</w:t>
            </w:r>
          </w:p>
          <w:p w14:paraId="2CA99BDE">
            <w:pPr>
              <w:spacing w:line="360" w:lineRule="auto"/>
              <w:ind w:firstLine="480" w:firstLineChars="200"/>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3</w:t>
            </w:r>
            <w:r>
              <w:rPr>
                <w:rFonts w:hint="eastAsia" w:ascii="Times New Roman" w:hAnsi="Times New Roman" w:eastAsia="宋体" w:cs="Times New Roman"/>
                <w:color w:val="auto"/>
                <w:sz w:val="24"/>
                <w:szCs w:val="24"/>
                <w:lang w:eastAsia="zh-CN"/>
              </w:rPr>
              <w:t>）对林木生长及更新的影响</w:t>
            </w:r>
          </w:p>
          <w:p w14:paraId="511102D4">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土壤是林木生长和更新的必要条件，采伐作业易造成土壤容重增加，孔隙变小，地表水的渗透能力减弱，根系的穿透性受阻。土壤压实过程中会使植物细根数量减少，微生物活动受到抑制，从而改变养分循环的速率、造成土壤养分、水分的供应能力达不到林木正常的生长需求，因此，上述变化对林木健康生长及新幼苗、幼树的更新造成严重地影响。</w:t>
            </w:r>
          </w:p>
          <w:p w14:paraId="61960D22">
            <w:pPr>
              <w:spacing w:line="360" w:lineRule="auto"/>
              <w:ind w:firstLine="480" w:firstLineChars="200"/>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4</w:t>
            </w:r>
            <w:r>
              <w:rPr>
                <w:rFonts w:hint="eastAsia" w:ascii="Times New Roman" w:hAnsi="Times New Roman" w:eastAsia="宋体" w:cs="Times New Roman"/>
                <w:color w:val="auto"/>
                <w:sz w:val="24"/>
                <w:szCs w:val="24"/>
                <w:lang w:eastAsia="zh-CN"/>
              </w:rPr>
              <w:t>）对森林群落结构及更新演替的影响</w:t>
            </w:r>
          </w:p>
          <w:p w14:paraId="49623C29">
            <w:pPr>
              <w:spacing w:line="360" w:lineRule="auto"/>
              <w:ind w:firstLine="480" w:firstLineChars="200"/>
              <w:rPr>
                <w:rFonts w:hint="eastAsia"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植物具有不动性特点，林木的生长主要取决于环境和立地条件情况，同一品种为了获得自身的生长所需的各种物质，在种内竞争有限环境资源，这样干扰了资源分布平衡，造成种内或种间的不良竞争。采伐作业能够使林木优势种退化，会造成已经组成的物种结构和布局发生变化，森林生态过程失衡，物种群落将会重新分配选择，导致森林群落发生演替</w:t>
            </w:r>
            <w:r>
              <w:rPr>
                <w:rFonts w:hint="eastAsia" w:ascii="Times New Roman" w:hAnsi="Times New Roman" w:eastAsia="宋体" w:cs="Times New Roman"/>
                <w:color w:val="auto"/>
                <w:sz w:val="24"/>
                <w:szCs w:val="24"/>
                <w:lang w:eastAsia="zh-CN"/>
              </w:rPr>
              <w:t>。</w:t>
            </w:r>
          </w:p>
          <w:p w14:paraId="476BA917">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采伐作业的方式与强度直接影响着森林群落结构变化、更新及演替，目前常用的采伐方式有三种，分别是择伐、渐伐、皆伐。择伐是采伐成熟单株林木，有周期短和采伐量小等特点。皆伐是一次性都把林木伐光，这样方式最易破坏森林生态环境，但便于森林群落更新。渐伐是分时间、分阶段的对林木进行采伐因此，对皆伐对森林群落结构、更新、演替速度改变最大，同时对整个生态系统迫害也很严重，实际采伐过程中，应当避免使用此方式进行采伐。</w:t>
            </w:r>
          </w:p>
        </w:tc>
      </w:tr>
    </w:tbl>
    <w:p w14:paraId="1301DFBE">
      <w:pPr>
        <w:rPr>
          <w:rFonts w:hint="default" w:ascii="Times New Roman" w:hAnsi="Times New Roman" w:eastAsia="宋体" w:cs="Times New Roman"/>
          <w:color w:val="auto"/>
        </w:rPr>
        <w:sectPr>
          <w:footerReference r:id="rId11" w:type="default"/>
          <w:pgSz w:w="11906" w:h="16839"/>
          <w:pgMar w:top="1431" w:right="1722" w:bottom="1179" w:left="1722" w:header="0" w:footer="998" w:gutter="0"/>
          <w:cols w:space="720" w:num="1"/>
        </w:sectPr>
      </w:pPr>
    </w:p>
    <w:p w14:paraId="1E6A4783">
      <w:pPr>
        <w:spacing w:line="91" w:lineRule="auto"/>
        <w:rPr>
          <w:rFonts w:hint="default" w:ascii="Times New Roman" w:hAnsi="Times New Roman" w:eastAsia="宋体" w:cs="Times New Roman"/>
          <w:color w:val="auto"/>
          <w:sz w:val="2"/>
        </w:rPr>
      </w:pPr>
    </w:p>
    <w:tbl>
      <w:tblPr>
        <w:tblStyle w:val="43"/>
        <w:tblW w:w="8787"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468"/>
        <w:gridCol w:w="8319"/>
      </w:tblGrid>
      <w:tr w14:paraId="3E3C742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360" w:hRule="atLeast"/>
          <w:jc w:val="center"/>
        </w:trPr>
        <w:tc>
          <w:tcPr>
            <w:tcW w:w="468" w:type="dxa"/>
            <w:tcBorders>
              <w:right w:val="single" w:color="000000" w:sz="2" w:space="0"/>
            </w:tcBorders>
            <w:textDirection w:val="tbRlV"/>
            <w:vAlign w:val="center"/>
          </w:tcPr>
          <w:p w14:paraId="1DF40056">
            <w:pPr>
              <w:spacing w:before="97" w:line="180" w:lineRule="auto"/>
              <w:ind w:firstLine="2991"/>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1"/>
                <w:sz w:val="24"/>
                <w:szCs w:val="24"/>
              </w:rPr>
              <w:t>选址选线环境合理性分析</w:t>
            </w:r>
          </w:p>
        </w:tc>
        <w:tc>
          <w:tcPr>
            <w:tcW w:w="8319" w:type="dxa"/>
            <w:tcBorders>
              <w:left w:val="single" w:color="000000" w:sz="2" w:space="0"/>
            </w:tcBorders>
            <w:vAlign w:val="center"/>
          </w:tcPr>
          <w:p w14:paraId="5C9BC331">
            <w:pPr>
              <w:spacing w:line="360" w:lineRule="auto"/>
              <w:ind w:firstLine="279" w:firstLineChars="100"/>
              <w:outlineLvl w:val="1"/>
              <w:rPr>
                <w:rFonts w:hint="default" w:ascii="Times New Roman" w:hAnsi="Times New Roman" w:eastAsia="宋体" w:cs="Times New Roman"/>
                <w:b/>
                <w:bCs/>
                <w:color w:val="auto"/>
                <w:sz w:val="28"/>
                <w:szCs w:val="28"/>
              </w:rPr>
            </w:pPr>
            <w:bookmarkStart w:id="41" w:name="_Toc8087"/>
            <w:r>
              <w:rPr>
                <w:rFonts w:hint="default" w:ascii="Times New Roman" w:hAnsi="Times New Roman" w:eastAsia="宋体" w:cs="Times New Roman"/>
                <w:b/>
                <w:bCs/>
                <w:color w:val="auto"/>
                <w:spacing w:val="-1"/>
                <w:sz w:val="28"/>
                <w:szCs w:val="28"/>
              </w:rPr>
              <w:t>三、选址选线环境合理性分析</w:t>
            </w:r>
            <w:bookmarkEnd w:id="41"/>
          </w:p>
          <w:p w14:paraId="7C2EA3EA">
            <w:pPr>
              <w:bidi w:val="0"/>
              <w:spacing w:line="360" w:lineRule="auto"/>
              <w:ind w:firstLine="482" w:firstLineChars="200"/>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1、选址合理性分析</w:t>
            </w:r>
          </w:p>
          <w:p w14:paraId="48D132D4">
            <w:pPr>
              <w:widowControl w:val="0"/>
              <w:shd w:val="clear" w:color="auto" w:fill="FFFFFF"/>
              <w:kinsoku/>
              <w:autoSpaceDE/>
              <w:autoSpaceDN/>
              <w:adjustRightInd/>
              <w:snapToGrid/>
              <w:spacing w:line="360" w:lineRule="auto"/>
              <w:ind w:firstLine="480" w:firstLineChars="200"/>
              <w:contextualSpacing/>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本项目选址于乐至县宝林镇、大佛镇、高寺镇、劳动镇、良安镇、天池镇、中和场镇、中天镇等</w:t>
            </w:r>
            <w:r>
              <w:rPr>
                <w:rFonts w:hint="default" w:ascii="Times New Roman" w:hAnsi="Times New Roman" w:eastAsia="宋体" w:cs="Times New Roman"/>
                <w:snapToGrid/>
                <w:color w:val="auto"/>
                <w:kern w:val="2"/>
                <w:sz w:val="24"/>
                <w:szCs w:val="24"/>
                <w:lang w:val="en-US" w:eastAsia="zh-CN"/>
              </w:rPr>
              <w:t>8</w:t>
            </w:r>
            <w:r>
              <w:rPr>
                <w:rFonts w:hint="default" w:ascii="Times New Roman" w:hAnsi="Times New Roman" w:eastAsia="宋体" w:cs="Times New Roman"/>
                <w:snapToGrid/>
                <w:color w:val="auto"/>
                <w:kern w:val="2"/>
                <w:sz w:val="24"/>
                <w:szCs w:val="24"/>
              </w:rPr>
              <w:t>个片区，建设规模为58082.2亩。通过集约人工造林、现有林改培、中幼林抚育、特色经济林、林下经济等按照实际情况合理搭配。</w:t>
            </w:r>
          </w:p>
          <w:p w14:paraId="01C816BF">
            <w:pPr>
              <w:widowControl w:val="0"/>
              <w:shd w:val="clear" w:color="auto" w:fill="FFFFFF"/>
              <w:kinsoku/>
              <w:autoSpaceDE/>
              <w:autoSpaceDN/>
              <w:adjustRightInd/>
              <w:snapToGrid/>
              <w:spacing w:line="360" w:lineRule="auto"/>
              <w:ind w:firstLine="480" w:firstLineChars="200"/>
              <w:contextualSpacing/>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从地理位置上，乐至县隶属四川省资阳市，位于四川盆地中部，属剥蚀成因的丘陵地形；气候属亚热带湿润气候，气候温和，雨量充沛，日照偏少，四季分明；土壤类型为侏罗系紫色砂、泥岩发育而成的石灰性紫色土亚类，主要有棕紫泥土属的半砂泥土、石骨土和红棕紫泥土属的大泥土、红石骨子土。土壤剖面层次发育不明显，土层瘠薄，无明显腐殖质层。全县宜林山地多，适合本项目建设。</w:t>
            </w:r>
          </w:p>
          <w:p w14:paraId="22FAEB1A">
            <w:pPr>
              <w:widowControl w:val="0"/>
              <w:shd w:val="clear" w:color="auto" w:fill="FFFFFF"/>
              <w:kinsoku/>
              <w:autoSpaceDE/>
              <w:autoSpaceDN/>
              <w:adjustRightInd/>
              <w:snapToGrid/>
              <w:spacing w:line="360" w:lineRule="auto"/>
              <w:ind w:firstLine="480" w:firstLineChars="200"/>
              <w:contextualSpacing/>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从环保角度看，项目建设主要影响周边水环境、大气环境、声环境、固体环境、生态环境等方面，经采取相应的环保措施后，能最大限度地减轻对周边环境的影响。项目周边不涉及自然保护区、风景名胜区、地质公园、水源保护区等生态敏感区，但涉及水土流失重点防治区及治理区。通过采取施工期及运营期水量流失保护措施后，可有效降低项目建设对水土流失的影响，此外，项目区无珍稀濒危野生动植物分布。综上所述，本项目选址合理。</w:t>
            </w:r>
          </w:p>
          <w:p w14:paraId="25922B43">
            <w:pPr>
              <w:widowControl w:val="0"/>
              <w:shd w:val="clear" w:color="auto" w:fill="FFFFFF"/>
              <w:kinsoku/>
              <w:autoSpaceDE/>
              <w:autoSpaceDN/>
              <w:adjustRightInd/>
              <w:snapToGrid/>
              <w:spacing w:line="360" w:lineRule="auto"/>
              <w:ind w:firstLine="482" w:firstLineChars="200"/>
              <w:contextualSpacing/>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b/>
                <w:bCs/>
                <w:color w:val="auto"/>
                <w:sz w:val="24"/>
                <w:szCs w:val="24"/>
                <w:lang w:val="en-US" w:eastAsia="zh-CN"/>
              </w:rPr>
              <w:t>2、用地合理性分析</w:t>
            </w:r>
          </w:p>
          <w:p w14:paraId="244EE50A">
            <w:pPr>
              <w:widowControl w:val="0"/>
              <w:shd w:val="clear" w:color="auto" w:fill="FFFFFF"/>
              <w:kinsoku/>
              <w:autoSpaceDE/>
              <w:autoSpaceDN/>
              <w:adjustRightInd/>
              <w:snapToGrid/>
              <w:spacing w:line="360" w:lineRule="auto"/>
              <w:ind w:firstLine="480" w:firstLineChars="200"/>
              <w:contextualSpacing/>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lang w:val="en-US" w:eastAsia="zh-CN"/>
              </w:rPr>
              <w:t>本项目用地</w:t>
            </w:r>
            <w:r>
              <w:rPr>
                <w:rFonts w:hint="default" w:ascii="Times New Roman" w:hAnsi="Times New Roman" w:eastAsia="宋体" w:cs="Times New Roman"/>
                <w:snapToGrid/>
                <w:color w:val="auto"/>
                <w:kern w:val="2"/>
                <w:sz w:val="24"/>
                <w:szCs w:val="24"/>
              </w:rPr>
              <w:t>由农户委托村集体，村集体作为流转主体，按整村推进方式统一与业主单位签订集体林权流转协议，通过大范围村民意向调查，土地流转费设计为每年150元/亩。根据项目建设单位提供资料，目前已流转林地38452亩，其余正在陆续推进。本项目建设涉及林地55437.3亩、国土园地2644.9亩，项目涉及林地小班在2020年度乐至县森林资源管理“一张图”和乐至县2022年国土变更调查成果均为林地，园地地块已由乐至县自然资源和规划局、乐至县林业局出具同意使用的意见。</w:t>
            </w:r>
          </w:p>
          <w:p w14:paraId="0F97C12F">
            <w:pPr>
              <w:widowControl w:val="0"/>
              <w:shd w:val="clear" w:color="auto" w:fill="FFFFFF"/>
              <w:kinsoku/>
              <w:autoSpaceDE/>
              <w:autoSpaceDN/>
              <w:adjustRightInd/>
              <w:snapToGrid/>
              <w:spacing w:line="360" w:lineRule="auto"/>
              <w:ind w:firstLine="480" w:firstLineChars="200"/>
              <w:contextualSpacing/>
              <w:jc w:val="both"/>
              <w:textAlignment w:val="auto"/>
              <w:rPr>
                <w:rFonts w:hint="default" w:ascii="Times New Roman" w:hAnsi="Times New Roman" w:eastAsia="宋体" w:cs="Times New Roman"/>
                <w:snapToGrid/>
                <w:color w:val="auto"/>
                <w:kern w:val="2"/>
                <w:sz w:val="24"/>
                <w:szCs w:val="24"/>
                <w:lang w:eastAsia="zh-CN"/>
              </w:rPr>
            </w:pPr>
            <w:r>
              <w:rPr>
                <w:rFonts w:hint="default" w:ascii="Times New Roman" w:hAnsi="Times New Roman" w:eastAsia="宋体" w:cs="Times New Roman"/>
                <w:snapToGrid/>
                <w:color w:val="auto"/>
                <w:kern w:val="2"/>
                <w:sz w:val="24"/>
                <w:szCs w:val="24"/>
              </w:rPr>
              <w:t>综上所述，本项目用地合理</w:t>
            </w:r>
            <w:r>
              <w:rPr>
                <w:rFonts w:hint="default" w:ascii="Times New Roman" w:hAnsi="Times New Roman" w:eastAsia="宋体" w:cs="Times New Roman"/>
                <w:snapToGrid/>
                <w:color w:val="auto"/>
                <w:kern w:val="2"/>
                <w:sz w:val="24"/>
                <w:szCs w:val="24"/>
                <w:lang w:eastAsia="zh-CN"/>
              </w:rPr>
              <w:t>。</w:t>
            </w:r>
          </w:p>
          <w:p w14:paraId="24253CB6">
            <w:pPr>
              <w:widowControl w:val="0"/>
              <w:shd w:val="clear" w:color="auto" w:fill="FFFFFF"/>
              <w:kinsoku/>
              <w:autoSpaceDE/>
              <w:autoSpaceDN/>
              <w:adjustRightInd/>
              <w:snapToGrid/>
              <w:spacing w:line="360" w:lineRule="auto"/>
              <w:ind w:firstLine="480" w:firstLineChars="200"/>
              <w:contextualSpacing/>
              <w:jc w:val="both"/>
              <w:textAlignment w:val="auto"/>
              <w:rPr>
                <w:rFonts w:hint="default" w:ascii="Times New Roman" w:hAnsi="Times New Roman" w:eastAsia="宋体" w:cs="Times New Roman"/>
                <w:snapToGrid/>
                <w:color w:val="auto"/>
                <w:kern w:val="2"/>
                <w:sz w:val="24"/>
                <w:szCs w:val="24"/>
              </w:rPr>
            </w:pPr>
          </w:p>
          <w:p w14:paraId="41C337A7">
            <w:pPr>
              <w:widowControl w:val="0"/>
              <w:shd w:val="clear" w:color="auto" w:fill="FFFFFF"/>
              <w:kinsoku/>
              <w:autoSpaceDE/>
              <w:autoSpaceDN/>
              <w:adjustRightInd/>
              <w:snapToGrid/>
              <w:spacing w:line="360" w:lineRule="auto"/>
              <w:contextualSpacing/>
              <w:jc w:val="both"/>
              <w:textAlignment w:val="auto"/>
              <w:rPr>
                <w:rFonts w:hint="default" w:ascii="Times New Roman" w:hAnsi="Times New Roman" w:eastAsia="宋体" w:cs="Times New Roman"/>
                <w:color w:val="auto"/>
                <w:sz w:val="24"/>
                <w:szCs w:val="24"/>
              </w:rPr>
            </w:pPr>
          </w:p>
        </w:tc>
      </w:tr>
    </w:tbl>
    <w:p w14:paraId="6B2CF303">
      <w:pPr>
        <w:spacing w:line="91" w:lineRule="auto"/>
        <w:rPr>
          <w:rFonts w:hint="default" w:ascii="Times New Roman" w:hAnsi="Times New Roman" w:eastAsia="宋体" w:cs="Times New Roman"/>
          <w:color w:val="auto"/>
          <w:sz w:val="2"/>
        </w:rPr>
      </w:pPr>
    </w:p>
    <w:p w14:paraId="2AB58A9F">
      <w:pPr>
        <w:rPr>
          <w:rFonts w:hint="default" w:ascii="Times New Roman" w:hAnsi="Times New Roman" w:eastAsia="宋体" w:cs="Times New Roman"/>
          <w:color w:val="auto"/>
          <w:sz w:val="2"/>
        </w:rPr>
      </w:pPr>
    </w:p>
    <w:p w14:paraId="61C3B6BF">
      <w:pPr>
        <w:rPr>
          <w:rFonts w:hint="default" w:ascii="Times New Roman" w:hAnsi="Times New Roman" w:eastAsia="宋体" w:cs="Times New Roman"/>
          <w:color w:val="auto"/>
          <w:sz w:val="2"/>
        </w:rPr>
      </w:pPr>
    </w:p>
    <w:p w14:paraId="6FA0D9BF">
      <w:pPr>
        <w:rPr>
          <w:rFonts w:hint="default" w:ascii="Times New Roman" w:hAnsi="Times New Roman" w:eastAsia="宋体" w:cs="Times New Roman"/>
          <w:color w:val="auto"/>
          <w:sz w:val="2"/>
        </w:rPr>
      </w:pPr>
    </w:p>
    <w:p w14:paraId="5C28A007">
      <w:pPr>
        <w:rPr>
          <w:rFonts w:hint="default" w:ascii="Times New Roman" w:hAnsi="Times New Roman" w:eastAsia="宋体" w:cs="Times New Roman"/>
          <w:color w:val="auto"/>
          <w:sz w:val="2"/>
        </w:rPr>
      </w:pPr>
    </w:p>
    <w:p w14:paraId="4905FCBD">
      <w:pPr>
        <w:rPr>
          <w:rFonts w:hint="default" w:ascii="Times New Roman" w:hAnsi="Times New Roman" w:eastAsia="宋体" w:cs="Times New Roman"/>
          <w:color w:val="auto"/>
          <w:sz w:val="2"/>
        </w:rPr>
      </w:pPr>
    </w:p>
    <w:p w14:paraId="5C4CF462">
      <w:pPr>
        <w:rPr>
          <w:rFonts w:hint="default" w:ascii="Times New Roman" w:hAnsi="Times New Roman" w:eastAsia="宋体" w:cs="Times New Roman"/>
          <w:color w:val="auto"/>
          <w:sz w:val="2"/>
        </w:rPr>
      </w:pPr>
    </w:p>
    <w:p w14:paraId="0259D2DE">
      <w:pPr>
        <w:rPr>
          <w:rFonts w:hint="default" w:ascii="Times New Roman" w:hAnsi="Times New Roman" w:eastAsia="宋体" w:cs="Times New Roman"/>
          <w:color w:val="auto"/>
          <w:sz w:val="2"/>
        </w:rPr>
      </w:pPr>
    </w:p>
    <w:p w14:paraId="4C17083C">
      <w:pPr>
        <w:rPr>
          <w:rFonts w:hint="default" w:ascii="Times New Roman" w:hAnsi="Times New Roman" w:eastAsia="宋体" w:cs="Times New Roman"/>
          <w:color w:val="auto"/>
          <w:sz w:val="2"/>
        </w:rPr>
      </w:pPr>
    </w:p>
    <w:p w14:paraId="09014099">
      <w:pPr>
        <w:rPr>
          <w:rFonts w:hint="default" w:ascii="Times New Roman" w:hAnsi="Times New Roman" w:eastAsia="宋体" w:cs="Times New Roman"/>
          <w:color w:val="auto"/>
          <w:sz w:val="2"/>
        </w:rPr>
      </w:pPr>
    </w:p>
    <w:p w14:paraId="1548E0FF">
      <w:pPr>
        <w:rPr>
          <w:rFonts w:hint="default" w:ascii="Times New Roman" w:hAnsi="Times New Roman" w:eastAsia="宋体" w:cs="Times New Roman"/>
          <w:color w:val="auto"/>
          <w:sz w:val="2"/>
        </w:rPr>
      </w:pPr>
    </w:p>
    <w:p w14:paraId="6CDB0B61">
      <w:pPr>
        <w:rPr>
          <w:rFonts w:hint="default" w:ascii="Times New Roman" w:hAnsi="Times New Roman" w:eastAsia="宋体" w:cs="Times New Roman"/>
          <w:color w:val="auto"/>
          <w:sz w:val="2"/>
        </w:rPr>
      </w:pPr>
    </w:p>
    <w:p w14:paraId="2F35A6BA">
      <w:pPr>
        <w:rPr>
          <w:rFonts w:hint="default" w:ascii="Times New Roman" w:hAnsi="Times New Roman" w:eastAsia="宋体" w:cs="Times New Roman"/>
          <w:color w:val="auto"/>
          <w:sz w:val="2"/>
        </w:rPr>
      </w:pPr>
    </w:p>
    <w:p w14:paraId="11D98774">
      <w:pPr>
        <w:rPr>
          <w:rFonts w:hint="default" w:ascii="Times New Roman" w:hAnsi="Times New Roman" w:eastAsia="宋体" w:cs="Times New Roman"/>
          <w:color w:val="auto"/>
          <w:sz w:val="2"/>
        </w:rPr>
      </w:pPr>
      <w:r>
        <w:rPr>
          <w:rFonts w:hint="default" w:ascii="Times New Roman" w:hAnsi="Times New Roman" w:eastAsia="宋体" w:cs="Times New Roman"/>
          <w:color w:val="auto"/>
          <w:sz w:val="2"/>
        </w:rPr>
        <w:br w:type="page"/>
      </w:r>
    </w:p>
    <w:p w14:paraId="095CA8D9">
      <w:pPr>
        <w:spacing w:line="91" w:lineRule="auto"/>
        <w:rPr>
          <w:rFonts w:hint="default" w:ascii="Times New Roman" w:hAnsi="Times New Roman" w:eastAsia="宋体" w:cs="Times New Roman"/>
          <w:color w:val="auto"/>
          <w:sz w:val="2"/>
        </w:rPr>
      </w:pPr>
    </w:p>
    <w:p w14:paraId="7587E972">
      <w:pPr>
        <w:spacing w:before="354" w:line="184" w:lineRule="auto"/>
        <w:ind w:firstLine="2488"/>
        <w:outlineLvl w:val="0"/>
        <w:rPr>
          <w:rFonts w:hint="default" w:ascii="Times New Roman" w:hAnsi="Times New Roman" w:eastAsia="宋体" w:cs="Times New Roman"/>
          <w:color w:val="auto"/>
          <w:sz w:val="30"/>
          <w:szCs w:val="30"/>
        </w:rPr>
      </w:pPr>
      <w:bookmarkStart w:id="42" w:name="_Toc30596"/>
      <w:r>
        <w:rPr>
          <w:rFonts w:hint="default" w:ascii="Times New Roman" w:hAnsi="Times New Roman" w:eastAsia="宋体" w:cs="Times New Roman"/>
          <w:color w:val="auto"/>
          <w:spacing w:val="-2"/>
          <w:sz w:val="30"/>
          <w:szCs w:val="30"/>
        </w:rPr>
        <w:t>五、主要生态环境保护措施</w:t>
      </w:r>
      <w:bookmarkEnd w:id="42"/>
    </w:p>
    <w:p w14:paraId="2CAD0F11">
      <w:pPr>
        <w:rPr>
          <w:rFonts w:hint="default" w:ascii="Times New Roman" w:hAnsi="Times New Roman" w:eastAsia="宋体" w:cs="Times New Roman"/>
          <w:color w:val="auto"/>
        </w:rPr>
      </w:pPr>
    </w:p>
    <w:p w14:paraId="3C19D3F0">
      <w:pPr>
        <w:spacing w:line="82" w:lineRule="exact"/>
        <w:rPr>
          <w:rFonts w:hint="default" w:ascii="Times New Roman" w:hAnsi="Times New Roman" w:eastAsia="宋体" w:cs="Times New Roman"/>
          <w:color w:val="auto"/>
        </w:rPr>
      </w:pPr>
    </w:p>
    <w:tbl>
      <w:tblPr>
        <w:tblStyle w:val="43"/>
        <w:tblW w:w="8787"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647"/>
        <w:gridCol w:w="8140"/>
      </w:tblGrid>
      <w:tr w14:paraId="154F24D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614" w:hRule="atLeast"/>
          <w:jc w:val="center"/>
        </w:trPr>
        <w:tc>
          <w:tcPr>
            <w:tcW w:w="647" w:type="dxa"/>
            <w:textDirection w:val="tbRlV"/>
            <w:vAlign w:val="center"/>
          </w:tcPr>
          <w:p w14:paraId="0DD469C1">
            <w:pPr>
              <w:spacing w:before="200" w:line="180" w:lineRule="auto"/>
              <w:ind w:firstLine="4631"/>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1"/>
                <w:sz w:val="24"/>
                <w:szCs w:val="24"/>
              </w:rPr>
              <w:t>施工期生态环境保护措施</w:t>
            </w:r>
          </w:p>
        </w:tc>
        <w:tc>
          <w:tcPr>
            <w:tcW w:w="8140" w:type="dxa"/>
            <w:vAlign w:val="center"/>
          </w:tcPr>
          <w:p w14:paraId="25AA2FE6">
            <w:pPr>
              <w:pStyle w:val="27"/>
              <w:widowControl w:val="0"/>
              <w:kinsoku/>
              <w:autoSpaceDE/>
              <w:autoSpaceDN/>
              <w:adjustRightInd/>
              <w:snapToGrid/>
              <w:spacing w:line="360" w:lineRule="auto"/>
              <w:jc w:val="both"/>
              <w:textAlignment w:val="auto"/>
              <w:outlineLvl w:val="1"/>
              <w:rPr>
                <w:rFonts w:hint="default" w:ascii="Times New Roman" w:hAnsi="Times New Roman" w:eastAsia="宋体" w:cs="Times New Roman"/>
                <w:b/>
                <w:bCs/>
                <w:color w:val="auto"/>
                <w:sz w:val="28"/>
                <w:szCs w:val="28"/>
              </w:rPr>
            </w:pPr>
            <w:bookmarkStart w:id="43" w:name="_Toc25870"/>
            <w:r>
              <w:rPr>
                <w:rFonts w:hint="default" w:ascii="Times New Roman" w:hAnsi="Times New Roman" w:eastAsia="宋体" w:cs="Times New Roman"/>
                <w:b/>
                <w:bCs/>
                <w:color w:val="auto"/>
                <w:sz w:val="28"/>
                <w:szCs w:val="28"/>
              </w:rPr>
              <w:t>一、施工期环境保护措施</w:t>
            </w:r>
            <w:bookmarkEnd w:id="43"/>
          </w:p>
          <w:p w14:paraId="28E6152A">
            <w:pPr>
              <w:pStyle w:val="27"/>
              <w:widowControl w:val="0"/>
              <w:kinsoku/>
              <w:autoSpaceDE/>
              <w:autoSpaceDN/>
              <w:adjustRightInd/>
              <w:snapToGrid/>
              <w:spacing w:line="360" w:lineRule="auto"/>
              <w:ind w:left="0" w:leftChars="0" w:firstLine="482" w:firstLineChars="200"/>
              <w:jc w:val="both"/>
              <w:textAlignment w:val="auto"/>
              <w:outlineLvl w:val="2"/>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rPr>
              <w:t>（一）施工期生态环境保护措施</w:t>
            </w:r>
          </w:p>
          <w:p w14:paraId="4253165A">
            <w:pPr>
              <w:pStyle w:val="27"/>
              <w:widowControl w:val="0"/>
              <w:kinsoku/>
              <w:autoSpaceDE/>
              <w:autoSpaceDN/>
              <w:adjustRightInd/>
              <w:snapToGrid/>
              <w:spacing w:line="360" w:lineRule="auto"/>
              <w:ind w:left="0" w:leftChars="0" w:firstLine="482" w:firstLineChars="200"/>
              <w:jc w:val="both"/>
              <w:textAlignment w:val="auto"/>
              <w:outlineLvl w:val="2"/>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rPr>
              <w:t>1、水土流失防治措施</w:t>
            </w:r>
          </w:p>
          <w:p w14:paraId="2A840A4D">
            <w:pPr>
              <w:widowControl w:val="0"/>
              <w:shd w:val="clear" w:color="auto" w:fill="FFFFFF"/>
              <w:kinsoku/>
              <w:autoSpaceDE/>
              <w:autoSpaceDN/>
              <w:adjustRightInd/>
              <w:snapToGrid/>
              <w:spacing w:line="360" w:lineRule="auto"/>
              <w:ind w:firstLine="480" w:firstLineChars="200"/>
              <w:contextualSpacing/>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由于施工期包括林地清理、整地等环节，破土面积较大，因此，需要在施工过程中重视水土保持的不利条件，采取全面的水土保持措施，将其影响降到最低。具体的措施如下：</w:t>
            </w:r>
          </w:p>
          <w:p w14:paraId="505E3319">
            <w:pPr>
              <w:widowControl w:val="0"/>
              <w:shd w:val="clear" w:color="auto" w:fill="FFFFFF"/>
              <w:kinsoku/>
              <w:autoSpaceDE/>
              <w:autoSpaceDN/>
              <w:adjustRightInd/>
              <w:snapToGrid/>
              <w:spacing w:line="360" w:lineRule="auto"/>
              <w:ind w:firstLine="480" w:firstLineChars="200"/>
              <w:contextualSpacing/>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（1）尽量避免雨季开挖土方</w:t>
            </w:r>
          </w:p>
          <w:p w14:paraId="43B3EFC0">
            <w:pPr>
              <w:widowControl w:val="0"/>
              <w:shd w:val="clear" w:color="auto" w:fill="FFFFFF"/>
              <w:kinsoku/>
              <w:autoSpaceDE/>
              <w:autoSpaceDN/>
              <w:adjustRightInd/>
              <w:snapToGrid/>
              <w:spacing w:line="360" w:lineRule="auto"/>
              <w:ind w:firstLine="480" w:firstLineChars="200"/>
              <w:contextualSpacing/>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根据同类工程的比较，最有可能产生水土流失的时段主要集中在基础开挖期间。对本项目而言，虽然建设期较长，但基础开挖持续时间较短，如果将此步工序调整在秋、冬季，则本项目的水土流失发生的可能性将大大降低。建设方在今后的大规模施工中，对大面积的破土工程尽量避开雨季，这样可大幅度减少水土流失并有利施工顺利进行。雨季施工时应随时关注气象变化，对 雨季中不得不进行的某些施工，建设方应随时与气象部门保持联系，在大雨到 来之前作好相应的水保应急工作。例如对新产生的裸露地表的松土予以压实，对施工期较长的裸露开挖面，遇雨时用塑料布覆盖。此外，在不影响工作效率的前提下，做好工程运筹计划，尽量缩小土方工程的工作面，避免同时产生较多的裸露地表。在暴雨季节不应进行大规模的土石方工程作业。</w:t>
            </w:r>
          </w:p>
          <w:p w14:paraId="0B164A50">
            <w:pPr>
              <w:widowControl w:val="0"/>
              <w:shd w:val="clear" w:color="auto" w:fill="FFFFFF"/>
              <w:kinsoku/>
              <w:autoSpaceDE/>
              <w:autoSpaceDN/>
              <w:adjustRightInd/>
              <w:snapToGrid/>
              <w:spacing w:line="360" w:lineRule="auto"/>
              <w:ind w:firstLine="480" w:firstLineChars="200"/>
              <w:contextualSpacing/>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（2）设置相应的资金用于水土保持</w:t>
            </w:r>
          </w:p>
          <w:p w14:paraId="74F68F9F">
            <w:pPr>
              <w:widowControl w:val="0"/>
              <w:shd w:val="clear" w:color="auto" w:fill="FFFFFF"/>
              <w:kinsoku/>
              <w:autoSpaceDE/>
              <w:autoSpaceDN/>
              <w:adjustRightInd/>
              <w:snapToGrid/>
              <w:spacing w:line="360" w:lineRule="auto"/>
              <w:ind w:firstLine="480" w:firstLineChars="200"/>
              <w:contextualSpacing/>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相应的各项水土措施，应有相应的资金投入，确保在设计和工程施工中有相关资金到位，资金是冶理措施落实的基础。</w:t>
            </w:r>
          </w:p>
          <w:p w14:paraId="752E79B5">
            <w:pPr>
              <w:widowControl w:val="0"/>
              <w:shd w:val="clear" w:color="auto" w:fill="FFFFFF"/>
              <w:kinsoku/>
              <w:autoSpaceDE/>
              <w:autoSpaceDN/>
              <w:adjustRightInd/>
              <w:snapToGrid/>
              <w:spacing w:line="360" w:lineRule="auto"/>
              <w:ind w:firstLine="480" w:firstLineChars="200"/>
              <w:contextualSpacing/>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（3）减少施工面的裸露时间</w:t>
            </w:r>
          </w:p>
          <w:p w14:paraId="11D1ACD6">
            <w:pPr>
              <w:widowControl w:val="0"/>
              <w:shd w:val="clear" w:color="auto" w:fill="FFFFFF"/>
              <w:kinsoku/>
              <w:autoSpaceDE/>
              <w:autoSpaceDN/>
              <w:adjustRightInd/>
              <w:snapToGrid/>
              <w:spacing w:line="360" w:lineRule="auto"/>
              <w:ind w:firstLine="480" w:firstLineChars="200"/>
              <w:contextualSpacing/>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在雨季发生的水土流失有一个渐进的过程，其形式依次为面蚀到沟蚀再到坍塌。因此，施工单位应随时施工，随时保护，减少施工面的裸露时间。</w:t>
            </w:r>
          </w:p>
          <w:p w14:paraId="19895BCD">
            <w:pPr>
              <w:widowControl w:val="0"/>
              <w:shd w:val="clear" w:color="auto" w:fill="FFFFFF"/>
              <w:kinsoku/>
              <w:autoSpaceDE/>
              <w:autoSpaceDN/>
              <w:adjustRightInd/>
              <w:snapToGrid/>
              <w:spacing w:line="360" w:lineRule="auto"/>
              <w:ind w:firstLine="480" w:firstLineChars="200"/>
              <w:contextualSpacing/>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（4）及时做好排水导流工作，减轻水流对斜坡和裸露地表的冲刷</w:t>
            </w:r>
          </w:p>
          <w:p w14:paraId="1C93083A">
            <w:pPr>
              <w:widowControl w:val="0"/>
              <w:shd w:val="clear" w:color="auto" w:fill="FFFFFF"/>
              <w:kinsoku/>
              <w:autoSpaceDE/>
              <w:autoSpaceDN/>
              <w:adjustRightInd/>
              <w:snapToGrid/>
              <w:spacing w:line="360" w:lineRule="auto"/>
              <w:ind w:firstLine="480" w:firstLineChars="200"/>
              <w:contextualSpacing/>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为满足边坡稳定性要求，减少地表径流对裸露地表的侵蚀，应开好排水沟防治冲刷。在实施土方工程的同时，实施排水工程，以预防地面径流直接冲刷施工面，导致坡面的坍塌并发生水土流失。应在施工面上方拦水沟两侧，设置排水装置将径流引入平缓的排水沟流走。在地基坑周边形成的斜坡上修建导流沟截流，设置侧沟，保持畅通。</w:t>
            </w:r>
          </w:p>
          <w:p w14:paraId="6E6685F7">
            <w:pPr>
              <w:widowControl w:val="0"/>
              <w:shd w:val="clear" w:color="auto" w:fill="FFFFFF"/>
              <w:kinsoku/>
              <w:autoSpaceDE/>
              <w:autoSpaceDN/>
              <w:adjustRightInd/>
              <w:snapToGrid/>
              <w:spacing w:line="360" w:lineRule="auto"/>
              <w:ind w:firstLine="480" w:firstLineChars="200"/>
              <w:contextualSpacing/>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（5）耕作土的保护方案</w:t>
            </w:r>
          </w:p>
          <w:p w14:paraId="29FDDEAF">
            <w:pPr>
              <w:widowControl w:val="0"/>
              <w:shd w:val="clear" w:color="auto" w:fill="FFFFFF"/>
              <w:kinsoku/>
              <w:autoSpaceDE/>
              <w:autoSpaceDN/>
              <w:adjustRightInd/>
              <w:snapToGrid/>
              <w:spacing w:line="360" w:lineRule="auto"/>
              <w:ind w:firstLine="480" w:firstLineChars="200"/>
              <w:contextualSpacing/>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项目储备林建设工程中人工林栽培；现有林改培；中幼林抚育；特色经济林；珍稀林木；林下中药材；林下花卉；林下种菌，区域现有表土均为熟土，通过整地后可直接挖穴种植；</w:t>
            </w:r>
            <w:r>
              <w:rPr>
                <w:rFonts w:hint="default" w:ascii="Times New Roman" w:hAnsi="Times New Roman" w:eastAsia="宋体" w:cs="Times New Roman"/>
                <w:snapToGrid/>
                <w:color w:val="auto"/>
                <w:kern w:val="2"/>
                <w:sz w:val="24"/>
                <w:szCs w:val="24"/>
                <w:lang w:val="en-US" w:eastAsia="zh-CN"/>
              </w:rPr>
              <w:t>整地的耕作土临时堆放整地区域旁后期全部用于种植</w:t>
            </w:r>
            <w:r>
              <w:rPr>
                <w:rFonts w:hint="default" w:ascii="Times New Roman" w:hAnsi="Times New Roman" w:eastAsia="宋体" w:cs="Times New Roman"/>
                <w:snapToGrid/>
                <w:color w:val="auto"/>
                <w:kern w:val="2"/>
                <w:sz w:val="24"/>
                <w:szCs w:val="24"/>
              </w:rPr>
              <w:t>，因此不考虑设置</w:t>
            </w:r>
            <w:r>
              <w:rPr>
                <w:rFonts w:hint="default" w:ascii="Times New Roman" w:hAnsi="Times New Roman" w:eastAsia="宋体" w:cs="Times New Roman"/>
                <w:snapToGrid/>
                <w:color w:val="auto"/>
                <w:kern w:val="2"/>
                <w:sz w:val="24"/>
                <w:szCs w:val="24"/>
                <w:lang w:val="en-US" w:eastAsia="zh-CN"/>
              </w:rPr>
              <w:t>弃土场</w:t>
            </w:r>
            <w:r>
              <w:rPr>
                <w:rFonts w:hint="default" w:ascii="Times New Roman" w:hAnsi="Times New Roman" w:eastAsia="宋体" w:cs="Times New Roman"/>
                <w:snapToGrid/>
                <w:color w:val="auto"/>
                <w:kern w:val="2"/>
                <w:sz w:val="24"/>
                <w:szCs w:val="24"/>
              </w:rPr>
              <w:t>。</w:t>
            </w:r>
          </w:p>
          <w:p w14:paraId="31DBBD85">
            <w:pPr>
              <w:widowControl w:val="0"/>
              <w:shd w:val="clear" w:color="auto" w:fill="FFFFFF"/>
              <w:kinsoku/>
              <w:autoSpaceDE/>
              <w:autoSpaceDN/>
              <w:adjustRightInd/>
              <w:snapToGrid/>
              <w:spacing w:line="360" w:lineRule="auto"/>
              <w:ind w:firstLine="480" w:firstLineChars="200"/>
              <w:contextualSpacing/>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lang w:eastAsia="zh-CN"/>
              </w:rPr>
              <w:t>（</w:t>
            </w:r>
            <w:r>
              <w:rPr>
                <w:rFonts w:hint="default" w:ascii="Times New Roman" w:hAnsi="Times New Roman" w:eastAsia="宋体" w:cs="Times New Roman"/>
                <w:snapToGrid/>
                <w:color w:val="auto"/>
                <w:kern w:val="2"/>
                <w:sz w:val="24"/>
                <w:szCs w:val="24"/>
                <w:lang w:val="en-US" w:eastAsia="zh-CN"/>
              </w:rPr>
              <w:t>6</w:t>
            </w:r>
            <w:r>
              <w:rPr>
                <w:rFonts w:hint="default" w:ascii="Times New Roman" w:hAnsi="Times New Roman" w:eastAsia="宋体" w:cs="Times New Roman"/>
                <w:snapToGrid/>
                <w:color w:val="auto"/>
                <w:kern w:val="2"/>
                <w:sz w:val="24"/>
                <w:szCs w:val="24"/>
                <w:lang w:eastAsia="zh-CN"/>
              </w:rPr>
              <w:t>）</w:t>
            </w:r>
            <w:r>
              <w:rPr>
                <w:rFonts w:hint="default" w:ascii="Times New Roman" w:hAnsi="Times New Roman" w:eastAsia="宋体" w:cs="Times New Roman"/>
                <w:snapToGrid/>
                <w:color w:val="auto"/>
                <w:kern w:val="2"/>
                <w:sz w:val="24"/>
                <w:szCs w:val="24"/>
              </w:rPr>
              <w:t xml:space="preserve">加强施工管理 </w:t>
            </w:r>
          </w:p>
          <w:p w14:paraId="1C2CB646">
            <w:pPr>
              <w:widowControl w:val="0"/>
              <w:shd w:val="clear" w:color="auto" w:fill="FFFFFF"/>
              <w:kinsoku/>
              <w:autoSpaceDE/>
              <w:autoSpaceDN/>
              <w:adjustRightInd/>
              <w:snapToGrid/>
              <w:spacing w:line="360" w:lineRule="auto"/>
              <w:ind w:firstLine="480" w:firstLineChars="200"/>
              <w:contextualSpacing/>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施工过程中要加强管理，监督施工过程的挖填方、材料运输等，监督各项水土保持措施的实施。做好挖填土方合理调配，避免在降雨期间挖填土方，以防雨水冲刷造成水土流失，污染水体堵塞排水管道。按有关规定，进行建筑垃圾的合理处理和处置，垃圾运输避开主要居民区。建筑垃圾集中清运至建筑垃圾填埋场，不得随意丢弃。项目开工前应以合同形式要求施工单位在施工过程中严格按照设计要求，将施工活动严格控制在项目区设计的施工占地范围内。针对具体施工人员，应在施工进场前组织开展与生态环境保护相关的培训，确保施工人员对与生态环境相关的保护政策有所了解，项目施工过程中严禁出现超范围施工、施工固体废物随意倾倒和弃置等野蛮施工行为。</w:t>
            </w:r>
          </w:p>
          <w:p w14:paraId="64A904E6">
            <w:pPr>
              <w:pStyle w:val="27"/>
              <w:widowControl w:val="0"/>
              <w:kinsoku/>
              <w:autoSpaceDE/>
              <w:autoSpaceDN/>
              <w:adjustRightInd/>
              <w:snapToGrid/>
              <w:spacing w:line="360" w:lineRule="auto"/>
              <w:ind w:left="0" w:leftChars="0" w:firstLine="482" w:firstLineChars="200"/>
              <w:jc w:val="both"/>
              <w:textAlignment w:val="auto"/>
              <w:outlineLvl w:val="2"/>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rPr>
              <w:t>2、对陆生植物保护与恢复措施</w:t>
            </w:r>
          </w:p>
          <w:p w14:paraId="183BFD4B">
            <w:pPr>
              <w:widowControl w:val="0"/>
              <w:shd w:val="clear" w:color="auto" w:fill="FFFFFF"/>
              <w:kinsoku/>
              <w:autoSpaceDE/>
              <w:autoSpaceDN/>
              <w:adjustRightInd/>
              <w:snapToGrid/>
              <w:spacing w:line="360" w:lineRule="auto"/>
              <w:ind w:firstLine="480" w:firstLineChars="200"/>
              <w:contextualSpacing/>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(1)严格按照设计文件确定征占土地范围，进行地表清理工作：严格保护施工现场内外的生态环境，在清除植被过程中，不准超范围越界砍伐；</w:t>
            </w:r>
          </w:p>
          <w:p w14:paraId="76C4A3BC">
            <w:pPr>
              <w:widowControl w:val="0"/>
              <w:shd w:val="clear" w:color="auto" w:fill="FFFFFF"/>
              <w:kinsoku/>
              <w:autoSpaceDE/>
              <w:autoSpaceDN/>
              <w:adjustRightInd/>
              <w:snapToGrid/>
              <w:spacing w:line="360" w:lineRule="auto"/>
              <w:ind w:firstLine="480" w:firstLineChars="200"/>
              <w:contextualSpacing/>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(2)项目建设应尽量减少占地，对于基础设施的建设，坡面工程应及时采取工程或植物措施加以减少水土流失现象发生；</w:t>
            </w:r>
          </w:p>
          <w:p w14:paraId="753AB0D6">
            <w:pPr>
              <w:widowControl w:val="0"/>
              <w:shd w:val="clear" w:color="auto" w:fill="FFFFFF"/>
              <w:kinsoku/>
              <w:autoSpaceDE/>
              <w:autoSpaceDN/>
              <w:adjustRightInd/>
              <w:snapToGrid/>
              <w:spacing w:line="360" w:lineRule="auto"/>
              <w:ind w:firstLine="480" w:firstLineChars="200"/>
              <w:contextualSpacing/>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(3)严格控制开挖施工作业面，避免超挖破坏周围植被；</w:t>
            </w:r>
          </w:p>
          <w:p w14:paraId="53829A27">
            <w:pPr>
              <w:widowControl w:val="0"/>
              <w:shd w:val="clear" w:color="auto" w:fill="FFFFFF"/>
              <w:kinsoku/>
              <w:autoSpaceDE/>
              <w:autoSpaceDN/>
              <w:adjustRightInd/>
              <w:snapToGrid/>
              <w:spacing w:line="360" w:lineRule="auto"/>
              <w:ind w:firstLine="480" w:firstLineChars="200"/>
              <w:contextualSpacing/>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(4)及时处理固体废物，如生活垃圾、施工物料和施工垃圾等，杜绝超范围用地；</w:t>
            </w:r>
          </w:p>
          <w:p w14:paraId="671A7B76">
            <w:pPr>
              <w:widowControl w:val="0"/>
              <w:shd w:val="clear" w:color="auto" w:fill="FFFFFF"/>
              <w:kinsoku/>
              <w:autoSpaceDE/>
              <w:autoSpaceDN/>
              <w:adjustRightInd/>
              <w:snapToGrid/>
              <w:spacing w:line="360" w:lineRule="auto"/>
              <w:ind w:firstLine="480" w:firstLineChars="200"/>
              <w:contextualSpacing/>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(5)施工单位应加强防火知识教育，防止人为原因导致森林火灾的发生：</w:t>
            </w:r>
          </w:p>
          <w:p w14:paraId="7F293A0B">
            <w:pPr>
              <w:widowControl w:val="0"/>
              <w:shd w:val="clear" w:color="auto" w:fill="FFFFFF"/>
              <w:kinsoku/>
              <w:autoSpaceDE/>
              <w:autoSpaceDN/>
              <w:adjustRightInd/>
              <w:snapToGrid/>
              <w:spacing w:line="360" w:lineRule="auto"/>
              <w:ind w:firstLine="480" w:firstLineChars="200"/>
              <w:contextualSpacing/>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(6)施工前，剥离下来的表土堆存在项目永久占地内，采取临时拦挡和覆盖措施，用于项目后期回填。</w:t>
            </w:r>
          </w:p>
          <w:p w14:paraId="3704487B">
            <w:pPr>
              <w:widowControl w:val="0"/>
              <w:shd w:val="clear" w:color="auto" w:fill="FFFFFF"/>
              <w:kinsoku/>
              <w:autoSpaceDE/>
              <w:autoSpaceDN/>
              <w:adjustRightInd/>
              <w:snapToGrid/>
              <w:spacing w:line="360" w:lineRule="auto"/>
              <w:ind w:firstLine="480" w:firstLineChars="200"/>
              <w:contextualSpacing/>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(7)虽然本项目环评阶段调查未发现拟使用林地中有国家保护植物和珍稀植物，但在项目施工中若发现保护植物，应及时采取挂牌就地保护或迁地保护措施。</w:t>
            </w:r>
          </w:p>
          <w:p w14:paraId="11849D37">
            <w:pPr>
              <w:widowControl w:val="0"/>
              <w:shd w:val="clear" w:color="auto" w:fill="FFFFFF"/>
              <w:kinsoku/>
              <w:autoSpaceDE/>
              <w:autoSpaceDN/>
              <w:adjustRightInd/>
              <w:snapToGrid/>
              <w:spacing w:line="360" w:lineRule="auto"/>
              <w:ind w:firstLine="480" w:firstLineChars="200"/>
              <w:contextualSpacing/>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lang w:eastAsia="zh-CN"/>
              </w:rPr>
              <w:t>（</w:t>
            </w:r>
            <w:r>
              <w:rPr>
                <w:rFonts w:hint="default" w:ascii="Times New Roman" w:hAnsi="Times New Roman" w:eastAsia="宋体" w:cs="Times New Roman"/>
                <w:snapToGrid/>
                <w:color w:val="auto"/>
                <w:kern w:val="2"/>
                <w:sz w:val="24"/>
                <w:szCs w:val="24"/>
                <w:lang w:val="en-US" w:eastAsia="zh-CN"/>
              </w:rPr>
              <w:t>8</w:t>
            </w:r>
            <w:r>
              <w:rPr>
                <w:rFonts w:hint="default" w:ascii="Times New Roman" w:hAnsi="Times New Roman" w:eastAsia="宋体" w:cs="Times New Roman"/>
                <w:snapToGrid/>
                <w:color w:val="auto"/>
                <w:kern w:val="2"/>
                <w:sz w:val="24"/>
                <w:szCs w:val="24"/>
                <w:lang w:eastAsia="zh-CN"/>
              </w:rPr>
              <w:t>）</w:t>
            </w:r>
            <w:r>
              <w:rPr>
                <w:rFonts w:hint="default" w:ascii="Times New Roman" w:hAnsi="Times New Roman" w:eastAsia="宋体" w:cs="Times New Roman"/>
                <w:snapToGrid/>
                <w:color w:val="auto"/>
                <w:kern w:val="2"/>
                <w:sz w:val="24"/>
                <w:szCs w:val="24"/>
              </w:rPr>
              <w:t>生态系统及生物多样性保护</w:t>
            </w:r>
          </w:p>
          <w:p w14:paraId="22547BA5">
            <w:pPr>
              <w:widowControl w:val="0"/>
              <w:shd w:val="clear" w:color="auto" w:fill="FFFFFF"/>
              <w:kinsoku/>
              <w:autoSpaceDE/>
              <w:autoSpaceDN/>
              <w:adjustRightInd/>
              <w:snapToGrid/>
              <w:spacing w:line="360" w:lineRule="auto"/>
              <w:ind w:firstLine="480" w:firstLineChars="200"/>
              <w:contextualSpacing/>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根据现场调查，工程沿线以林地为主，施工区附近为当地常见经济林木，植被种类比较单一。</w:t>
            </w:r>
          </w:p>
          <w:p w14:paraId="43EAA627">
            <w:pPr>
              <w:widowControl w:val="0"/>
              <w:shd w:val="clear" w:color="auto" w:fill="FFFFFF"/>
              <w:kinsoku/>
              <w:autoSpaceDE/>
              <w:autoSpaceDN/>
              <w:adjustRightInd/>
              <w:snapToGrid/>
              <w:spacing w:line="360" w:lineRule="auto"/>
              <w:ind w:firstLine="480" w:firstLineChars="200"/>
              <w:contextualSpacing/>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项目建成后，不会增强所在地原来的土壤侵蚀强度，还可避免土壤侵蚀。同时，有利于增加造林地树种、增加植物量，提高生物多样性，有效的控制水土流失，改良土地，保护生物多样性。对陆生植被生物多样性影响及生态系统完整性不会带来影响。考虑到项目造林树种中选用乌桕种潜在的物种入侵风险，本次评价要求将新造林区域内拟选取的乌桕种采用其他本土耐旱树种进行替代，便于保障造林区域内生态系统的稳定发展和生物多样性发展。</w:t>
            </w:r>
          </w:p>
          <w:p w14:paraId="02A13F62">
            <w:pPr>
              <w:pStyle w:val="27"/>
              <w:widowControl w:val="0"/>
              <w:kinsoku/>
              <w:autoSpaceDE/>
              <w:autoSpaceDN/>
              <w:adjustRightInd/>
              <w:snapToGrid/>
              <w:spacing w:line="360" w:lineRule="auto"/>
              <w:ind w:left="0" w:leftChars="0" w:firstLine="482" w:firstLineChars="200"/>
              <w:jc w:val="both"/>
              <w:textAlignment w:val="auto"/>
              <w:outlineLvl w:val="2"/>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rPr>
              <w:t>3、对陆生动物保护措施</w:t>
            </w:r>
          </w:p>
          <w:p w14:paraId="0BEDFB0D">
            <w:pPr>
              <w:widowControl w:val="0"/>
              <w:shd w:val="clear" w:color="auto" w:fill="FFFFFF"/>
              <w:kinsoku/>
              <w:autoSpaceDE/>
              <w:autoSpaceDN/>
              <w:adjustRightInd/>
              <w:snapToGrid/>
              <w:spacing w:line="360" w:lineRule="auto"/>
              <w:ind w:firstLine="480" w:firstLineChars="200"/>
              <w:contextualSpacing/>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（1）提高施工人员的环保意识，严禁在施工区及其周围捕猎野生动物。</w:t>
            </w:r>
          </w:p>
          <w:p w14:paraId="5AB40331">
            <w:pPr>
              <w:widowControl w:val="0"/>
              <w:shd w:val="clear" w:color="auto" w:fill="FFFFFF"/>
              <w:kinsoku/>
              <w:autoSpaceDE/>
              <w:autoSpaceDN/>
              <w:adjustRightInd/>
              <w:snapToGrid/>
              <w:spacing w:line="360" w:lineRule="auto"/>
              <w:ind w:firstLine="480" w:firstLineChars="200"/>
              <w:contextualSpacing/>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（2）工程施工及施工后植被恢复期间，尽量保持施工现场的地形地貌，尤其要保持积水的坑、沟及低洼湿地的原始状态，不应填平，以保护两栖类生存、繁殖的生境。</w:t>
            </w:r>
          </w:p>
          <w:p w14:paraId="358A1DDE">
            <w:pPr>
              <w:widowControl w:val="0"/>
              <w:shd w:val="clear" w:color="auto" w:fill="FFFFFF"/>
              <w:kinsoku/>
              <w:autoSpaceDE/>
              <w:autoSpaceDN/>
              <w:adjustRightInd/>
              <w:snapToGrid/>
              <w:spacing w:line="360" w:lineRule="auto"/>
              <w:ind w:firstLine="480" w:firstLineChars="200"/>
              <w:contextualSpacing/>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（3）合理安排施工时段，施工期避开鸟类迁徙及繁殖区。</w:t>
            </w:r>
          </w:p>
          <w:p w14:paraId="6851A86D">
            <w:pPr>
              <w:pStyle w:val="27"/>
              <w:widowControl w:val="0"/>
              <w:kinsoku/>
              <w:autoSpaceDE/>
              <w:autoSpaceDN/>
              <w:adjustRightInd/>
              <w:snapToGrid/>
              <w:spacing w:line="360" w:lineRule="auto"/>
              <w:ind w:left="0" w:leftChars="0" w:firstLine="482" w:firstLineChars="200"/>
              <w:jc w:val="both"/>
              <w:textAlignment w:val="auto"/>
              <w:outlineLvl w:val="2"/>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rPr>
              <w:t>4、临时占地生态恢复措施</w:t>
            </w:r>
          </w:p>
          <w:p w14:paraId="051DB3AB">
            <w:pPr>
              <w:widowControl w:val="0"/>
              <w:shd w:val="clear" w:color="auto" w:fill="FFFFFF"/>
              <w:kinsoku/>
              <w:autoSpaceDE/>
              <w:autoSpaceDN/>
              <w:adjustRightInd/>
              <w:snapToGrid/>
              <w:spacing w:line="360" w:lineRule="auto"/>
              <w:ind w:firstLine="480" w:firstLineChars="200"/>
              <w:contextualSpacing/>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施工期剥离表土集中堆置，在表土区采用草袋装土垒砌拦挡。</w:t>
            </w:r>
          </w:p>
          <w:p w14:paraId="6BC80C29">
            <w:pPr>
              <w:widowControl w:val="0"/>
              <w:shd w:val="clear" w:color="auto" w:fill="FFFFFF"/>
              <w:kinsoku/>
              <w:autoSpaceDE/>
              <w:autoSpaceDN/>
              <w:adjustRightInd/>
              <w:snapToGrid/>
              <w:spacing w:line="360" w:lineRule="auto"/>
              <w:ind w:firstLine="480" w:firstLineChars="200"/>
              <w:contextualSpacing/>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施工场地在使用过程中，应落实场地的排水设施。拟在施工场地内布置横向、纵向临时排水沟，周边配套完善临时排水系统。</w:t>
            </w:r>
          </w:p>
          <w:p w14:paraId="55A847DB">
            <w:pPr>
              <w:widowControl w:val="0"/>
              <w:shd w:val="clear" w:color="auto" w:fill="FFFFFF"/>
              <w:kinsoku/>
              <w:autoSpaceDE/>
              <w:autoSpaceDN/>
              <w:adjustRightInd/>
              <w:snapToGrid/>
              <w:spacing w:line="360" w:lineRule="auto"/>
              <w:ind w:firstLine="480" w:firstLineChars="200"/>
              <w:contextualSpacing/>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施工过程中，对作业区裸露地表铺 2cm 厚碎石以控制扬尘和水土流失。表土堆放区、作业区周边及场地内应根据布置情况布设临时排水沟和沉淀池，并与附近排水沟相接。遇上雨季，对表土及堆料进行临时覆盖，防止被雨水冲刷，污染周围环境。</w:t>
            </w:r>
          </w:p>
          <w:p w14:paraId="70DE4BA1">
            <w:pPr>
              <w:widowControl w:val="0"/>
              <w:shd w:val="clear" w:color="auto" w:fill="FFFFFF"/>
              <w:kinsoku/>
              <w:autoSpaceDE/>
              <w:autoSpaceDN/>
              <w:adjustRightInd/>
              <w:snapToGrid/>
              <w:spacing w:line="360" w:lineRule="auto"/>
              <w:ind w:firstLine="480" w:firstLineChars="200"/>
              <w:contextualSpacing/>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施工结束后，需进行场地清理、松土、覆盖表土，落实复种等措施。</w:t>
            </w:r>
          </w:p>
          <w:p w14:paraId="4FF59B0A">
            <w:pPr>
              <w:pStyle w:val="27"/>
              <w:widowControl w:val="0"/>
              <w:kinsoku/>
              <w:autoSpaceDE/>
              <w:autoSpaceDN/>
              <w:adjustRightInd/>
              <w:snapToGrid/>
              <w:spacing w:line="360" w:lineRule="auto"/>
              <w:ind w:left="0" w:leftChars="0" w:firstLine="482" w:firstLineChars="200"/>
              <w:jc w:val="both"/>
              <w:textAlignment w:val="auto"/>
              <w:outlineLvl w:val="2"/>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rPr>
              <w:t>（二）施工期废气环境保护措施</w:t>
            </w:r>
          </w:p>
          <w:p w14:paraId="0B1A5279">
            <w:pPr>
              <w:pStyle w:val="27"/>
              <w:widowControl w:val="0"/>
              <w:kinsoku/>
              <w:autoSpaceDE/>
              <w:autoSpaceDN/>
              <w:adjustRightInd/>
              <w:snapToGrid/>
              <w:spacing w:line="360" w:lineRule="auto"/>
              <w:ind w:left="0" w:leftChars="0" w:firstLine="482" w:firstLineChars="200"/>
              <w:jc w:val="both"/>
              <w:textAlignment w:val="auto"/>
              <w:outlineLvl w:val="2"/>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rPr>
              <w:t>1、施工扬尘</w:t>
            </w:r>
          </w:p>
          <w:p w14:paraId="272C3196">
            <w:pPr>
              <w:widowControl w:val="0"/>
              <w:shd w:val="clear" w:color="auto" w:fill="FFFFFF"/>
              <w:kinsoku/>
              <w:autoSpaceDE/>
              <w:autoSpaceDN/>
              <w:adjustRightInd/>
              <w:snapToGrid/>
              <w:spacing w:line="360" w:lineRule="auto"/>
              <w:ind w:firstLine="480" w:firstLineChars="200"/>
              <w:contextualSpacing/>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扬尘是指露天堆场、裸露场地的风力扬尘，建筑垃圾的搬运扬尘，土石方和建筑材料运输所产生的动力道路扬尘。</w:t>
            </w:r>
          </w:p>
          <w:p w14:paraId="16A72B48">
            <w:pPr>
              <w:widowControl w:val="0"/>
              <w:shd w:val="clear" w:color="auto" w:fill="FFFFFF"/>
              <w:kinsoku/>
              <w:autoSpaceDE/>
              <w:autoSpaceDN/>
              <w:adjustRightInd/>
              <w:snapToGrid/>
              <w:spacing w:line="360" w:lineRule="auto"/>
              <w:ind w:firstLine="480" w:firstLineChars="200"/>
              <w:contextualSpacing/>
              <w:jc w:val="both"/>
              <w:textAlignment w:val="auto"/>
              <w:rPr>
                <w:rFonts w:hint="default" w:ascii="Times New Roman" w:hAnsi="Times New Roman" w:eastAsia="宋体" w:cs="Times New Roman"/>
                <w:snapToGrid/>
                <w:color w:val="auto"/>
                <w:kern w:val="2"/>
                <w:sz w:val="24"/>
                <w:szCs w:val="24"/>
              </w:rPr>
            </w:pPr>
            <w:bookmarkStart w:id="44" w:name="_Toc24306"/>
            <w:r>
              <w:rPr>
                <w:rFonts w:hint="default" w:ascii="Times New Roman" w:hAnsi="Times New Roman" w:eastAsia="宋体" w:cs="Times New Roman"/>
                <w:snapToGrid/>
                <w:color w:val="auto"/>
                <w:kern w:val="2"/>
                <w:sz w:val="24"/>
                <w:szCs w:val="24"/>
              </w:rPr>
              <w:t>土方及材料的运输过程中，尤其是在风速较大或汽车行驶速度较快的情况下，有大量的粉尘散落到周围环境空气中，粉尘的污染更为严重。施工场地等临时工程的开挖施工，在干燥的天气条件下容易产生扬尘。</w:t>
            </w:r>
            <w:bookmarkEnd w:id="44"/>
          </w:p>
          <w:p w14:paraId="1F33DAFF">
            <w:pPr>
              <w:widowControl w:val="0"/>
              <w:shd w:val="clear" w:color="auto" w:fill="FFFFFF"/>
              <w:kinsoku/>
              <w:autoSpaceDE/>
              <w:autoSpaceDN/>
              <w:adjustRightInd/>
              <w:snapToGrid/>
              <w:spacing w:line="360" w:lineRule="auto"/>
              <w:ind w:firstLine="480" w:firstLineChars="200"/>
              <w:contextualSpacing/>
              <w:jc w:val="both"/>
              <w:textAlignment w:val="auto"/>
              <w:rPr>
                <w:rFonts w:hint="default" w:ascii="Times New Roman" w:hAnsi="Times New Roman" w:eastAsia="宋体" w:cs="Times New Roman"/>
                <w:snapToGrid/>
                <w:color w:val="auto"/>
                <w:kern w:val="2"/>
                <w:sz w:val="24"/>
                <w:szCs w:val="24"/>
              </w:rPr>
            </w:pPr>
            <w:bookmarkStart w:id="45" w:name="_Toc28068"/>
            <w:r>
              <w:rPr>
                <w:rFonts w:hint="default" w:ascii="Times New Roman" w:hAnsi="Times New Roman" w:eastAsia="宋体" w:cs="Times New Roman"/>
                <w:snapToGrid/>
                <w:color w:val="auto"/>
                <w:kern w:val="2"/>
                <w:sz w:val="24"/>
                <w:szCs w:val="24"/>
              </w:rPr>
              <w:t>针对施工过程中产生的扬尘采取措施如下：</w:t>
            </w:r>
            <w:bookmarkEnd w:id="45"/>
          </w:p>
          <w:p w14:paraId="09DE0DEE">
            <w:pPr>
              <w:widowControl w:val="0"/>
              <w:shd w:val="clear" w:color="auto" w:fill="FFFFFF"/>
              <w:kinsoku/>
              <w:autoSpaceDE/>
              <w:autoSpaceDN/>
              <w:adjustRightInd/>
              <w:snapToGrid/>
              <w:spacing w:line="360" w:lineRule="auto"/>
              <w:ind w:firstLine="480" w:firstLineChars="200"/>
              <w:contextualSpacing/>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（1）施工现场架设2.5m围挡，施工范围不得超过场界划定红线范围，建筑施工现场100%围挡。所有围挡必须封堵严密，搭设牢固，无缝对接。</w:t>
            </w:r>
          </w:p>
          <w:p w14:paraId="054B6B74">
            <w:pPr>
              <w:widowControl w:val="0"/>
              <w:shd w:val="clear" w:color="auto" w:fill="FFFFFF"/>
              <w:kinsoku/>
              <w:autoSpaceDE/>
              <w:autoSpaceDN/>
              <w:adjustRightInd/>
              <w:snapToGrid/>
              <w:spacing w:line="360" w:lineRule="auto"/>
              <w:ind w:firstLine="480" w:firstLineChars="200"/>
              <w:contextualSpacing/>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（2）工地裸土100%覆盖施工中采取边开挖边遮盖，对开挖面、土方、砂 石料等裸露部分采用遮阳网100%覆盖，并采用抑尘车、喷淋系统随时洒水抑尘，保持湿润无扬尘。</w:t>
            </w:r>
          </w:p>
          <w:p w14:paraId="2B377FB2">
            <w:pPr>
              <w:widowControl w:val="0"/>
              <w:shd w:val="clear" w:color="auto" w:fill="FFFFFF"/>
              <w:kinsoku/>
              <w:autoSpaceDE/>
              <w:autoSpaceDN/>
              <w:adjustRightInd/>
              <w:snapToGrid/>
              <w:spacing w:line="360" w:lineRule="auto"/>
              <w:ind w:firstLine="480" w:firstLineChars="200"/>
              <w:contextualSpacing/>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（3）工地主要路面100%硬化施工路段原路面为沥青混凝土路面，符合 100%硬化的要求，施工过程中指派专人对路面清扫保洁，定期开启喷淋系统随 时洒水保湿，防止产生扬尘。</w:t>
            </w:r>
          </w:p>
          <w:p w14:paraId="6D447C2E">
            <w:pPr>
              <w:widowControl w:val="0"/>
              <w:shd w:val="clear" w:color="auto" w:fill="FFFFFF"/>
              <w:kinsoku/>
              <w:autoSpaceDE/>
              <w:autoSpaceDN/>
              <w:adjustRightInd/>
              <w:snapToGrid/>
              <w:spacing w:line="360" w:lineRule="auto"/>
              <w:ind w:firstLine="480" w:firstLineChars="200"/>
              <w:contextualSpacing/>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（4）出工地运输车辆100%冲净无撒漏，</w:t>
            </w:r>
            <w:r>
              <w:rPr>
                <w:rFonts w:hint="default" w:ascii="Times New Roman" w:hAnsi="Times New Roman" w:eastAsia="宋体" w:cs="Times New Roman"/>
                <w:bCs/>
                <w:iCs/>
                <w:color w:val="auto"/>
                <w:sz w:val="24"/>
                <w:szCs w:val="24"/>
              </w:rPr>
              <w:t>在防火道路和管理用房的车辆出场口处各设置1个0.5m</w:t>
            </w:r>
            <w:r>
              <w:rPr>
                <w:rFonts w:hint="default" w:ascii="Times New Roman" w:hAnsi="Times New Roman" w:eastAsia="宋体" w:cs="Times New Roman"/>
                <w:bCs/>
                <w:iCs/>
                <w:color w:val="auto"/>
                <w:sz w:val="24"/>
                <w:szCs w:val="24"/>
                <w:vertAlign w:val="superscript"/>
              </w:rPr>
              <w:t>3</w:t>
            </w:r>
            <w:r>
              <w:rPr>
                <w:rFonts w:hint="default" w:ascii="Times New Roman" w:hAnsi="Times New Roman" w:eastAsia="宋体" w:cs="Times New Roman"/>
                <w:bCs/>
                <w:iCs/>
                <w:color w:val="auto"/>
                <w:sz w:val="24"/>
                <w:szCs w:val="24"/>
              </w:rPr>
              <w:t>的隔油池和1个沉淀池（20m</w:t>
            </w:r>
            <w:r>
              <w:rPr>
                <w:rFonts w:hint="default" w:ascii="Times New Roman" w:hAnsi="Times New Roman" w:eastAsia="宋体" w:cs="Times New Roman"/>
                <w:bCs/>
                <w:iCs/>
                <w:color w:val="auto"/>
                <w:sz w:val="24"/>
                <w:szCs w:val="24"/>
                <w:vertAlign w:val="superscript"/>
              </w:rPr>
              <w:t>3</w:t>
            </w:r>
            <w:r>
              <w:rPr>
                <w:rFonts w:hint="default" w:ascii="Times New Roman" w:hAnsi="Times New Roman" w:eastAsia="宋体" w:cs="Times New Roman"/>
                <w:bCs/>
                <w:iCs/>
                <w:color w:val="auto"/>
                <w:sz w:val="24"/>
                <w:szCs w:val="24"/>
              </w:rPr>
              <w:t>，砖混结构）</w:t>
            </w:r>
            <w:r>
              <w:rPr>
                <w:rFonts w:hint="default" w:ascii="Times New Roman" w:hAnsi="Times New Roman" w:eastAsia="宋体" w:cs="Times New Roman"/>
                <w:snapToGrid/>
                <w:color w:val="auto"/>
                <w:kern w:val="2"/>
                <w:sz w:val="24"/>
                <w:szCs w:val="24"/>
              </w:rPr>
              <w:t>。由工地驶出车辆必须用苫布对厢体所运渣土遮盖严实，并在洗车台对前后左右轮胎冲洗干净后，方能驶入市政道路。车辆冲洗后的污水经沉淀池处理后回收利用于现场洒水抑尘，并定期对沉淀池进行清掏。自卸车、垃圾运输车等运输车辆不允许超载，选择对周围环境影响较小的运输路线，定时对运输路线进行清扫，运输车辆出场时必须封闭，避免在运输过程中的抛洒现象。</w:t>
            </w:r>
          </w:p>
          <w:p w14:paraId="5B53DFDE">
            <w:pPr>
              <w:widowControl w:val="0"/>
              <w:shd w:val="clear" w:color="auto" w:fill="FFFFFF"/>
              <w:kinsoku/>
              <w:autoSpaceDE/>
              <w:autoSpaceDN/>
              <w:adjustRightInd/>
              <w:snapToGrid/>
              <w:spacing w:line="360" w:lineRule="auto"/>
              <w:ind w:firstLine="480" w:firstLineChars="200"/>
              <w:contextualSpacing/>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（5）裸露场地100%覆盖施工现场裸露场地采用遮阳网进行100%覆盖， 并随时洒水抑尘。工程建设过程中产生的建筑垃圾和生活垃圾，堆放时间不得超过三天，堆放期间应全遮盖，无污染。清运时按批准路线和时限，并采取相应抑尘和密闭措施。</w:t>
            </w:r>
          </w:p>
          <w:p w14:paraId="01410F87">
            <w:pPr>
              <w:pStyle w:val="27"/>
              <w:widowControl w:val="0"/>
              <w:kinsoku/>
              <w:autoSpaceDE/>
              <w:autoSpaceDN/>
              <w:adjustRightInd/>
              <w:snapToGrid/>
              <w:spacing w:line="360" w:lineRule="auto"/>
              <w:ind w:left="0" w:leftChars="0" w:firstLine="482" w:firstLineChars="200"/>
              <w:jc w:val="both"/>
              <w:textAlignment w:val="auto"/>
              <w:outlineLvl w:val="2"/>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rPr>
              <w:t>2、施工机械废气</w:t>
            </w:r>
          </w:p>
          <w:p w14:paraId="77D1CE80">
            <w:pPr>
              <w:widowControl w:val="0"/>
              <w:shd w:val="clear" w:color="auto" w:fill="FFFFFF"/>
              <w:kinsoku/>
              <w:autoSpaceDE/>
              <w:autoSpaceDN/>
              <w:adjustRightInd/>
              <w:snapToGrid/>
              <w:spacing w:line="360" w:lineRule="auto"/>
              <w:ind w:firstLine="480" w:firstLineChars="200"/>
              <w:contextualSpacing/>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施工机械主要有载重车、压路机、起重机、柴油动力机械等燃油机械，它们排放的污染物主要有CO、NOx、THC。由于施工机械多为大型机械，单车排放系数较大，但施工机械数量少且较分散，其污染程度相对较轻。根据类似道路施工现场监测结果，在距离现场50m处CO、NO</w:t>
            </w:r>
            <w:r>
              <w:rPr>
                <w:rFonts w:hint="default" w:ascii="Times New Roman" w:hAnsi="Times New Roman" w:eastAsia="宋体" w:cs="Times New Roman"/>
                <w:snapToGrid/>
                <w:color w:val="auto"/>
                <w:kern w:val="2"/>
                <w:sz w:val="24"/>
                <w:szCs w:val="24"/>
                <w:vertAlign w:val="subscript"/>
              </w:rPr>
              <w:t>2</w:t>
            </w:r>
            <w:r>
              <w:rPr>
                <w:rFonts w:hint="default" w:ascii="Times New Roman" w:hAnsi="Times New Roman" w:eastAsia="宋体" w:cs="Times New Roman"/>
                <w:snapToGrid/>
                <w:color w:val="auto"/>
                <w:kern w:val="2"/>
                <w:sz w:val="24"/>
                <w:szCs w:val="24"/>
              </w:rPr>
              <w:t>1h平均浓度分别为 0.2mg/m</w:t>
            </w:r>
            <w:r>
              <w:rPr>
                <w:rFonts w:hint="default" w:ascii="Times New Roman" w:hAnsi="Times New Roman" w:eastAsia="宋体" w:cs="Times New Roman"/>
                <w:snapToGrid/>
                <w:color w:val="auto"/>
                <w:kern w:val="2"/>
                <w:sz w:val="24"/>
                <w:szCs w:val="24"/>
                <w:vertAlign w:val="superscript"/>
              </w:rPr>
              <w:t>3</w:t>
            </w:r>
            <w:r>
              <w:rPr>
                <w:rFonts w:hint="default" w:ascii="Times New Roman" w:hAnsi="Times New Roman" w:eastAsia="宋体" w:cs="Times New Roman"/>
                <w:snapToGrid/>
                <w:color w:val="auto"/>
                <w:kern w:val="2"/>
                <w:sz w:val="24"/>
                <w:szCs w:val="24"/>
              </w:rPr>
              <w:t>和0.13mg/m</w:t>
            </w:r>
            <w:r>
              <w:rPr>
                <w:rFonts w:hint="default" w:ascii="Times New Roman" w:hAnsi="Times New Roman" w:eastAsia="宋体" w:cs="Times New Roman"/>
                <w:snapToGrid/>
                <w:color w:val="auto"/>
                <w:kern w:val="2"/>
                <w:sz w:val="24"/>
                <w:szCs w:val="24"/>
                <w:vertAlign w:val="superscript"/>
              </w:rPr>
              <w:t>3</w:t>
            </w:r>
            <w:r>
              <w:rPr>
                <w:rFonts w:hint="default" w:ascii="Times New Roman" w:hAnsi="Times New Roman" w:eastAsia="宋体" w:cs="Times New Roman"/>
                <w:snapToGrid/>
                <w:color w:val="auto"/>
                <w:kern w:val="2"/>
                <w:sz w:val="24"/>
                <w:szCs w:val="24"/>
              </w:rPr>
              <w:t>；日平均浓度分别为0.13mg/m</w:t>
            </w:r>
            <w:r>
              <w:rPr>
                <w:rFonts w:hint="default" w:ascii="Times New Roman" w:hAnsi="Times New Roman" w:eastAsia="宋体" w:cs="Times New Roman"/>
                <w:snapToGrid/>
                <w:color w:val="auto"/>
                <w:kern w:val="2"/>
                <w:sz w:val="24"/>
                <w:szCs w:val="24"/>
                <w:vertAlign w:val="superscript"/>
              </w:rPr>
              <w:t>3</w:t>
            </w:r>
            <w:r>
              <w:rPr>
                <w:rFonts w:hint="default" w:ascii="Times New Roman" w:hAnsi="Times New Roman" w:eastAsia="宋体" w:cs="Times New Roman"/>
                <w:snapToGrid/>
                <w:color w:val="auto"/>
                <w:kern w:val="2"/>
                <w:sz w:val="24"/>
                <w:szCs w:val="24"/>
              </w:rPr>
              <w:t>和0.062mg/m</w:t>
            </w:r>
            <w:r>
              <w:rPr>
                <w:rFonts w:hint="default" w:ascii="Times New Roman" w:hAnsi="Times New Roman" w:eastAsia="宋体" w:cs="Times New Roman"/>
                <w:snapToGrid/>
                <w:color w:val="auto"/>
                <w:kern w:val="2"/>
                <w:sz w:val="24"/>
                <w:szCs w:val="24"/>
                <w:vertAlign w:val="superscript"/>
              </w:rPr>
              <w:t>3</w:t>
            </w:r>
            <w:r>
              <w:rPr>
                <w:rFonts w:hint="default" w:ascii="Times New Roman" w:hAnsi="Times New Roman" w:eastAsia="宋体" w:cs="Times New Roman"/>
                <w:snapToGrid/>
                <w:color w:val="auto"/>
                <w:kern w:val="2"/>
                <w:sz w:val="24"/>
                <w:szCs w:val="24"/>
              </w:rPr>
              <w:t>，均能满足《环境空气质量标准》（GB3095-2012）二级标准的要求。</w:t>
            </w:r>
          </w:p>
          <w:p w14:paraId="5E745CD2">
            <w:pPr>
              <w:pStyle w:val="25"/>
              <w:widowControl w:val="0"/>
              <w:kinsoku/>
              <w:autoSpaceDE/>
              <w:autoSpaceDN/>
              <w:adjustRightInd/>
              <w:snapToGrid/>
              <w:spacing w:after="0" w:line="360" w:lineRule="auto"/>
              <w:ind w:left="0" w:leftChars="0" w:firstLine="482" w:firstLineChars="200"/>
              <w:jc w:val="both"/>
              <w:textAlignment w:val="auto"/>
              <w:rPr>
                <w:rFonts w:hint="default" w:ascii="Times New Roman" w:hAnsi="Times New Roman" w:eastAsia="宋体" w:cs="Times New Roman"/>
                <w:snapToGrid/>
                <w:color w:val="auto"/>
                <w:kern w:val="2"/>
                <w:sz w:val="24"/>
              </w:rPr>
            </w:pPr>
            <w:r>
              <w:rPr>
                <w:rFonts w:hint="default" w:ascii="Times New Roman" w:hAnsi="Times New Roman" w:eastAsia="宋体" w:cs="Times New Roman"/>
                <w:b/>
                <w:color w:val="auto"/>
                <w:sz w:val="24"/>
              </w:rPr>
              <w:t>3、</w:t>
            </w:r>
            <w:r>
              <w:rPr>
                <w:rFonts w:hint="default" w:ascii="Times New Roman" w:hAnsi="Times New Roman" w:eastAsia="宋体" w:cs="Times New Roman"/>
                <w:b/>
                <w:color w:val="auto"/>
                <w:sz w:val="24"/>
                <w:szCs w:val="20"/>
              </w:rPr>
              <w:t>沥青烟气</w:t>
            </w:r>
          </w:p>
          <w:p w14:paraId="6BAA2A01">
            <w:pPr>
              <w:widowControl w:val="0"/>
              <w:shd w:val="clear" w:color="auto" w:fill="FFFFFF"/>
              <w:kinsoku/>
              <w:autoSpaceDE/>
              <w:autoSpaceDN/>
              <w:adjustRightInd/>
              <w:snapToGrid/>
              <w:spacing w:line="360" w:lineRule="auto"/>
              <w:ind w:firstLine="480" w:firstLineChars="200"/>
              <w:contextualSpacing/>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本项目采用商品沥青，工程使用的沥青均为外购，对沥青的熬制在沥青储运站完成，用保温罐运至施工工地，不使用未熬制的生沥青，不设沥青搅拌场和堆置场。因此，只在道路铺设过程中产生微量的沥青烟，沥青烟气中主要有THC、PM10和苯并[a]芘等污染物，会对人体健康产生影响。沥青烟气的产生绝大部分在沥青熔融过程。沥青混合料摊铺温度控制在135~165℃，对施工现场的影响只有沥青冷却固化过程中挥发的少量烟气。由于摊铺工作处于室外，施工现场空旷，扩散条件好，类比同类市政道路项目，沥青烟不会对周围环境空气质量产生明显影响。</w:t>
            </w:r>
          </w:p>
          <w:p w14:paraId="087DE149">
            <w:pPr>
              <w:widowControl w:val="0"/>
              <w:shd w:val="clear" w:color="auto" w:fill="FFFFFF"/>
              <w:kinsoku/>
              <w:autoSpaceDE/>
              <w:autoSpaceDN/>
              <w:adjustRightInd/>
              <w:snapToGrid/>
              <w:spacing w:line="360" w:lineRule="auto"/>
              <w:ind w:firstLine="480" w:firstLineChars="200"/>
              <w:contextualSpacing/>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沥青烟气治理措施：</w:t>
            </w:r>
          </w:p>
          <w:p w14:paraId="524505EE">
            <w:pPr>
              <w:widowControl w:val="0"/>
              <w:shd w:val="clear" w:color="auto" w:fill="FFFFFF"/>
              <w:kinsoku/>
              <w:autoSpaceDE/>
              <w:autoSpaceDN/>
              <w:adjustRightInd/>
              <w:snapToGrid/>
              <w:spacing w:line="360" w:lineRule="auto"/>
              <w:ind w:firstLine="480" w:firstLineChars="200"/>
              <w:contextualSpacing/>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A、沥青混合料采用较大吨位的自卸车运输。运料车应覆盖蓬布以保温、防雨、防污染。</w:t>
            </w:r>
          </w:p>
          <w:p w14:paraId="27E1AE52">
            <w:pPr>
              <w:widowControl w:val="0"/>
              <w:shd w:val="clear" w:color="auto" w:fill="FFFFFF"/>
              <w:kinsoku/>
              <w:autoSpaceDE/>
              <w:autoSpaceDN/>
              <w:adjustRightInd/>
              <w:snapToGrid/>
              <w:spacing w:line="360" w:lineRule="auto"/>
              <w:ind w:firstLine="480" w:firstLineChars="200"/>
              <w:contextualSpacing/>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B、沥青路面摊铺时，应确保设备完好，并定期检修设备，尽可能缩短时间，减轻对周围人群及施工人员的影响。</w:t>
            </w:r>
          </w:p>
          <w:p w14:paraId="68491008">
            <w:pPr>
              <w:widowControl w:val="0"/>
              <w:shd w:val="clear" w:color="auto" w:fill="FFFFFF"/>
              <w:kinsoku/>
              <w:autoSpaceDE/>
              <w:autoSpaceDN/>
              <w:adjustRightInd/>
              <w:snapToGrid/>
              <w:spacing w:line="360" w:lineRule="auto"/>
              <w:ind w:firstLine="480" w:firstLineChars="200"/>
              <w:contextualSpacing/>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C、浇洒透层沥青后，严禁车辆、行人通行。</w:t>
            </w:r>
          </w:p>
          <w:p w14:paraId="0E90750F">
            <w:pPr>
              <w:widowControl w:val="0"/>
              <w:shd w:val="clear" w:color="auto" w:fill="FFFFFF"/>
              <w:kinsoku/>
              <w:autoSpaceDE/>
              <w:autoSpaceDN/>
              <w:adjustRightInd/>
              <w:snapToGrid/>
              <w:spacing w:line="360" w:lineRule="auto"/>
              <w:ind w:firstLine="480" w:firstLineChars="200"/>
              <w:contextualSpacing/>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D、在铺筑沥青砼面层前，当局部地方有多余的透层沥青未渗入基层时，应清除。</w:t>
            </w:r>
          </w:p>
          <w:p w14:paraId="0E100499">
            <w:pPr>
              <w:widowControl w:val="0"/>
              <w:shd w:val="clear" w:color="auto" w:fill="FFFFFF"/>
              <w:kinsoku/>
              <w:autoSpaceDE/>
              <w:autoSpaceDN/>
              <w:adjustRightInd/>
              <w:snapToGrid/>
              <w:spacing w:line="360" w:lineRule="auto"/>
              <w:ind w:firstLine="480" w:firstLineChars="200"/>
              <w:contextualSpacing/>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E、浇洒透层沥青或粘层油前，对侧平石及其他与新铺沥青砼接触的构筑物覆盖塑料薄膜防止污染。</w:t>
            </w:r>
          </w:p>
          <w:p w14:paraId="013A7D7E">
            <w:pPr>
              <w:pStyle w:val="27"/>
              <w:widowControl w:val="0"/>
              <w:kinsoku/>
              <w:autoSpaceDE/>
              <w:autoSpaceDN/>
              <w:adjustRightInd/>
              <w:snapToGrid/>
              <w:spacing w:line="360" w:lineRule="auto"/>
              <w:ind w:left="0" w:leftChars="0" w:firstLine="482" w:firstLineChars="200"/>
              <w:jc w:val="both"/>
              <w:textAlignment w:val="auto"/>
              <w:outlineLvl w:val="2"/>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lang w:val="en-US" w:eastAsia="zh-CN"/>
              </w:rPr>
              <w:t>4、</w:t>
            </w:r>
            <w:r>
              <w:rPr>
                <w:rFonts w:hint="default" w:ascii="Times New Roman" w:hAnsi="Times New Roman" w:eastAsia="宋体" w:cs="Times New Roman"/>
                <w:b/>
                <w:color w:val="auto"/>
                <w:sz w:val="24"/>
              </w:rPr>
              <w:t>农药喷洒异味防治措施</w:t>
            </w:r>
          </w:p>
          <w:p w14:paraId="2502BD6E">
            <w:pPr>
              <w:widowControl w:val="0"/>
              <w:shd w:val="clear" w:color="auto" w:fill="FFFFFF"/>
              <w:kinsoku/>
              <w:autoSpaceDE/>
              <w:autoSpaceDN/>
              <w:adjustRightInd/>
              <w:snapToGrid/>
              <w:spacing w:line="360" w:lineRule="auto"/>
              <w:ind w:firstLine="480" w:firstLineChars="200"/>
              <w:contextualSpacing/>
              <w:jc w:val="both"/>
              <w:textAlignment w:val="auto"/>
              <w:rPr>
                <w:rFonts w:hint="default" w:ascii="Times New Roman" w:hAnsi="Times New Roman" w:eastAsia="宋体" w:cs="Times New Roman"/>
                <w:snapToGrid/>
                <w:color w:val="auto"/>
                <w:kern w:val="2"/>
                <w:sz w:val="24"/>
                <w:szCs w:val="24"/>
              </w:rPr>
            </w:pPr>
            <w:r>
              <w:rPr>
                <w:rFonts w:hint="default" w:ascii="Times New Roman" w:hAnsi="Times New Roman" w:eastAsia="宋体" w:cs="Times New Roman"/>
                <w:snapToGrid/>
                <w:color w:val="auto"/>
                <w:kern w:val="2"/>
                <w:sz w:val="24"/>
                <w:szCs w:val="24"/>
              </w:rPr>
              <w:t>为降低项目造林区域抚育管护阶段病虫害防治过程中农药喷洒异味，本次评价要求建设单位优先选择生物技术进行病虫害防治，如喷洒农药则应选取低毒低残留类型的农药，从而防治农药喷洒过程中形成的异味。</w:t>
            </w:r>
          </w:p>
          <w:p w14:paraId="00B716ED">
            <w:pPr>
              <w:widowControl w:val="0"/>
              <w:shd w:val="clear" w:color="auto" w:fill="FFFFFF"/>
              <w:kinsoku/>
              <w:autoSpaceDE/>
              <w:autoSpaceDN/>
              <w:adjustRightInd/>
              <w:snapToGrid/>
              <w:spacing w:line="360" w:lineRule="auto"/>
              <w:ind w:firstLine="482" w:firstLineChars="200"/>
              <w:contextualSpacing/>
              <w:jc w:val="both"/>
              <w:textAlignment w:val="auto"/>
              <w:rPr>
                <w:rFonts w:hint="default" w:ascii="Times New Roman" w:hAnsi="Times New Roman" w:eastAsia="宋体" w:cs="Times New Roman"/>
                <w:b/>
                <w:bCs/>
                <w:snapToGrid/>
                <w:color w:val="auto"/>
                <w:kern w:val="2"/>
                <w:sz w:val="24"/>
                <w:szCs w:val="24"/>
              </w:rPr>
            </w:pPr>
            <w:r>
              <w:rPr>
                <w:rFonts w:hint="default" w:ascii="Times New Roman" w:hAnsi="Times New Roman" w:eastAsia="宋体" w:cs="Times New Roman"/>
                <w:b/>
                <w:bCs/>
                <w:snapToGrid/>
                <w:color w:val="auto"/>
                <w:kern w:val="2"/>
                <w:sz w:val="24"/>
                <w:szCs w:val="24"/>
              </w:rPr>
              <w:t>总之，只要在施工过程中采取以上有效防治措施，将不会对空气造成显著的环境影响，且其影响具有局部和间断短时性特点，随着施工的结束，其影响亦将随之消除。</w:t>
            </w:r>
          </w:p>
          <w:p w14:paraId="20AC0211">
            <w:pPr>
              <w:pStyle w:val="27"/>
              <w:widowControl w:val="0"/>
              <w:kinsoku/>
              <w:autoSpaceDE/>
              <w:autoSpaceDN/>
              <w:adjustRightInd/>
              <w:snapToGrid/>
              <w:spacing w:line="360" w:lineRule="auto"/>
              <w:ind w:left="0" w:leftChars="0" w:firstLine="482" w:firstLineChars="200"/>
              <w:jc w:val="both"/>
              <w:textAlignment w:val="auto"/>
              <w:outlineLvl w:val="2"/>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rPr>
              <w:t>（三）施工期废水影响分析</w:t>
            </w:r>
          </w:p>
          <w:p w14:paraId="7DB4E948">
            <w:pPr>
              <w:spacing w:line="360" w:lineRule="auto"/>
              <w:ind w:firstLine="482" w:firstLineChars="200"/>
              <w:rPr>
                <w:rFonts w:hint="default" w:ascii="Times New Roman" w:hAnsi="Times New Roman" w:eastAsia="宋体" w:cs="Times New Roman"/>
                <w:b/>
                <w:color w:val="auto"/>
                <w:sz w:val="24"/>
                <w:szCs w:val="20"/>
              </w:rPr>
            </w:pPr>
            <w:r>
              <w:rPr>
                <w:rFonts w:hint="default" w:ascii="Times New Roman" w:hAnsi="Times New Roman" w:eastAsia="宋体" w:cs="Times New Roman"/>
                <w:b/>
                <w:color w:val="auto"/>
                <w:sz w:val="24"/>
                <w:szCs w:val="20"/>
              </w:rPr>
              <w:t>1、施工废水退水的影响分析</w:t>
            </w:r>
          </w:p>
          <w:p w14:paraId="02ACCD22">
            <w:pPr>
              <w:spacing w:line="360" w:lineRule="auto"/>
              <w:ind w:firstLine="480" w:firstLineChars="200"/>
              <w:jc w:val="both"/>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施工期间的设备冲洗废水经项目区设置的临时沉淀池沉淀后，回用于场地防尘洒水，不外排，施工期间设置的临时沉淀池，就近设置在施工区低洼处，临时沉淀池采用便携式的PVC防水隔层，后续可循环使用。</w:t>
            </w:r>
          </w:p>
          <w:p w14:paraId="563195E5">
            <w:pPr>
              <w:spacing w:line="360" w:lineRule="auto"/>
              <w:ind w:firstLine="480" w:firstLineChars="200"/>
              <w:jc w:val="both"/>
              <w:rPr>
                <w:rFonts w:hint="default" w:ascii="Times New Roman" w:hAnsi="Times New Roman" w:eastAsia="宋体" w:cs="Times New Roman"/>
                <w:color w:val="auto"/>
                <w:sz w:val="24"/>
                <w:szCs w:val="24"/>
                <w:lang w:eastAsia="zh-CN" w:bidi="ar"/>
              </w:rPr>
            </w:pPr>
            <w:r>
              <w:rPr>
                <w:rFonts w:hint="default" w:ascii="Times New Roman" w:hAnsi="Times New Roman" w:eastAsia="宋体" w:cs="Times New Roman"/>
                <w:color w:val="auto"/>
                <w:sz w:val="24"/>
                <w:szCs w:val="24"/>
                <w:lang w:bidi="ar"/>
              </w:rPr>
              <w:t>项目区灌溉</w:t>
            </w:r>
            <w:r>
              <w:rPr>
                <w:rFonts w:hint="default" w:ascii="Times New Roman" w:hAnsi="Times New Roman" w:eastAsia="宋体" w:cs="Times New Roman"/>
                <w:color w:val="auto"/>
                <w:sz w:val="24"/>
                <w:szCs w:val="24"/>
                <w:lang w:val="en-US" w:eastAsia="zh-CN" w:bidi="ar"/>
              </w:rPr>
              <w:t>用水严格按照取水设计要求及现场实际情况进行灌溉，防治不合理的灌溉排水方式会导致土壤沙化和水土流失，‌大量的泥沙进入河流会堵塞河道，‌造成洪水和生态系统破坏，防止农药和化肥，‌这些化学物质通过灌溉水进入地下水和河流，‌对水生生物和生态系统造成污染。</w:t>
            </w:r>
          </w:p>
          <w:p w14:paraId="1E1F19B7">
            <w:pPr>
              <w:spacing w:line="360" w:lineRule="auto"/>
              <w:ind w:firstLine="482" w:firstLineChars="200"/>
              <w:rPr>
                <w:rFonts w:hint="default" w:ascii="Times New Roman" w:hAnsi="Times New Roman" w:eastAsia="宋体" w:cs="Times New Roman"/>
                <w:b/>
                <w:color w:val="auto"/>
                <w:sz w:val="24"/>
                <w:szCs w:val="20"/>
              </w:rPr>
            </w:pPr>
            <w:r>
              <w:rPr>
                <w:rFonts w:hint="default" w:ascii="Times New Roman" w:hAnsi="Times New Roman" w:eastAsia="宋体" w:cs="Times New Roman"/>
                <w:b/>
                <w:color w:val="auto"/>
                <w:sz w:val="24"/>
                <w:szCs w:val="20"/>
              </w:rPr>
              <w:t>2、生活污水</w:t>
            </w:r>
          </w:p>
          <w:p w14:paraId="684F20A9">
            <w:pPr>
              <w:spacing w:line="360" w:lineRule="auto"/>
              <w:ind w:firstLine="480" w:firstLineChars="200"/>
              <w:jc w:val="both"/>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根据建设单位提供资料，项目施工期平均民工人数可达60人左右。施工期间全部回家解决食宿，生活污水依托村民房屋自建旱厕处理。</w:t>
            </w:r>
          </w:p>
          <w:p w14:paraId="2B52EC71">
            <w:pPr>
              <w:spacing w:line="360" w:lineRule="auto"/>
              <w:ind w:firstLine="480" w:firstLineChars="200"/>
              <w:jc w:val="both"/>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建设单位应禁止任何废水未经处理随意排放至地表水体，同时在施工工地周围设置排水明沟。建设单位还应做好建筑材料和建筑废料的管理，同时采取一定的防止径流冲刷和风吹起尘的措施；此外，在施工过程中应加强对机械设备的检修，以防止设备漏油现象发生。</w:t>
            </w:r>
          </w:p>
          <w:p w14:paraId="14229434">
            <w:pPr>
              <w:spacing w:line="360" w:lineRule="auto"/>
              <w:ind w:firstLine="482" w:firstLineChars="200"/>
              <w:jc w:val="both"/>
              <w:rPr>
                <w:rFonts w:hint="default" w:ascii="Times New Roman" w:hAnsi="Times New Roman" w:eastAsia="宋体" w:cs="Times New Roman"/>
                <w:b/>
                <w:bCs/>
                <w:color w:val="auto"/>
                <w:sz w:val="24"/>
                <w:szCs w:val="24"/>
                <w:lang w:bidi="ar"/>
              </w:rPr>
            </w:pPr>
            <w:r>
              <w:rPr>
                <w:rFonts w:hint="default" w:ascii="Times New Roman" w:hAnsi="Times New Roman" w:eastAsia="宋体" w:cs="Times New Roman"/>
                <w:b/>
                <w:bCs/>
                <w:color w:val="auto"/>
                <w:sz w:val="24"/>
                <w:szCs w:val="24"/>
                <w:lang w:bidi="ar"/>
              </w:rPr>
              <w:t>通过采取以上预防治理措施，拟建项目施工期废水不会对水体产生较大的负面影响，治理措施有效可行。</w:t>
            </w:r>
          </w:p>
          <w:p w14:paraId="1A3B5373">
            <w:pPr>
              <w:spacing w:line="360" w:lineRule="auto"/>
              <w:ind w:firstLine="482" w:firstLineChars="200"/>
              <w:rPr>
                <w:rFonts w:hint="default" w:ascii="Times New Roman" w:hAnsi="Times New Roman" w:eastAsia="宋体" w:cs="Times New Roman"/>
                <w:b/>
                <w:bCs/>
                <w:iCs/>
                <w:color w:val="auto"/>
                <w:sz w:val="24"/>
                <w:szCs w:val="24"/>
              </w:rPr>
            </w:pPr>
          </w:p>
          <w:p w14:paraId="6D1C7616">
            <w:pPr>
              <w:pStyle w:val="27"/>
              <w:widowControl w:val="0"/>
              <w:kinsoku/>
              <w:autoSpaceDE/>
              <w:autoSpaceDN/>
              <w:adjustRightInd/>
              <w:snapToGrid/>
              <w:spacing w:line="360" w:lineRule="auto"/>
              <w:ind w:left="0" w:leftChars="0" w:firstLine="482" w:firstLineChars="200"/>
              <w:jc w:val="both"/>
              <w:textAlignment w:val="auto"/>
              <w:outlineLvl w:val="2"/>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rPr>
              <w:t>（四）施工期噪声影响分析</w:t>
            </w:r>
          </w:p>
          <w:p w14:paraId="53209972">
            <w:pPr>
              <w:spacing w:line="360" w:lineRule="auto"/>
              <w:ind w:firstLine="482" w:firstLineChars="200"/>
              <w:rPr>
                <w:rFonts w:hint="default" w:ascii="Times New Roman" w:hAnsi="Times New Roman" w:eastAsia="宋体" w:cs="Times New Roman"/>
                <w:b/>
                <w:color w:val="auto"/>
                <w:sz w:val="24"/>
                <w:szCs w:val="20"/>
              </w:rPr>
            </w:pPr>
            <w:r>
              <w:rPr>
                <w:rFonts w:hint="default" w:ascii="Times New Roman" w:hAnsi="Times New Roman" w:eastAsia="宋体" w:cs="Times New Roman"/>
                <w:b/>
                <w:color w:val="auto"/>
                <w:sz w:val="24"/>
                <w:szCs w:val="20"/>
              </w:rPr>
              <w:t>1、施工机械噪声影响分析</w:t>
            </w:r>
          </w:p>
          <w:p w14:paraId="35EE9C59">
            <w:pPr>
              <w:spacing w:line="360" w:lineRule="auto"/>
              <w:ind w:firstLine="480" w:firstLineChars="200"/>
              <w:jc w:val="both"/>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本项目施工阶段的主要噪声来自于施工过程中施工机械和运输车辆的噪声，具有高噪声、无规律的特点，它对外环境的影响是暂时的，随施工结束而消失。但由于在施工过程中采用的机械设备噪声值很高，如不加以控制，会对附近的居民生活产生较大的影响。</w:t>
            </w:r>
          </w:p>
          <w:p w14:paraId="42687237">
            <w:pPr>
              <w:spacing w:line="360" w:lineRule="auto"/>
              <w:ind w:firstLine="480" w:firstLineChars="200"/>
              <w:jc w:val="both"/>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为此，本次评价提出以下环保措施。</w:t>
            </w:r>
          </w:p>
          <w:p w14:paraId="0028CD3A">
            <w:pPr>
              <w:spacing w:line="360" w:lineRule="auto"/>
              <w:ind w:firstLine="480" w:firstLineChars="200"/>
              <w:jc w:val="both"/>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fldChar w:fldCharType="begin"/>
            </w:r>
            <w:r>
              <w:rPr>
                <w:rFonts w:hint="default" w:ascii="Times New Roman" w:hAnsi="Times New Roman" w:eastAsia="宋体" w:cs="Times New Roman"/>
                <w:color w:val="auto"/>
                <w:sz w:val="24"/>
                <w:szCs w:val="24"/>
                <w:lang w:bidi="ar"/>
              </w:rPr>
              <w:instrText xml:space="preserve"> = 1 \* GB3 \* MERGEFORMAT </w:instrText>
            </w:r>
            <w:r>
              <w:rPr>
                <w:rFonts w:hint="default" w:ascii="Times New Roman" w:hAnsi="Times New Roman" w:eastAsia="宋体" w:cs="Times New Roman"/>
                <w:color w:val="auto"/>
                <w:sz w:val="24"/>
                <w:szCs w:val="24"/>
                <w:lang w:bidi="ar"/>
              </w:rPr>
              <w:fldChar w:fldCharType="separate"/>
            </w:r>
            <w:r>
              <w:rPr>
                <w:rFonts w:hint="default" w:ascii="Times New Roman" w:hAnsi="Times New Roman" w:eastAsia="宋体" w:cs="Times New Roman"/>
                <w:color w:val="auto"/>
                <w:sz w:val="24"/>
                <w:szCs w:val="24"/>
                <w:lang w:bidi="ar"/>
              </w:rPr>
              <w:t>①</w:t>
            </w:r>
            <w:r>
              <w:rPr>
                <w:rFonts w:hint="default" w:ascii="Times New Roman" w:hAnsi="Times New Roman" w:eastAsia="宋体" w:cs="Times New Roman"/>
                <w:color w:val="auto"/>
                <w:sz w:val="24"/>
                <w:szCs w:val="24"/>
                <w:lang w:bidi="ar"/>
              </w:rPr>
              <w:fldChar w:fldCharType="end"/>
            </w:r>
            <w:r>
              <w:rPr>
                <w:rFonts w:hint="default" w:ascii="Times New Roman" w:hAnsi="Times New Roman" w:eastAsia="宋体" w:cs="Times New Roman"/>
                <w:color w:val="auto"/>
                <w:sz w:val="24"/>
                <w:szCs w:val="24"/>
                <w:lang w:bidi="ar"/>
              </w:rPr>
              <w:t>合理安排施工计划和施工机械设备组合以及施工时间，禁止在中午（12:00-14:00）和夜间（22:00-6:00）施工，避免在同一时间集中使用大量的动力机械设备。严格执行《建筑施工场界环境噪声排放标准》（GB12523-2011）的要求，在施工过程中，尽量减少运行动力机械设备的数量，尽可能使动力机械设备比较均匀地使用。</w:t>
            </w:r>
          </w:p>
          <w:p w14:paraId="245CE92C">
            <w:pPr>
              <w:spacing w:line="360" w:lineRule="auto"/>
              <w:ind w:firstLine="480" w:firstLineChars="200"/>
              <w:jc w:val="both"/>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fldChar w:fldCharType="begin"/>
            </w:r>
            <w:r>
              <w:rPr>
                <w:rFonts w:hint="default" w:ascii="Times New Roman" w:hAnsi="Times New Roman" w:eastAsia="宋体" w:cs="Times New Roman"/>
                <w:color w:val="auto"/>
                <w:sz w:val="24"/>
                <w:szCs w:val="24"/>
                <w:lang w:bidi="ar"/>
              </w:rPr>
              <w:instrText xml:space="preserve"> = 2 \* GB3 \* MERGEFORMAT </w:instrText>
            </w:r>
            <w:r>
              <w:rPr>
                <w:rFonts w:hint="default" w:ascii="Times New Roman" w:hAnsi="Times New Roman" w:eastAsia="宋体" w:cs="Times New Roman"/>
                <w:color w:val="auto"/>
                <w:sz w:val="24"/>
                <w:szCs w:val="24"/>
                <w:lang w:bidi="ar"/>
              </w:rPr>
              <w:fldChar w:fldCharType="separate"/>
            </w:r>
            <w:r>
              <w:rPr>
                <w:rFonts w:hint="default" w:ascii="Times New Roman" w:hAnsi="Times New Roman" w:eastAsia="宋体" w:cs="Times New Roman"/>
                <w:color w:val="auto"/>
                <w:sz w:val="24"/>
                <w:szCs w:val="24"/>
                <w:lang w:bidi="ar"/>
              </w:rPr>
              <w:t>②</w:t>
            </w:r>
            <w:r>
              <w:rPr>
                <w:rFonts w:hint="default" w:ascii="Times New Roman" w:hAnsi="Times New Roman" w:eastAsia="宋体" w:cs="Times New Roman"/>
                <w:color w:val="auto"/>
                <w:sz w:val="24"/>
                <w:szCs w:val="24"/>
                <w:lang w:bidi="ar"/>
              </w:rPr>
              <w:fldChar w:fldCharType="end"/>
            </w:r>
            <w:r>
              <w:rPr>
                <w:rFonts w:hint="default" w:ascii="Times New Roman" w:hAnsi="Times New Roman" w:eastAsia="宋体" w:cs="Times New Roman"/>
                <w:color w:val="auto"/>
                <w:sz w:val="24"/>
                <w:szCs w:val="24"/>
                <w:lang w:bidi="ar"/>
              </w:rPr>
              <w:t>施工进行合理布局，尽量使高噪声的机械设备远离周围敏感点较近施工段布设，本项目在靠近声环境敏感点施工时，设置临时移动隔声屏，减小对周边敏感点的影响。</w:t>
            </w:r>
          </w:p>
          <w:p w14:paraId="58E8BF6F">
            <w:pPr>
              <w:spacing w:line="360" w:lineRule="auto"/>
              <w:ind w:firstLine="480" w:firstLineChars="200"/>
              <w:jc w:val="both"/>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fldChar w:fldCharType="begin"/>
            </w:r>
            <w:r>
              <w:rPr>
                <w:rFonts w:hint="default" w:ascii="Times New Roman" w:hAnsi="Times New Roman" w:eastAsia="宋体" w:cs="Times New Roman"/>
                <w:color w:val="auto"/>
                <w:sz w:val="24"/>
                <w:szCs w:val="24"/>
                <w:lang w:bidi="ar"/>
              </w:rPr>
              <w:instrText xml:space="preserve"> = 3 \* GB3 \* MERGEFORMAT </w:instrText>
            </w:r>
            <w:r>
              <w:rPr>
                <w:rFonts w:hint="default" w:ascii="Times New Roman" w:hAnsi="Times New Roman" w:eastAsia="宋体" w:cs="Times New Roman"/>
                <w:color w:val="auto"/>
                <w:sz w:val="24"/>
                <w:szCs w:val="24"/>
                <w:lang w:bidi="ar"/>
              </w:rPr>
              <w:fldChar w:fldCharType="separate"/>
            </w:r>
            <w:r>
              <w:rPr>
                <w:rFonts w:hint="default" w:ascii="Times New Roman" w:hAnsi="Times New Roman" w:eastAsia="宋体" w:cs="Times New Roman"/>
                <w:color w:val="auto"/>
                <w:sz w:val="24"/>
                <w:szCs w:val="24"/>
                <w:lang w:bidi="ar"/>
              </w:rPr>
              <w:t>③</w:t>
            </w:r>
            <w:r>
              <w:rPr>
                <w:rFonts w:hint="default" w:ascii="Times New Roman" w:hAnsi="Times New Roman" w:eastAsia="宋体" w:cs="Times New Roman"/>
                <w:color w:val="auto"/>
                <w:sz w:val="24"/>
                <w:szCs w:val="24"/>
                <w:lang w:bidi="ar"/>
              </w:rPr>
              <w:fldChar w:fldCharType="end"/>
            </w:r>
            <w:r>
              <w:rPr>
                <w:rFonts w:hint="default" w:ascii="Times New Roman" w:hAnsi="Times New Roman" w:eastAsia="宋体" w:cs="Times New Roman"/>
                <w:color w:val="auto"/>
                <w:sz w:val="24"/>
                <w:szCs w:val="24"/>
                <w:lang w:bidi="ar"/>
              </w:rPr>
              <w:t>施工前对施工噪声影响范围内的居民等声环境敏感对象进行宣传活动，使广大群众理解和支持工程建设。</w:t>
            </w:r>
          </w:p>
          <w:p w14:paraId="4E8F91CC">
            <w:pPr>
              <w:spacing w:line="360" w:lineRule="auto"/>
              <w:ind w:firstLine="480" w:firstLineChars="200"/>
              <w:jc w:val="both"/>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fldChar w:fldCharType="begin"/>
            </w:r>
            <w:r>
              <w:rPr>
                <w:rFonts w:hint="default" w:ascii="Times New Roman" w:hAnsi="Times New Roman" w:eastAsia="宋体" w:cs="Times New Roman"/>
                <w:color w:val="auto"/>
                <w:sz w:val="24"/>
                <w:szCs w:val="24"/>
                <w:lang w:bidi="ar"/>
              </w:rPr>
              <w:instrText xml:space="preserve"> = 4 \* GB3 \* MERGEFORMAT </w:instrText>
            </w:r>
            <w:r>
              <w:rPr>
                <w:rFonts w:hint="default" w:ascii="Times New Roman" w:hAnsi="Times New Roman" w:eastAsia="宋体" w:cs="Times New Roman"/>
                <w:color w:val="auto"/>
                <w:sz w:val="24"/>
                <w:szCs w:val="24"/>
                <w:lang w:bidi="ar"/>
              </w:rPr>
              <w:fldChar w:fldCharType="separate"/>
            </w:r>
            <w:r>
              <w:rPr>
                <w:rFonts w:hint="default" w:ascii="Times New Roman" w:hAnsi="Times New Roman" w:eastAsia="宋体" w:cs="Times New Roman"/>
                <w:color w:val="auto"/>
                <w:sz w:val="24"/>
                <w:szCs w:val="24"/>
                <w:lang w:bidi="ar"/>
              </w:rPr>
              <w:t>④</w:t>
            </w:r>
            <w:r>
              <w:rPr>
                <w:rFonts w:hint="default" w:ascii="Times New Roman" w:hAnsi="Times New Roman" w:eastAsia="宋体" w:cs="Times New Roman"/>
                <w:color w:val="auto"/>
                <w:sz w:val="24"/>
                <w:szCs w:val="24"/>
                <w:lang w:bidi="ar"/>
              </w:rPr>
              <w:fldChar w:fldCharType="end"/>
            </w:r>
            <w:r>
              <w:rPr>
                <w:rFonts w:hint="default" w:ascii="Times New Roman" w:hAnsi="Times New Roman" w:eastAsia="宋体" w:cs="Times New Roman"/>
                <w:color w:val="auto"/>
                <w:sz w:val="24"/>
                <w:szCs w:val="24"/>
                <w:lang w:bidi="ar"/>
              </w:rPr>
              <w:t>施工作业带靠近敏感点一侧架设临时围挡，施工工区四周架设围挡，可减少施工噪声对周围敏感点的影响。</w:t>
            </w:r>
          </w:p>
          <w:p w14:paraId="547E9A2E">
            <w:pPr>
              <w:spacing w:line="360" w:lineRule="auto"/>
              <w:ind w:firstLine="480" w:firstLineChars="200"/>
              <w:jc w:val="both"/>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fldChar w:fldCharType="begin"/>
            </w:r>
            <w:r>
              <w:rPr>
                <w:rFonts w:hint="default" w:ascii="Times New Roman" w:hAnsi="Times New Roman" w:eastAsia="宋体" w:cs="Times New Roman"/>
                <w:color w:val="auto"/>
                <w:sz w:val="24"/>
                <w:szCs w:val="24"/>
                <w:lang w:bidi="ar"/>
              </w:rPr>
              <w:instrText xml:space="preserve"> = 5 \* GB3 \* MERGEFORMAT </w:instrText>
            </w:r>
            <w:r>
              <w:rPr>
                <w:rFonts w:hint="default" w:ascii="Times New Roman" w:hAnsi="Times New Roman" w:eastAsia="宋体" w:cs="Times New Roman"/>
                <w:color w:val="auto"/>
                <w:sz w:val="24"/>
                <w:szCs w:val="24"/>
                <w:lang w:bidi="ar"/>
              </w:rPr>
              <w:fldChar w:fldCharType="separate"/>
            </w:r>
            <w:r>
              <w:rPr>
                <w:rFonts w:hint="default" w:ascii="Times New Roman" w:hAnsi="Times New Roman" w:eastAsia="宋体" w:cs="Times New Roman"/>
                <w:color w:val="auto"/>
                <w:sz w:val="24"/>
                <w:szCs w:val="24"/>
                <w:lang w:bidi="ar"/>
              </w:rPr>
              <w:t>⑤</w:t>
            </w:r>
            <w:r>
              <w:rPr>
                <w:rFonts w:hint="default" w:ascii="Times New Roman" w:hAnsi="Times New Roman" w:eastAsia="宋体" w:cs="Times New Roman"/>
                <w:color w:val="auto"/>
                <w:sz w:val="24"/>
                <w:szCs w:val="24"/>
                <w:lang w:bidi="ar"/>
              </w:rPr>
              <w:fldChar w:fldCharType="end"/>
            </w:r>
            <w:r>
              <w:rPr>
                <w:rFonts w:hint="default" w:ascii="Times New Roman" w:hAnsi="Times New Roman" w:eastAsia="宋体" w:cs="Times New Roman"/>
                <w:color w:val="auto"/>
                <w:sz w:val="24"/>
                <w:szCs w:val="24"/>
                <w:lang w:bidi="ar"/>
              </w:rPr>
              <w:t>科学安排施工现场运输车辆作业时间，设法压缩汽车数量及行车频率，限制施工车辆时速在20km以内，运输经过附近居民聚居路段严禁鸣笛。</w:t>
            </w:r>
          </w:p>
          <w:p w14:paraId="5EAE1420">
            <w:pPr>
              <w:spacing w:line="360" w:lineRule="auto"/>
              <w:ind w:firstLine="480" w:firstLineChars="200"/>
              <w:jc w:val="both"/>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fldChar w:fldCharType="begin"/>
            </w:r>
            <w:r>
              <w:rPr>
                <w:rFonts w:hint="default" w:ascii="Times New Roman" w:hAnsi="Times New Roman" w:eastAsia="宋体" w:cs="Times New Roman"/>
                <w:color w:val="auto"/>
                <w:sz w:val="24"/>
                <w:szCs w:val="24"/>
                <w:lang w:bidi="ar"/>
              </w:rPr>
              <w:instrText xml:space="preserve"> = 6 \* GB3 \* MERGEFORMAT </w:instrText>
            </w:r>
            <w:r>
              <w:rPr>
                <w:rFonts w:hint="default" w:ascii="Times New Roman" w:hAnsi="Times New Roman" w:eastAsia="宋体" w:cs="Times New Roman"/>
                <w:color w:val="auto"/>
                <w:sz w:val="24"/>
                <w:szCs w:val="24"/>
                <w:lang w:bidi="ar"/>
              </w:rPr>
              <w:fldChar w:fldCharType="separate"/>
            </w:r>
            <w:r>
              <w:rPr>
                <w:rFonts w:hint="default" w:ascii="Times New Roman" w:hAnsi="Times New Roman" w:eastAsia="宋体" w:cs="Times New Roman"/>
                <w:color w:val="auto"/>
                <w:sz w:val="24"/>
                <w:szCs w:val="24"/>
                <w:lang w:bidi="ar"/>
              </w:rPr>
              <w:t>⑥</w:t>
            </w:r>
            <w:r>
              <w:rPr>
                <w:rFonts w:hint="default" w:ascii="Times New Roman" w:hAnsi="Times New Roman" w:eastAsia="宋体" w:cs="Times New Roman"/>
                <w:color w:val="auto"/>
                <w:sz w:val="24"/>
                <w:szCs w:val="24"/>
                <w:lang w:bidi="ar"/>
              </w:rPr>
              <w:fldChar w:fldCharType="end"/>
            </w:r>
            <w:r>
              <w:rPr>
                <w:rFonts w:hint="default" w:ascii="Times New Roman" w:hAnsi="Times New Roman" w:eastAsia="宋体" w:cs="Times New Roman"/>
                <w:color w:val="auto"/>
                <w:sz w:val="24"/>
                <w:szCs w:val="24"/>
                <w:lang w:bidi="ar"/>
              </w:rPr>
              <w:t>建设单位应选用符合国家有关标准的施工机具和运输车辆，加强机械设备的维护和保养，使其能在正常状态下运转，防止由于机械设备的“带病”工作而提高噪声声级。</w:t>
            </w:r>
          </w:p>
          <w:p w14:paraId="5BB8FC5B">
            <w:pPr>
              <w:spacing w:line="360" w:lineRule="auto"/>
              <w:ind w:firstLine="480" w:firstLineChars="200"/>
              <w:jc w:val="both"/>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环评要求建设单位严格采取上述噪声防治措施，确保施工期间场界噪声满足《建筑施工场界环境噪声排放标准》（GB12523-2011）中相关要求，实现场界处达标排放，严禁出现施工噪声扰民现象。</w:t>
            </w:r>
          </w:p>
          <w:p w14:paraId="3F6C0328">
            <w:pPr>
              <w:spacing w:line="360" w:lineRule="auto"/>
              <w:ind w:firstLine="480" w:firstLineChars="200"/>
              <w:jc w:val="both"/>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通过合理布置施工场地和施工时间尽量使高噪声机械设备远离附近的环境噪声敏感点，使用低噪音的设备从根本上控制噪声，加强控制传播与管理等措施，大大的降低了噪声对周围环境的影响。因此，措施可行。</w:t>
            </w:r>
          </w:p>
          <w:p w14:paraId="6029173B">
            <w:pPr>
              <w:pStyle w:val="27"/>
              <w:widowControl w:val="0"/>
              <w:kinsoku/>
              <w:autoSpaceDE/>
              <w:autoSpaceDN/>
              <w:adjustRightInd/>
              <w:snapToGrid/>
              <w:spacing w:line="360" w:lineRule="auto"/>
              <w:ind w:left="0" w:leftChars="0" w:firstLine="482" w:firstLineChars="200"/>
              <w:jc w:val="both"/>
              <w:textAlignment w:val="auto"/>
              <w:outlineLvl w:val="2"/>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rPr>
              <w:t>（五）施工期固废的影响分析</w:t>
            </w:r>
          </w:p>
          <w:p w14:paraId="02AE2D54">
            <w:pPr>
              <w:spacing w:line="360" w:lineRule="auto"/>
              <w:ind w:firstLine="482" w:firstLineChars="200"/>
              <w:rPr>
                <w:rFonts w:hint="default" w:ascii="Times New Roman" w:hAnsi="Times New Roman" w:eastAsia="宋体" w:cs="Times New Roman"/>
                <w:b/>
                <w:color w:val="auto"/>
                <w:sz w:val="24"/>
                <w:szCs w:val="20"/>
              </w:rPr>
            </w:pPr>
            <w:r>
              <w:rPr>
                <w:rFonts w:hint="default" w:ascii="Times New Roman" w:hAnsi="Times New Roman" w:eastAsia="宋体" w:cs="Times New Roman"/>
                <w:b/>
                <w:color w:val="auto"/>
                <w:sz w:val="24"/>
                <w:szCs w:val="20"/>
              </w:rPr>
              <w:t>1、土石方</w:t>
            </w:r>
          </w:p>
          <w:p w14:paraId="096F0A4C">
            <w:pPr>
              <w:spacing w:line="360" w:lineRule="auto"/>
              <w:ind w:firstLine="480" w:firstLineChars="200"/>
              <w:jc w:val="both"/>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本项目营造林工程挖穴平整及补植过程为人工挖穴种植，土方随挖随填，不产生弃土；项目营造林工程区不考虑设置弃渣场。</w:t>
            </w:r>
          </w:p>
          <w:p w14:paraId="67DBB293">
            <w:pPr>
              <w:spacing w:line="360" w:lineRule="auto"/>
              <w:ind w:firstLine="480" w:firstLineChars="200"/>
              <w:jc w:val="both"/>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基础设施建设（防火道路、作业步道、巡护道路等）人工作业+机械作业，涉及较大面积的土方开挖，此过程中会产生弃土，由于本项目为储备林建设项目，基础设施建设基本可做到挖填平衡，开挖的弃土，表土单独堆放，暂放置临时堆土场，之后分层全部回填，不外排。</w:t>
            </w:r>
          </w:p>
          <w:p w14:paraId="08C4278B">
            <w:pPr>
              <w:spacing w:line="360" w:lineRule="auto"/>
              <w:ind w:firstLine="482" w:firstLineChars="200"/>
              <w:rPr>
                <w:rFonts w:hint="default" w:ascii="Times New Roman" w:hAnsi="Times New Roman" w:eastAsia="宋体" w:cs="Times New Roman"/>
                <w:b/>
                <w:color w:val="auto"/>
                <w:sz w:val="24"/>
                <w:szCs w:val="20"/>
              </w:rPr>
            </w:pPr>
            <w:r>
              <w:rPr>
                <w:rFonts w:hint="default" w:ascii="Times New Roman" w:hAnsi="Times New Roman" w:eastAsia="宋体" w:cs="Times New Roman"/>
                <w:b/>
                <w:color w:val="auto"/>
                <w:sz w:val="24"/>
                <w:szCs w:val="20"/>
                <w:lang w:val="en-US" w:eastAsia="zh-CN"/>
              </w:rPr>
              <w:t>2、</w:t>
            </w:r>
            <w:r>
              <w:rPr>
                <w:rFonts w:hint="default" w:ascii="Times New Roman" w:hAnsi="Times New Roman" w:eastAsia="宋体" w:cs="Times New Roman"/>
                <w:b/>
                <w:color w:val="auto"/>
                <w:sz w:val="24"/>
                <w:szCs w:val="20"/>
              </w:rPr>
              <w:t>施工区域原有地表挖除的灌木杂草</w:t>
            </w:r>
          </w:p>
          <w:p w14:paraId="0D2EDAB9">
            <w:pPr>
              <w:spacing w:line="360" w:lineRule="auto"/>
              <w:ind w:firstLine="480" w:firstLineChars="200"/>
              <w:jc w:val="both"/>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项目永久占地范围内整地过程中原有地表挖出的灌木枝干可集中收集后交由附近农民作为薪柴，杂草及根系集中清理后可拉运到就近村镇生活垃圾收集点处置。</w:t>
            </w:r>
          </w:p>
          <w:p w14:paraId="15D612C0">
            <w:pPr>
              <w:spacing w:line="360" w:lineRule="auto"/>
              <w:ind w:firstLine="482" w:firstLineChars="200"/>
              <w:rPr>
                <w:rFonts w:hint="default" w:ascii="Times New Roman" w:hAnsi="Times New Roman" w:eastAsia="宋体" w:cs="Times New Roman"/>
                <w:b/>
                <w:color w:val="auto"/>
                <w:sz w:val="24"/>
                <w:szCs w:val="20"/>
              </w:rPr>
            </w:pPr>
            <w:r>
              <w:rPr>
                <w:rFonts w:hint="default" w:ascii="Times New Roman" w:hAnsi="Times New Roman" w:eastAsia="宋体" w:cs="Times New Roman"/>
                <w:b/>
                <w:color w:val="auto"/>
                <w:sz w:val="24"/>
                <w:szCs w:val="20"/>
                <w:lang w:val="en-US" w:eastAsia="zh-CN"/>
              </w:rPr>
              <w:t>3、</w:t>
            </w:r>
            <w:r>
              <w:rPr>
                <w:rFonts w:hint="default" w:ascii="Times New Roman" w:hAnsi="Times New Roman" w:eastAsia="宋体" w:cs="Times New Roman"/>
                <w:b/>
                <w:color w:val="auto"/>
                <w:sz w:val="24"/>
                <w:szCs w:val="20"/>
              </w:rPr>
              <w:t>苗木栽植前拆除的废包装材料</w:t>
            </w:r>
          </w:p>
          <w:p w14:paraId="1047ACC1">
            <w:pPr>
              <w:spacing w:line="360" w:lineRule="auto"/>
              <w:ind w:firstLine="480" w:firstLineChars="200"/>
              <w:jc w:val="both"/>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本项目挖穴平整过程会产生少量的肥料废弃包装袋，统一收集后交由有资质单位处理。苗木栽植前拆除的废包装材料需在施工区域内集中收集运至市政部门指定地点处置。</w:t>
            </w:r>
          </w:p>
          <w:p w14:paraId="3DDE24BA">
            <w:pPr>
              <w:spacing w:line="360" w:lineRule="auto"/>
              <w:ind w:firstLine="482" w:firstLineChars="200"/>
              <w:rPr>
                <w:rFonts w:hint="default" w:ascii="Times New Roman" w:hAnsi="Times New Roman" w:eastAsia="宋体" w:cs="Times New Roman"/>
                <w:b/>
                <w:color w:val="auto"/>
                <w:sz w:val="24"/>
                <w:szCs w:val="20"/>
              </w:rPr>
            </w:pPr>
            <w:r>
              <w:rPr>
                <w:rFonts w:hint="default" w:ascii="Times New Roman" w:hAnsi="Times New Roman" w:eastAsia="宋体" w:cs="Times New Roman"/>
                <w:b/>
                <w:color w:val="auto"/>
                <w:sz w:val="24"/>
                <w:szCs w:val="20"/>
                <w:lang w:val="en-US" w:eastAsia="zh-CN"/>
              </w:rPr>
              <w:t>4、</w:t>
            </w:r>
            <w:r>
              <w:rPr>
                <w:rFonts w:hint="default" w:ascii="Times New Roman" w:hAnsi="Times New Roman" w:eastAsia="宋体" w:cs="Times New Roman"/>
                <w:b/>
                <w:color w:val="auto"/>
                <w:sz w:val="24"/>
                <w:szCs w:val="20"/>
              </w:rPr>
              <w:t>补植区挖除的未成活苗木</w:t>
            </w:r>
          </w:p>
          <w:p w14:paraId="4219D3C0">
            <w:pPr>
              <w:spacing w:line="360" w:lineRule="auto"/>
              <w:ind w:firstLine="480" w:firstLineChars="200"/>
              <w:jc w:val="both"/>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项目区抚育管护阶段补植地块挖除的未成活苗木枝干可集中收集后交由附近农民作为薪柴。</w:t>
            </w:r>
          </w:p>
          <w:p w14:paraId="5170EB17">
            <w:pPr>
              <w:spacing w:line="360" w:lineRule="auto"/>
              <w:ind w:firstLine="482" w:firstLineChars="200"/>
              <w:rPr>
                <w:rFonts w:hint="default" w:ascii="Times New Roman" w:hAnsi="Times New Roman" w:eastAsia="宋体" w:cs="Times New Roman"/>
                <w:b/>
                <w:color w:val="auto"/>
                <w:sz w:val="24"/>
                <w:szCs w:val="20"/>
              </w:rPr>
            </w:pPr>
            <w:r>
              <w:rPr>
                <w:rFonts w:hint="default" w:ascii="Times New Roman" w:hAnsi="Times New Roman" w:eastAsia="宋体" w:cs="Times New Roman"/>
                <w:b/>
                <w:color w:val="auto"/>
                <w:sz w:val="24"/>
                <w:szCs w:val="20"/>
                <w:lang w:val="en-US" w:eastAsia="zh-CN"/>
              </w:rPr>
              <w:t>5、</w:t>
            </w:r>
            <w:r>
              <w:rPr>
                <w:rFonts w:hint="default" w:ascii="Times New Roman" w:hAnsi="Times New Roman" w:eastAsia="宋体" w:cs="Times New Roman"/>
                <w:b/>
                <w:color w:val="auto"/>
                <w:sz w:val="24"/>
                <w:szCs w:val="20"/>
              </w:rPr>
              <w:t>修剪产生的残枝败叶</w:t>
            </w:r>
          </w:p>
          <w:p w14:paraId="4F4D6DD6">
            <w:pPr>
              <w:spacing w:line="360" w:lineRule="auto"/>
              <w:ind w:firstLine="480" w:firstLineChars="200"/>
              <w:jc w:val="both"/>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项目区苗木抚育管护阶段修剪产生的残枝败叶中大型枝干可集中收集后交由附近农民作为薪柴，剩余部分可就近条状堆积至造林区域内保留带进行腐熟后作为肥料提高土壤肥力。</w:t>
            </w:r>
          </w:p>
          <w:p w14:paraId="68D994D1">
            <w:pPr>
              <w:spacing w:line="360" w:lineRule="auto"/>
              <w:ind w:firstLine="482" w:firstLineChars="200"/>
              <w:rPr>
                <w:rFonts w:hint="default" w:ascii="Times New Roman" w:hAnsi="Times New Roman" w:eastAsia="宋体" w:cs="Times New Roman"/>
                <w:b/>
                <w:color w:val="auto"/>
                <w:sz w:val="24"/>
                <w:szCs w:val="20"/>
              </w:rPr>
            </w:pPr>
            <w:r>
              <w:rPr>
                <w:rFonts w:hint="default" w:ascii="Times New Roman" w:hAnsi="Times New Roman" w:eastAsia="宋体" w:cs="Times New Roman"/>
                <w:b/>
                <w:color w:val="auto"/>
                <w:sz w:val="24"/>
                <w:szCs w:val="20"/>
                <w:lang w:val="en-US" w:eastAsia="zh-CN"/>
              </w:rPr>
              <w:t>6、</w:t>
            </w:r>
            <w:r>
              <w:rPr>
                <w:rFonts w:hint="default" w:ascii="Times New Roman" w:hAnsi="Times New Roman" w:eastAsia="宋体" w:cs="Times New Roman"/>
                <w:b/>
                <w:color w:val="auto"/>
                <w:sz w:val="24"/>
                <w:szCs w:val="20"/>
              </w:rPr>
              <w:t>苗床拆除的废弃地膜或无纺布</w:t>
            </w:r>
          </w:p>
          <w:p w14:paraId="44A79BCE">
            <w:pPr>
              <w:spacing w:line="360" w:lineRule="auto"/>
              <w:ind w:firstLine="480" w:firstLineChars="200"/>
              <w:jc w:val="both"/>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项目区苗木抚育末期苗床上部覆盖的地膜或无纺布拆除后可外售专业回收单位收集后进行资源化加工再利用。</w:t>
            </w:r>
          </w:p>
          <w:p w14:paraId="2A2BE129">
            <w:pPr>
              <w:spacing w:line="360" w:lineRule="auto"/>
              <w:ind w:firstLine="482" w:firstLineChars="200"/>
              <w:rPr>
                <w:rFonts w:hint="default" w:ascii="Times New Roman" w:hAnsi="Times New Roman" w:eastAsia="宋体" w:cs="Times New Roman"/>
                <w:b/>
                <w:color w:val="auto"/>
                <w:sz w:val="24"/>
                <w:szCs w:val="20"/>
              </w:rPr>
            </w:pPr>
            <w:r>
              <w:rPr>
                <w:rFonts w:hint="default" w:ascii="Times New Roman" w:hAnsi="Times New Roman" w:eastAsia="宋体" w:cs="Times New Roman"/>
                <w:b/>
                <w:color w:val="auto"/>
                <w:sz w:val="24"/>
                <w:szCs w:val="20"/>
                <w:lang w:val="en-US" w:eastAsia="zh-CN"/>
              </w:rPr>
              <w:t>7、</w:t>
            </w:r>
            <w:r>
              <w:rPr>
                <w:rFonts w:hint="default" w:ascii="Times New Roman" w:hAnsi="Times New Roman" w:eastAsia="宋体" w:cs="Times New Roman"/>
                <w:b/>
                <w:color w:val="auto"/>
                <w:sz w:val="24"/>
                <w:szCs w:val="20"/>
              </w:rPr>
              <w:t>农药废包装容器</w:t>
            </w:r>
          </w:p>
          <w:p w14:paraId="1CA43AAB">
            <w:pPr>
              <w:spacing w:line="360" w:lineRule="auto"/>
              <w:ind w:firstLine="480" w:firstLineChars="200"/>
              <w:jc w:val="both"/>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项目抚育管护期农药喷洒后产生的废包装物属于危险废物，结合危险废物豁免管理清单，本次评价按照豁免条件要求该类危废在收集、运输、利用阶段依据</w:t>
            </w:r>
            <w:r>
              <w:rPr>
                <w:rFonts w:hint="default" w:ascii="Times New Roman" w:hAnsi="Times New Roman" w:eastAsia="宋体" w:cs="Times New Roman"/>
                <w:color w:val="auto"/>
                <w:sz w:val="24"/>
                <w:szCs w:val="24"/>
                <w:lang w:bidi="ar"/>
              </w:rPr>
              <w:t>《农药包装废弃物回收处理管理办法》中相关要求进行收集、运输、利用后，上述三个环节均不按危险废物管理，收集后交由厂家资源化利用，项目区内不考虑危废暂存需求。</w:t>
            </w:r>
          </w:p>
          <w:p w14:paraId="1A0349AF">
            <w:pPr>
              <w:spacing w:line="360" w:lineRule="auto"/>
              <w:ind w:firstLine="482" w:firstLineChars="200"/>
              <w:rPr>
                <w:rFonts w:hint="default" w:ascii="Times New Roman" w:hAnsi="Times New Roman" w:eastAsia="宋体" w:cs="Times New Roman"/>
                <w:b/>
                <w:color w:val="auto"/>
                <w:sz w:val="24"/>
                <w:szCs w:val="20"/>
              </w:rPr>
            </w:pPr>
            <w:r>
              <w:rPr>
                <w:rFonts w:hint="default" w:ascii="Times New Roman" w:hAnsi="Times New Roman" w:eastAsia="宋体" w:cs="Times New Roman"/>
                <w:b/>
                <w:color w:val="auto"/>
                <w:sz w:val="24"/>
                <w:szCs w:val="20"/>
                <w:lang w:val="en-US" w:eastAsia="zh-CN"/>
              </w:rPr>
              <w:t>8</w:t>
            </w:r>
            <w:r>
              <w:rPr>
                <w:rFonts w:hint="default" w:ascii="Times New Roman" w:hAnsi="Times New Roman" w:eastAsia="宋体" w:cs="Times New Roman"/>
                <w:b/>
                <w:color w:val="auto"/>
                <w:sz w:val="24"/>
                <w:szCs w:val="20"/>
              </w:rPr>
              <w:t>、建筑垃圾</w:t>
            </w:r>
          </w:p>
          <w:p w14:paraId="06F1941B">
            <w:pPr>
              <w:spacing w:line="360" w:lineRule="auto"/>
              <w:ind w:firstLine="480" w:firstLineChars="200"/>
              <w:jc w:val="both"/>
              <w:rPr>
                <w:rFonts w:hint="default" w:ascii="Times New Roman" w:hAnsi="Times New Roman" w:eastAsia="宋体" w:cs="Times New Roman"/>
                <w:b/>
                <w:color w:val="auto"/>
                <w:sz w:val="24"/>
                <w:szCs w:val="20"/>
              </w:rPr>
            </w:pPr>
            <w:r>
              <w:rPr>
                <w:rFonts w:hint="default" w:ascii="Times New Roman" w:hAnsi="Times New Roman" w:eastAsia="宋体" w:cs="Times New Roman"/>
                <w:color w:val="auto"/>
                <w:sz w:val="24"/>
                <w:szCs w:val="24"/>
                <w:lang w:bidi="ar"/>
              </w:rPr>
              <w:t>拟建项目施工建筑垃圾主要为废砖块、水泥块、钢筋等，对于钢筋、木材等能利用的尽量鼓励当地村镇和居民综合利用，不能利用的如废砖块、水泥块等属于一般性建筑垃圾，集中清运至建筑垃圾处理场，不得随意丢弃。</w:t>
            </w:r>
          </w:p>
          <w:p w14:paraId="1CEAB5E9">
            <w:pPr>
              <w:spacing w:line="360" w:lineRule="auto"/>
              <w:ind w:firstLine="482" w:firstLineChars="200"/>
              <w:rPr>
                <w:rFonts w:hint="default" w:ascii="Times New Roman" w:hAnsi="Times New Roman" w:eastAsia="宋体" w:cs="Times New Roman"/>
                <w:b/>
                <w:color w:val="auto"/>
                <w:sz w:val="24"/>
                <w:szCs w:val="20"/>
              </w:rPr>
            </w:pPr>
            <w:r>
              <w:rPr>
                <w:rFonts w:hint="default" w:ascii="Times New Roman" w:hAnsi="Times New Roman" w:eastAsia="宋体" w:cs="Times New Roman"/>
                <w:b/>
                <w:color w:val="auto"/>
                <w:sz w:val="24"/>
                <w:szCs w:val="20"/>
                <w:lang w:val="en-US" w:eastAsia="zh-CN"/>
              </w:rPr>
              <w:t>9</w:t>
            </w:r>
            <w:r>
              <w:rPr>
                <w:rFonts w:hint="default" w:ascii="Times New Roman" w:hAnsi="Times New Roman" w:eastAsia="宋体" w:cs="Times New Roman"/>
                <w:b/>
                <w:color w:val="auto"/>
                <w:sz w:val="24"/>
                <w:szCs w:val="20"/>
              </w:rPr>
              <w:t>、施工人员产生的生活垃圾</w:t>
            </w:r>
          </w:p>
          <w:p w14:paraId="2D4D1045">
            <w:pPr>
              <w:spacing w:line="360" w:lineRule="auto"/>
              <w:ind w:firstLine="480" w:firstLineChars="200"/>
              <w:jc w:val="both"/>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本项目施工期高峰施工人员60人，施工人员生活垃圾产生量按0.5kg/d·人计，则生活垃圾产生量为30kg/d。在施工场地设置生活垃圾集中收集点，经集中收集后统一由当地环卫部门处理，对环境影响较小。</w:t>
            </w:r>
          </w:p>
          <w:p w14:paraId="62AB4042">
            <w:pPr>
              <w:spacing w:line="360" w:lineRule="auto"/>
              <w:ind w:firstLine="482" w:firstLineChars="200"/>
              <w:jc w:val="both"/>
              <w:rPr>
                <w:rFonts w:hint="default" w:ascii="Times New Roman" w:hAnsi="Times New Roman" w:eastAsia="宋体" w:cs="Times New Roman"/>
                <w:b/>
                <w:bCs/>
                <w:color w:val="auto"/>
                <w:sz w:val="24"/>
                <w:szCs w:val="24"/>
                <w:lang w:bidi="ar"/>
              </w:rPr>
            </w:pPr>
            <w:r>
              <w:rPr>
                <w:rFonts w:hint="default" w:ascii="Times New Roman" w:hAnsi="Times New Roman" w:eastAsia="宋体" w:cs="Times New Roman"/>
                <w:b/>
                <w:bCs/>
                <w:color w:val="auto"/>
                <w:sz w:val="24"/>
                <w:szCs w:val="24"/>
                <w:lang w:bidi="ar"/>
              </w:rPr>
              <w:t>采取以上措施后，施工期固体废物对周边环境质量的影响较小，措施可行，且随着施工期的结束而结束，措施可行。</w:t>
            </w:r>
          </w:p>
          <w:p w14:paraId="640F1535">
            <w:pPr>
              <w:pStyle w:val="27"/>
              <w:widowControl w:val="0"/>
              <w:kinsoku/>
              <w:autoSpaceDE/>
              <w:autoSpaceDN/>
              <w:adjustRightInd/>
              <w:snapToGrid/>
              <w:spacing w:line="360" w:lineRule="auto"/>
              <w:ind w:left="0" w:leftChars="0" w:firstLine="0" w:firstLineChars="0"/>
              <w:jc w:val="both"/>
              <w:textAlignment w:val="auto"/>
              <w:rPr>
                <w:rFonts w:hint="default" w:ascii="Times New Roman" w:hAnsi="Times New Roman" w:eastAsia="宋体" w:cs="Times New Roman"/>
                <w:color w:val="auto"/>
                <w:sz w:val="24"/>
                <w:szCs w:val="24"/>
              </w:rPr>
            </w:pPr>
          </w:p>
        </w:tc>
      </w:tr>
    </w:tbl>
    <w:p w14:paraId="7CF2A478">
      <w:pPr>
        <w:spacing w:line="89" w:lineRule="auto"/>
        <w:rPr>
          <w:rFonts w:hint="default" w:ascii="Times New Roman" w:hAnsi="Times New Roman" w:eastAsia="宋体" w:cs="Times New Roman"/>
          <w:color w:val="auto"/>
          <w:sz w:val="2"/>
        </w:rPr>
      </w:pPr>
    </w:p>
    <w:p w14:paraId="2C029DCC">
      <w:pPr>
        <w:spacing w:line="89" w:lineRule="auto"/>
        <w:rPr>
          <w:rFonts w:hint="default" w:ascii="Times New Roman" w:hAnsi="Times New Roman" w:eastAsia="宋体" w:cs="Times New Roman"/>
          <w:color w:val="auto"/>
          <w:sz w:val="2"/>
        </w:rPr>
      </w:pPr>
    </w:p>
    <w:p w14:paraId="77685120">
      <w:pPr>
        <w:spacing w:line="89" w:lineRule="auto"/>
        <w:rPr>
          <w:rFonts w:hint="default" w:ascii="Times New Roman" w:hAnsi="Times New Roman" w:eastAsia="宋体" w:cs="Times New Roman"/>
          <w:color w:val="auto"/>
          <w:sz w:val="2"/>
        </w:rPr>
      </w:pPr>
    </w:p>
    <w:p w14:paraId="074BF055">
      <w:pPr>
        <w:spacing w:line="89" w:lineRule="auto"/>
        <w:rPr>
          <w:rFonts w:hint="default" w:ascii="Times New Roman" w:hAnsi="Times New Roman" w:eastAsia="宋体" w:cs="Times New Roman"/>
          <w:color w:val="auto"/>
          <w:sz w:val="2"/>
        </w:rPr>
      </w:pPr>
    </w:p>
    <w:tbl>
      <w:tblPr>
        <w:tblStyle w:val="43"/>
        <w:tblW w:w="8787"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569"/>
        <w:gridCol w:w="8218"/>
      </w:tblGrid>
      <w:tr w14:paraId="742D38A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092" w:hRule="atLeast"/>
          <w:jc w:val="center"/>
        </w:trPr>
        <w:tc>
          <w:tcPr>
            <w:tcW w:w="569" w:type="dxa"/>
            <w:textDirection w:val="tbRlV"/>
            <w:vAlign w:val="center"/>
          </w:tcPr>
          <w:p w14:paraId="57A2B21C">
            <w:pPr>
              <w:spacing w:before="200" w:line="180" w:lineRule="auto"/>
              <w:ind w:firstLine="36"/>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1"/>
                <w:sz w:val="24"/>
                <w:szCs w:val="24"/>
              </w:rPr>
              <w:t>运营期生态环境保护措施</w:t>
            </w:r>
          </w:p>
        </w:tc>
        <w:tc>
          <w:tcPr>
            <w:tcW w:w="8218" w:type="dxa"/>
            <w:vAlign w:val="center"/>
          </w:tcPr>
          <w:p w14:paraId="12B5CF3A">
            <w:pPr>
              <w:pStyle w:val="27"/>
              <w:widowControl w:val="0"/>
              <w:kinsoku/>
              <w:autoSpaceDE/>
              <w:autoSpaceDN/>
              <w:adjustRightInd/>
              <w:snapToGrid/>
              <w:spacing w:line="360" w:lineRule="auto"/>
              <w:jc w:val="both"/>
              <w:textAlignment w:val="auto"/>
              <w:outlineLvl w:val="1"/>
              <w:rPr>
                <w:rFonts w:hint="default" w:ascii="Times New Roman" w:hAnsi="Times New Roman" w:eastAsia="宋体" w:cs="Times New Roman"/>
                <w:b/>
                <w:bCs/>
                <w:color w:val="auto"/>
                <w:sz w:val="28"/>
                <w:szCs w:val="28"/>
              </w:rPr>
            </w:pPr>
            <w:bookmarkStart w:id="46" w:name="_Toc10480"/>
            <w:r>
              <w:rPr>
                <w:rFonts w:hint="default" w:ascii="Times New Roman" w:hAnsi="Times New Roman" w:eastAsia="宋体" w:cs="Times New Roman"/>
                <w:b/>
                <w:bCs/>
                <w:color w:val="auto"/>
                <w:sz w:val="28"/>
                <w:szCs w:val="28"/>
              </w:rPr>
              <w:t>二、运营期环境保护措施</w:t>
            </w:r>
            <w:bookmarkEnd w:id="46"/>
          </w:p>
          <w:p w14:paraId="7195DD35">
            <w:pPr>
              <w:pStyle w:val="27"/>
              <w:widowControl w:val="0"/>
              <w:kinsoku/>
              <w:autoSpaceDE/>
              <w:autoSpaceDN/>
              <w:adjustRightInd/>
              <w:snapToGrid/>
              <w:spacing w:line="360" w:lineRule="auto"/>
              <w:ind w:left="0" w:leftChars="0" w:firstLine="482" w:firstLineChars="200"/>
              <w:jc w:val="both"/>
              <w:textAlignment w:val="auto"/>
              <w:outlineLvl w:val="2"/>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rPr>
              <w:t>（一）运营期生态防治措施</w:t>
            </w:r>
          </w:p>
          <w:p w14:paraId="1E5D18AB">
            <w:pPr>
              <w:spacing w:line="360" w:lineRule="auto"/>
              <w:ind w:firstLine="480" w:firstLineChars="200"/>
              <w:jc w:val="both"/>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加强生态环境保护措施，生态环境保护管理小组，组织对种植采伐人员的宣传教育，设置数量的宣传牌和标语。禁止施工人员非法猎捕鸟类（包括鸟蛋)、兽类、鱼类等野生动物，减轻施工对施工区动物、植物的影响。设置生态保护、巡护和环境监理人员，对周边环境进行及时巡护监测，发现问题及时沟通、协调、制止。</w:t>
            </w:r>
          </w:p>
          <w:p w14:paraId="008EA562">
            <w:pPr>
              <w:spacing w:line="360" w:lineRule="auto"/>
              <w:ind w:firstLine="480" w:firstLineChars="200"/>
              <w:jc w:val="both"/>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优化施工布置，尽量减少占地面积，不得随意扩大施工占地的范围，减少对植被的破坏。尽可能将种植采伐对当地植被的影响减小到最低程度，同时加强防火宣传教育及有关措施，建立施工区防火及火警警报系统，预防和避免施工区火灾的发生。</w:t>
            </w:r>
          </w:p>
          <w:p w14:paraId="2C788D60">
            <w:pPr>
              <w:spacing w:line="360" w:lineRule="auto"/>
              <w:ind w:firstLine="482" w:firstLineChars="200"/>
              <w:jc w:val="both"/>
              <w:rPr>
                <w:rFonts w:hint="default" w:ascii="Times New Roman" w:hAnsi="Times New Roman" w:eastAsia="宋体" w:cs="Times New Roman"/>
                <w:b/>
                <w:color w:val="auto"/>
                <w:sz w:val="24"/>
              </w:rPr>
            </w:pPr>
            <w:r>
              <w:rPr>
                <w:rFonts w:hint="default" w:ascii="Times New Roman" w:hAnsi="Times New Roman" w:eastAsia="宋体" w:cs="Times New Roman"/>
                <w:b/>
                <w:bCs/>
                <w:color w:val="auto"/>
                <w:sz w:val="24"/>
                <w:szCs w:val="24"/>
                <w:lang w:bidi="ar"/>
              </w:rPr>
              <w:t>生物入侵的防范措施</w:t>
            </w:r>
            <w:r>
              <w:rPr>
                <w:rFonts w:hint="default" w:ascii="Times New Roman" w:hAnsi="Times New Roman" w:eastAsia="宋体" w:cs="Times New Roman"/>
                <w:b/>
                <w:bCs/>
                <w:color w:val="auto"/>
                <w:sz w:val="24"/>
                <w:szCs w:val="24"/>
                <w:lang w:eastAsia="zh-CN" w:bidi="ar"/>
              </w:rPr>
              <w:t>：</w:t>
            </w:r>
            <w:r>
              <w:rPr>
                <w:rFonts w:hint="default" w:ascii="Times New Roman" w:hAnsi="Times New Roman" w:eastAsia="宋体" w:cs="Times New Roman"/>
                <w:color w:val="auto"/>
                <w:sz w:val="24"/>
                <w:szCs w:val="24"/>
                <w:lang w:bidi="ar"/>
              </w:rPr>
              <w:t>项目建设过程中应尽量避免外来物种入侵风险，选用适宜当地环境的本土植被。加强运营期生态监测。运营期需进行生态影响的监测工作，主要监测生境的变化，植被的变化以及生态系统的整体性变化。通过监测来加强对生态的管理，在工程管理机构设置生态管理人员，建立各种管理及报告制度，开展对工程影响区的环境教育，提高施工人员和管理人员环境意识。通过动态监测和完善管理，使生态向良性或有利方向发展。</w:t>
            </w:r>
          </w:p>
          <w:p w14:paraId="30945BBC">
            <w:pPr>
              <w:pStyle w:val="27"/>
              <w:widowControl w:val="0"/>
              <w:kinsoku/>
              <w:autoSpaceDE/>
              <w:autoSpaceDN/>
              <w:adjustRightInd/>
              <w:snapToGrid/>
              <w:spacing w:line="360" w:lineRule="auto"/>
              <w:ind w:left="0" w:leftChars="0" w:firstLine="482" w:firstLineChars="200"/>
              <w:jc w:val="both"/>
              <w:textAlignment w:val="auto"/>
              <w:outlineLvl w:val="2"/>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rPr>
              <w:t>（二）运营期废气污染防治措施</w:t>
            </w:r>
          </w:p>
          <w:p w14:paraId="52275B06">
            <w:pPr>
              <w:spacing w:line="360" w:lineRule="auto"/>
              <w:ind w:firstLine="480" w:firstLineChars="200"/>
              <w:jc w:val="both"/>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本项目运营期废气主要为采伐油锯产生的少量无组织废气、运输车辆进场产生的扬尘及车辆尾气。</w:t>
            </w:r>
          </w:p>
          <w:p w14:paraId="196B6F7E">
            <w:pPr>
              <w:spacing w:line="360" w:lineRule="auto"/>
              <w:ind w:firstLine="480" w:firstLineChars="200"/>
              <w:jc w:val="both"/>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①采伐油锯废气</w:t>
            </w:r>
          </w:p>
          <w:p w14:paraId="4E42FEE5">
            <w:pPr>
              <w:spacing w:line="360" w:lineRule="auto"/>
              <w:ind w:firstLine="480" w:firstLineChars="200"/>
              <w:jc w:val="both"/>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根据业主提供的资料，本项目在达到主伐（更新采伐）年龄之前完成两次间伐，第一次间伐在第1年进行，每间隔7年后开展第二次。采伐的人数及时间按照林木生产情况确定，此过程中采伐油锯使用时产生的少量无组织废气。</w:t>
            </w:r>
          </w:p>
          <w:p w14:paraId="09434BA6">
            <w:pPr>
              <w:spacing w:line="360" w:lineRule="auto"/>
              <w:ind w:firstLine="480" w:firstLineChars="200"/>
              <w:jc w:val="both"/>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②运输车辆废气</w:t>
            </w:r>
          </w:p>
          <w:p w14:paraId="23D5D17A">
            <w:pPr>
              <w:spacing w:line="360" w:lineRule="auto"/>
              <w:ind w:firstLine="480" w:firstLineChars="200"/>
              <w:jc w:val="both"/>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采伐的木材运输过程中，运输车辆进场会产生扬尘及车辆尾气。尤其是在风速较大或汽车行驶速度较快的情况下，扬尘的污染较严重；车辆尾气产生量较少，尾气中含有THC、CO、NOx 等污染物，为无组织排放。</w:t>
            </w:r>
          </w:p>
          <w:p w14:paraId="05D112EF">
            <w:pPr>
              <w:spacing w:line="360" w:lineRule="auto"/>
              <w:ind w:firstLine="480" w:firstLineChars="200"/>
              <w:jc w:val="both"/>
              <w:rPr>
                <w:rFonts w:hint="default" w:ascii="Times New Roman" w:hAnsi="Times New Roman" w:eastAsia="宋体" w:cs="Times New Roman"/>
                <w:color w:val="auto"/>
                <w:sz w:val="24"/>
                <w:szCs w:val="24"/>
                <w:lang w:val="en-US" w:eastAsia="zh-CN" w:bidi="ar"/>
              </w:rPr>
            </w:pPr>
            <w:r>
              <w:rPr>
                <w:rFonts w:hint="default" w:ascii="Times New Roman" w:hAnsi="Times New Roman" w:eastAsia="宋体" w:cs="Times New Roman"/>
                <w:color w:val="auto"/>
                <w:sz w:val="24"/>
                <w:szCs w:val="24"/>
                <w:lang w:val="en-US" w:eastAsia="zh-CN" w:bidi="ar"/>
              </w:rPr>
              <w:t>③农药异味</w:t>
            </w:r>
          </w:p>
          <w:p w14:paraId="6EF9FC00">
            <w:pPr>
              <w:spacing w:line="360" w:lineRule="auto"/>
              <w:ind w:firstLine="480" w:firstLineChars="200"/>
              <w:jc w:val="both"/>
              <w:rPr>
                <w:rFonts w:hint="default" w:ascii="Times New Roman" w:hAnsi="Times New Roman" w:eastAsia="宋体" w:cs="Times New Roman"/>
                <w:color w:val="auto"/>
                <w:sz w:val="24"/>
                <w:szCs w:val="24"/>
                <w:lang w:val="en-US" w:eastAsia="zh-CN" w:bidi="ar"/>
              </w:rPr>
            </w:pPr>
            <w:r>
              <w:rPr>
                <w:rFonts w:hint="default" w:ascii="Times New Roman" w:hAnsi="Times New Roman" w:eastAsia="宋体" w:cs="Times New Roman"/>
                <w:color w:val="auto"/>
                <w:sz w:val="24"/>
                <w:szCs w:val="24"/>
                <w:lang w:val="en-US" w:eastAsia="zh-CN" w:bidi="ar"/>
              </w:rPr>
              <w:t>项目运营期通过合理安排农药喷洒时间，优先选择生物技术和物理技术防治病虫害，选用低毒低残留农药喷洒等措施后可显著降低运营期农药喷洒造成的大气污染。</w:t>
            </w:r>
          </w:p>
          <w:p w14:paraId="020A3D61">
            <w:pPr>
              <w:spacing w:line="360" w:lineRule="auto"/>
              <w:ind w:firstLine="480" w:firstLineChars="200"/>
              <w:jc w:val="both"/>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本项目运营期废气主要为采伐油锯产生的少量无组织废气、运输车辆进场产生的扬尘及车辆尾气，由于项目区比较空旷，空气流动性好，因此，运营期产生的废气对周围环境影响较小</w:t>
            </w:r>
          </w:p>
          <w:p w14:paraId="05AED464">
            <w:pPr>
              <w:pStyle w:val="27"/>
              <w:widowControl w:val="0"/>
              <w:kinsoku/>
              <w:autoSpaceDE/>
              <w:autoSpaceDN/>
              <w:adjustRightInd/>
              <w:snapToGrid/>
              <w:spacing w:line="360" w:lineRule="auto"/>
              <w:ind w:left="0" w:leftChars="0" w:firstLine="482" w:firstLineChars="200"/>
              <w:jc w:val="both"/>
              <w:textAlignment w:val="auto"/>
              <w:outlineLvl w:val="2"/>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rPr>
              <w:t>（三）运营期废水污染防治措施</w:t>
            </w:r>
          </w:p>
          <w:p w14:paraId="42B274B5">
            <w:pPr>
              <w:spacing w:line="360" w:lineRule="auto"/>
              <w:ind w:firstLine="480" w:firstLineChars="200"/>
              <w:jc w:val="both"/>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本项目建设内容中均未涉及水源保护区的占用及穿越工程。运营期间靠近水源的林地尽量使用有机肥、绿肥和进行林间套种固氮植物；使用无机肥料应严格按照造林设计的要求进行，采用穴施，施后立即覆土，严禁地表撒施。在抚育和森林病虫害防治时，如农药施用不当，会污染土壤。如直接在地表施肥，将导致肥料流失，污染水体和土壤。林地长期使用化肥，会导致土壤的理化性质发生变化，使土壤板结，土质恶化。根据病虫害防治计划，本项目使用易降解的农药和有机肥，农药使用后残留量可以较快速度降减至农残标准以下，影响时间短，对环境影响小，措施可行</w:t>
            </w:r>
          </w:p>
          <w:p w14:paraId="26D0A18C">
            <w:pPr>
              <w:spacing w:line="360" w:lineRule="auto"/>
              <w:ind w:firstLine="480" w:firstLineChars="200"/>
              <w:jc w:val="both"/>
              <w:rPr>
                <w:rFonts w:hint="default" w:ascii="Times New Roman" w:hAnsi="Times New Roman" w:eastAsia="宋体" w:cs="Times New Roman"/>
                <w:color w:val="auto"/>
                <w:sz w:val="24"/>
                <w:szCs w:val="24"/>
                <w:lang w:val="en-US" w:eastAsia="zh-CN" w:bidi="ar"/>
              </w:rPr>
            </w:pPr>
            <w:r>
              <w:rPr>
                <w:rFonts w:hint="default" w:ascii="Times New Roman" w:hAnsi="Times New Roman" w:eastAsia="宋体" w:cs="Times New Roman"/>
                <w:color w:val="auto"/>
                <w:sz w:val="24"/>
                <w:szCs w:val="24"/>
                <w:lang w:bidi="ar"/>
              </w:rPr>
              <w:t>本项目营运期废水主要为员工生活污水，项目劳动定员66人，其中管理人员6人，技术人员10人，普通工人（砍伐）50人（雇用附近村民），季节性临时工人（抚育管理人员）均根据需要临时雇佣的周边村民，工人主要雇用附近村民，自行解决食宿问题，生活污水依托自家房屋自建旱厕处理，治理措施有效可行</w:t>
            </w:r>
            <w:r>
              <w:rPr>
                <w:rFonts w:hint="default" w:ascii="Times New Roman" w:hAnsi="Times New Roman" w:eastAsia="宋体" w:cs="Times New Roman"/>
                <w:color w:val="auto"/>
                <w:sz w:val="24"/>
                <w:szCs w:val="24"/>
                <w:lang w:eastAsia="zh-CN" w:bidi="ar"/>
              </w:rPr>
              <w:t>。</w:t>
            </w:r>
            <w:r>
              <w:rPr>
                <w:rFonts w:hint="default" w:ascii="Times New Roman" w:hAnsi="Times New Roman" w:eastAsia="宋体" w:cs="Times New Roman"/>
                <w:color w:val="auto"/>
                <w:sz w:val="24"/>
                <w:szCs w:val="24"/>
                <w:lang w:val="en-US" w:eastAsia="zh-CN" w:bidi="ar"/>
              </w:rPr>
              <w:t>项目灌溉用水参照《四川省用水定额》（2021版）、项目取水设计及项目区实际情况进行灌溉，防治不合理的灌溉排水方式会导致土壤沙化和水土流失，‌大量的泥沙进入河流会堵塞河道，‌造成洪水和生态系统破坏，防止农药和化肥，‌这些化学物质通过灌溉水进入地下水和河流，‌对水生生物和生态系统造成污染。大多数灌溉用水被植物及土壤吸收废水产生量较少，灌溉用水水质较为简单不会对项目所在区域水环境造成污染。‌</w:t>
            </w:r>
          </w:p>
          <w:p w14:paraId="0D8182BA">
            <w:pPr>
              <w:pStyle w:val="27"/>
              <w:widowControl w:val="0"/>
              <w:kinsoku/>
              <w:autoSpaceDE/>
              <w:autoSpaceDN/>
              <w:adjustRightInd/>
              <w:snapToGrid/>
              <w:spacing w:line="360" w:lineRule="auto"/>
              <w:ind w:left="0" w:leftChars="0" w:firstLine="482" w:firstLineChars="200"/>
              <w:jc w:val="both"/>
              <w:textAlignment w:val="auto"/>
              <w:outlineLvl w:val="2"/>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rPr>
              <w:t>（四）运营期噪声防治措施</w:t>
            </w:r>
          </w:p>
          <w:p w14:paraId="18213306">
            <w:pPr>
              <w:spacing w:line="360" w:lineRule="auto"/>
              <w:ind w:firstLine="480" w:firstLineChars="200"/>
              <w:jc w:val="both"/>
              <w:rPr>
                <w:rFonts w:hint="default" w:ascii="Times New Roman" w:hAnsi="Times New Roman" w:eastAsia="宋体" w:cs="Times New Roman"/>
                <w:color w:val="auto"/>
                <w:sz w:val="24"/>
                <w:szCs w:val="24"/>
                <w:lang w:bidi="ar"/>
              </w:rPr>
            </w:pPr>
            <w:r>
              <w:rPr>
                <w:rFonts w:hint="default" w:ascii="Times New Roman" w:hAnsi="Times New Roman" w:eastAsia="宋体" w:cs="Times New Roman"/>
                <w:color w:val="auto"/>
                <w:sz w:val="24"/>
                <w:szCs w:val="24"/>
                <w:lang w:bidi="ar"/>
              </w:rPr>
              <w:t>拟建项目建成运营后，林间防火通道主要用于喷药车、消防车通行，平时不涉及其他社会车辆通行。本项目主要噪声源有喷药车、喷雾器等设备噪声，以及运输车辆道路交通噪声和林木采伐噪声，均为间歇、流动声源。喷药车、运输车辆等在项目区内运行速度不高，作业时间不确定，不宜按交通噪声进行测量与评价。经选用低噪声设备，加强管理，合理安排采伐时间，控制行驶车速，减少鸣笛等措施后，本项目对环境影响较小。</w:t>
            </w:r>
          </w:p>
          <w:p w14:paraId="781C6AE6">
            <w:pPr>
              <w:pStyle w:val="27"/>
              <w:widowControl w:val="0"/>
              <w:kinsoku/>
              <w:autoSpaceDE/>
              <w:autoSpaceDN/>
              <w:adjustRightInd/>
              <w:snapToGrid/>
              <w:spacing w:line="360" w:lineRule="auto"/>
              <w:ind w:left="0" w:leftChars="0" w:firstLine="482" w:firstLineChars="200"/>
              <w:jc w:val="both"/>
              <w:textAlignment w:val="auto"/>
              <w:outlineLvl w:val="2"/>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rPr>
              <w:t>（五）运营期固体废物防治措施</w:t>
            </w:r>
          </w:p>
          <w:p w14:paraId="1802023C">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本项目营运期产生的固体废物主要为林木及经济林施肥及喷洒农药过程中产生的肥料废包装袋及农药废包装物、抚育及修剪过程中产生的灌木杂草及枯枝弱叶、养护人员产生的生活垃圾等。</w:t>
            </w:r>
          </w:p>
          <w:p w14:paraId="40C0B6B8">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①肥料废包装袋</w:t>
            </w:r>
          </w:p>
          <w:p w14:paraId="78FE804F">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抚育管护施肥过程中会产生少量的废弃包装袋，项目肥料用量为7806.8t/a，其中运营期用量为3435t/a，肥料以25kg/袋计，则项目运营期产生的废弃包装袋数量为137400个，包装袋重量以0.1kg/个计，则项目废弃包装袋产生量约为13.74t/a。产生的废弃包装袋交由有资质单位处理。</w:t>
            </w:r>
          </w:p>
          <w:p w14:paraId="323FC506">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②农药废包装物</w:t>
            </w:r>
          </w:p>
          <w:p w14:paraId="663A7A72">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项目运营期农药喷洒后产生的废包装物属于危险废物，结合危险废物豁免管理清单，本次评价按照豁免条件要求该类危废在收集、运输、利用阶段依据</w:t>
            </w:r>
            <w:r>
              <w:rPr>
                <w:rFonts w:hint="default" w:ascii="Times New Roman" w:hAnsi="Times New Roman" w:eastAsia="宋体" w:cs="Times New Roman"/>
                <w:color w:val="auto"/>
                <w:sz w:val="24"/>
                <w:szCs w:val="24"/>
              </w:rPr>
              <w:t>《农药包装废弃物回收处理管理办法》中相关要求进行收集、运输、利用后，上述三个环节均不按危险废物管理，收集后交由厂家资源化利用，项目区内不考虑危废暂存需求。根据业主提供的资料，农药使用后的废包装物产生量约为3.5t/a，交由有资质单位处理。</w:t>
            </w:r>
          </w:p>
          <w:p w14:paraId="5DD49900">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③灌木杂草</w:t>
            </w:r>
          </w:p>
          <w:p w14:paraId="77CABF7C">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本项目抚育管护过程需清除林地内的灌木杂草，根据业主提供的资料，灌木杂草产生量约为324t/a。产生的灌木杂草集地清理，避免表土裸露。</w:t>
            </w:r>
          </w:p>
          <w:p w14:paraId="034B74FB">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④枯枝弱叶</w:t>
            </w:r>
          </w:p>
          <w:p w14:paraId="4F72BEDC">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项目修剪过程中需对林木进行修剪，修剪过程中会产生少量的枯枝弱叶，根据业主提供的资料，枯枝落叶产生量约为1.2kg/亩，因此运营期枯枝弱叶产生量约为137.4t/a。产生的枯枝弱叶集地清理，避免表土裸露。</w:t>
            </w:r>
          </w:p>
          <w:p w14:paraId="0C38C3B3">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⑤生活垃圾</w:t>
            </w:r>
          </w:p>
          <w:p w14:paraId="75247C42">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营运期管理、养护、采伐人员均为雇佣的周边村民，村民日常活动会产生生活垃圾。产生的生活垃圾运至当地垃圾收集点处理。</w:t>
            </w:r>
          </w:p>
          <w:p w14:paraId="2175C5F7">
            <w:pPr>
              <w:pStyle w:val="27"/>
              <w:widowControl w:val="0"/>
              <w:kinsoku/>
              <w:autoSpaceDE/>
              <w:autoSpaceDN/>
              <w:adjustRightInd/>
              <w:snapToGrid/>
              <w:spacing w:line="360" w:lineRule="auto"/>
              <w:ind w:left="0" w:leftChars="0" w:firstLine="482" w:firstLineChars="200"/>
              <w:jc w:val="both"/>
              <w:textAlignment w:val="auto"/>
              <w:outlineLvl w:val="2"/>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rPr>
              <w:t>（六）施肥及喷洒农药防治措施</w:t>
            </w:r>
          </w:p>
          <w:p w14:paraId="43EA32CA">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（1）合理使用有机肥，做到适时适量；</w:t>
            </w:r>
          </w:p>
          <w:p w14:paraId="15439CA2">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（2）实行科学施肥，补植等采取挖小穴施放，施方后立即覆盖泥土，避免肥料裸露地表、避免雨水冲刷。</w:t>
            </w:r>
          </w:p>
          <w:p w14:paraId="064B251C">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3）本项目坚持人工林可持续发展的经营理念，采取科学、合理的营林措施和经营管理措施，逐步实施营养诊断施肥，针对各类造林土地的营养现状区别施肥，并增施微生物有机肥，改善土壤理化性状，抚育后将杂草埋青，保留林地枯枝落叶和林下地被物，采伐剩余物归还林地等措施维护地力平衡，避免林地地力下降。</w:t>
            </w:r>
          </w:p>
          <w:p w14:paraId="7A7177F2">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4）喷洒农药使用雾滴较小的喷头；不在大风、下雨、有露水时喷药。合理安排施药时间，一般安排在晚上，人流量较少的时候进行；避免在大风雨天进行，以防止农药随风大量进入大气及雨水进入周边水体，对周边大气环境及附近河沟造成不良的影响。</w:t>
            </w:r>
          </w:p>
          <w:p w14:paraId="225992FD">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（5）喷洒农药做到适时适量，不准在地表喷洒过量农药，选用高效低毒低残留的农药，严禁使用剧毒和残留期长的农药。同时采用人工诱捕、保护天敌、清除病害植株等方法，以减少农药的使用率。</w:t>
            </w:r>
          </w:p>
          <w:p w14:paraId="2BDF387A">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（6）安全合理的使用农药，采用低毒、高效的农药，禁止使用国家农药禁用的农药。</w:t>
            </w:r>
          </w:p>
          <w:p w14:paraId="1ADB56C3">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（7）提倡生物防治，生物防治是一种成本低、效果好、污染少的防治方法。</w:t>
            </w:r>
          </w:p>
          <w:p w14:paraId="068E776F">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（8）加强施药人员管理，严格按施药操作规范进行喷洒农药，严禁随意喷洒农药，杜绝将农药洒入附近河流。</w:t>
            </w:r>
          </w:p>
          <w:p w14:paraId="7816B297">
            <w:pPr>
              <w:spacing w:before="36" w:line="360" w:lineRule="auto"/>
              <w:ind w:firstLine="612"/>
              <w:rPr>
                <w:rFonts w:hint="default" w:ascii="Times New Roman" w:hAnsi="Times New Roman" w:eastAsia="宋体" w:cs="Times New Roman"/>
                <w:color w:val="auto"/>
                <w:spacing w:val="-7"/>
                <w:sz w:val="24"/>
                <w:szCs w:val="24"/>
                <w:lang w:val="en-US" w:eastAsia="zh-CN"/>
              </w:rPr>
            </w:pPr>
            <w:r>
              <w:rPr>
                <w:rFonts w:hint="eastAsia" w:ascii="Times New Roman" w:hAnsi="Times New Roman" w:eastAsia="宋体" w:cs="Times New Roman"/>
                <w:color w:val="auto"/>
                <w:spacing w:val="-7"/>
                <w:sz w:val="24"/>
                <w:szCs w:val="24"/>
                <w:lang w:eastAsia="zh-CN"/>
              </w:rPr>
              <w:t>（</w:t>
            </w:r>
            <w:r>
              <w:rPr>
                <w:rFonts w:hint="eastAsia" w:ascii="Times New Roman" w:hAnsi="Times New Roman" w:eastAsia="宋体" w:cs="Times New Roman"/>
                <w:color w:val="auto"/>
                <w:spacing w:val="-7"/>
                <w:sz w:val="24"/>
                <w:szCs w:val="24"/>
                <w:lang w:val="en-US" w:eastAsia="zh-CN"/>
              </w:rPr>
              <w:t>9</w:t>
            </w:r>
            <w:r>
              <w:rPr>
                <w:rFonts w:hint="eastAsia" w:ascii="Times New Roman" w:hAnsi="Times New Roman" w:eastAsia="宋体" w:cs="Times New Roman"/>
                <w:color w:val="auto"/>
                <w:spacing w:val="-7"/>
                <w:sz w:val="24"/>
                <w:szCs w:val="24"/>
                <w:lang w:eastAsia="zh-CN"/>
              </w:rPr>
              <w:t>）</w:t>
            </w:r>
            <w:r>
              <w:rPr>
                <w:rFonts w:hint="eastAsia" w:ascii="Times New Roman" w:hAnsi="Times New Roman" w:eastAsia="宋体" w:cs="Times New Roman"/>
                <w:color w:val="auto"/>
                <w:spacing w:val="-7"/>
                <w:sz w:val="24"/>
                <w:szCs w:val="24"/>
                <w:lang w:val="en-US" w:eastAsia="zh-CN"/>
              </w:rPr>
              <w:t>化肥及农药用量</w:t>
            </w:r>
          </w:p>
          <w:p w14:paraId="3ED4F04D">
            <w:pPr>
              <w:spacing w:before="36" w:line="360" w:lineRule="auto"/>
              <w:ind w:firstLine="612"/>
              <w:rPr>
                <w:rFonts w:hint="default" w:ascii="Times New Roman" w:hAnsi="Times New Roman" w:eastAsia="宋体" w:cs="Times New Roman"/>
                <w:color w:val="auto"/>
                <w:spacing w:val="-7"/>
                <w:sz w:val="24"/>
                <w:szCs w:val="24"/>
                <w:lang w:eastAsia="zh-CN"/>
              </w:rPr>
            </w:pPr>
            <w:r>
              <w:rPr>
                <w:rFonts w:hint="eastAsia" w:ascii="Times New Roman" w:hAnsi="Times New Roman" w:eastAsia="宋体" w:cs="Times New Roman"/>
                <w:color w:val="auto"/>
                <w:spacing w:val="-7"/>
                <w:sz w:val="24"/>
                <w:szCs w:val="24"/>
                <w:lang w:val="en-US" w:eastAsia="zh-CN"/>
              </w:rPr>
              <w:t>①</w:t>
            </w:r>
            <w:r>
              <w:rPr>
                <w:rFonts w:hint="default" w:ascii="Times New Roman" w:hAnsi="Times New Roman" w:eastAsia="宋体" w:cs="Times New Roman"/>
                <w:color w:val="auto"/>
                <w:spacing w:val="-7"/>
                <w:sz w:val="24"/>
                <w:szCs w:val="24"/>
                <w:lang w:eastAsia="zh-CN"/>
              </w:rPr>
              <w:t>黄柏集约栽培：生物有机肥7628.4t、土壤消毒液383L、生物有机肥1446t、尿素434t、复合肥578t、药品3812kg、除草剂10294kg。</w:t>
            </w:r>
          </w:p>
          <w:p w14:paraId="640D599F">
            <w:pPr>
              <w:spacing w:before="36" w:line="360" w:lineRule="auto"/>
              <w:ind w:firstLine="612"/>
              <w:rPr>
                <w:rFonts w:hint="default" w:ascii="Times New Roman" w:hAnsi="Times New Roman" w:eastAsia="宋体" w:cs="Times New Roman"/>
                <w:color w:val="auto"/>
                <w:spacing w:val="-7"/>
                <w:sz w:val="24"/>
                <w:szCs w:val="24"/>
                <w:lang w:eastAsia="zh-CN"/>
              </w:rPr>
            </w:pPr>
            <w:r>
              <w:rPr>
                <w:rFonts w:hint="eastAsia" w:ascii="Times New Roman" w:hAnsi="Times New Roman" w:eastAsia="宋体" w:cs="Times New Roman"/>
                <w:color w:val="auto"/>
                <w:spacing w:val="-7"/>
                <w:sz w:val="24"/>
                <w:szCs w:val="24"/>
                <w:lang w:val="en-US" w:eastAsia="zh-CN"/>
              </w:rPr>
              <w:t>②</w:t>
            </w:r>
            <w:r>
              <w:rPr>
                <w:rFonts w:hint="default" w:ascii="Times New Roman" w:hAnsi="Times New Roman" w:eastAsia="宋体" w:cs="Times New Roman"/>
                <w:color w:val="auto"/>
                <w:spacing w:val="-7"/>
                <w:sz w:val="24"/>
                <w:szCs w:val="24"/>
                <w:lang w:eastAsia="zh-CN"/>
              </w:rPr>
              <w:t>现有林改培：生根剂264kg、生物有机肥132t、复合肥40t、药品1200kg。</w:t>
            </w:r>
          </w:p>
          <w:p w14:paraId="21DCBB32">
            <w:pPr>
              <w:spacing w:before="36" w:line="360" w:lineRule="auto"/>
              <w:ind w:firstLine="612"/>
              <w:rPr>
                <w:rFonts w:hint="default" w:ascii="Times New Roman" w:hAnsi="Times New Roman" w:eastAsia="宋体" w:cs="Times New Roman"/>
                <w:color w:val="auto"/>
                <w:spacing w:val="-7"/>
                <w:sz w:val="24"/>
                <w:szCs w:val="24"/>
                <w:lang w:eastAsia="zh-CN"/>
              </w:rPr>
            </w:pPr>
            <w:r>
              <w:rPr>
                <w:rFonts w:hint="eastAsia" w:ascii="Times New Roman" w:hAnsi="Times New Roman" w:eastAsia="宋体" w:cs="Times New Roman"/>
                <w:color w:val="auto"/>
                <w:spacing w:val="-7"/>
                <w:sz w:val="24"/>
                <w:szCs w:val="24"/>
                <w:lang w:val="en-US" w:eastAsia="zh-CN"/>
              </w:rPr>
              <w:t>③</w:t>
            </w:r>
            <w:r>
              <w:rPr>
                <w:rFonts w:hint="default" w:ascii="Times New Roman" w:hAnsi="Times New Roman" w:eastAsia="宋体" w:cs="Times New Roman"/>
                <w:color w:val="auto"/>
                <w:spacing w:val="-7"/>
                <w:sz w:val="24"/>
                <w:szCs w:val="24"/>
                <w:lang w:eastAsia="zh-CN"/>
              </w:rPr>
              <w:t>中幼龄抚育：药品3980L。</w:t>
            </w:r>
          </w:p>
          <w:p w14:paraId="169E07DC">
            <w:pPr>
              <w:spacing w:before="36" w:line="360" w:lineRule="auto"/>
              <w:ind w:firstLine="612"/>
              <w:rPr>
                <w:rFonts w:hint="default" w:ascii="Times New Roman" w:hAnsi="Times New Roman" w:eastAsia="宋体" w:cs="Times New Roman"/>
                <w:color w:val="auto"/>
                <w:spacing w:val="-7"/>
                <w:sz w:val="24"/>
                <w:szCs w:val="24"/>
                <w:lang w:eastAsia="zh-CN"/>
              </w:rPr>
            </w:pPr>
            <w:r>
              <w:rPr>
                <w:rFonts w:hint="eastAsia" w:ascii="Times New Roman" w:hAnsi="Times New Roman" w:eastAsia="宋体" w:cs="Times New Roman"/>
                <w:color w:val="auto"/>
                <w:spacing w:val="-7"/>
                <w:sz w:val="24"/>
                <w:szCs w:val="24"/>
                <w:lang w:val="en-US" w:eastAsia="zh-CN"/>
              </w:rPr>
              <w:t>④</w:t>
            </w:r>
            <w:r>
              <w:rPr>
                <w:rFonts w:hint="default" w:ascii="Times New Roman" w:hAnsi="Times New Roman" w:eastAsia="宋体" w:cs="Times New Roman"/>
                <w:color w:val="auto"/>
                <w:spacing w:val="-7"/>
                <w:sz w:val="24"/>
                <w:szCs w:val="24"/>
                <w:lang w:eastAsia="zh-CN"/>
              </w:rPr>
              <w:t>林菌：生物有机肥500t、土壤消毒液25L。</w:t>
            </w:r>
          </w:p>
          <w:p w14:paraId="36530B62">
            <w:pPr>
              <w:spacing w:before="36" w:line="360" w:lineRule="auto"/>
              <w:ind w:firstLine="612"/>
              <w:rPr>
                <w:rFonts w:hint="default" w:ascii="Times New Roman" w:hAnsi="Times New Roman" w:eastAsia="宋体" w:cs="Times New Roman"/>
                <w:color w:val="auto"/>
                <w:spacing w:val="-7"/>
                <w:sz w:val="24"/>
                <w:szCs w:val="24"/>
                <w:lang w:eastAsia="zh-CN"/>
              </w:rPr>
            </w:pPr>
            <w:r>
              <w:rPr>
                <w:rFonts w:hint="eastAsia" w:ascii="Times New Roman" w:hAnsi="Times New Roman" w:eastAsia="宋体" w:cs="Times New Roman"/>
                <w:color w:val="auto"/>
                <w:spacing w:val="-7"/>
                <w:sz w:val="24"/>
                <w:szCs w:val="24"/>
                <w:lang w:val="en-US" w:eastAsia="zh-CN"/>
              </w:rPr>
              <w:t>⑤</w:t>
            </w:r>
            <w:r>
              <w:rPr>
                <w:rFonts w:hint="default" w:ascii="Times New Roman" w:hAnsi="Times New Roman" w:eastAsia="宋体" w:cs="Times New Roman"/>
                <w:color w:val="auto"/>
                <w:spacing w:val="-7"/>
                <w:sz w:val="24"/>
                <w:szCs w:val="24"/>
                <w:lang w:eastAsia="zh-CN"/>
              </w:rPr>
              <w:t>林药：生物有机肥1036t、复合肥1243t、除草剂1398L、农药1400L。</w:t>
            </w:r>
          </w:p>
          <w:p w14:paraId="74130461">
            <w:pPr>
              <w:spacing w:before="36" w:line="360" w:lineRule="auto"/>
              <w:ind w:firstLine="612"/>
              <w:rPr>
                <w:rFonts w:hint="default" w:ascii="Times New Roman" w:hAnsi="Times New Roman" w:eastAsia="宋体" w:cs="Times New Roman"/>
                <w:color w:val="auto"/>
                <w:spacing w:val="-7"/>
                <w:sz w:val="24"/>
                <w:szCs w:val="24"/>
                <w:lang w:eastAsia="zh-CN"/>
              </w:rPr>
            </w:pPr>
            <w:r>
              <w:rPr>
                <w:rFonts w:hint="eastAsia" w:ascii="Times New Roman" w:hAnsi="Times New Roman" w:eastAsia="宋体" w:cs="Times New Roman"/>
                <w:color w:val="auto"/>
                <w:spacing w:val="-7"/>
                <w:sz w:val="24"/>
                <w:szCs w:val="24"/>
                <w:lang w:val="en-US" w:eastAsia="zh-CN"/>
              </w:rPr>
              <w:t>⑥</w:t>
            </w:r>
            <w:r>
              <w:rPr>
                <w:rFonts w:hint="default" w:ascii="Times New Roman" w:hAnsi="Times New Roman" w:eastAsia="宋体" w:cs="Times New Roman"/>
                <w:color w:val="auto"/>
                <w:spacing w:val="-7"/>
                <w:sz w:val="24"/>
                <w:szCs w:val="24"/>
                <w:lang w:eastAsia="zh-CN"/>
              </w:rPr>
              <w:t>特色经济林：土壤要毒液150L、生物有机肥336t、复合肥532.8t、药品336kg、除草剂5248kg。</w:t>
            </w:r>
          </w:p>
          <w:p w14:paraId="50740E6C">
            <w:pPr>
              <w:spacing w:before="36" w:line="360" w:lineRule="auto"/>
              <w:ind w:firstLine="612"/>
              <w:rPr>
                <w:rFonts w:hint="default" w:ascii="Times New Roman" w:hAnsi="Times New Roman" w:eastAsia="宋体" w:cs="Times New Roman"/>
                <w:color w:val="auto"/>
                <w:spacing w:val="-7"/>
                <w:sz w:val="24"/>
                <w:szCs w:val="24"/>
                <w:lang w:eastAsia="zh-CN"/>
              </w:rPr>
            </w:pPr>
            <w:r>
              <w:rPr>
                <w:rFonts w:hint="eastAsia" w:ascii="Times New Roman" w:hAnsi="Times New Roman" w:eastAsia="宋体" w:cs="Times New Roman"/>
                <w:color w:val="auto"/>
                <w:spacing w:val="-7"/>
                <w:sz w:val="24"/>
                <w:szCs w:val="24"/>
                <w:lang w:val="en-US" w:eastAsia="zh-CN"/>
              </w:rPr>
              <w:t>⑦</w:t>
            </w:r>
            <w:r>
              <w:rPr>
                <w:rFonts w:hint="default" w:ascii="Times New Roman" w:hAnsi="Times New Roman" w:eastAsia="宋体" w:cs="Times New Roman"/>
                <w:color w:val="auto"/>
                <w:spacing w:val="-7"/>
                <w:sz w:val="24"/>
                <w:szCs w:val="24"/>
                <w:lang w:eastAsia="zh-CN"/>
              </w:rPr>
              <w:t>珍稀林木：土壤要毒液104L、生物有机肥63.39t、复合肥123.19t、药品354.2kg、除草剂1312kg。</w:t>
            </w:r>
          </w:p>
          <w:p w14:paraId="3566BB11">
            <w:pPr>
              <w:spacing w:line="360" w:lineRule="auto"/>
              <w:ind w:firstLine="452" w:firstLineChars="200"/>
              <w:rPr>
                <w:rFonts w:hint="default" w:ascii="Times New Roman" w:hAnsi="Times New Roman" w:eastAsia="宋体" w:cs="Times New Roman"/>
                <w:color w:val="auto"/>
                <w:spacing w:val="-7"/>
                <w:sz w:val="24"/>
                <w:szCs w:val="24"/>
                <w:lang w:eastAsia="zh-CN"/>
              </w:rPr>
            </w:pPr>
            <w:r>
              <w:rPr>
                <w:rFonts w:hint="eastAsia" w:ascii="Times New Roman" w:hAnsi="Times New Roman" w:eastAsia="宋体" w:cs="Times New Roman"/>
                <w:color w:val="auto"/>
                <w:spacing w:val="-7"/>
                <w:sz w:val="24"/>
                <w:szCs w:val="24"/>
                <w:lang w:val="en-US" w:eastAsia="zh-CN"/>
              </w:rPr>
              <w:t>⑧</w:t>
            </w:r>
            <w:r>
              <w:rPr>
                <w:rFonts w:hint="default" w:ascii="Times New Roman" w:hAnsi="Times New Roman" w:eastAsia="宋体" w:cs="Times New Roman"/>
                <w:color w:val="auto"/>
                <w:spacing w:val="-7"/>
                <w:sz w:val="24"/>
                <w:szCs w:val="24"/>
                <w:lang w:eastAsia="zh-CN"/>
              </w:rPr>
              <w:t>林下花卉：复合肥20.5t、土壤消毒液10.25L、农药100L。</w:t>
            </w:r>
          </w:p>
          <w:p w14:paraId="522704BA">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通过采取上述措施，降低施肥及喷洒农药造成的影响。</w:t>
            </w:r>
          </w:p>
          <w:p w14:paraId="0D43BEC2">
            <w:pPr>
              <w:pStyle w:val="27"/>
              <w:widowControl w:val="0"/>
              <w:kinsoku/>
              <w:autoSpaceDE/>
              <w:autoSpaceDN/>
              <w:adjustRightInd/>
              <w:snapToGrid/>
              <w:spacing w:line="360" w:lineRule="auto"/>
              <w:ind w:left="0" w:leftChars="0" w:firstLine="482" w:firstLineChars="200"/>
              <w:jc w:val="both"/>
              <w:textAlignment w:val="auto"/>
              <w:outlineLvl w:val="2"/>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rPr>
              <w:t>（七）本项目经济、技术、生态修复的合理性、可行性、可达性</w:t>
            </w:r>
          </w:p>
          <w:p w14:paraId="3F62E483">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施工、运行期间采取的环保措施是根据本项目的特点、采伐作业设计等技术规范、环境保护要求拟定的。这些保护措施大部分是林地建设、管理、施工、运行经验的基础上，不断加以分析、改进，并结合本工程的特点确定的。通过类比同类工程，这些措施均具备了可靠性和有效性。</w:t>
            </w:r>
          </w:p>
          <w:p w14:paraId="5E436A31">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现阶段，本工程拟采取的环境保护措施投资都已纳入工程投资预算。本项目建设有利于增加造林地树种、增加植物量，提高生物多样性，有效的控制水土流失，改良土地，保护生物多样性，进而改进当地的生态环境。本项目建成后，项目所在区域范围内植被覆盖迅速提高，林地空气湿度增加，气温和风速降低，土壤水分蒸发量减小，将部分土壤水分蒸发由植物蒸发所取代，从而减少土壤反盐。林土生长激活大量土壤微生物的繁殖，另一方面枯枝落叶分解后成为土壤有机质、有效氮和速效磷的重要来源，有利于土壤有机质增长，从而改善了土壤肥力。本项目建成后，将起到防治水土流失作用，涵养水源。</w:t>
            </w:r>
          </w:p>
          <w:p w14:paraId="69F9DA73">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的建设可以保证当地自然环境的健康，也可以为经济的持续发展奠定基础。森林具有水土保持、涵养水源、调节气候、生物多样性的保护等作用。有计划的营造人工林，可以用少量面积获得大量用材，可以解决木材资源不足而带来的困难，实现生态、经济和社会效益的和谐统一。</w:t>
            </w:r>
          </w:p>
          <w:p w14:paraId="09A1B921">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因此，本项目采取的各项防治措施，可降低各项污染因子产生量，可减少施工、营运期污染影响，本项目采取的各项保护措施是经济合理、可行的，本项目属于储备林建设项目，属于生态建设项目，营运期无生产废气、工业废水、工业固废产生，项目建成后，将有利于当地经济、生态的和谐发展。</w:t>
            </w:r>
          </w:p>
          <w:p w14:paraId="33858C8E">
            <w:pPr>
              <w:pStyle w:val="27"/>
              <w:widowControl w:val="0"/>
              <w:kinsoku/>
              <w:autoSpaceDE/>
              <w:autoSpaceDN/>
              <w:adjustRightInd/>
              <w:snapToGrid/>
              <w:spacing w:line="360" w:lineRule="auto"/>
              <w:ind w:left="0" w:leftChars="0" w:firstLine="482" w:firstLineChars="200"/>
              <w:jc w:val="both"/>
              <w:textAlignment w:val="auto"/>
              <w:outlineLvl w:val="2"/>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rPr>
              <w:t>（八）采伐治理措施</w:t>
            </w:r>
          </w:p>
          <w:p w14:paraId="75CA3720">
            <w:pPr>
              <w:spacing w:line="360" w:lineRule="auto"/>
              <w:ind w:firstLine="480" w:firstLineChars="200"/>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1</w:t>
            </w:r>
            <w:r>
              <w:rPr>
                <w:rFonts w:hint="eastAsia" w:ascii="Times New Roman" w:hAnsi="Times New Roman" w:eastAsia="宋体" w:cs="Times New Roman"/>
                <w:color w:val="auto"/>
                <w:sz w:val="24"/>
                <w:szCs w:val="24"/>
                <w:lang w:eastAsia="zh-CN"/>
              </w:rPr>
              <w:t>）改善集材方式和器械</w:t>
            </w:r>
          </w:p>
          <w:p w14:paraId="1F6590EA">
            <w:pPr>
              <w:spacing w:line="360" w:lineRule="auto"/>
              <w:ind w:firstLine="480" w:firstLineChars="200"/>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在实际林业采伐过程中，要根据当地实际情况，通过改进作业机械、提高作业技术来解决集材作业对林地生态的破坏。采伐区应用的机械应选择轻便、高效快速，对少破地表和幼树伤害性小的机械。</w:t>
            </w:r>
          </w:p>
          <w:p w14:paraId="24137486">
            <w:pPr>
              <w:spacing w:line="360" w:lineRule="auto"/>
              <w:ind w:firstLine="480" w:firstLineChars="200"/>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近几年，随着林业采伐技术的快速发展，我国在架空集材索道类型和结构完善方面取得了显著成就，而人工林间伐集材索道和天然林择伐集材索道技术已经被广泛使用，这些技术有对土壤伤害轻，对幼苗幼树损伤小，对环境迫害性小等特点，已经成为一种生态的集材方式。</w:t>
            </w:r>
          </w:p>
          <w:p w14:paraId="60B61E50">
            <w:pPr>
              <w:spacing w:line="360" w:lineRule="auto"/>
              <w:ind w:firstLine="480" w:firstLineChars="200"/>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2</w:t>
            </w:r>
            <w:r>
              <w:rPr>
                <w:rFonts w:hint="eastAsia" w:ascii="Times New Roman" w:hAnsi="Times New Roman" w:eastAsia="宋体" w:cs="Times New Roman"/>
                <w:color w:val="auto"/>
                <w:sz w:val="24"/>
                <w:szCs w:val="24"/>
                <w:lang w:eastAsia="zh-CN"/>
              </w:rPr>
              <w:t>）加强对保留木的保护</w:t>
            </w:r>
          </w:p>
          <w:p w14:paraId="0183D366">
            <w:pPr>
              <w:spacing w:line="360" w:lineRule="auto"/>
              <w:ind w:firstLine="480" w:firstLineChars="200"/>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加强作业时对保留木的保护措施有选择合理机械设备、定向伐木、选择可行的采伐方式，控制采伐强度等。要加强对采伐工人操作技术、环保意识及团队合作的培训，这样会避免保留木受到人为的损伤。有研究调查表明，在择伐作业中，通过多打楔子、深开下口、树倒前快速拉锯，这样的操作方式能够使伐木倒向正确，减少周围树木因被砸到而损伤。</w:t>
            </w:r>
          </w:p>
          <w:p w14:paraId="6A7C0502">
            <w:pPr>
              <w:spacing w:line="360" w:lineRule="auto"/>
              <w:ind w:firstLine="480" w:firstLineChars="200"/>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3</w:t>
            </w:r>
            <w:r>
              <w:rPr>
                <w:rFonts w:hint="eastAsia" w:ascii="Times New Roman" w:hAnsi="Times New Roman" w:eastAsia="宋体" w:cs="Times New Roman"/>
                <w:color w:val="auto"/>
                <w:sz w:val="24"/>
                <w:szCs w:val="24"/>
                <w:lang w:eastAsia="zh-CN"/>
              </w:rPr>
              <w:t>）改善采伐区清理措施</w:t>
            </w:r>
          </w:p>
          <w:p w14:paraId="7482EC79">
            <w:pPr>
              <w:spacing w:line="360" w:lineRule="auto"/>
              <w:ind w:firstLine="480" w:firstLineChars="200"/>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不同的清理措施对幼树生长及造林成活率都有很大影响。目前，我国南方大多数用炼山的方式来清理林区采伐剩余物，但炼山后的土壤会剩余覆盖物，这样会使幼林地的壤养分减少，造成较为严重的水土流失。因此，在采伐后的林区尽量不使用炼山的方法来处理残留物，应该把残留物散铺在土壤表面，这样能够增加幼林地地表覆盖度，保蓄养分之目的。此外，还应该采用化学除草的方式代替人工除草炼出，这样的方法快捷，成本低廉，同时枯死杂草覆盖林地，加强土壤保水能力，提高土壤肥力。有研究学者指出，采伐区的清理要把剩余物尽量留在迹地上，这样迹地上的大量有机物会对下一代的森林更新打下坚实的物质基础，这对维持和恢复森林生态系统，增加森林结构的合理性都具有重要的作用。</w:t>
            </w:r>
          </w:p>
          <w:p w14:paraId="7424F0FF">
            <w:pPr>
              <w:spacing w:line="360" w:lineRule="auto"/>
              <w:ind w:firstLine="480" w:firstLineChars="200"/>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4</w:t>
            </w:r>
            <w:r>
              <w:rPr>
                <w:rFonts w:hint="eastAsia" w:ascii="Times New Roman" w:hAnsi="Times New Roman" w:eastAsia="宋体" w:cs="Times New Roman"/>
                <w:color w:val="auto"/>
                <w:sz w:val="24"/>
                <w:szCs w:val="24"/>
                <w:lang w:eastAsia="zh-CN"/>
              </w:rPr>
              <w:t>）优化采伐方式，改善伐区配置</w:t>
            </w:r>
          </w:p>
          <w:p w14:paraId="6266FD81">
            <w:pPr>
              <w:spacing w:line="360" w:lineRule="auto"/>
              <w:ind w:firstLine="480" w:firstLineChars="200"/>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eastAsia="zh-CN"/>
              </w:rPr>
              <w:t>我国《森林采伐更新规程》中写到森林采伐方式选择应该根据当地条件来进行，尽量避免连片大面积皆伐作业，同时应该控制好择伐作业的强度。有研究表明，30%强度的择伐作业方式，能有效保留林分，对树木的迫害性很小，同时可以降低采伐成本。在伐区配置方面，通常都采用带状皆伐和小面积块状。采用集中伐区更能降低森林景观的破碎程度，还可以降低采伐区生产作业成</w:t>
            </w:r>
            <w:r>
              <w:rPr>
                <w:rFonts w:hint="eastAsia" w:ascii="Times New Roman" w:hAnsi="Times New Roman" w:eastAsia="宋体" w:cs="Times New Roman"/>
                <w:color w:val="auto"/>
                <w:sz w:val="24"/>
                <w:szCs w:val="24"/>
                <w:lang w:val="en-US" w:eastAsia="zh-CN"/>
              </w:rPr>
              <w:t>本。</w:t>
            </w:r>
          </w:p>
          <w:p w14:paraId="2BD21725">
            <w:pPr>
              <w:spacing w:line="360" w:lineRule="auto"/>
              <w:ind w:firstLine="480" w:firstLineChars="200"/>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5</w:t>
            </w:r>
            <w:r>
              <w:rPr>
                <w:rFonts w:hint="eastAsia" w:ascii="Times New Roman" w:hAnsi="Times New Roman" w:eastAsia="宋体" w:cs="Times New Roman"/>
                <w:color w:val="auto"/>
                <w:sz w:val="24"/>
                <w:szCs w:val="24"/>
                <w:lang w:eastAsia="zh-CN"/>
              </w:rPr>
              <w:t>）完善森林采伐制度</w:t>
            </w:r>
          </w:p>
          <w:p w14:paraId="634C026A">
            <w:pPr>
              <w:spacing w:line="360" w:lineRule="auto"/>
              <w:ind w:firstLine="480" w:firstLineChars="200"/>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大力发展林业，保证森林系统的完整性为了确保采伐林木所获得的经济效益和减少采伐对森林生态的迫害，保证森林能够可持续发展。通过科学合理的手段，建设稳定森林生态系统，大力发展林业产品，提高林地的生产力水平，从而提高森林经济效益、生态效益和社会效益。</w:t>
            </w:r>
          </w:p>
          <w:p w14:paraId="15E16ABE">
            <w:pPr>
              <w:spacing w:line="360" w:lineRule="auto"/>
              <w:ind w:firstLine="480" w:firstLineChars="200"/>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根据不同地区的实际情况，制定适宜的采伐制度。</w:t>
            </w:r>
          </w:p>
          <w:p w14:paraId="0F869F2F">
            <w:pPr>
              <w:spacing w:line="360" w:lineRule="auto"/>
              <w:ind w:firstLine="480" w:firstLineChars="200"/>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建立可行的监督体系，保证采伐的合规性。可采用全球定位系统、遥感等先进技术手段，加强对采伐的区域、场地清理等进行广泛监控，监控的结果可以作为整治和管理的参考依据。</w:t>
            </w:r>
          </w:p>
          <w:p w14:paraId="17612853">
            <w:pPr>
              <w:pStyle w:val="27"/>
              <w:widowControl w:val="0"/>
              <w:kinsoku/>
              <w:autoSpaceDE/>
              <w:autoSpaceDN/>
              <w:adjustRightInd/>
              <w:snapToGrid/>
              <w:spacing w:line="360" w:lineRule="auto"/>
              <w:ind w:left="0" w:leftChars="0" w:firstLine="482" w:firstLineChars="200"/>
              <w:jc w:val="both"/>
              <w:textAlignment w:val="auto"/>
              <w:outlineLvl w:val="2"/>
              <w:rPr>
                <w:rFonts w:hint="default" w:ascii="Times New Roman" w:hAnsi="Times New Roman" w:eastAsia="宋体" w:cs="Times New Roman"/>
                <w:b/>
                <w:color w:val="auto"/>
                <w:sz w:val="24"/>
              </w:rPr>
            </w:pPr>
            <w:r>
              <w:rPr>
                <w:rFonts w:hint="eastAsia" w:ascii="Times New Roman" w:hAnsi="Times New Roman" w:eastAsia="宋体" w:cs="Times New Roman"/>
                <w:b/>
                <w:color w:val="auto"/>
                <w:sz w:val="24"/>
                <w:lang w:eastAsia="zh-CN"/>
              </w:rPr>
              <w:t>（</w:t>
            </w:r>
            <w:r>
              <w:rPr>
                <w:rFonts w:hint="eastAsia" w:ascii="Times New Roman" w:hAnsi="Times New Roman" w:eastAsia="宋体" w:cs="Times New Roman"/>
                <w:b/>
                <w:color w:val="auto"/>
                <w:sz w:val="24"/>
                <w:lang w:val="en-US" w:eastAsia="zh-CN"/>
              </w:rPr>
              <w:t>九</w:t>
            </w:r>
            <w:r>
              <w:rPr>
                <w:rFonts w:hint="eastAsia" w:ascii="Times New Roman" w:hAnsi="Times New Roman" w:eastAsia="宋体" w:cs="Times New Roman"/>
                <w:b/>
                <w:color w:val="auto"/>
                <w:sz w:val="24"/>
                <w:lang w:eastAsia="zh-CN"/>
              </w:rPr>
              <w:t>）</w:t>
            </w:r>
            <w:r>
              <w:rPr>
                <w:rFonts w:hint="default" w:ascii="Times New Roman" w:hAnsi="Times New Roman" w:eastAsia="宋体" w:cs="Times New Roman"/>
                <w:b/>
                <w:color w:val="auto"/>
                <w:sz w:val="24"/>
              </w:rPr>
              <w:t>监测计划</w:t>
            </w:r>
          </w:p>
          <w:p w14:paraId="2B67BC2D">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 xml:space="preserve">环境监测是对建设项目施工期、运行期的环境影响及环境保护措施进行 监督和检查，并提出环境管理的对策与建议，环境监测为环境保护管理提供科学的依据。 </w:t>
            </w:r>
          </w:p>
          <w:p w14:paraId="73281E5B">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营运期监测计划</w:t>
            </w:r>
          </w:p>
          <w:p w14:paraId="2B2E4312">
            <w:pPr>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表 5-1 营运期环境监测计划</w:t>
            </w:r>
          </w:p>
          <w:tbl>
            <w:tblPr>
              <w:tblStyle w:val="43"/>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70"/>
              <w:gridCol w:w="1060"/>
              <w:gridCol w:w="3846"/>
              <w:gridCol w:w="2723"/>
            </w:tblGrid>
            <w:tr w14:paraId="682EBA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348" w:type="pct"/>
                  <w:vAlign w:val="center"/>
                </w:tcPr>
                <w:p w14:paraId="0A64B9C3">
                  <w:pPr>
                    <w:pStyle w:val="48"/>
                    <w:spacing w:line="240" w:lineRule="auto"/>
                    <w:rPr>
                      <w:rFonts w:hint="default" w:ascii="Times New Roman" w:hAnsi="Times New Roman" w:eastAsia="宋体" w:cs="Times New Roman"/>
                      <w:b/>
                      <w:bCs/>
                      <w:color w:val="auto"/>
                      <w:sz w:val="21"/>
                    </w:rPr>
                  </w:pPr>
                  <w:r>
                    <w:rPr>
                      <w:rFonts w:hint="default" w:ascii="Times New Roman" w:hAnsi="Times New Roman" w:eastAsia="宋体" w:cs="Times New Roman"/>
                      <w:b/>
                      <w:bCs/>
                      <w:color w:val="auto"/>
                      <w:sz w:val="21"/>
                    </w:rPr>
                    <w:t>编号</w:t>
                  </w:r>
                </w:p>
              </w:tc>
              <w:tc>
                <w:tcPr>
                  <w:tcW w:w="646" w:type="pct"/>
                  <w:vAlign w:val="center"/>
                </w:tcPr>
                <w:p w14:paraId="2B98D432">
                  <w:pPr>
                    <w:pStyle w:val="48"/>
                    <w:spacing w:line="240" w:lineRule="auto"/>
                    <w:rPr>
                      <w:rFonts w:hint="default" w:ascii="Times New Roman" w:hAnsi="Times New Roman" w:eastAsia="宋体" w:cs="Times New Roman"/>
                      <w:b/>
                      <w:bCs/>
                      <w:color w:val="auto"/>
                      <w:sz w:val="21"/>
                    </w:rPr>
                  </w:pPr>
                  <w:r>
                    <w:rPr>
                      <w:rFonts w:hint="default" w:ascii="Times New Roman" w:hAnsi="Times New Roman" w:eastAsia="宋体" w:cs="Times New Roman"/>
                      <w:b/>
                      <w:bCs/>
                      <w:color w:val="auto"/>
                      <w:sz w:val="21"/>
                    </w:rPr>
                    <w:t>类别</w:t>
                  </w:r>
                </w:p>
              </w:tc>
              <w:tc>
                <w:tcPr>
                  <w:tcW w:w="2345" w:type="pct"/>
                  <w:vAlign w:val="center"/>
                </w:tcPr>
                <w:p w14:paraId="1D776A3F">
                  <w:pPr>
                    <w:pStyle w:val="48"/>
                    <w:spacing w:line="240" w:lineRule="auto"/>
                    <w:rPr>
                      <w:rFonts w:hint="default" w:ascii="Times New Roman" w:hAnsi="Times New Roman" w:eastAsia="宋体" w:cs="Times New Roman"/>
                      <w:b/>
                      <w:bCs/>
                      <w:color w:val="auto"/>
                      <w:sz w:val="21"/>
                    </w:rPr>
                  </w:pPr>
                  <w:r>
                    <w:rPr>
                      <w:rFonts w:hint="default" w:ascii="Times New Roman" w:hAnsi="Times New Roman" w:eastAsia="宋体" w:cs="Times New Roman"/>
                      <w:b/>
                      <w:bCs/>
                      <w:color w:val="auto"/>
                      <w:sz w:val="21"/>
                    </w:rPr>
                    <w:t>监测项目</w:t>
                  </w:r>
                </w:p>
              </w:tc>
              <w:tc>
                <w:tcPr>
                  <w:tcW w:w="1660" w:type="pct"/>
                  <w:vAlign w:val="center"/>
                </w:tcPr>
                <w:p w14:paraId="008E003E">
                  <w:pPr>
                    <w:pStyle w:val="48"/>
                    <w:spacing w:line="240" w:lineRule="auto"/>
                    <w:rPr>
                      <w:rFonts w:hint="default" w:ascii="Times New Roman" w:hAnsi="Times New Roman" w:eastAsia="宋体" w:cs="Times New Roman"/>
                      <w:b/>
                      <w:bCs/>
                      <w:color w:val="auto"/>
                      <w:sz w:val="21"/>
                    </w:rPr>
                  </w:pPr>
                  <w:r>
                    <w:rPr>
                      <w:rFonts w:hint="default" w:ascii="Times New Roman" w:hAnsi="Times New Roman" w:eastAsia="宋体" w:cs="Times New Roman"/>
                      <w:b/>
                      <w:bCs/>
                      <w:color w:val="auto"/>
                      <w:sz w:val="21"/>
                    </w:rPr>
                    <w:t>监测频率</w:t>
                  </w:r>
                </w:p>
              </w:tc>
            </w:tr>
            <w:tr w14:paraId="5529A6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348" w:type="pct"/>
                  <w:vAlign w:val="center"/>
                </w:tcPr>
                <w:p w14:paraId="51E18637">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1</w:t>
                  </w:r>
                </w:p>
              </w:tc>
              <w:tc>
                <w:tcPr>
                  <w:tcW w:w="646" w:type="pct"/>
                  <w:vAlign w:val="center"/>
                </w:tcPr>
                <w:p w14:paraId="0221A0BA">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生物多样性</w:t>
                  </w:r>
                </w:p>
              </w:tc>
              <w:tc>
                <w:tcPr>
                  <w:tcW w:w="2345" w:type="pct"/>
                  <w:vAlign w:val="center"/>
                </w:tcPr>
                <w:p w14:paraId="28C2B370">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林下植被，包括种类、数量、覆 盖率、分布等变化情况。</w:t>
                  </w:r>
                </w:p>
              </w:tc>
              <w:tc>
                <w:tcPr>
                  <w:tcW w:w="1660" w:type="pct"/>
                  <w:vAlign w:val="center"/>
                </w:tcPr>
                <w:p w14:paraId="729C9E6F">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每2 年一次，每次6 天</w:t>
                  </w:r>
                </w:p>
              </w:tc>
            </w:tr>
            <w:tr w14:paraId="07DA87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348" w:type="pct"/>
                  <w:vAlign w:val="center"/>
                </w:tcPr>
                <w:p w14:paraId="11D66BE4">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2</w:t>
                  </w:r>
                </w:p>
              </w:tc>
              <w:tc>
                <w:tcPr>
                  <w:tcW w:w="646" w:type="pct"/>
                  <w:vAlign w:val="center"/>
                </w:tcPr>
                <w:p w14:paraId="27B290AE">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土壤肥力</w:t>
                  </w:r>
                </w:p>
              </w:tc>
              <w:tc>
                <w:tcPr>
                  <w:tcW w:w="2345" w:type="pct"/>
                  <w:vAlign w:val="center"/>
                </w:tcPr>
                <w:p w14:paraId="0B6FB48F">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通过监测有机物、总磷、总氮、 钙、镁等判断土壤肥力变化</w:t>
                  </w:r>
                </w:p>
              </w:tc>
              <w:tc>
                <w:tcPr>
                  <w:tcW w:w="1660" w:type="pct"/>
                  <w:vAlign w:val="center"/>
                </w:tcPr>
                <w:p w14:paraId="2721B9CC">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每2 年一次，每次6 天</w:t>
                  </w:r>
                </w:p>
              </w:tc>
            </w:tr>
            <w:tr w14:paraId="04E0B4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348" w:type="pct"/>
                  <w:vAlign w:val="center"/>
                </w:tcPr>
                <w:p w14:paraId="602E238F">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3</w:t>
                  </w:r>
                </w:p>
              </w:tc>
              <w:tc>
                <w:tcPr>
                  <w:tcW w:w="646" w:type="pct"/>
                  <w:vAlign w:val="center"/>
                </w:tcPr>
                <w:p w14:paraId="60F328ED">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病虫害</w:t>
                  </w:r>
                </w:p>
              </w:tc>
              <w:tc>
                <w:tcPr>
                  <w:tcW w:w="2345" w:type="pct"/>
                  <w:vAlign w:val="center"/>
                </w:tcPr>
                <w:p w14:paraId="53B6AA8D">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病虫害</w:t>
                  </w:r>
                </w:p>
              </w:tc>
              <w:tc>
                <w:tcPr>
                  <w:tcW w:w="1660" w:type="pct"/>
                  <w:vAlign w:val="center"/>
                </w:tcPr>
                <w:p w14:paraId="70BF51DA">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运营期前5 年，每年5 次，每 次9 天</w:t>
                  </w:r>
                </w:p>
              </w:tc>
            </w:tr>
          </w:tbl>
          <w:p w14:paraId="44590FE5">
            <w:pPr>
              <w:spacing w:line="360" w:lineRule="auto"/>
              <w:ind w:firstLine="480" w:firstLineChars="200"/>
              <w:rPr>
                <w:rFonts w:hint="default" w:ascii="Times New Roman" w:hAnsi="Times New Roman" w:eastAsia="宋体" w:cs="Times New Roman"/>
                <w:color w:val="auto"/>
                <w:sz w:val="24"/>
                <w:szCs w:val="24"/>
              </w:rPr>
            </w:pPr>
          </w:p>
        </w:tc>
      </w:tr>
      <w:tr w14:paraId="3EA8B26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jc w:val="center"/>
        </w:trPr>
        <w:tc>
          <w:tcPr>
            <w:tcW w:w="569" w:type="dxa"/>
            <w:textDirection w:val="tbRlV"/>
            <w:vAlign w:val="center"/>
          </w:tcPr>
          <w:p w14:paraId="1B8225F5">
            <w:pPr>
              <w:spacing w:before="190" w:line="180" w:lineRule="auto"/>
              <w:ind w:firstLine="39"/>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1"/>
                <w:sz w:val="24"/>
                <w:szCs w:val="24"/>
              </w:rPr>
              <w:t>其他</w:t>
            </w:r>
          </w:p>
        </w:tc>
        <w:tc>
          <w:tcPr>
            <w:tcW w:w="8218" w:type="dxa"/>
            <w:vAlign w:val="center"/>
          </w:tcPr>
          <w:p w14:paraId="417AC75A">
            <w:pPr>
              <w:spacing w:before="196" w:line="184" w:lineRule="auto"/>
              <w:ind w:firstLine="3838"/>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无</w:t>
            </w:r>
          </w:p>
          <w:p w14:paraId="32457920">
            <w:pPr>
              <w:pStyle w:val="2"/>
              <w:rPr>
                <w:rFonts w:hint="default" w:ascii="Times New Roman" w:hAnsi="Times New Roman" w:eastAsia="宋体" w:cs="Times New Roman"/>
                <w:color w:val="auto"/>
                <w:sz w:val="24"/>
                <w:szCs w:val="24"/>
              </w:rPr>
            </w:pPr>
          </w:p>
          <w:p w14:paraId="700520E4">
            <w:pPr>
              <w:pStyle w:val="2"/>
              <w:rPr>
                <w:rFonts w:hint="default" w:ascii="Times New Roman" w:hAnsi="Times New Roman" w:eastAsia="宋体" w:cs="Times New Roman"/>
                <w:color w:val="auto"/>
                <w:sz w:val="24"/>
                <w:szCs w:val="24"/>
              </w:rPr>
            </w:pPr>
          </w:p>
          <w:p w14:paraId="1811D5E0">
            <w:pPr>
              <w:pStyle w:val="2"/>
              <w:rPr>
                <w:rFonts w:hint="default" w:ascii="Times New Roman" w:hAnsi="Times New Roman" w:eastAsia="宋体" w:cs="Times New Roman"/>
                <w:color w:val="auto"/>
                <w:sz w:val="24"/>
                <w:szCs w:val="24"/>
              </w:rPr>
            </w:pPr>
          </w:p>
        </w:tc>
      </w:tr>
      <w:tr w14:paraId="7FB133F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jc w:val="center"/>
        </w:trPr>
        <w:tc>
          <w:tcPr>
            <w:tcW w:w="569" w:type="dxa"/>
            <w:textDirection w:val="tbRlV"/>
            <w:vAlign w:val="center"/>
          </w:tcPr>
          <w:p w14:paraId="4CE4C81B">
            <w:pPr>
              <w:spacing w:before="190" w:line="180" w:lineRule="auto"/>
              <w:ind w:firstLine="39"/>
              <w:jc w:val="center"/>
              <w:rPr>
                <w:rFonts w:hint="default" w:ascii="Times New Roman" w:hAnsi="Times New Roman" w:eastAsia="宋体" w:cs="Times New Roman"/>
                <w:color w:val="auto"/>
                <w:spacing w:val="-1"/>
                <w:sz w:val="24"/>
                <w:szCs w:val="24"/>
              </w:rPr>
            </w:pPr>
            <w:r>
              <w:rPr>
                <w:rFonts w:hint="default" w:ascii="Times New Roman" w:hAnsi="Times New Roman" w:eastAsia="宋体" w:cs="Times New Roman"/>
                <w:color w:val="auto"/>
                <w:spacing w:val="-1"/>
                <w:sz w:val="24"/>
                <w:szCs w:val="24"/>
              </w:rPr>
              <w:t>环保投资</w:t>
            </w:r>
          </w:p>
        </w:tc>
        <w:tc>
          <w:tcPr>
            <w:tcW w:w="8218" w:type="dxa"/>
            <w:vAlign w:val="center"/>
          </w:tcPr>
          <w:p w14:paraId="7D453DB9">
            <w:pPr>
              <w:pStyle w:val="27"/>
              <w:widowControl w:val="0"/>
              <w:kinsoku/>
              <w:autoSpaceDE/>
              <w:autoSpaceDN/>
              <w:adjustRightInd/>
              <w:snapToGrid/>
              <w:spacing w:line="360" w:lineRule="auto"/>
              <w:jc w:val="both"/>
              <w:textAlignment w:val="auto"/>
              <w:outlineLvl w:val="1"/>
              <w:rPr>
                <w:rFonts w:hint="default" w:ascii="Times New Roman" w:hAnsi="Times New Roman" w:eastAsia="宋体" w:cs="Times New Roman"/>
                <w:b/>
                <w:bCs/>
                <w:color w:val="auto"/>
                <w:sz w:val="28"/>
                <w:szCs w:val="28"/>
              </w:rPr>
            </w:pPr>
            <w:bookmarkStart w:id="47" w:name="_Toc12923"/>
            <w:r>
              <w:rPr>
                <w:rFonts w:hint="default" w:ascii="Times New Roman" w:hAnsi="Times New Roman" w:eastAsia="宋体" w:cs="Times New Roman"/>
                <w:b/>
                <w:bCs/>
                <w:color w:val="auto"/>
                <w:sz w:val="28"/>
                <w:szCs w:val="28"/>
              </w:rPr>
              <w:t>三、环保投资</w:t>
            </w:r>
            <w:bookmarkEnd w:id="47"/>
          </w:p>
          <w:p w14:paraId="16C5F184">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项目总投资106100万元，环保投资365.5万元，占总投资的0.34%，具体环保投资见表5-2</w:t>
            </w:r>
          </w:p>
          <w:p w14:paraId="5FCAA95B">
            <w:pPr>
              <w:widowControl w:val="0"/>
              <w:kinsoku/>
              <w:autoSpaceDE/>
              <w:autoSpaceDN/>
              <w:adjustRightInd/>
              <w:snapToGrid/>
              <w:spacing w:line="360" w:lineRule="auto"/>
              <w:ind w:firstLine="422" w:firstLineChars="200"/>
              <w:jc w:val="center"/>
              <w:textAlignment w:val="auto"/>
              <w:rPr>
                <w:rFonts w:hint="default" w:ascii="Times New Roman" w:hAnsi="Times New Roman" w:eastAsia="宋体" w:cs="Times New Roman"/>
                <w:b/>
                <w:bCs/>
                <w:snapToGrid/>
                <w:color w:val="auto"/>
                <w:kern w:val="2"/>
              </w:rPr>
            </w:pPr>
            <w:r>
              <w:rPr>
                <w:rFonts w:hint="default" w:ascii="Times New Roman" w:hAnsi="Times New Roman" w:eastAsia="宋体" w:cs="Times New Roman"/>
                <w:b/>
                <w:bCs/>
                <w:snapToGrid/>
                <w:color w:val="auto"/>
                <w:kern w:val="2"/>
              </w:rPr>
              <w:t>表5-2  环保设施(措施)及投资估算一览表</w:t>
            </w:r>
          </w:p>
          <w:tbl>
            <w:tblPr>
              <w:tblStyle w:val="43"/>
              <w:tblW w:w="4999"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638"/>
              <w:gridCol w:w="655"/>
              <w:gridCol w:w="1954"/>
              <w:gridCol w:w="98"/>
              <w:gridCol w:w="2711"/>
              <w:gridCol w:w="1072"/>
              <w:gridCol w:w="1077"/>
            </w:tblGrid>
            <w:tr w14:paraId="2C0D88D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389" w:type="pct"/>
                  <w:vMerge w:val="restart"/>
                  <w:tcBorders>
                    <w:bottom w:val="nil"/>
                  </w:tcBorders>
                  <w:vAlign w:val="center"/>
                </w:tcPr>
                <w:p w14:paraId="5C207ADE">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时段</w:t>
                  </w:r>
                </w:p>
              </w:tc>
              <w:tc>
                <w:tcPr>
                  <w:tcW w:w="3302" w:type="pct"/>
                  <w:gridSpan w:val="4"/>
                  <w:vMerge w:val="restart"/>
                  <w:tcBorders>
                    <w:bottom w:val="nil"/>
                  </w:tcBorders>
                  <w:vAlign w:val="center"/>
                </w:tcPr>
                <w:p w14:paraId="5F6A79DF">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内容</w:t>
                  </w:r>
                </w:p>
              </w:tc>
              <w:tc>
                <w:tcPr>
                  <w:tcW w:w="1308" w:type="pct"/>
                  <w:gridSpan w:val="2"/>
                  <w:vAlign w:val="center"/>
                </w:tcPr>
                <w:p w14:paraId="413085A4">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投资（万元）</w:t>
                  </w:r>
                </w:p>
              </w:tc>
            </w:tr>
            <w:tr w14:paraId="66B2B96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389" w:type="pct"/>
                  <w:vMerge w:val="continue"/>
                  <w:tcBorders>
                    <w:top w:val="nil"/>
                  </w:tcBorders>
                  <w:vAlign w:val="center"/>
                </w:tcPr>
                <w:p w14:paraId="603E1121">
                  <w:pPr>
                    <w:pStyle w:val="48"/>
                    <w:spacing w:line="240" w:lineRule="auto"/>
                    <w:rPr>
                      <w:rFonts w:hint="default" w:ascii="Times New Roman" w:hAnsi="Times New Roman" w:eastAsia="宋体" w:cs="Times New Roman"/>
                      <w:color w:val="auto"/>
                      <w:sz w:val="21"/>
                    </w:rPr>
                  </w:pPr>
                </w:p>
              </w:tc>
              <w:tc>
                <w:tcPr>
                  <w:tcW w:w="3302" w:type="pct"/>
                  <w:gridSpan w:val="4"/>
                  <w:vMerge w:val="continue"/>
                  <w:tcBorders>
                    <w:top w:val="nil"/>
                  </w:tcBorders>
                  <w:vAlign w:val="center"/>
                </w:tcPr>
                <w:p w14:paraId="33ACFFAD">
                  <w:pPr>
                    <w:pStyle w:val="48"/>
                    <w:spacing w:line="240" w:lineRule="auto"/>
                    <w:rPr>
                      <w:rFonts w:hint="default" w:ascii="Times New Roman" w:hAnsi="Times New Roman" w:eastAsia="宋体" w:cs="Times New Roman"/>
                      <w:color w:val="auto"/>
                      <w:sz w:val="21"/>
                    </w:rPr>
                  </w:pPr>
                </w:p>
              </w:tc>
              <w:tc>
                <w:tcPr>
                  <w:tcW w:w="652" w:type="pct"/>
                  <w:vAlign w:val="center"/>
                </w:tcPr>
                <w:p w14:paraId="774553C6">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估算</w:t>
                  </w:r>
                </w:p>
              </w:tc>
              <w:tc>
                <w:tcPr>
                  <w:tcW w:w="655" w:type="pct"/>
                  <w:vAlign w:val="center"/>
                </w:tcPr>
                <w:p w14:paraId="2C8ED8D0">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合计</w:t>
                  </w:r>
                </w:p>
              </w:tc>
            </w:tr>
            <w:tr w14:paraId="30A70D6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389" w:type="pct"/>
                  <w:vMerge w:val="restart"/>
                  <w:tcBorders>
                    <w:bottom w:val="nil"/>
                  </w:tcBorders>
                  <w:textDirection w:val="tbRlV"/>
                  <w:vAlign w:val="center"/>
                </w:tcPr>
                <w:p w14:paraId="780AAC26">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施工期</w:t>
                  </w:r>
                </w:p>
              </w:tc>
              <w:tc>
                <w:tcPr>
                  <w:tcW w:w="399" w:type="pct"/>
                  <w:vAlign w:val="center"/>
                </w:tcPr>
                <w:p w14:paraId="5327D858">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噪声</w:t>
                  </w:r>
                </w:p>
              </w:tc>
              <w:tc>
                <w:tcPr>
                  <w:tcW w:w="2903" w:type="pct"/>
                  <w:gridSpan w:val="3"/>
                  <w:vAlign w:val="center"/>
                </w:tcPr>
                <w:p w14:paraId="2E336B0C">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施工机械维护、设置临时隔声围护等</w:t>
                  </w:r>
                </w:p>
              </w:tc>
              <w:tc>
                <w:tcPr>
                  <w:tcW w:w="652" w:type="pct"/>
                  <w:vAlign w:val="center"/>
                </w:tcPr>
                <w:p w14:paraId="36AB8678">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34</w:t>
                  </w:r>
                </w:p>
              </w:tc>
              <w:tc>
                <w:tcPr>
                  <w:tcW w:w="655" w:type="pct"/>
                  <w:vAlign w:val="center"/>
                </w:tcPr>
                <w:p w14:paraId="6D0CC72D">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34</w:t>
                  </w:r>
                </w:p>
              </w:tc>
            </w:tr>
            <w:tr w14:paraId="0B6889B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389" w:type="pct"/>
                  <w:vMerge w:val="continue"/>
                  <w:tcBorders>
                    <w:top w:val="nil"/>
                    <w:bottom w:val="nil"/>
                  </w:tcBorders>
                  <w:textDirection w:val="tbRlV"/>
                  <w:vAlign w:val="center"/>
                </w:tcPr>
                <w:p w14:paraId="203B9BD9">
                  <w:pPr>
                    <w:pStyle w:val="48"/>
                    <w:spacing w:line="240" w:lineRule="auto"/>
                    <w:rPr>
                      <w:rFonts w:hint="default" w:ascii="Times New Roman" w:hAnsi="Times New Roman" w:eastAsia="宋体" w:cs="Times New Roman"/>
                      <w:color w:val="auto"/>
                      <w:sz w:val="21"/>
                    </w:rPr>
                  </w:pPr>
                </w:p>
              </w:tc>
              <w:tc>
                <w:tcPr>
                  <w:tcW w:w="399" w:type="pct"/>
                  <w:vMerge w:val="restart"/>
                  <w:tcBorders>
                    <w:bottom w:val="nil"/>
                  </w:tcBorders>
                  <w:vAlign w:val="center"/>
                </w:tcPr>
                <w:p w14:paraId="1958ECAA">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大气</w:t>
                  </w:r>
                </w:p>
              </w:tc>
              <w:tc>
                <w:tcPr>
                  <w:tcW w:w="2903" w:type="pct"/>
                  <w:gridSpan w:val="3"/>
                  <w:vAlign w:val="center"/>
                </w:tcPr>
                <w:p w14:paraId="77EA4C92">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施工现场围挡</w:t>
                  </w:r>
                </w:p>
              </w:tc>
              <w:tc>
                <w:tcPr>
                  <w:tcW w:w="652" w:type="pct"/>
                  <w:vAlign w:val="center"/>
                </w:tcPr>
                <w:p w14:paraId="5903D2CC">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43</w:t>
                  </w:r>
                </w:p>
              </w:tc>
              <w:tc>
                <w:tcPr>
                  <w:tcW w:w="655" w:type="pct"/>
                  <w:vMerge w:val="restart"/>
                  <w:tcBorders>
                    <w:bottom w:val="nil"/>
                  </w:tcBorders>
                  <w:vAlign w:val="center"/>
                </w:tcPr>
                <w:p w14:paraId="07CE0C30">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108</w:t>
                  </w:r>
                </w:p>
              </w:tc>
            </w:tr>
            <w:tr w14:paraId="6524060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389" w:type="pct"/>
                  <w:vMerge w:val="continue"/>
                  <w:tcBorders>
                    <w:top w:val="nil"/>
                    <w:bottom w:val="nil"/>
                  </w:tcBorders>
                  <w:textDirection w:val="tbRlV"/>
                  <w:vAlign w:val="center"/>
                </w:tcPr>
                <w:p w14:paraId="4E492CEF">
                  <w:pPr>
                    <w:pStyle w:val="48"/>
                    <w:spacing w:line="240" w:lineRule="auto"/>
                    <w:rPr>
                      <w:rFonts w:hint="default" w:ascii="Times New Roman" w:hAnsi="Times New Roman" w:eastAsia="宋体" w:cs="Times New Roman"/>
                      <w:color w:val="auto"/>
                      <w:sz w:val="21"/>
                    </w:rPr>
                  </w:pPr>
                </w:p>
              </w:tc>
              <w:tc>
                <w:tcPr>
                  <w:tcW w:w="399" w:type="pct"/>
                  <w:vMerge w:val="continue"/>
                  <w:tcBorders>
                    <w:top w:val="nil"/>
                    <w:bottom w:val="nil"/>
                  </w:tcBorders>
                  <w:vAlign w:val="center"/>
                </w:tcPr>
                <w:p w14:paraId="468A67C1">
                  <w:pPr>
                    <w:pStyle w:val="48"/>
                    <w:spacing w:line="240" w:lineRule="auto"/>
                    <w:rPr>
                      <w:rFonts w:hint="default" w:ascii="Times New Roman" w:hAnsi="Times New Roman" w:eastAsia="宋体" w:cs="Times New Roman"/>
                      <w:color w:val="auto"/>
                      <w:sz w:val="21"/>
                    </w:rPr>
                  </w:pPr>
                </w:p>
              </w:tc>
              <w:tc>
                <w:tcPr>
                  <w:tcW w:w="2903" w:type="pct"/>
                  <w:gridSpan w:val="3"/>
                  <w:vAlign w:val="center"/>
                </w:tcPr>
                <w:p w14:paraId="7FBBE930">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材料运输、堆放覆盖等防护</w:t>
                  </w:r>
                </w:p>
              </w:tc>
              <w:tc>
                <w:tcPr>
                  <w:tcW w:w="652" w:type="pct"/>
                  <w:vAlign w:val="center"/>
                </w:tcPr>
                <w:p w14:paraId="5739A409">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39</w:t>
                  </w:r>
                </w:p>
              </w:tc>
              <w:tc>
                <w:tcPr>
                  <w:tcW w:w="655" w:type="pct"/>
                  <w:vMerge w:val="continue"/>
                  <w:tcBorders>
                    <w:top w:val="nil"/>
                    <w:bottom w:val="nil"/>
                  </w:tcBorders>
                  <w:vAlign w:val="center"/>
                </w:tcPr>
                <w:p w14:paraId="5BDFB377">
                  <w:pPr>
                    <w:pStyle w:val="48"/>
                    <w:spacing w:line="240" w:lineRule="auto"/>
                    <w:rPr>
                      <w:rFonts w:hint="default" w:ascii="Times New Roman" w:hAnsi="Times New Roman" w:eastAsia="宋体" w:cs="Times New Roman"/>
                      <w:color w:val="auto"/>
                      <w:sz w:val="21"/>
                    </w:rPr>
                  </w:pPr>
                </w:p>
              </w:tc>
            </w:tr>
            <w:tr w14:paraId="18DBE23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389" w:type="pct"/>
                  <w:vMerge w:val="continue"/>
                  <w:tcBorders>
                    <w:top w:val="nil"/>
                    <w:bottom w:val="nil"/>
                  </w:tcBorders>
                  <w:textDirection w:val="tbRlV"/>
                  <w:vAlign w:val="center"/>
                </w:tcPr>
                <w:p w14:paraId="6D2D2EF4">
                  <w:pPr>
                    <w:pStyle w:val="48"/>
                    <w:spacing w:line="240" w:lineRule="auto"/>
                    <w:rPr>
                      <w:rFonts w:hint="default" w:ascii="Times New Roman" w:hAnsi="Times New Roman" w:eastAsia="宋体" w:cs="Times New Roman"/>
                      <w:color w:val="auto"/>
                      <w:sz w:val="21"/>
                    </w:rPr>
                  </w:pPr>
                </w:p>
              </w:tc>
              <w:tc>
                <w:tcPr>
                  <w:tcW w:w="399" w:type="pct"/>
                  <w:vMerge w:val="continue"/>
                  <w:tcBorders>
                    <w:top w:val="nil"/>
                  </w:tcBorders>
                  <w:vAlign w:val="center"/>
                </w:tcPr>
                <w:p w14:paraId="791E3093">
                  <w:pPr>
                    <w:pStyle w:val="48"/>
                    <w:spacing w:line="240" w:lineRule="auto"/>
                    <w:rPr>
                      <w:rFonts w:hint="default" w:ascii="Times New Roman" w:hAnsi="Times New Roman" w:eastAsia="宋体" w:cs="Times New Roman"/>
                      <w:color w:val="auto"/>
                      <w:sz w:val="21"/>
                    </w:rPr>
                  </w:pPr>
                </w:p>
              </w:tc>
              <w:tc>
                <w:tcPr>
                  <w:tcW w:w="2903" w:type="pct"/>
                  <w:gridSpan w:val="3"/>
                  <w:vAlign w:val="center"/>
                </w:tcPr>
                <w:p w14:paraId="763FBEA5">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洒水降尘（洒水车 3 辆）</w:t>
                  </w:r>
                </w:p>
              </w:tc>
              <w:tc>
                <w:tcPr>
                  <w:tcW w:w="652" w:type="pct"/>
                  <w:vAlign w:val="center"/>
                </w:tcPr>
                <w:p w14:paraId="47820243">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26</w:t>
                  </w:r>
                </w:p>
              </w:tc>
              <w:tc>
                <w:tcPr>
                  <w:tcW w:w="655" w:type="pct"/>
                  <w:vMerge w:val="continue"/>
                  <w:tcBorders>
                    <w:top w:val="nil"/>
                  </w:tcBorders>
                  <w:vAlign w:val="center"/>
                </w:tcPr>
                <w:p w14:paraId="4E0292BC">
                  <w:pPr>
                    <w:pStyle w:val="48"/>
                    <w:spacing w:line="240" w:lineRule="auto"/>
                    <w:rPr>
                      <w:rFonts w:hint="default" w:ascii="Times New Roman" w:hAnsi="Times New Roman" w:eastAsia="宋体" w:cs="Times New Roman"/>
                      <w:color w:val="auto"/>
                      <w:sz w:val="21"/>
                    </w:rPr>
                  </w:pPr>
                </w:p>
              </w:tc>
            </w:tr>
            <w:tr w14:paraId="4EE3229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389" w:type="pct"/>
                  <w:vMerge w:val="continue"/>
                  <w:tcBorders>
                    <w:top w:val="nil"/>
                    <w:bottom w:val="nil"/>
                  </w:tcBorders>
                  <w:textDirection w:val="tbRlV"/>
                  <w:vAlign w:val="center"/>
                </w:tcPr>
                <w:p w14:paraId="207420BC">
                  <w:pPr>
                    <w:pStyle w:val="48"/>
                    <w:spacing w:line="240" w:lineRule="auto"/>
                    <w:rPr>
                      <w:rFonts w:hint="default" w:ascii="Times New Roman" w:hAnsi="Times New Roman" w:eastAsia="宋体" w:cs="Times New Roman"/>
                      <w:color w:val="auto"/>
                      <w:sz w:val="21"/>
                    </w:rPr>
                  </w:pPr>
                </w:p>
              </w:tc>
              <w:tc>
                <w:tcPr>
                  <w:tcW w:w="399" w:type="pct"/>
                  <w:vMerge w:val="restart"/>
                  <w:tcBorders>
                    <w:bottom w:val="nil"/>
                  </w:tcBorders>
                  <w:vAlign w:val="center"/>
                </w:tcPr>
                <w:p w14:paraId="3CF655BB">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废水</w:t>
                  </w:r>
                </w:p>
              </w:tc>
              <w:tc>
                <w:tcPr>
                  <w:tcW w:w="2903" w:type="pct"/>
                  <w:gridSpan w:val="3"/>
                  <w:vAlign w:val="center"/>
                </w:tcPr>
                <w:p w14:paraId="367076DF">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施工人员生活污水处理（租用民房污水处理设施）</w:t>
                  </w:r>
                </w:p>
              </w:tc>
              <w:tc>
                <w:tcPr>
                  <w:tcW w:w="652" w:type="pct"/>
                  <w:vAlign w:val="center"/>
                </w:tcPr>
                <w:p w14:paraId="29CB4E30">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4</w:t>
                  </w:r>
                </w:p>
              </w:tc>
              <w:tc>
                <w:tcPr>
                  <w:tcW w:w="655" w:type="pct"/>
                  <w:vMerge w:val="restart"/>
                  <w:tcBorders>
                    <w:bottom w:val="nil"/>
                  </w:tcBorders>
                  <w:vAlign w:val="center"/>
                </w:tcPr>
                <w:p w14:paraId="6D887F65">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14</w:t>
                  </w:r>
                </w:p>
              </w:tc>
            </w:tr>
            <w:tr w14:paraId="3203284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389" w:type="pct"/>
                  <w:vMerge w:val="continue"/>
                  <w:tcBorders>
                    <w:top w:val="nil"/>
                    <w:bottom w:val="nil"/>
                  </w:tcBorders>
                  <w:textDirection w:val="tbRlV"/>
                  <w:vAlign w:val="center"/>
                </w:tcPr>
                <w:p w14:paraId="519DCC99">
                  <w:pPr>
                    <w:pStyle w:val="48"/>
                    <w:spacing w:line="240" w:lineRule="auto"/>
                    <w:rPr>
                      <w:rFonts w:hint="default" w:ascii="Times New Roman" w:hAnsi="Times New Roman" w:eastAsia="宋体" w:cs="Times New Roman"/>
                      <w:color w:val="auto"/>
                      <w:sz w:val="21"/>
                    </w:rPr>
                  </w:pPr>
                </w:p>
              </w:tc>
              <w:tc>
                <w:tcPr>
                  <w:tcW w:w="399" w:type="pct"/>
                  <w:vMerge w:val="continue"/>
                  <w:tcBorders>
                    <w:top w:val="nil"/>
                  </w:tcBorders>
                  <w:vAlign w:val="center"/>
                </w:tcPr>
                <w:p w14:paraId="50C62446">
                  <w:pPr>
                    <w:pStyle w:val="48"/>
                    <w:spacing w:line="240" w:lineRule="auto"/>
                    <w:rPr>
                      <w:rFonts w:hint="default" w:ascii="Times New Roman" w:hAnsi="Times New Roman" w:eastAsia="宋体" w:cs="Times New Roman"/>
                      <w:color w:val="auto"/>
                      <w:sz w:val="21"/>
                    </w:rPr>
                  </w:pPr>
                </w:p>
              </w:tc>
              <w:tc>
                <w:tcPr>
                  <w:tcW w:w="2903" w:type="pct"/>
                  <w:gridSpan w:val="3"/>
                  <w:vAlign w:val="center"/>
                </w:tcPr>
                <w:p w14:paraId="1C604FAC">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施工工程废水处理（沉淀池、排水沟）</w:t>
                  </w:r>
                </w:p>
              </w:tc>
              <w:tc>
                <w:tcPr>
                  <w:tcW w:w="652" w:type="pct"/>
                  <w:vAlign w:val="center"/>
                </w:tcPr>
                <w:p w14:paraId="4C473009">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10</w:t>
                  </w:r>
                </w:p>
              </w:tc>
              <w:tc>
                <w:tcPr>
                  <w:tcW w:w="655" w:type="pct"/>
                  <w:vMerge w:val="continue"/>
                  <w:tcBorders>
                    <w:top w:val="nil"/>
                  </w:tcBorders>
                  <w:vAlign w:val="center"/>
                </w:tcPr>
                <w:p w14:paraId="510EACF0">
                  <w:pPr>
                    <w:pStyle w:val="48"/>
                    <w:spacing w:line="240" w:lineRule="auto"/>
                    <w:rPr>
                      <w:rFonts w:hint="default" w:ascii="Times New Roman" w:hAnsi="Times New Roman" w:eastAsia="宋体" w:cs="Times New Roman"/>
                      <w:color w:val="auto"/>
                      <w:sz w:val="21"/>
                    </w:rPr>
                  </w:pPr>
                </w:p>
              </w:tc>
            </w:tr>
            <w:tr w14:paraId="7B64265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389" w:type="pct"/>
                  <w:vMerge w:val="continue"/>
                  <w:tcBorders>
                    <w:top w:val="nil"/>
                    <w:bottom w:val="nil"/>
                  </w:tcBorders>
                  <w:textDirection w:val="tbRlV"/>
                  <w:vAlign w:val="center"/>
                </w:tcPr>
                <w:p w14:paraId="51018215">
                  <w:pPr>
                    <w:pStyle w:val="48"/>
                    <w:spacing w:line="240" w:lineRule="auto"/>
                    <w:rPr>
                      <w:rFonts w:hint="default" w:ascii="Times New Roman" w:hAnsi="Times New Roman" w:eastAsia="宋体" w:cs="Times New Roman"/>
                      <w:color w:val="auto"/>
                      <w:sz w:val="21"/>
                    </w:rPr>
                  </w:pPr>
                </w:p>
              </w:tc>
              <w:tc>
                <w:tcPr>
                  <w:tcW w:w="399" w:type="pct"/>
                  <w:vMerge w:val="restart"/>
                  <w:tcBorders>
                    <w:bottom w:val="nil"/>
                  </w:tcBorders>
                  <w:vAlign w:val="center"/>
                </w:tcPr>
                <w:p w14:paraId="05536EC2">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固废</w:t>
                  </w:r>
                </w:p>
              </w:tc>
              <w:tc>
                <w:tcPr>
                  <w:tcW w:w="1191" w:type="pct"/>
                  <w:vAlign w:val="center"/>
                </w:tcPr>
                <w:p w14:paraId="3C9809CD">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弃土</w:t>
                  </w:r>
                </w:p>
              </w:tc>
              <w:tc>
                <w:tcPr>
                  <w:tcW w:w="1711" w:type="pct"/>
                  <w:gridSpan w:val="2"/>
                  <w:vAlign w:val="center"/>
                </w:tcPr>
                <w:p w14:paraId="26E68C48">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弃土平衡</w:t>
                  </w:r>
                </w:p>
              </w:tc>
              <w:tc>
                <w:tcPr>
                  <w:tcW w:w="652" w:type="pct"/>
                  <w:vAlign w:val="center"/>
                </w:tcPr>
                <w:p w14:paraId="351945C2">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w:t>
                  </w:r>
                </w:p>
              </w:tc>
              <w:tc>
                <w:tcPr>
                  <w:tcW w:w="655" w:type="pct"/>
                  <w:vMerge w:val="restart"/>
                  <w:tcBorders>
                    <w:bottom w:val="nil"/>
                  </w:tcBorders>
                  <w:vAlign w:val="center"/>
                </w:tcPr>
                <w:p w14:paraId="78015BFA">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6</w:t>
                  </w:r>
                </w:p>
              </w:tc>
            </w:tr>
            <w:tr w14:paraId="5C951CE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389" w:type="pct"/>
                  <w:vMerge w:val="continue"/>
                  <w:tcBorders>
                    <w:top w:val="nil"/>
                    <w:bottom w:val="nil"/>
                  </w:tcBorders>
                  <w:textDirection w:val="tbRlV"/>
                  <w:vAlign w:val="center"/>
                </w:tcPr>
                <w:p w14:paraId="374D454F">
                  <w:pPr>
                    <w:pStyle w:val="48"/>
                    <w:spacing w:line="240" w:lineRule="auto"/>
                    <w:rPr>
                      <w:rFonts w:hint="default" w:ascii="Times New Roman" w:hAnsi="Times New Roman" w:eastAsia="宋体" w:cs="Times New Roman"/>
                      <w:color w:val="auto"/>
                      <w:sz w:val="21"/>
                    </w:rPr>
                  </w:pPr>
                </w:p>
              </w:tc>
              <w:tc>
                <w:tcPr>
                  <w:tcW w:w="399" w:type="pct"/>
                  <w:vMerge w:val="continue"/>
                  <w:tcBorders>
                    <w:top w:val="nil"/>
                    <w:bottom w:val="nil"/>
                  </w:tcBorders>
                  <w:vAlign w:val="center"/>
                </w:tcPr>
                <w:p w14:paraId="592F6AD3">
                  <w:pPr>
                    <w:pStyle w:val="48"/>
                    <w:spacing w:line="240" w:lineRule="auto"/>
                    <w:rPr>
                      <w:rFonts w:hint="default" w:ascii="Times New Roman" w:hAnsi="Times New Roman" w:eastAsia="宋体" w:cs="Times New Roman"/>
                      <w:color w:val="auto"/>
                      <w:sz w:val="21"/>
                    </w:rPr>
                  </w:pPr>
                </w:p>
              </w:tc>
              <w:tc>
                <w:tcPr>
                  <w:tcW w:w="1191" w:type="pct"/>
                  <w:vAlign w:val="center"/>
                </w:tcPr>
                <w:p w14:paraId="5E50B02E">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废弃地表植被</w:t>
                  </w:r>
                </w:p>
              </w:tc>
              <w:tc>
                <w:tcPr>
                  <w:tcW w:w="1711" w:type="pct"/>
                  <w:gridSpan w:val="2"/>
                  <w:vAlign w:val="center"/>
                </w:tcPr>
                <w:p w14:paraId="45206BEB">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集地清理</w:t>
                  </w:r>
                </w:p>
              </w:tc>
              <w:tc>
                <w:tcPr>
                  <w:tcW w:w="652" w:type="pct"/>
                  <w:vAlign w:val="center"/>
                </w:tcPr>
                <w:p w14:paraId="5BF0E016">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4</w:t>
                  </w:r>
                </w:p>
              </w:tc>
              <w:tc>
                <w:tcPr>
                  <w:tcW w:w="655" w:type="pct"/>
                  <w:vMerge w:val="continue"/>
                  <w:tcBorders>
                    <w:top w:val="nil"/>
                    <w:bottom w:val="nil"/>
                  </w:tcBorders>
                  <w:vAlign w:val="center"/>
                </w:tcPr>
                <w:p w14:paraId="4DFE4BA8">
                  <w:pPr>
                    <w:pStyle w:val="48"/>
                    <w:spacing w:line="240" w:lineRule="auto"/>
                    <w:rPr>
                      <w:rFonts w:hint="default" w:ascii="Times New Roman" w:hAnsi="Times New Roman" w:eastAsia="宋体" w:cs="Times New Roman"/>
                      <w:color w:val="auto"/>
                      <w:sz w:val="21"/>
                    </w:rPr>
                  </w:pPr>
                </w:p>
              </w:tc>
            </w:tr>
            <w:tr w14:paraId="3566D0C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389" w:type="pct"/>
                  <w:vMerge w:val="continue"/>
                  <w:tcBorders>
                    <w:top w:val="nil"/>
                    <w:bottom w:val="nil"/>
                  </w:tcBorders>
                  <w:textDirection w:val="tbRlV"/>
                  <w:vAlign w:val="center"/>
                </w:tcPr>
                <w:p w14:paraId="05C5DE00">
                  <w:pPr>
                    <w:pStyle w:val="48"/>
                    <w:spacing w:line="240" w:lineRule="auto"/>
                    <w:rPr>
                      <w:rFonts w:hint="default" w:ascii="Times New Roman" w:hAnsi="Times New Roman" w:eastAsia="宋体" w:cs="Times New Roman"/>
                      <w:color w:val="auto"/>
                      <w:sz w:val="21"/>
                    </w:rPr>
                  </w:pPr>
                </w:p>
              </w:tc>
              <w:tc>
                <w:tcPr>
                  <w:tcW w:w="399" w:type="pct"/>
                  <w:vMerge w:val="continue"/>
                  <w:tcBorders>
                    <w:top w:val="nil"/>
                    <w:bottom w:val="nil"/>
                  </w:tcBorders>
                  <w:vAlign w:val="center"/>
                </w:tcPr>
                <w:p w14:paraId="0983B017">
                  <w:pPr>
                    <w:pStyle w:val="48"/>
                    <w:spacing w:line="240" w:lineRule="auto"/>
                    <w:rPr>
                      <w:rFonts w:hint="default" w:ascii="Times New Roman" w:hAnsi="Times New Roman" w:eastAsia="宋体" w:cs="Times New Roman"/>
                      <w:color w:val="auto"/>
                      <w:sz w:val="21"/>
                    </w:rPr>
                  </w:pPr>
                </w:p>
              </w:tc>
              <w:tc>
                <w:tcPr>
                  <w:tcW w:w="1191" w:type="pct"/>
                  <w:vAlign w:val="center"/>
                </w:tcPr>
                <w:p w14:paraId="195FF20B">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肥料废弃包装袋</w:t>
                  </w:r>
                </w:p>
              </w:tc>
              <w:tc>
                <w:tcPr>
                  <w:tcW w:w="1711" w:type="pct"/>
                  <w:gridSpan w:val="2"/>
                  <w:vAlign w:val="center"/>
                </w:tcPr>
                <w:p w14:paraId="4B4E3497">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废品回收单位回收处理</w:t>
                  </w:r>
                </w:p>
              </w:tc>
              <w:tc>
                <w:tcPr>
                  <w:tcW w:w="652" w:type="pct"/>
                  <w:vAlign w:val="center"/>
                </w:tcPr>
                <w:p w14:paraId="0A964097">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1</w:t>
                  </w:r>
                </w:p>
              </w:tc>
              <w:tc>
                <w:tcPr>
                  <w:tcW w:w="655" w:type="pct"/>
                  <w:vMerge w:val="continue"/>
                  <w:tcBorders>
                    <w:top w:val="nil"/>
                    <w:bottom w:val="nil"/>
                  </w:tcBorders>
                  <w:vAlign w:val="center"/>
                </w:tcPr>
                <w:p w14:paraId="655145AC">
                  <w:pPr>
                    <w:pStyle w:val="48"/>
                    <w:spacing w:line="240" w:lineRule="auto"/>
                    <w:rPr>
                      <w:rFonts w:hint="default" w:ascii="Times New Roman" w:hAnsi="Times New Roman" w:eastAsia="宋体" w:cs="Times New Roman"/>
                      <w:color w:val="auto"/>
                      <w:sz w:val="21"/>
                    </w:rPr>
                  </w:pPr>
                </w:p>
              </w:tc>
            </w:tr>
            <w:tr w14:paraId="234A5F3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389" w:type="pct"/>
                  <w:vMerge w:val="continue"/>
                  <w:tcBorders>
                    <w:top w:val="nil"/>
                  </w:tcBorders>
                  <w:textDirection w:val="tbRlV"/>
                  <w:vAlign w:val="center"/>
                </w:tcPr>
                <w:p w14:paraId="66B00F48">
                  <w:pPr>
                    <w:pStyle w:val="48"/>
                    <w:spacing w:line="240" w:lineRule="auto"/>
                    <w:rPr>
                      <w:rFonts w:hint="default" w:ascii="Times New Roman" w:hAnsi="Times New Roman" w:eastAsia="宋体" w:cs="Times New Roman"/>
                      <w:color w:val="auto"/>
                      <w:sz w:val="21"/>
                    </w:rPr>
                  </w:pPr>
                </w:p>
              </w:tc>
              <w:tc>
                <w:tcPr>
                  <w:tcW w:w="399" w:type="pct"/>
                  <w:vMerge w:val="continue"/>
                  <w:tcBorders>
                    <w:top w:val="nil"/>
                  </w:tcBorders>
                  <w:vAlign w:val="center"/>
                </w:tcPr>
                <w:p w14:paraId="0DCCFE72">
                  <w:pPr>
                    <w:pStyle w:val="48"/>
                    <w:spacing w:line="240" w:lineRule="auto"/>
                    <w:rPr>
                      <w:rFonts w:hint="default" w:ascii="Times New Roman" w:hAnsi="Times New Roman" w:eastAsia="宋体" w:cs="Times New Roman"/>
                      <w:color w:val="auto"/>
                      <w:sz w:val="21"/>
                    </w:rPr>
                  </w:pPr>
                </w:p>
              </w:tc>
              <w:tc>
                <w:tcPr>
                  <w:tcW w:w="1191" w:type="pct"/>
                  <w:vAlign w:val="center"/>
                </w:tcPr>
                <w:p w14:paraId="3B5772C0">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生活垃圾</w:t>
                  </w:r>
                </w:p>
              </w:tc>
              <w:tc>
                <w:tcPr>
                  <w:tcW w:w="1711" w:type="pct"/>
                  <w:gridSpan w:val="2"/>
                  <w:vAlign w:val="center"/>
                </w:tcPr>
                <w:p w14:paraId="0A0D6C64">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运至附近垃圾回收点处理</w:t>
                  </w:r>
                </w:p>
              </w:tc>
              <w:tc>
                <w:tcPr>
                  <w:tcW w:w="652" w:type="pct"/>
                  <w:vAlign w:val="center"/>
                </w:tcPr>
                <w:p w14:paraId="2A6CAD41">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1</w:t>
                  </w:r>
                </w:p>
              </w:tc>
              <w:tc>
                <w:tcPr>
                  <w:tcW w:w="655" w:type="pct"/>
                  <w:vMerge w:val="continue"/>
                  <w:tcBorders>
                    <w:top w:val="nil"/>
                  </w:tcBorders>
                  <w:vAlign w:val="center"/>
                </w:tcPr>
                <w:p w14:paraId="52183744">
                  <w:pPr>
                    <w:pStyle w:val="48"/>
                    <w:spacing w:line="240" w:lineRule="auto"/>
                    <w:rPr>
                      <w:rFonts w:hint="default" w:ascii="Times New Roman" w:hAnsi="Times New Roman" w:eastAsia="宋体" w:cs="Times New Roman"/>
                      <w:color w:val="auto"/>
                      <w:sz w:val="21"/>
                    </w:rPr>
                  </w:pPr>
                </w:p>
              </w:tc>
            </w:tr>
            <w:tr w14:paraId="4195572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389" w:type="pct"/>
                  <w:vMerge w:val="restart"/>
                  <w:tcBorders>
                    <w:bottom w:val="nil"/>
                  </w:tcBorders>
                  <w:vAlign w:val="center"/>
                </w:tcPr>
                <w:p w14:paraId="0853D92A">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运营期</w:t>
                  </w:r>
                </w:p>
              </w:tc>
              <w:tc>
                <w:tcPr>
                  <w:tcW w:w="399" w:type="pct"/>
                  <w:vAlign w:val="center"/>
                </w:tcPr>
                <w:p w14:paraId="49F1A96D">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噪声</w:t>
                  </w:r>
                </w:p>
              </w:tc>
              <w:tc>
                <w:tcPr>
                  <w:tcW w:w="2903" w:type="pct"/>
                  <w:gridSpan w:val="3"/>
                  <w:vAlign w:val="center"/>
                </w:tcPr>
                <w:p w14:paraId="5218F4DE">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设备噪声、交通噪声、警示牌、交通标志、减速带</w:t>
                  </w:r>
                </w:p>
              </w:tc>
              <w:tc>
                <w:tcPr>
                  <w:tcW w:w="652" w:type="pct"/>
                  <w:vAlign w:val="center"/>
                </w:tcPr>
                <w:p w14:paraId="69518181">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15</w:t>
                  </w:r>
                </w:p>
              </w:tc>
              <w:tc>
                <w:tcPr>
                  <w:tcW w:w="655" w:type="pct"/>
                  <w:vAlign w:val="center"/>
                </w:tcPr>
                <w:p w14:paraId="7F282268">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15</w:t>
                  </w:r>
                </w:p>
              </w:tc>
            </w:tr>
            <w:tr w14:paraId="42689E4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389" w:type="pct"/>
                  <w:vMerge w:val="continue"/>
                  <w:tcBorders>
                    <w:top w:val="nil"/>
                    <w:bottom w:val="nil"/>
                  </w:tcBorders>
                  <w:vAlign w:val="center"/>
                </w:tcPr>
                <w:p w14:paraId="16DF1B8D">
                  <w:pPr>
                    <w:pStyle w:val="48"/>
                    <w:spacing w:line="240" w:lineRule="auto"/>
                    <w:rPr>
                      <w:rFonts w:hint="default" w:ascii="Times New Roman" w:hAnsi="Times New Roman" w:eastAsia="宋体" w:cs="Times New Roman"/>
                      <w:color w:val="auto"/>
                      <w:sz w:val="21"/>
                    </w:rPr>
                  </w:pPr>
                </w:p>
              </w:tc>
              <w:tc>
                <w:tcPr>
                  <w:tcW w:w="399" w:type="pct"/>
                  <w:vAlign w:val="center"/>
                </w:tcPr>
                <w:p w14:paraId="34B7B8B5">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废水</w:t>
                  </w:r>
                </w:p>
              </w:tc>
              <w:tc>
                <w:tcPr>
                  <w:tcW w:w="2903" w:type="pct"/>
                  <w:gridSpan w:val="3"/>
                  <w:vAlign w:val="center"/>
                </w:tcPr>
                <w:p w14:paraId="4FECEBAC">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依托附近村民现有房屋自建旱厕处理</w:t>
                  </w:r>
                </w:p>
              </w:tc>
              <w:tc>
                <w:tcPr>
                  <w:tcW w:w="652" w:type="pct"/>
                  <w:vAlign w:val="center"/>
                </w:tcPr>
                <w:p w14:paraId="0AB25316">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w:t>
                  </w:r>
                </w:p>
              </w:tc>
              <w:tc>
                <w:tcPr>
                  <w:tcW w:w="655" w:type="pct"/>
                  <w:vAlign w:val="center"/>
                </w:tcPr>
                <w:p w14:paraId="3AE97298">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w:t>
                  </w:r>
                </w:p>
              </w:tc>
            </w:tr>
            <w:tr w14:paraId="663EFF3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389" w:type="pct"/>
                  <w:vMerge w:val="continue"/>
                  <w:tcBorders>
                    <w:top w:val="nil"/>
                    <w:bottom w:val="nil"/>
                  </w:tcBorders>
                  <w:vAlign w:val="center"/>
                </w:tcPr>
                <w:p w14:paraId="04052B26">
                  <w:pPr>
                    <w:pStyle w:val="48"/>
                    <w:spacing w:line="240" w:lineRule="auto"/>
                    <w:rPr>
                      <w:rFonts w:hint="default" w:ascii="Times New Roman" w:hAnsi="Times New Roman" w:eastAsia="宋体" w:cs="Times New Roman"/>
                      <w:color w:val="auto"/>
                      <w:sz w:val="21"/>
                    </w:rPr>
                  </w:pPr>
                </w:p>
              </w:tc>
              <w:tc>
                <w:tcPr>
                  <w:tcW w:w="399" w:type="pct"/>
                  <w:vAlign w:val="center"/>
                </w:tcPr>
                <w:p w14:paraId="60BCE116">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废气</w:t>
                  </w:r>
                </w:p>
              </w:tc>
              <w:tc>
                <w:tcPr>
                  <w:tcW w:w="2903" w:type="pct"/>
                  <w:gridSpan w:val="3"/>
                  <w:vAlign w:val="center"/>
                </w:tcPr>
                <w:p w14:paraId="407A9953">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采伐油锯废气、车辆行驶扬尘及尾气</w:t>
                  </w:r>
                </w:p>
              </w:tc>
              <w:tc>
                <w:tcPr>
                  <w:tcW w:w="652" w:type="pct"/>
                  <w:vAlign w:val="center"/>
                </w:tcPr>
                <w:p w14:paraId="316339A1">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13</w:t>
                  </w:r>
                </w:p>
              </w:tc>
              <w:tc>
                <w:tcPr>
                  <w:tcW w:w="655" w:type="pct"/>
                  <w:vAlign w:val="center"/>
                </w:tcPr>
                <w:p w14:paraId="53C0CB3D">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13</w:t>
                  </w:r>
                </w:p>
              </w:tc>
            </w:tr>
            <w:tr w14:paraId="29E688E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389" w:type="pct"/>
                  <w:vMerge w:val="continue"/>
                  <w:tcBorders>
                    <w:top w:val="nil"/>
                    <w:bottom w:val="nil"/>
                  </w:tcBorders>
                  <w:vAlign w:val="center"/>
                </w:tcPr>
                <w:p w14:paraId="797E8E25">
                  <w:pPr>
                    <w:pStyle w:val="48"/>
                    <w:spacing w:line="240" w:lineRule="auto"/>
                    <w:rPr>
                      <w:rFonts w:hint="default" w:ascii="Times New Roman" w:hAnsi="Times New Roman" w:eastAsia="宋体" w:cs="Times New Roman"/>
                      <w:color w:val="auto"/>
                      <w:sz w:val="21"/>
                    </w:rPr>
                  </w:pPr>
                </w:p>
              </w:tc>
              <w:tc>
                <w:tcPr>
                  <w:tcW w:w="399" w:type="pct"/>
                  <w:vMerge w:val="restart"/>
                  <w:tcBorders>
                    <w:bottom w:val="nil"/>
                  </w:tcBorders>
                  <w:vAlign w:val="center"/>
                </w:tcPr>
                <w:p w14:paraId="74A249AA">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固废</w:t>
                  </w:r>
                </w:p>
              </w:tc>
              <w:tc>
                <w:tcPr>
                  <w:tcW w:w="1251" w:type="pct"/>
                  <w:gridSpan w:val="2"/>
                  <w:vAlign w:val="center"/>
                </w:tcPr>
                <w:p w14:paraId="0C87D1D3">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废农药包装袋</w:t>
                  </w:r>
                </w:p>
              </w:tc>
              <w:tc>
                <w:tcPr>
                  <w:tcW w:w="1652" w:type="pct"/>
                  <w:vAlign w:val="center"/>
                </w:tcPr>
                <w:p w14:paraId="7F9B8F38">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由生产或经营公司回收处 理</w:t>
                  </w:r>
                </w:p>
              </w:tc>
              <w:tc>
                <w:tcPr>
                  <w:tcW w:w="652" w:type="pct"/>
                  <w:vAlign w:val="center"/>
                </w:tcPr>
                <w:p w14:paraId="09F0EC4A">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1</w:t>
                  </w:r>
                </w:p>
              </w:tc>
              <w:tc>
                <w:tcPr>
                  <w:tcW w:w="655" w:type="pct"/>
                  <w:vMerge w:val="restart"/>
                  <w:tcBorders>
                    <w:bottom w:val="nil"/>
                  </w:tcBorders>
                  <w:vAlign w:val="center"/>
                </w:tcPr>
                <w:p w14:paraId="39C05FFF">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5.5</w:t>
                  </w:r>
                </w:p>
              </w:tc>
            </w:tr>
            <w:tr w14:paraId="1F3E13E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389" w:type="pct"/>
                  <w:vMerge w:val="continue"/>
                  <w:tcBorders>
                    <w:top w:val="nil"/>
                    <w:bottom w:val="nil"/>
                  </w:tcBorders>
                  <w:vAlign w:val="center"/>
                </w:tcPr>
                <w:p w14:paraId="22DD330C">
                  <w:pPr>
                    <w:pStyle w:val="48"/>
                    <w:spacing w:line="240" w:lineRule="auto"/>
                    <w:rPr>
                      <w:rFonts w:hint="default" w:ascii="Times New Roman" w:hAnsi="Times New Roman" w:eastAsia="宋体" w:cs="Times New Roman"/>
                      <w:color w:val="auto"/>
                      <w:sz w:val="21"/>
                    </w:rPr>
                  </w:pPr>
                </w:p>
              </w:tc>
              <w:tc>
                <w:tcPr>
                  <w:tcW w:w="399" w:type="pct"/>
                  <w:vMerge w:val="continue"/>
                  <w:tcBorders>
                    <w:top w:val="nil"/>
                    <w:bottom w:val="nil"/>
                  </w:tcBorders>
                  <w:vAlign w:val="center"/>
                </w:tcPr>
                <w:p w14:paraId="33B33F91">
                  <w:pPr>
                    <w:pStyle w:val="48"/>
                    <w:spacing w:line="240" w:lineRule="auto"/>
                    <w:rPr>
                      <w:rFonts w:hint="default" w:ascii="Times New Roman" w:hAnsi="Times New Roman" w:eastAsia="宋体" w:cs="Times New Roman"/>
                      <w:color w:val="auto"/>
                      <w:sz w:val="21"/>
                    </w:rPr>
                  </w:pPr>
                </w:p>
              </w:tc>
              <w:tc>
                <w:tcPr>
                  <w:tcW w:w="1251" w:type="pct"/>
                  <w:gridSpan w:val="2"/>
                  <w:vAlign w:val="center"/>
                </w:tcPr>
                <w:p w14:paraId="1E104C1B">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肥料废弃包装袋</w:t>
                  </w:r>
                </w:p>
              </w:tc>
              <w:tc>
                <w:tcPr>
                  <w:tcW w:w="1652" w:type="pct"/>
                  <w:vAlign w:val="center"/>
                </w:tcPr>
                <w:p w14:paraId="2E50CFDE">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运至附近废品回收站处理</w:t>
                  </w:r>
                </w:p>
              </w:tc>
              <w:tc>
                <w:tcPr>
                  <w:tcW w:w="652" w:type="pct"/>
                  <w:vAlign w:val="center"/>
                </w:tcPr>
                <w:p w14:paraId="30466838">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1</w:t>
                  </w:r>
                </w:p>
              </w:tc>
              <w:tc>
                <w:tcPr>
                  <w:tcW w:w="655" w:type="pct"/>
                  <w:vMerge w:val="continue"/>
                  <w:tcBorders>
                    <w:top w:val="nil"/>
                    <w:bottom w:val="nil"/>
                  </w:tcBorders>
                  <w:vAlign w:val="center"/>
                </w:tcPr>
                <w:p w14:paraId="3D1BC29D">
                  <w:pPr>
                    <w:pStyle w:val="48"/>
                    <w:spacing w:line="240" w:lineRule="auto"/>
                    <w:rPr>
                      <w:rFonts w:hint="default" w:ascii="Times New Roman" w:hAnsi="Times New Roman" w:eastAsia="宋体" w:cs="Times New Roman"/>
                      <w:color w:val="auto"/>
                      <w:sz w:val="21"/>
                    </w:rPr>
                  </w:pPr>
                </w:p>
              </w:tc>
            </w:tr>
            <w:tr w14:paraId="5AA3A79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389" w:type="pct"/>
                  <w:vMerge w:val="continue"/>
                  <w:tcBorders>
                    <w:top w:val="nil"/>
                    <w:bottom w:val="nil"/>
                  </w:tcBorders>
                  <w:vAlign w:val="center"/>
                </w:tcPr>
                <w:p w14:paraId="21B56479">
                  <w:pPr>
                    <w:pStyle w:val="48"/>
                    <w:spacing w:line="240" w:lineRule="auto"/>
                    <w:rPr>
                      <w:rFonts w:hint="default" w:ascii="Times New Roman" w:hAnsi="Times New Roman" w:eastAsia="宋体" w:cs="Times New Roman"/>
                      <w:color w:val="auto"/>
                      <w:sz w:val="21"/>
                    </w:rPr>
                  </w:pPr>
                </w:p>
              </w:tc>
              <w:tc>
                <w:tcPr>
                  <w:tcW w:w="399" w:type="pct"/>
                  <w:vMerge w:val="continue"/>
                  <w:tcBorders>
                    <w:top w:val="nil"/>
                    <w:bottom w:val="nil"/>
                  </w:tcBorders>
                  <w:vAlign w:val="center"/>
                </w:tcPr>
                <w:p w14:paraId="40381CBA">
                  <w:pPr>
                    <w:pStyle w:val="48"/>
                    <w:spacing w:line="240" w:lineRule="auto"/>
                    <w:rPr>
                      <w:rFonts w:hint="default" w:ascii="Times New Roman" w:hAnsi="Times New Roman" w:eastAsia="宋体" w:cs="Times New Roman"/>
                      <w:color w:val="auto"/>
                      <w:sz w:val="21"/>
                    </w:rPr>
                  </w:pPr>
                </w:p>
              </w:tc>
              <w:tc>
                <w:tcPr>
                  <w:tcW w:w="1251" w:type="pct"/>
                  <w:gridSpan w:val="2"/>
                  <w:vAlign w:val="center"/>
                </w:tcPr>
                <w:p w14:paraId="50D66605">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灌木杂草、枯枝弱叶</w:t>
                  </w:r>
                </w:p>
              </w:tc>
              <w:tc>
                <w:tcPr>
                  <w:tcW w:w="1652" w:type="pct"/>
                  <w:vAlign w:val="center"/>
                </w:tcPr>
                <w:p w14:paraId="6AF6843C">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集地清理</w:t>
                  </w:r>
                </w:p>
              </w:tc>
              <w:tc>
                <w:tcPr>
                  <w:tcW w:w="652" w:type="pct"/>
                  <w:vAlign w:val="center"/>
                </w:tcPr>
                <w:p w14:paraId="5E4FC8FC">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3</w:t>
                  </w:r>
                </w:p>
              </w:tc>
              <w:tc>
                <w:tcPr>
                  <w:tcW w:w="655" w:type="pct"/>
                  <w:vMerge w:val="continue"/>
                  <w:tcBorders>
                    <w:top w:val="nil"/>
                    <w:bottom w:val="nil"/>
                  </w:tcBorders>
                  <w:vAlign w:val="center"/>
                </w:tcPr>
                <w:p w14:paraId="4BF343CE">
                  <w:pPr>
                    <w:pStyle w:val="48"/>
                    <w:spacing w:line="240" w:lineRule="auto"/>
                    <w:rPr>
                      <w:rFonts w:hint="default" w:ascii="Times New Roman" w:hAnsi="Times New Roman" w:eastAsia="宋体" w:cs="Times New Roman"/>
                      <w:color w:val="auto"/>
                      <w:sz w:val="21"/>
                    </w:rPr>
                  </w:pPr>
                </w:p>
              </w:tc>
            </w:tr>
            <w:tr w14:paraId="107774F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389" w:type="pct"/>
                  <w:vMerge w:val="continue"/>
                  <w:tcBorders>
                    <w:top w:val="nil"/>
                  </w:tcBorders>
                  <w:vAlign w:val="center"/>
                </w:tcPr>
                <w:p w14:paraId="27131EB0">
                  <w:pPr>
                    <w:pStyle w:val="48"/>
                    <w:spacing w:line="240" w:lineRule="auto"/>
                    <w:rPr>
                      <w:rFonts w:hint="default" w:ascii="Times New Roman" w:hAnsi="Times New Roman" w:eastAsia="宋体" w:cs="Times New Roman"/>
                      <w:color w:val="auto"/>
                      <w:sz w:val="21"/>
                    </w:rPr>
                  </w:pPr>
                </w:p>
              </w:tc>
              <w:tc>
                <w:tcPr>
                  <w:tcW w:w="399" w:type="pct"/>
                  <w:vMerge w:val="continue"/>
                  <w:tcBorders>
                    <w:top w:val="nil"/>
                  </w:tcBorders>
                  <w:vAlign w:val="center"/>
                </w:tcPr>
                <w:p w14:paraId="561ED910">
                  <w:pPr>
                    <w:pStyle w:val="48"/>
                    <w:spacing w:line="240" w:lineRule="auto"/>
                    <w:rPr>
                      <w:rFonts w:hint="default" w:ascii="Times New Roman" w:hAnsi="Times New Roman" w:eastAsia="宋体" w:cs="Times New Roman"/>
                      <w:color w:val="auto"/>
                      <w:sz w:val="21"/>
                    </w:rPr>
                  </w:pPr>
                </w:p>
              </w:tc>
              <w:tc>
                <w:tcPr>
                  <w:tcW w:w="1251" w:type="pct"/>
                  <w:gridSpan w:val="2"/>
                  <w:vAlign w:val="center"/>
                </w:tcPr>
                <w:p w14:paraId="1D1652F9">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生活垃圾</w:t>
                  </w:r>
                </w:p>
              </w:tc>
              <w:tc>
                <w:tcPr>
                  <w:tcW w:w="1652" w:type="pct"/>
                  <w:vAlign w:val="center"/>
                </w:tcPr>
                <w:p w14:paraId="6D163517">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运至附近垃圾回收点处理</w:t>
                  </w:r>
                </w:p>
              </w:tc>
              <w:tc>
                <w:tcPr>
                  <w:tcW w:w="652" w:type="pct"/>
                  <w:vAlign w:val="center"/>
                </w:tcPr>
                <w:p w14:paraId="79B64850">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0.5</w:t>
                  </w:r>
                </w:p>
              </w:tc>
              <w:tc>
                <w:tcPr>
                  <w:tcW w:w="655" w:type="pct"/>
                  <w:vMerge w:val="continue"/>
                  <w:tcBorders>
                    <w:top w:val="nil"/>
                  </w:tcBorders>
                  <w:vAlign w:val="center"/>
                </w:tcPr>
                <w:p w14:paraId="48A24B2F">
                  <w:pPr>
                    <w:pStyle w:val="48"/>
                    <w:spacing w:line="240" w:lineRule="auto"/>
                    <w:rPr>
                      <w:rFonts w:hint="default" w:ascii="Times New Roman" w:hAnsi="Times New Roman" w:eastAsia="宋体" w:cs="Times New Roman"/>
                      <w:color w:val="auto"/>
                      <w:sz w:val="21"/>
                    </w:rPr>
                  </w:pPr>
                </w:p>
              </w:tc>
            </w:tr>
            <w:tr w14:paraId="7322088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788" w:type="pct"/>
                  <w:gridSpan w:val="2"/>
                  <w:vAlign w:val="center"/>
                </w:tcPr>
                <w:p w14:paraId="169C74AB">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生态</w:t>
                  </w:r>
                </w:p>
              </w:tc>
              <w:tc>
                <w:tcPr>
                  <w:tcW w:w="2903" w:type="pct"/>
                  <w:gridSpan w:val="3"/>
                  <w:vAlign w:val="center"/>
                </w:tcPr>
                <w:p w14:paraId="251C8677">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尽量减少填挖土方，加强施工管理，边坡防护、临 时占地植被恢复等水土保持工作</w:t>
                  </w:r>
                </w:p>
              </w:tc>
              <w:tc>
                <w:tcPr>
                  <w:tcW w:w="652" w:type="pct"/>
                  <w:vAlign w:val="center"/>
                </w:tcPr>
                <w:p w14:paraId="2F96FB81">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170</w:t>
                  </w:r>
                </w:p>
              </w:tc>
              <w:tc>
                <w:tcPr>
                  <w:tcW w:w="655" w:type="pct"/>
                  <w:vAlign w:val="center"/>
                </w:tcPr>
                <w:p w14:paraId="20A84DB9">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170</w:t>
                  </w:r>
                </w:p>
              </w:tc>
            </w:tr>
            <w:tr w14:paraId="49D24E5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4344" w:type="pct"/>
                  <w:gridSpan w:val="6"/>
                  <w:vAlign w:val="center"/>
                </w:tcPr>
                <w:p w14:paraId="18C81993">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合计</w:t>
                  </w:r>
                </w:p>
              </w:tc>
              <w:tc>
                <w:tcPr>
                  <w:tcW w:w="655" w:type="pct"/>
                  <w:vAlign w:val="center"/>
                </w:tcPr>
                <w:p w14:paraId="231BBB48">
                  <w:pPr>
                    <w:pStyle w:val="48"/>
                    <w:spacing w:line="240" w:lineRule="auto"/>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365.5</w:t>
                  </w:r>
                </w:p>
              </w:tc>
            </w:tr>
          </w:tbl>
          <w:p w14:paraId="03BFE869">
            <w:pPr>
              <w:pStyle w:val="20"/>
              <w:rPr>
                <w:rFonts w:hint="default" w:ascii="Times New Roman" w:hAnsi="Times New Roman" w:eastAsia="宋体" w:cs="Times New Roman"/>
                <w:color w:val="auto"/>
              </w:rPr>
            </w:pPr>
          </w:p>
          <w:p w14:paraId="2E032080">
            <w:pPr>
              <w:pStyle w:val="20"/>
              <w:rPr>
                <w:rFonts w:hint="default" w:ascii="Times New Roman" w:hAnsi="Times New Roman" w:eastAsia="宋体" w:cs="Times New Roman"/>
                <w:color w:val="auto"/>
              </w:rPr>
            </w:pPr>
          </w:p>
          <w:p w14:paraId="722852C2">
            <w:pPr>
              <w:pStyle w:val="20"/>
              <w:rPr>
                <w:rFonts w:hint="default" w:ascii="Times New Roman" w:hAnsi="Times New Roman" w:eastAsia="宋体" w:cs="Times New Roman"/>
                <w:color w:val="auto"/>
              </w:rPr>
            </w:pPr>
          </w:p>
          <w:p w14:paraId="36B80CF5">
            <w:pPr>
              <w:pStyle w:val="20"/>
              <w:rPr>
                <w:rFonts w:hint="default" w:ascii="Times New Roman" w:hAnsi="Times New Roman" w:eastAsia="宋体" w:cs="Times New Roman"/>
                <w:color w:val="auto"/>
              </w:rPr>
            </w:pPr>
          </w:p>
          <w:p w14:paraId="125EF3F0">
            <w:pPr>
              <w:pStyle w:val="21"/>
              <w:rPr>
                <w:rFonts w:hint="default" w:ascii="Times New Roman" w:hAnsi="Times New Roman" w:eastAsia="宋体" w:cs="Times New Roman"/>
                <w:color w:val="auto"/>
              </w:rPr>
            </w:pPr>
          </w:p>
          <w:p w14:paraId="54FCE5AA">
            <w:pPr>
              <w:rPr>
                <w:rFonts w:hint="default" w:ascii="Times New Roman" w:hAnsi="Times New Roman" w:eastAsia="宋体" w:cs="Times New Roman"/>
                <w:color w:val="auto"/>
              </w:rPr>
            </w:pPr>
          </w:p>
          <w:p w14:paraId="4515184C">
            <w:pPr>
              <w:pStyle w:val="2"/>
              <w:rPr>
                <w:rFonts w:hint="default" w:ascii="Times New Roman" w:hAnsi="Times New Roman" w:eastAsia="宋体" w:cs="Times New Roman"/>
                <w:color w:val="auto"/>
              </w:rPr>
            </w:pPr>
          </w:p>
          <w:p w14:paraId="5BE4A9C5">
            <w:pPr>
              <w:pStyle w:val="2"/>
              <w:rPr>
                <w:rFonts w:hint="default" w:ascii="Times New Roman" w:hAnsi="Times New Roman" w:eastAsia="宋体" w:cs="Times New Roman"/>
                <w:color w:val="auto"/>
              </w:rPr>
            </w:pPr>
          </w:p>
          <w:p w14:paraId="317F3608">
            <w:pPr>
              <w:pStyle w:val="2"/>
              <w:rPr>
                <w:rFonts w:hint="default" w:ascii="Times New Roman" w:hAnsi="Times New Roman" w:eastAsia="宋体" w:cs="Times New Roman"/>
                <w:color w:val="auto"/>
              </w:rPr>
            </w:pPr>
          </w:p>
          <w:p w14:paraId="2EE67C8E">
            <w:pPr>
              <w:pStyle w:val="2"/>
              <w:rPr>
                <w:rFonts w:hint="default" w:ascii="Times New Roman" w:hAnsi="Times New Roman" w:eastAsia="宋体" w:cs="Times New Roman"/>
                <w:color w:val="auto"/>
              </w:rPr>
            </w:pPr>
          </w:p>
          <w:p w14:paraId="4B74E77E">
            <w:pPr>
              <w:pStyle w:val="2"/>
              <w:rPr>
                <w:rFonts w:hint="default" w:ascii="Times New Roman" w:hAnsi="Times New Roman" w:eastAsia="宋体" w:cs="Times New Roman"/>
                <w:color w:val="auto"/>
              </w:rPr>
            </w:pPr>
          </w:p>
          <w:p w14:paraId="557824D7">
            <w:pPr>
              <w:pStyle w:val="2"/>
              <w:rPr>
                <w:rFonts w:hint="default" w:ascii="Times New Roman" w:hAnsi="Times New Roman" w:eastAsia="宋体" w:cs="Times New Roman"/>
                <w:color w:val="auto"/>
              </w:rPr>
            </w:pPr>
          </w:p>
          <w:p w14:paraId="3636F08D">
            <w:pPr>
              <w:pStyle w:val="2"/>
              <w:rPr>
                <w:rFonts w:hint="default" w:ascii="Times New Roman" w:hAnsi="Times New Roman" w:eastAsia="宋体" w:cs="Times New Roman"/>
                <w:color w:val="auto"/>
              </w:rPr>
            </w:pPr>
          </w:p>
          <w:p w14:paraId="47D9E20D">
            <w:pPr>
              <w:pStyle w:val="2"/>
              <w:rPr>
                <w:rFonts w:hint="default" w:ascii="Times New Roman" w:hAnsi="Times New Roman" w:eastAsia="宋体" w:cs="Times New Roman"/>
                <w:color w:val="auto"/>
              </w:rPr>
            </w:pPr>
          </w:p>
          <w:p w14:paraId="51AA7843">
            <w:pPr>
              <w:pStyle w:val="2"/>
              <w:ind w:left="0" w:leftChars="0" w:firstLine="0" w:firstLineChars="0"/>
              <w:rPr>
                <w:rFonts w:hint="default" w:ascii="Times New Roman" w:hAnsi="Times New Roman" w:eastAsia="宋体" w:cs="Times New Roman"/>
                <w:color w:val="auto"/>
              </w:rPr>
            </w:pPr>
          </w:p>
          <w:p w14:paraId="3C569E05">
            <w:pPr>
              <w:pStyle w:val="20"/>
              <w:rPr>
                <w:rFonts w:hint="default" w:ascii="Times New Roman" w:hAnsi="Times New Roman" w:eastAsia="宋体" w:cs="Times New Roman"/>
                <w:color w:val="auto"/>
              </w:rPr>
            </w:pPr>
          </w:p>
          <w:p w14:paraId="58F189B0">
            <w:pPr>
              <w:pStyle w:val="20"/>
              <w:rPr>
                <w:rFonts w:hint="default" w:ascii="Times New Roman" w:hAnsi="Times New Roman" w:eastAsia="宋体" w:cs="Times New Roman"/>
                <w:color w:val="auto"/>
              </w:rPr>
            </w:pPr>
          </w:p>
          <w:p w14:paraId="4D554575">
            <w:pPr>
              <w:pStyle w:val="20"/>
              <w:rPr>
                <w:rFonts w:hint="default" w:ascii="Times New Roman" w:hAnsi="Times New Roman" w:eastAsia="宋体" w:cs="Times New Roman"/>
                <w:color w:val="auto"/>
              </w:rPr>
            </w:pPr>
          </w:p>
          <w:p w14:paraId="51454EDD">
            <w:pPr>
              <w:pStyle w:val="20"/>
              <w:rPr>
                <w:rFonts w:hint="default" w:ascii="Times New Roman" w:hAnsi="Times New Roman" w:eastAsia="宋体" w:cs="Times New Roman"/>
                <w:color w:val="auto"/>
              </w:rPr>
            </w:pPr>
          </w:p>
        </w:tc>
      </w:tr>
    </w:tbl>
    <w:p w14:paraId="7B031033">
      <w:pPr>
        <w:pStyle w:val="29"/>
        <w:kinsoku/>
        <w:autoSpaceDE/>
        <w:autoSpaceDN/>
        <w:adjustRightInd/>
        <w:snapToGrid/>
        <w:jc w:val="center"/>
        <w:textAlignment w:val="auto"/>
        <w:rPr>
          <w:rFonts w:hint="default" w:ascii="Times New Roman" w:hAnsi="Times New Roman" w:eastAsia="宋体" w:cs="Times New Roman"/>
          <w:color w:val="auto"/>
          <w:sz w:val="30"/>
          <w:szCs w:val="30"/>
        </w:rPr>
        <w:sectPr>
          <w:footerReference r:id="rId12" w:type="default"/>
          <w:pgSz w:w="11906" w:h="16839"/>
          <w:pgMar w:top="1431" w:right="1418" w:bottom="1179" w:left="1418" w:header="0" w:footer="1001" w:gutter="0"/>
          <w:cols w:space="720" w:num="1"/>
        </w:sectPr>
      </w:pPr>
    </w:p>
    <w:p w14:paraId="7D519FD4">
      <w:pPr>
        <w:rPr>
          <w:rFonts w:hint="default" w:ascii="Times New Roman" w:hAnsi="Times New Roman" w:eastAsia="宋体" w:cs="Times New Roman"/>
          <w:color w:val="auto"/>
        </w:rPr>
        <w:sectPr>
          <w:type w:val="continuous"/>
          <w:pgSz w:w="11906" w:h="16839"/>
          <w:pgMar w:top="1587" w:right="1984" w:bottom="1587" w:left="1984" w:header="0" w:footer="1003" w:gutter="0"/>
          <w:cols w:space="0" w:num="1"/>
        </w:sectPr>
      </w:pPr>
    </w:p>
    <w:p w14:paraId="3AB8AD37">
      <w:pPr>
        <w:pStyle w:val="29"/>
        <w:kinsoku/>
        <w:autoSpaceDE/>
        <w:autoSpaceDN/>
        <w:adjustRightInd/>
        <w:snapToGrid/>
        <w:jc w:val="center"/>
        <w:textAlignment w:val="auto"/>
        <w:outlineLvl w:val="0"/>
        <w:rPr>
          <w:rFonts w:hint="default" w:ascii="Times New Roman" w:hAnsi="Times New Roman" w:eastAsia="宋体" w:cs="Times New Roman"/>
          <w:color w:val="auto"/>
          <w:sz w:val="30"/>
          <w:szCs w:val="30"/>
        </w:rPr>
      </w:pPr>
      <w:bookmarkStart w:id="48" w:name="_Toc26161"/>
      <w:r>
        <w:rPr>
          <w:rFonts w:hint="default" w:ascii="Times New Roman" w:hAnsi="Times New Roman" w:eastAsia="宋体" w:cs="Times New Roman"/>
          <w:color w:val="auto"/>
          <w:sz w:val="30"/>
          <w:szCs w:val="30"/>
        </w:rPr>
        <w:t>六、生态环境保护措施监督检查清单</w:t>
      </w:r>
      <w:bookmarkEnd w:id="48"/>
    </w:p>
    <w:tbl>
      <w:tblPr>
        <w:tblStyle w:val="43"/>
        <w:tblW w:w="5028"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18"/>
        <w:gridCol w:w="2468"/>
        <w:gridCol w:w="1107"/>
        <w:gridCol w:w="2517"/>
        <w:gridCol w:w="1082"/>
      </w:tblGrid>
      <w:tr w14:paraId="2742AE0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511" w:type="pct"/>
            <w:vMerge w:val="restart"/>
            <w:tcBorders>
              <w:top w:val="single" w:color="000000" w:sz="4" w:space="0"/>
              <w:left w:val="single" w:color="000000" w:sz="4" w:space="0"/>
              <w:bottom w:val="single" w:color="000000" w:sz="4" w:space="0"/>
              <w:right w:val="single" w:color="000000" w:sz="4" w:space="0"/>
              <w:tl2br w:val="single" w:color="000000" w:sz="4" w:space="0"/>
            </w:tcBorders>
            <w:shd w:val="clear" w:color="auto" w:fill="FFFFFF"/>
            <w:vAlign w:val="center"/>
          </w:tcPr>
          <w:p w14:paraId="6E1F50F4">
            <w:pPr>
              <w:spacing w:line="240" w:lineRule="auto"/>
              <w:ind w:firstLine="240" w:firstLineChars="100"/>
              <w:rPr>
                <w:rFonts w:hint="default" w:ascii="Times New Roman" w:hAnsi="Times New Roman" w:eastAsia="宋体" w:cs="Times New Roman"/>
                <w:b w:val="0"/>
                <w:color w:val="auto"/>
                <w:sz w:val="24"/>
                <w:szCs w:val="24"/>
              </w:rPr>
            </w:pPr>
            <w:r>
              <w:rPr>
                <w:rFonts w:hint="default" w:ascii="Times New Roman" w:hAnsi="Times New Roman" w:eastAsia="宋体" w:cs="Times New Roman"/>
                <w:b w:val="0"/>
                <w:color w:val="auto"/>
                <w:sz w:val="24"/>
                <w:szCs w:val="24"/>
              </w:rPr>
              <w:t>要素</w:t>
            </w:r>
          </w:p>
          <w:p w14:paraId="20551407">
            <w:pPr>
              <w:spacing w:line="240" w:lineRule="auto"/>
              <w:rPr>
                <w:rFonts w:hint="default" w:ascii="Times New Roman" w:hAnsi="Times New Roman" w:eastAsia="宋体" w:cs="Times New Roman"/>
                <w:b w:val="0"/>
                <w:color w:val="auto"/>
                <w:sz w:val="24"/>
                <w:szCs w:val="24"/>
              </w:rPr>
            </w:pPr>
            <w:r>
              <w:rPr>
                <w:rFonts w:hint="default" w:ascii="Times New Roman" w:hAnsi="Times New Roman" w:eastAsia="宋体" w:cs="Times New Roman"/>
                <w:b w:val="0"/>
                <w:color w:val="auto"/>
                <w:sz w:val="24"/>
                <w:szCs w:val="24"/>
              </w:rPr>
              <w:t>内容</w:t>
            </w:r>
          </w:p>
        </w:tc>
        <w:tc>
          <w:tcPr>
            <w:tcW w:w="2236"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4557C8DD">
            <w:pPr>
              <w:spacing w:before="82" w:line="240" w:lineRule="auto"/>
              <w:ind w:firstLine="1670"/>
              <w:rPr>
                <w:rFonts w:hint="default" w:ascii="Times New Roman" w:hAnsi="Times New Roman" w:eastAsia="宋体" w:cs="Times New Roman"/>
                <w:b w:val="0"/>
                <w:color w:val="auto"/>
                <w:sz w:val="24"/>
                <w:szCs w:val="24"/>
              </w:rPr>
            </w:pPr>
            <w:r>
              <w:rPr>
                <w:rFonts w:hint="default" w:ascii="Times New Roman" w:hAnsi="Times New Roman" w:eastAsia="宋体" w:cs="Times New Roman"/>
                <w:b w:val="0"/>
                <w:color w:val="auto"/>
                <w:spacing w:val="-3"/>
                <w:sz w:val="24"/>
                <w:szCs w:val="24"/>
              </w:rPr>
              <w:t>施工期</w:t>
            </w:r>
          </w:p>
        </w:tc>
        <w:tc>
          <w:tcPr>
            <w:tcW w:w="2251"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37C36AA0">
            <w:pPr>
              <w:spacing w:before="82" w:line="240" w:lineRule="auto"/>
              <w:jc w:val="center"/>
              <w:rPr>
                <w:rFonts w:hint="default" w:ascii="Times New Roman" w:hAnsi="Times New Roman" w:eastAsia="宋体" w:cs="Times New Roman"/>
                <w:b w:val="0"/>
                <w:color w:val="auto"/>
                <w:sz w:val="24"/>
                <w:szCs w:val="24"/>
              </w:rPr>
            </w:pPr>
            <w:r>
              <w:rPr>
                <w:rFonts w:hint="default" w:ascii="Times New Roman" w:hAnsi="Times New Roman" w:eastAsia="宋体" w:cs="Times New Roman"/>
                <w:b w:val="0"/>
                <w:color w:val="auto"/>
                <w:spacing w:val="-4"/>
                <w:sz w:val="24"/>
                <w:szCs w:val="24"/>
              </w:rPr>
              <w:t>运营期</w:t>
            </w:r>
          </w:p>
        </w:tc>
      </w:tr>
      <w:tr w14:paraId="173E208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511"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0AEDA768">
            <w:pPr>
              <w:spacing w:line="240" w:lineRule="auto"/>
              <w:rPr>
                <w:rFonts w:hint="default" w:ascii="Times New Roman" w:hAnsi="Times New Roman" w:eastAsia="宋体" w:cs="Times New Roman"/>
                <w:b w:val="0"/>
                <w:color w:val="auto"/>
                <w:sz w:val="24"/>
                <w:szCs w:val="24"/>
              </w:rPr>
            </w:pPr>
          </w:p>
        </w:tc>
        <w:tc>
          <w:tcPr>
            <w:tcW w:w="154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B0C4976">
            <w:pPr>
              <w:spacing w:before="135" w:line="240" w:lineRule="auto"/>
              <w:jc w:val="center"/>
              <w:rPr>
                <w:rFonts w:hint="default" w:ascii="Times New Roman" w:hAnsi="Times New Roman" w:eastAsia="宋体" w:cs="Times New Roman"/>
                <w:b w:val="0"/>
                <w:color w:val="auto"/>
                <w:sz w:val="24"/>
                <w:szCs w:val="24"/>
              </w:rPr>
            </w:pPr>
            <w:r>
              <w:rPr>
                <w:rFonts w:hint="default" w:ascii="Times New Roman" w:hAnsi="Times New Roman" w:eastAsia="宋体" w:cs="Times New Roman"/>
                <w:b w:val="0"/>
                <w:color w:val="auto"/>
                <w:spacing w:val="-2"/>
                <w:sz w:val="24"/>
                <w:szCs w:val="24"/>
              </w:rPr>
              <w:t>环境保护措施</w:t>
            </w:r>
          </w:p>
        </w:tc>
        <w:tc>
          <w:tcPr>
            <w:tcW w:w="69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40EA571">
            <w:pPr>
              <w:spacing w:before="135" w:line="240" w:lineRule="auto"/>
              <w:jc w:val="center"/>
              <w:rPr>
                <w:rFonts w:hint="default" w:ascii="Times New Roman" w:hAnsi="Times New Roman" w:eastAsia="宋体" w:cs="Times New Roman"/>
                <w:b w:val="0"/>
                <w:color w:val="auto"/>
                <w:sz w:val="24"/>
                <w:szCs w:val="24"/>
              </w:rPr>
            </w:pPr>
            <w:r>
              <w:rPr>
                <w:rFonts w:hint="default" w:ascii="Times New Roman" w:hAnsi="Times New Roman" w:eastAsia="宋体" w:cs="Times New Roman"/>
                <w:b w:val="0"/>
                <w:color w:val="auto"/>
                <w:spacing w:val="-3"/>
                <w:sz w:val="24"/>
                <w:szCs w:val="24"/>
              </w:rPr>
              <w:t>验收要求</w:t>
            </w:r>
          </w:p>
        </w:tc>
        <w:tc>
          <w:tcPr>
            <w:tcW w:w="157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74C9921">
            <w:pPr>
              <w:spacing w:before="135" w:line="240" w:lineRule="auto"/>
              <w:jc w:val="center"/>
              <w:rPr>
                <w:rFonts w:hint="default" w:ascii="Times New Roman" w:hAnsi="Times New Roman" w:eastAsia="宋体" w:cs="Times New Roman"/>
                <w:b w:val="0"/>
                <w:color w:val="auto"/>
                <w:sz w:val="24"/>
                <w:szCs w:val="24"/>
              </w:rPr>
            </w:pPr>
            <w:r>
              <w:rPr>
                <w:rFonts w:hint="default" w:ascii="Times New Roman" w:hAnsi="Times New Roman" w:eastAsia="宋体" w:cs="Times New Roman"/>
                <w:b w:val="0"/>
                <w:color w:val="auto"/>
                <w:spacing w:val="-2"/>
                <w:sz w:val="24"/>
                <w:szCs w:val="24"/>
              </w:rPr>
              <w:t>环境保护措施</w:t>
            </w:r>
          </w:p>
        </w:tc>
        <w:tc>
          <w:tcPr>
            <w:tcW w:w="67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37D3CDE">
            <w:pPr>
              <w:spacing w:before="135" w:line="240" w:lineRule="auto"/>
              <w:jc w:val="center"/>
              <w:rPr>
                <w:rFonts w:hint="default" w:ascii="Times New Roman" w:hAnsi="Times New Roman" w:eastAsia="宋体" w:cs="Times New Roman"/>
                <w:b w:val="0"/>
                <w:color w:val="auto"/>
                <w:sz w:val="24"/>
                <w:szCs w:val="24"/>
              </w:rPr>
            </w:pPr>
            <w:r>
              <w:rPr>
                <w:rFonts w:hint="default" w:ascii="Times New Roman" w:hAnsi="Times New Roman" w:eastAsia="宋体" w:cs="Times New Roman"/>
                <w:b w:val="0"/>
                <w:color w:val="auto"/>
                <w:spacing w:val="-3"/>
                <w:sz w:val="24"/>
                <w:szCs w:val="24"/>
              </w:rPr>
              <w:t>验收要求</w:t>
            </w:r>
          </w:p>
        </w:tc>
      </w:tr>
      <w:tr w14:paraId="58A11F8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51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E121524">
            <w:pPr>
              <w:spacing w:before="78" w:line="240" w:lineRule="auto"/>
              <w:jc w:val="center"/>
              <w:rPr>
                <w:rFonts w:hint="default" w:ascii="Times New Roman" w:hAnsi="Times New Roman" w:eastAsia="宋体" w:cs="Times New Roman"/>
                <w:b w:val="0"/>
                <w:color w:val="auto"/>
                <w:sz w:val="24"/>
                <w:szCs w:val="24"/>
              </w:rPr>
            </w:pPr>
            <w:r>
              <w:rPr>
                <w:rFonts w:hint="default" w:ascii="Times New Roman" w:hAnsi="Times New Roman" w:eastAsia="宋体" w:cs="Times New Roman"/>
                <w:b w:val="0"/>
                <w:color w:val="auto"/>
                <w:spacing w:val="-11"/>
                <w:sz w:val="24"/>
                <w:szCs w:val="24"/>
              </w:rPr>
              <w:t>陆生</w:t>
            </w:r>
            <w:r>
              <w:rPr>
                <w:rFonts w:hint="default" w:ascii="Times New Roman" w:hAnsi="Times New Roman" w:eastAsia="宋体" w:cs="Times New Roman"/>
                <w:b w:val="0"/>
                <w:color w:val="auto"/>
                <w:spacing w:val="-6"/>
                <w:sz w:val="24"/>
                <w:szCs w:val="24"/>
              </w:rPr>
              <w:t>生态</w:t>
            </w:r>
          </w:p>
        </w:tc>
        <w:tc>
          <w:tcPr>
            <w:tcW w:w="154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22E4B04">
            <w:pPr>
              <w:spacing w:before="38" w:line="240" w:lineRule="auto"/>
              <w:ind w:left="111" w:right="105"/>
              <w:rPr>
                <w:rFonts w:hint="default" w:ascii="Times New Roman" w:hAnsi="Times New Roman" w:eastAsia="宋体" w:cs="Times New Roman"/>
                <w:b w:val="0"/>
                <w:color w:val="auto"/>
                <w:sz w:val="24"/>
                <w:szCs w:val="24"/>
              </w:rPr>
            </w:pPr>
            <w:r>
              <w:rPr>
                <w:rFonts w:hint="default" w:ascii="Times New Roman" w:hAnsi="Times New Roman" w:eastAsia="宋体" w:cs="Times New Roman"/>
                <w:b w:val="0"/>
                <w:color w:val="auto"/>
                <w:sz w:val="24"/>
                <w:szCs w:val="24"/>
              </w:rPr>
              <w:t>（1）避开雨季施工；随挖随填、不留松土、不乱弃土；</w:t>
            </w:r>
          </w:p>
          <w:p w14:paraId="2DEA6426">
            <w:pPr>
              <w:spacing w:before="38" w:line="240" w:lineRule="auto"/>
              <w:ind w:left="111" w:right="105"/>
              <w:rPr>
                <w:rFonts w:hint="default" w:ascii="Times New Roman" w:hAnsi="Times New Roman" w:eastAsia="宋体" w:cs="Times New Roman"/>
                <w:b w:val="0"/>
                <w:color w:val="auto"/>
                <w:sz w:val="24"/>
                <w:szCs w:val="24"/>
              </w:rPr>
            </w:pPr>
            <w:r>
              <w:rPr>
                <w:rFonts w:hint="default" w:ascii="Times New Roman" w:hAnsi="Times New Roman" w:eastAsia="宋体" w:cs="Times New Roman"/>
                <w:b w:val="0"/>
                <w:color w:val="auto"/>
                <w:sz w:val="24"/>
                <w:szCs w:val="24"/>
              </w:rPr>
              <w:t>（2）材料及废土堆放用篷布进行遮盖，减少水土流失；</w:t>
            </w:r>
          </w:p>
          <w:p w14:paraId="5C4E8637">
            <w:pPr>
              <w:spacing w:before="38" w:line="240" w:lineRule="auto"/>
              <w:ind w:left="111" w:right="105"/>
              <w:rPr>
                <w:rFonts w:hint="default" w:ascii="Times New Roman" w:hAnsi="Times New Roman" w:eastAsia="宋体" w:cs="Times New Roman"/>
                <w:b w:val="0"/>
                <w:color w:val="auto"/>
                <w:sz w:val="24"/>
                <w:szCs w:val="24"/>
              </w:rPr>
            </w:pPr>
            <w:r>
              <w:rPr>
                <w:rFonts w:hint="default" w:ascii="Times New Roman" w:hAnsi="Times New Roman" w:eastAsia="宋体" w:cs="Times New Roman"/>
                <w:b w:val="0"/>
                <w:color w:val="auto"/>
                <w:sz w:val="24"/>
                <w:szCs w:val="24"/>
              </w:rPr>
              <w:t>（3）充分利用现有的道路加以完善，尽量与乡村道路建设相结合，尽量沿防火线或者林班线修建，减少破土面，减轻水土流失；</w:t>
            </w:r>
          </w:p>
          <w:p w14:paraId="6E87805E">
            <w:pPr>
              <w:spacing w:before="38" w:line="240" w:lineRule="auto"/>
              <w:ind w:left="111" w:right="105"/>
              <w:rPr>
                <w:rFonts w:hint="default" w:ascii="Times New Roman" w:hAnsi="Times New Roman" w:eastAsia="宋体" w:cs="Times New Roman"/>
                <w:b w:val="0"/>
                <w:color w:val="auto"/>
                <w:sz w:val="24"/>
                <w:szCs w:val="24"/>
              </w:rPr>
            </w:pPr>
            <w:r>
              <w:rPr>
                <w:rFonts w:hint="default" w:ascii="Times New Roman" w:hAnsi="Times New Roman" w:eastAsia="宋体" w:cs="Times New Roman"/>
                <w:b w:val="0"/>
                <w:color w:val="auto"/>
                <w:sz w:val="24"/>
                <w:szCs w:val="24"/>
              </w:rPr>
              <w:t>（4）科学设计线路走向，以减少对植被的破坏；</w:t>
            </w:r>
          </w:p>
          <w:p w14:paraId="361B520E">
            <w:pPr>
              <w:spacing w:before="38" w:line="240" w:lineRule="auto"/>
              <w:ind w:left="111" w:right="105"/>
              <w:rPr>
                <w:rFonts w:hint="default" w:ascii="Times New Roman" w:hAnsi="Times New Roman" w:eastAsia="宋体" w:cs="Times New Roman"/>
                <w:b w:val="0"/>
                <w:color w:val="auto"/>
                <w:sz w:val="24"/>
                <w:szCs w:val="24"/>
              </w:rPr>
            </w:pPr>
            <w:r>
              <w:rPr>
                <w:rFonts w:hint="default" w:ascii="Times New Roman" w:hAnsi="Times New Roman" w:eastAsia="宋体" w:cs="Times New Roman"/>
                <w:b w:val="0"/>
                <w:color w:val="auto"/>
                <w:sz w:val="24"/>
                <w:szCs w:val="24"/>
              </w:rPr>
              <w:t>（5）边坡、路界范围内种植灌木、乔木和攀援植物，植草皮等生物措施增加边坡的植被，以防止土壤侵蚀的速度。</w:t>
            </w:r>
          </w:p>
          <w:p w14:paraId="2BCDD69C">
            <w:pPr>
              <w:spacing w:before="38" w:line="240" w:lineRule="auto"/>
              <w:ind w:left="111" w:right="105"/>
              <w:rPr>
                <w:rFonts w:hint="default" w:ascii="Times New Roman" w:hAnsi="Times New Roman" w:eastAsia="宋体" w:cs="Times New Roman"/>
                <w:b w:val="0"/>
                <w:color w:val="auto"/>
                <w:sz w:val="24"/>
                <w:szCs w:val="24"/>
              </w:rPr>
            </w:pPr>
            <w:r>
              <w:rPr>
                <w:rFonts w:hint="default" w:ascii="Times New Roman" w:hAnsi="Times New Roman" w:eastAsia="宋体" w:cs="Times New Roman"/>
                <w:b w:val="0"/>
                <w:color w:val="auto"/>
                <w:sz w:val="24"/>
                <w:szCs w:val="24"/>
              </w:rPr>
              <w:t>（6）加强施工人员管理，不得随意破坏现有植被，惊扰、捕获动物。</w:t>
            </w:r>
          </w:p>
        </w:tc>
        <w:tc>
          <w:tcPr>
            <w:tcW w:w="69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54A6015">
            <w:pPr>
              <w:spacing w:before="78" w:line="240" w:lineRule="auto"/>
              <w:ind w:right="105"/>
              <w:jc w:val="center"/>
              <w:rPr>
                <w:rFonts w:hint="default" w:ascii="Times New Roman" w:hAnsi="Times New Roman" w:eastAsia="宋体" w:cs="Times New Roman"/>
                <w:b w:val="0"/>
                <w:color w:val="auto"/>
                <w:sz w:val="24"/>
                <w:szCs w:val="24"/>
              </w:rPr>
            </w:pPr>
            <w:r>
              <w:rPr>
                <w:rFonts w:hint="default" w:ascii="Times New Roman" w:hAnsi="Times New Roman" w:eastAsia="宋体" w:cs="Times New Roman"/>
                <w:b w:val="0"/>
                <w:color w:val="auto"/>
                <w:sz w:val="24"/>
                <w:szCs w:val="24"/>
              </w:rPr>
              <w:t>/</w:t>
            </w:r>
          </w:p>
        </w:tc>
        <w:tc>
          <w:tcPr>
            <w:tcW w:w="157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700C574">
            <w:pPr>
              <w:spacing w:before="78" w:line="240" w:lineRule="auto"/>
              <w:ind w:left="114" w:right="104" w:firstLine="4"/>
              <w:jc w:val="center"/>
              <w:rPr>
                <w:rFonts w:hint="default" w:ascii="Times New Roman" w:hAnsi="Times New Roman" w:eastAsia="宋体" w:cs="Times New Roman"/>
                <w:b w:val="0"/>
                <w:color w:val="auto"/>
                <w:sz w:val="24"/>
                <w:szCs w:val="24"/>
              </w:rPr>
            </w:pPr>
            <w:r>
              <w:rPr>
                <w:rFonts w:hint="default" w:ascii="Times New Roman" w:hAnsi="Times New Roman" w:eastAsia="宋体" w:cs="Times New Roman"/>
                <w:b w:val="0"/>
                <w:color w:val="auto"/>
                <w:sz w:val="24"/>
                <w:szCs w:val="24"/>
              </w:rPr>
              <w:t>项目建设过程中应尽量避免外来物种入侵风险，选用适宜当地环境的本土植被。加强运营期生态监测。运营期需进行生态影响的监测工作，主要监测生境的变化，植被的变化以及生态系统的整体性变化。通过监测来加强对生态的管理，在工程管理机构设置生态管理人员，建立各种管理及报告制度，开展对工程影响区的环境教育，提高施工人员和管理人员环境意识。通过动态监测和完善管理，使生态向良性或有利方向发展。</w:t>
            </w:r>
          </w:p>
        </w:tc>
        <w:tc>
          <w:tcPr>
            <w:tcW w:w="67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A24D055">
            <w:pPr>
              <w:spacing w:before="78" w:line="240" w:lineRule="auto"/>
              <w:ind w:left="117" w:right="107"/>
              <w:jc w:val="center"/>
              <w:rPr>
                <w:rFonts w:hint="default" w:ascii="Times New Roman" w:hAnsi="Times New Roman" w:eastAsia="宋体" w:cs="Times New Roman"/>
                <w:b w:val="0"/>
                <w:color w:val="auto"/>
                <w:sz w:val="24"/>
                <w:szCs w:val="24"/>
              </w:rPr>
            </w:pPr>
            <w:r>
              <w:rPr>
                <w:rFonts w:hint="default" w:ascii="Times New Roman" w:hAnsi="Times New Roman" w:eastAsia="宋体" w:cs="Times New Roman"/>
                <w:b w:val="0"/>
                <w:color w:val="auto"/>
                <w:sz w:val="24"/>
                <w:szCs w:val="24"/>
              </w:rPr>
              <w:t>是否有外来物种入侵风险</w:t>
            </w:r>
          </w:p>
        </w:tc>
      </w:tr>
      <w:tr w14:paraId="6122293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51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919A0FF">
            <w:pPr>
              <w:spacing w:before="78" w:line="240" w:lineRule="auto"/>
              <w:jc w:val="center"/>
              <w:rPr>
                <w:rFonts w:hint="default" w:ascii="Times New Roman" w:hAnsi="Times New Roman" w:eastAsia="宋体" w:cs="Times New Roman"/>
                <w:b w:val="0"/>
                <w:color w:val="auto"/>
                <w:sz w:val="24"/>
                <w:szCs w:val="24"/>
              </w:rPr>
            </w:pPr>
            <w:r>
              <w:rPr>
                <w:rFonts w:hint="default" w:ascii="Times New Roman" w:hAnsi="Times New Roman" w:eastAsia="宋体" w:cs="Times New Roman"/>
                <w:b w:val="0"/>
                <w:color w:val="auto"/>
                <w:spacing w:val="-7"/>
                <w:sz w:val="24"/>
                <w:szCs w:val="24"/>
              </w:rPr>
              <w:t>水生</w:t>
            </w:r>
            <w:r>
              <w:rPr>
                <w:rFonts w:hint="default" w:ascii="Times New Roman" w:hAnsi="Times New Roman" w:eastAsia="宋体" w:cs="Times New Roman"/>
                <w:b w:val="0"/>
                <w:color w:val="auto"/>
                <w:spacing w:val="-6"/>
                <w:sz w:val="24"/>
                <w:szCs w:val="24"/>
              </w:rPr>
              <w:t>生态</w:t>
            </w:r>
          </w:p>
        </w:tc>
        <w:tc>
          <w:tcPr>
            <w:tcW w:w="154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C156100">
            <w:pPr>
              <w:spacing w:before="70" w:line="240" w:lineRule="auto"/>
              <w:jc w:val="center"/>
              <w:rPr>
                <w:rFonts w:hint="default" w:ascii="Times New Roman" w:hAnsi="Times New Roman" w:eastAsia="宋体" w:cs="Times New Roman"/>
                <w:b w:val="0"/>
                <w:color w:val="auto"/>
                <w:sz w:val="24"/>
                <w:szCs w:val="24"/>
              </w:rPr>
            </w:pPr>
            <w:r>
              <w:rPr>
                <w:rFonts w:hint="default" w:ascii="Times New Roman" w:hAnsi="Times New Roman" w:eastAsia="宋体" w:cs="Times New Roman"/>
                <w:b w:val="0"/>
                <w:color w:val="auto"/>
                <w:position w:val="1"/>
                <w:sz w:val="24"/>
                <w:szCs w:val="24"/>
              </w:rPr>
              <w:t>/</w:t>
            </w:r>
          </w:p>
        </w:tc>
        <w:tc>
          <w:tcPr>
            <w:tcW w:w="69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BC349DB">
            <w:pPr>
              <w:spacing w:before="70" w:line="240" w:lineRule="auto"/>
              <w:jc w:val="center"/>
              <w:rPr>
                <w:rFonts w:hint="default" w:ascii="Times New Roman" w:hAnsi="Times New Roman" w:eastAsia="宋体" w:cs="Times New Roman"/>
                <w:b w:val="0"/>
                <w:color w:val="auto"/>
                <w:sz w:val="24"/>
                <w:szCs w:val="24"/>
              </w:rPr>
            </w:pPr>
            <w:r>
              <w:rPr>
                <w:rFonts w:hint="default" w:ascii="Times New Roman" w:hAnsi="Times New Roman" w:eastAsia="宋体" w:cs="Times New Roman"/>
                <w:b w:val="0"/>
                <w:color w:val="auto"/>
                <w:position w:val="1"/>
                <w:sz w:val="24"/>
                <w:szCs w:val="24"/>
              </w:rPr>
              <w:t>/</w:t>
            </w:r>
          </w:p>
        </w:tc>
        <w:tc>
          <w:tcPr>
            <w:tcW w:w="157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9CD8881">
            <w:pPr>
              <w:spacing w:before="70" w:line="240" w:lineRule="auto"/>
              <w:jc w:val="center"/>
              <w:rPr>
                <w:rFonts w:hint="default" w:ascii="Times New Roman" w:hAnsi="Times New Roman" w:eastAsia="宋体" w:cs="Times New Roman"/>
                <w:b w:val="0"/>
                <w:color w:val="auto"/>
                <w:sz w:val="24"/>
                <w:szCs w:val="24"/>
              </w:rPr>
            </w:pPr>
            <w:r>
              <w:rPr>
                <w:rFonts w:hint="default" w:ascii="Times New Roman" w:hAnsi="Times New Roman" w:eastAsia="宋体" w:cs="Times New Roman"/>
                <w:b w:val="0"/>
                <w:color w:val="auto"/>
                <w:position w:val="1"/>
                <w:sz w:val="24"/>
                <w:szCs w:val="24"/>
              </w:rPr>
              <w:t>/</w:t>
            </w:r>
          </w:p>
        </w:tc>
        <w:tc>
          <w:tcPr>
            <w:tcW w:w="67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E70222D">
            <w:pPr>
              <w:spacing w:before="70" w:line="240" w:lineRule="auto"/>
              <w:jc w:val="center"/>
              <w:rPr>
                <w:rFonts w:hint="default" w:ascii="Times New Roman" w:hAnsi="Times New Roman" w:eastAsia="宋体" w:cs="Times New Roman"/>
                <w:b w:val="0"/>
                <w:color w:val="auto"/>
                <w:sz w:val="24"/>
                <w:szCs w:val="24"/>
              </w:rPr>
            </w:pPr>
            <w:r>
              <w:rPr>
                <w:rFonts w:hint="default" w:ascii="Times New Roman" w:hAnsi="Times New Roman" w:eastAsia="宋体" w:cs="Times New Roman"/>
                <w:b w:val="0"/>
                <w:color w:val="auto"/>
                <w:position w:val="1"/>
                <w:sz w:val="24"/>
                <w:szCs w:val="24"/>
              </w:rPr>
              <w:t>/</w:t>
            </w:r>
          </w:p>
        </w:tc>
      </w:tr>
      <w:tr w14:paraId="25C0DBA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51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3F353B8">
            <w:pPr>
              <w:spacing w:before="78" w:line="240" w:lineRule="auto"/>
              <w:ind w:right="193"/>
              <w:jc w:val="center"/>
              <w:rPr>
                <w:rFonts w:hint="default" w:ascii="Times New Roman" w:hAnsi="Times New Roman" w:eastAsia="宋体" w:cs="Times New Roman"/>
                <w:b w:val="0"/>
                <w:color w:val="auto"/>
                <w:sz w:val="24"/>
                <w:szCs w:val="24"/>
              </w:rPr>
            </w:pPr>
            <w:r>
              <w:rPr>
                <w:rFonts w:hint="default" w:ascii="Times New Roman" w:hAnsi="Times New Roman" w:eastAsia="宋体" w:cs="Times New Roman"/>
                <w:b w:val="0"/>
                <w:color w:val="auto"/>
                <w:spacing w:val="-5"/>
                <w:sz w:val="24"/>
                <w:szCs w:val="24"/>
              </w:rPr>
              <w:t>地表水环境</w:t>
            </w:r>
          </w:p>
        </w:tc>
        <w:tc>
          <w:tcPr>
            <w:tcW w:w="154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C7AED55">
            <w:pPr>
              <w:spacing w:before="34" w:line="240" w:lineRule="auto"/>
              <w:ind w:left="111" w:right="105"/>
              <w:rPr>
                <w:rFonts w:hint="default" w:ascii="Times New Roman" w:hAnsi="Times New Roman" w:eastAsia="宋体" w:cs="Times New Roman"/>
                <w:b w:val="0"/>
                <w:color w:val="auto"/>
                <w:sz w:val="24"/>
                <w:szCs w:val="24"/>
              </w:rPr>
            </w:pPr>
            <w:r>
              <w:rPr>
                <w:rFonts w:hint="default" w:ascii="Times New Roman" w:hAnsi="Times New Roman" w:eastAsia="宋体" w:cs="Times New Roman"/>
                <w:b w:val="0"/>
                <w:color w:val="auto"/>
                <w:sz w:val="24"/>
                <w:szCs w:val="24"/>
              </w:rPr>
              <w:t>施工期间的设备冲洗废水经项目区设置的临时沉淀池沉淀后，回用于场地防尘洒水，不外排。项目施工期平均民工人数可达60人左右。施工期间全部回家解决食宿，生活污水依托村民房屋自建旱厕处理。</w:t>
            </w:r>
          </w:p>
        </w:tc>
        <w:tc>
          <w:tcPr>
            <w:tcW w:w="69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4B4D44F">
            <w:pPr>
              <w:spacing w:before="78" w:line="240" w:lineRule="auto"/>
              <w:ind w:left="113" w:right="105"/>
              <w:jc w:val="center"/>
              <w:rPr>
                <w:rFonts w:hint="default" w:ascii="Times New Roman" w:hAnsi="Times New Roman" w:eastAsia="宋体" w:cs="Times New Roman"/>
                <w:b w:val="0"/>
                <w:color w:val="auto"/>
                <w:sz w:val="24"/>
                <w:szCs w:val="24"/>
              </w:rPr>
            </w:pPr>
            <w:r>
              <w:rPr>
                <w:rFonts w:hint="default" w:ascii="Times New Roman" w:hAnsi="Times New Roman" w:eastAsia="宋体" w:cs="Times New Roman"/>
                <w:b w:val="0"/>
                <w:color w:val="auto"/>
                <w:sz w:val="24"/>
                <w:szCs w:val="24"/>
              </w:rPr>
              <w:t>/</w:t>
            </w:r>
          </w:p>
        </w:tc>
        <w:tc>
          <w:tcPr>
            <w:tcW w:w="157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F304DEC">
            <w:pPr>
              <w:spacing w:before="69" w:line="240" w:lineRule="auto"/>
              <w:jc w:val="center"/>
              <w:rPr>
                <w:rFonts w:hint="default" w:ascii="Times New Roman" w:hAnsi="Times New Roman" w:eastAsia="宋体" w:cs="Times New Roman"/>
                <w:b w:val="0"/>
                <w:color w:val="auto"/>
                <w:sz w:val="24"/>
                <w:szCs w:val="24"/>
              </w:rPr>
            </w:pPr>
            <w:r>
              <w:rPr>
                <w:rFonts w:hint="default" w:ascii="Times New Roman" w:hAnsi="Times New Roman" w:eastAsia="宋体" w:cs="Times New Roman"/>
                <w:b w:val="0"/>
                <w:color w:val="auto"/>
                <w:sz w:val="24"/>
                <w:szCs w:val="24"/>
              </w:rPr>
              <w:t>本项目营运期废水主要为员工生活污水，依托村民房屋自建旱厕处理。</w:t>
            </w:r>
          </w:p>
        </w:tc>
        <w:tc>
          <w:tcPr>
            <w:tcW w:w="67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E824CE1">
            <w:pPr>
              <w:spacing w:before="69" w:line="240" w:lineRule="auto"/>
              <w:jc w:val="center"/>
              <w:rPr>
                <w:rFonts w:hint="default" w:ascii="Times New Roman" w:hAnsi="Times New Roman" w:eastAsia="宋体" w:cs="Times New Roman"/>
                <w:b w:val="0"/>
                <w:color w:val="auto"/>
                <w:sz w:val="24"/>
                <w:szCs w:val="24"/>
              </w:rPr>
            </w:pPr>
            <w:r>
              <w:rPr>
                <w:rFonts w:hint="default" w:ascii="Times New Roman" w:hAnsi="Times New Roman" w:eastAsia="宋体" w:cs="Times New Roman"/>
                <w:b w:val="0"/>
                <w:color w:val="auto"/>
                <w:position w:val="1"/>
                <w:sz w:val="24"/>
                <w:szCs w:val="24"/>
              </w:rPr>
              <w:t>/</w:t>
            </w:r>
          </w:p>
        </w:tc>
      </w:tr>
      <w:tr w14:paraId="3E539F3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51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00A7C45">
            <w:pPr>
              <w:spacing w:before="40" w:line="240" w:lineRule="auto"/>
              <w:jc w:val="center"/>
              <w:rPr>
                <w:rFonts w:hint="default" w:ascii="Times New Roman" w:hAnsi="Times New Roman" w:eastAsia="宋体" w:cs="Times New Roman"/>
                <w:b w:val="0"/>
                <w:color w:val="auto"/>
                <w:sz w:val="24"/>
                <w:szCs w:val="24"/>
              </w:rPr>
            </w:pPr>
            <w:r>
              <w:rPr>
                <w:rFonts w:hint="default" w:ascii="Times New Roman" w:hAnsi="Times New Roman" w:eastAsia="宋体" w:cs="Times New Roman"/>
                <w:b w:val="0"/>
                <w:color w:val="auto"/>
                <w:spacing w:val="-4"/>
                <w:sz w:val="24"/>
                <w:szCs w:val="24"/>
              </w:rPr>
              <w:t>地下水</w:t>
            </w:r>
            <w:r>
              <w:rPr>
                <w:rFonts w:hint="default" w:ascii="Times New Roman" w:hAnsi="Times New Roman" w:eastAsia="宋体" w:cs="Times New Roman"/>
                <w:b w:val="0"/>
                <w:color w:val="auto"/>
                <w:spacing w:val="-3"/>
                <w:sz w:val="24"/>
                <w:szCs w:val="24"/>
              </w:rPr>
              <w:t>及土壤</w:t>
            </w:r>
            <w:r>
              <w:rPr>
                <w:rFonts w:hint="default" w:ascii="Times New Roman" w:hAnsi="Times New Roman" w:eastAsia="宋体" w:cs="Times New Roman"/>
                <w:b w:val="0"/>
                <w:color w:val="auto"/>
                <w:spacing w:val="-5"/>
                <w:sz w:val="24"/>
                <w:szCs w:val="24"/>
              </w:rPr>
              <w:t>环境</w:t>
            </w:r>
          </w:p>
        </w:tc>
        <w:tc>
          <w:tcPr>
            <w:tcW w:w="154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239CA7B">
            <w:pPr>
              <w:spacing w:before="149" w:line="240" w:lineRule="auto"/>
              <w:jc w:val="center"/>
              <w:rPr>
                <w:rFonts w:hint="default" w:ascii="Times New Roman" w:hAnsi="Times New Roman" w:eastAsia="宋体" w:cs="Times New Roman"/>
                <w:b w:val="0"/>
                <w:color w:val="auto"/>
                <w:sz w:val="24"/>
                <w:szCs w:val="24"/>
              </w:rPr>
            </w:pPr>
            <w:r>
              <w:rPr>
                <w:rFonts w:hint="default" w:ascii="Times New Roman" w:hAnsi="Times New Roman" w:eastAsia="宋体" w:cs="Times New Roman"/>
                <w:b w:val="0"/>
                <w:color w:val="auto"/>
                <w:position w:val="1"/>
                <w:sz w:val="24"/>
                <w:szCs w:val="24"/>
              </w:rPr>
              <w:t>/</w:t>
            </w:r>
          </w:p>
        </w:tc>
        <w:tc>
          <w:tcPr>
            <w:tcW w:w="69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DB873E1">
            <w:pPr>
              <w:spacing w:before="149" w:line="240" w:lineRule="auto"/>
              <w:jc w:val="center"/>
              <w:rPr>
                <w:rFonts w:hint="default" w:ascii="Times New Roman" w:hAnsi="Times New Roman" w:eastAsia="宋体" w:cs="Times New Roman"/>
                <w:b w:val="0"/>
                <w:color w:val="auto"/>
                <w:sz w:val="24"/>
                <w:szCs w:val="24"/>
              </w:rPr>
            </w:pPr>
            <w:r>
              <w:rPr>
                <w:rFonts w:hint="default" w:ascii="Times New Roman" w:hAnsi="Times New Roman" w:eastAsia="宋体" w:cs="Times New Roman"/>
                <w:b w:val="0"/>
                <w:color w:val="auto"/>
                <w:position w:val="1"/>
                <w:sz w:val="24"/>
                <w:szCs w:val="24"/>
              </w:rPr>
              <w:t>/</w:t>
            </w:r>
          </w:p>
        </w:tc>
        <w:tc>
          <w:tcPr>
            <w:tcW w:w="157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E877A25">
            <w:pPr>
              <w:spacing w:before="306" w:line="240" w:lineRule="auto"/>
              <w:jc w:val="center"/>
              <w:rPr>
                <w:rFonts w:hint="default" w:ascii="Times New Roman" w:hAnsi="Times New Roman" w:eastAsia="宋体" w:cs="Times New Roman"/>
                <w:b w:val="0"/>
                <w:color w:val="auto"/>
                <w:sz w:val="24"/>
                <w:szCs w:val="24"/>
              </w:rPr>
            </w:pPr>
            <w:r>
              <w:rPr>
                <w:rFonts w:hint="default" w:ascii="Times New Roman" w:hAnsi="Times New Roman" w:eastAsia="宋体" w:cs="Times New Roman"/>
                <w:b w:val="0"/>
                <w:color w:val="auto"/>
                <w:position w:val="1"/>
                <w:sz w:val="24"/>
                <w:szCs w:val="24"/>
              </w:rPr>
              <w:t>/</w:t>
            </w:r>
          </w:p>
        </w:tc>
        <w:tc>
          <w:tcPr>
            <w:tcW w:w="67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B764339">
            <w:pPr>
              <w:spacing w:before="306" w:line="240" w:lineRule="auto"/>
              <w:jc w:val="center"/>
              <w:rPr>
                <w:rFonts w:hint="default" w:ascii="Times New Roman" w:hAnsi="Times New Roman" w:eastAsia="宋体" w:cs="Times New Roman"/>
                <w:b w:val="0"/>
                <w:color w:val="auto"/>
                <w:sz w:val="24"/>
                <w:szCs w:val="24"/>
              </w:rPr>
            </w:pPr>
            <w:r>
              <w:rPr>
                <w:rFonts w:hint="default" w:ascii="Times New Roman" w:hAnsi="Times New Roman" w:eastAsia="宋体" w:cs="Times New Roman"/>
                <w:b w:val="0"/>
                <w:color w:val="auto"/>
                <w:position w:val="1"/>
                <w:sz w:val="24"/>
                <w:szCs w:val="24"/>
              </w:rPr>
              <w:t>/</w:t>
            </w:r>
          </w:p>
        </w:tc>
      </w:tr>
      <w:tr w14:paraId="3B4095F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51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3AD4828">
            <w:pPr>
              <w:spacing w:before="78" w:line="240" w:lineRule="auto"/>
              <w:jc w:val="center"/>
              <w:rPr>
                <w:rFonts w:hint="default" w:ascii="Times New Roman" w:hAnsi="Times New Roman" w:eastAsia="宋体" w:cs="Times New Roman"/>
                <w:b w:val="0"/>
                <w:color w:val="auto"/>
                <w:sz w:val="24"/>
                <w:szCs w:val="24"/>
              </w:rPr>
            </w:pPr>
            <w:r>
              <w:rPr>
                <w:rFonts w:hint="default" w:ascii="Times New Roman" w:hAnsi="Times New Roman" w:eastAsia="宋体" w:cs="Times New Roman"/>
                <w:b w:val="0"/>
                <w:color w:val="auto"/>
                <w:spacing w:val="-5"/>
                <w:sz w:val="24"/>
                <w:szCs w:val="24"/>
              </w:rPr>
              <w:t>声环境</w:t>
            </w:r>
          </w:p>
        </w:tc>
        <w:tc>
          <w:tcPr>
            <w:tcW w:w="154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6BEB558">
            <w:pPr>
              <w:spacing w:before="40" w:line="240" w:lineRule="auto"/>
              <w:ind w:left="124" w:right="105" w:hanging="12"/>
              <w:rPr>
                <w:rFonts w:hint="default" w:ascii="Times New Roman" w:hAnsi="Times New Roman" w:eastAsia="宋体" w:cs="Times New Roman"/>
                <w:b w:val="0"/>
                <w:color w:val="auto"/>
                <w:sz w:val="24"/>
                <w:szCs w:val="24"/>
              </w:rPr>
            </w:pPr>
            <w:r>
              <w:rPr>
                <w:rFonts w:hint="default" w:ascii="Times New Roman" w:hAnsi="Times New Roman" w:eastAsia="宋体" w:cs="Times New Roman"/>
                <w:b w:val="0"/>
                <w:color w:val="auto"/>
                <w:sz w:val="24"/>
                <w:szCs w:val="24"/>
              </w:rPr>
              <w:t>经指定的路线进行材料运输；检查施工机械的工作状况；安排施工时间及作业方式，避免夜间在居民区等敏感点进行高噪声作业。</w:t>
            </w:r>
          </w:p>
        </w:tc>
        <w:tc>
          <w:tcPr>
            <w:tcW w:w="69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E927BA7">
            <w:pPr>
              <w:spacing w:before="36" w:line="240" w:lineRule="auto"/>
              <w:ind w:left="114" w:right="103" w:firstLine="1"/>
              <w:jc w:val="center"/>
              <w:rPr>
                <w:rFonts w:hint="default" w:ascii="Times New Roman" w:hAnsi="Times New Roman" w:eastAsia="宋体" w:cs="Times New Roman"/>
                <w:b w:val="0"/>
                <w:color w:val="auto"/>
                <w:sz w:val="24"/>
                <w:szCs w:val="24"/>
              </w:rPr>
            </w:pPr>
            <w:r>
              <w:rPr>
                <w:rFonts w:hint="default" w:ascii="Times New Roman" w:hAnsi="Times New Roman" w:eastAsia="宋体" w:cs="Times New Roman"/>
                <w:b w:val="0"/>
                <w:color w:val="auto"/>
                <w:sz w:val="24"/>
                <w:szCs w:val="24"/>
              </w:rPr>
              <w:t>《建筑施工场界环境噪声排放标准》（GB12523-2011）</w:t>
            </w:r>
          </w:p>
        </w:tc>
        <w:tc>
          <w:tcPr>
            <w:tcW w:w="157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624DD2F">
            <w:pPr>
              <w:spacing w:before="69" w:line="240" w:lineRule="auto"/>
              <w:rPr>
                <w:rFonts w:hint="default" w:ascii="Times New Roman" w:hAnsi="Times New Roman" w:eastAsia="宋体" w:cs="Times New Roman"/>
                <w:b w:val="0"/>
                <w:color w:val="auto"/>
                <w:sz w:val="24"/>
                <w:szCs w:val="24"/>
              </w:rPr>
            </w:pPr>
            <w:r>
              <w:rPr>
                <w:rFonts w:hint="default" w:ascii="Times New Roman" w:hAnsi="Times New Roman" w:eastAsia="宋体" w:cs="Times New Roman"/>
                <w:b w:val="0"/>
                <w:color w:val="auto"/>
                <w:sz w:val="24"/>
                <w:szCs w:val="24"/>
              </w:rPr>
              <w:t>设置禁鸣路段，加强路面养护和车辆运行管理</w:t>
            </w:r>
          </w:p>
        </w:tc>
        <w:tc>
          <w:tcPr>
            <w:tcW w:w="67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BDDF8B0">
            <w:pPr>
              <w:spacing w:before="69" w:line="240" w:lineRule="auto"/>
              <w:jc w:val="center"/>
              <w:rPr>
                <w:rFonts w:hint="default" w:ascii="Times New Roman" w:hAnsi="Times New Roman" w:eastAsia="宋体" w:cs="Times New Roman"/>
                <w:b w:val="0"/>
                <w:color w:val="auto"/>
                <w:sz w:val="24"/>
                <w:szCs w:val="24"/>
              </w:rPr>
            </w:pPr>
            <w:r>
              <w:rPr>
                <w:rFonts w:hint="default" w:ascii="Times New Roman" w:hAnsi="Times New Roman" w:eastAsia="宋体" w:cs="Times New Roman"/>
                <w:b w:val="0"/>
                <w:color w:val="auto"/>
                <w:sz w:val="24"/>
                <w:szCs w:val="24"/>
              </w:rPr>
              <w:t>《声环境质量标准》（GB3096-2008）中的2类标准</w:t>
            </w:r>
          </w:p>
        </w:tc>
      </w:tr>
      <w:tr w14:paraId="306A7C5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51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B8A2BCA">
            <w:pPr>
              <w:spacing w:before="78" w:line="240" w:lineRule="auto"/>
              <w:jc w:val="center"/>
              <w:rPr>
                <w:rFonts w:hint="default" w:ascii="Times New Roman" w:hAnsi="Times New Roman" w:eastAsia="宋体" w:cs="Times New Roman"/>
                <w:b w:val="0"/>
                <w:color w:val="auto"/>
                <w:spacing w:val="-5"/>
                <w:sz w:val="24"/>
                <w:szCs w:val="24"/>
              </w:rPr>
            </w:pPr>
            <w:r>
              <w:rPr>
                <w:rFonts w:hint="default" w:ascii="Times New Roman" w:hAnsi="Times New Roman" w:eastAsia="宋体" w:cs="Times New Roman"/>
                <w:b w:val="0"/>
                <w:color w:val="auto"/>
                <w:spacing w:val="-5"/>
                <w:sz w:val="24"/>
                <w:szCs w:val="24"/>
              </w:rPr>
              <w:t>振动</w:t>
            </w:r>
          </w:p>
        </w:tc>
        <w:tc>
          <w:tcPr>
            <w:tcW w:w="154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19A4770">
            <w:pPr>
              <w:spacing w:before="149" w:line="240" w:lineRule="auto"/>
              <w:jc w:val="center"/>
              <w:rPr>
                <w:rFonts w:hint="default" w:ascii="Times New Roman" w:hAnsi="Times New Roman" w:eastAsia="宋体" w:cs="Times New Roman"/>
                <w:b w:val="0"/>
                <w:color w:val="auto"/>
                <w:spacing w:val="19"/>
                <w:sz w:val="24"/>
                <w:szCs w:val="24"/>
              </w:rPr>
            </w:pPr>
            <w:r>
              <w:rPr>
                <w:rFonts w:hint="default" w:ascii="Times New Roman" w:hAnsi="Times New Roman" w:eastAsia="宋体" w:cs="Times New Roman"/>
                <w:b w:val="0"/>
                <w:color w:val="auto"/>
                <w:position w:val="1"/>
                <w:sz w:val="24"/>
                <w:szCs w:val="24"/>
              </w:rPr>
              <w:t>/</w:t>
            </w:r>
          </w:p>
        </w:tc>
        <w:tc>
          <w:tcPr>
            <w:tcW w:w="69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A044A0E">
            <w:pPr>
              <w:spacing w:before="149" w:line="240" w:lineRule="auto"/>
              <w:jc w:val="center"/>
              <w:rPr>
                <w:rFonts w:hint="default" w:ascii="Times New Roman" w:hAnsi="Times New Roman" w:eastAsia="宋体" w:cs="Times New Roman"/>
                <w:b w:val="0"/>
                <w:color w:val="auto"/>
                <w:sz w:val="24"/>
                <w:szCs w:val="24"/>
              </w:rPr>
            </w:pPr>
            <w:r>
              <w:rPr>
                <w:rFonts w:hint="default" w:ascii="Times New Roman" w:hAnsi="Times New Roman" w:eastAsia="宋体" w:cs="Times New Roman"/>
                <w:b w:val="0"/>
                <w:color w:val="auto"/>
                <w:position w:val="1"/>
                <w:sz w:val="24"/>
                <w:szCs w:val="24"/>
              </w:rPr>
              <w:t>/</w:t>
            </w:r>
          </w:p>
        </w:tc>
        <w:tc>
          <w:tcPr>
            <w:tcW w:w="157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F4E01B8">
            <w:pPr>
              <w:spacing w:before="149" w:line="240" w:lineRule="auto"/>
              <w:jc w:val="center"/>
              <w:rPr>
                <w:rFonts w:hint="default" w:ascii="Times New Roman" w:hAnsi="Times New Roman" w:eastAsia="宋体" w:cs="Times New Roman"/>
                <w:b w:val="0"/>
                <w:color w:val="auto"/>
                <w:position w:val="1"/>
                <w:sz w:val="24"/>
                <w:szCs w:val="24"/>
              </w:rPr>
            </w:pPr>
            <w:r>
              <w:rPr>
                <w:rFonts w:hint="default" w:ascii="Times New Roman" w:hAnsi="Times New Roman" w:eastAsia="宋体" w:cs="Times New Roman"/>
                <w:b w:val="0"/>
                <w:color w:val="auto"/>
                <w:position w:val="1"/>
                <w:sz w:val="24"/>
                <w:szCs w:val="24"/>
              </w:rPr>
              <w:t>/</w:t>
            </w:r>
          </w:p>
        </w:tc>
        <w:tc>
          <w:tcPr>
            <w:tcW w:w="67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3502099">
            <w:pPr>
              <w:spacing w:before="69" w:line="240" w:lineRule="auto"/>
              <w:jc w:val="center"/>
              <w:rPr>
                <w:rFonts w:hint="default" w:ascii="Times New Roman" w:hAnsi="Times New Roman" w:eastAsia="宋体" w:cs="Times New Roman"/>
                <w:b w:val="0"/>
                <w:color w:val="auto"/>
                <w:position w:val="1"/>
                <w:sz w:val="24"/>
                <w:szCs w:val="24"/>
              </w:rPr>
            </w:pPr>
            <w:r>
              <w:rPr>
                <w:rFonts w:hint="default" w:ascii="Times New Roman" w:hAnsi="Times New Roman" w:eastAsia="宋体" w:cs="Times New Roman"/>
                <w:b w:val="0"/>
                <w:color w:val="auto"/>
                <w:position w:val="1"/>
                <w:sz w:val="24"/>
                <w:szCs w:val="24"/>
              </w:rPr>
              <w:t>/</w:t>
            </w:r>
          </w:p>
        </w:tc>
      </w:tr>
      <w:tr w14:paraId="47E9EF5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51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2358E64">
            <w:pPr>
              <w:spacing w:before="78" w:line="240" w:lineRule="auto"/>
              <w:jc w:val="center"/>
              <w:rPr>
                <w:rFonts w:hint="default" w:ascii="Times New Roman" w:hAnsi="Times New Roman" w:eastAsia="宋体" w:cs="Times New Roman"/>
                <w:b w:val="0"/>
                <w:color w:val="auto"/>
                <w:spacing w:val="-5"/>
                <w:sz w:val="24"/>
                <w:szCs w:val="24"/>
              </w:rPr>
            </w:pPr>
            <w:r>
              <w:rPr>
                <w:rFonts w:hint="default" w:ascii="Times New Roman" w:hAnsi="Times New Roman" w:eastAsia="宋体" w:cs="Times New Roman"/>
                <w:b w:val="0"/>
                <w:color w:val="auto"/>
                <w:spacing w:val="-7"/>
                <w:sz w:val="24"/>
                <w:szCs w:val="24"/>
              </w:rPr>
              <w:t>大气</w:t>
            </w:r>
            <w:r>
              <w:rPr>
                <w:rFonts w:hint="default" w:ascii="Times New Roman" w:hAnsi="Times New Roman" w:eastAsia="宋体" w:cs="Times New Roman"/>
                <w:b w:val="0"/>
                <w:color w:val="auto"/>
                <w:spacing w:val="-5"/>
                <w:sz w:val="24"/>
                <w:szCs w:val="24"/>
              </w:rPr>
              <w:t>环境</w:t>
            </w:r>
          </w:p>
        </w:tc>
        <w:tc>
          <w:tcPr>
            <w:tcW w:w="154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2ECD952">
            <w:pPr>
              <w:spacing w:before="40" w:line="240" w:lineRule="auto"/>
              <w:ind w:left="111" w:right="105"/>
              <w:jc w:val="center"/>
              <w:rPr>
                <w:rFonts w:hint="default" w:ascii="Times New Roman" w:hAnsi="Times New Roman" w:eastAsia="宋体" w:cs="Times New Roman"/>
                <w:b w:val="0"/>
                <w:color w:val="auto"/>
                <w:spacing w:val="19"/>
                <w:sz w:val="24"/>
                <w:szCs w:val="24"/>
              </w:rPr>
            </w:pPr>
            <w:r>
              <w:rPr>
                <w:rFonts w:hint="default" w:ascii="Times New Roman" w:hAnsi="Times New Roman" w:eastAsia="宋体" w:cs="Times New Roman"/>
                <w:b w:val="0"/>
                <w:color w:val="auto"/>
                <w:spacing w:val="19"/>
                <w:sz w:val="24"/>
                <w:szCs w:val="24"/>
              </w:rPr>
              <w:t>大风天气禁止施工；装卸材料、开挖土石方进行防护；施工道路、施工场地等定时洒水。运输建筑材料的车辆加盖蓬布以减少洒落；贮料场远离处于下风向的居民区，并遮盖或洒水以防扬尘污染。</w:t>
            </w:r>
          </w:p>
        </w:tc>
        <w:tc>
          <w:tcPr>
            <w:tcW w:w="69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40F8B66">
            <w:pPr>
              <w:spacing w:before="40" w:line="240" w:lineRule="auto"/>
              <w:ind w:left="111" w:right="105"/>
              <w:jc w:val="center"/>
              <w:rPr>
                <w:rFonts w:hint="default" w:ascii="Times New Roman" w:hAnsi="Times New Roman" w:eastAsia="宋体" w:cs="Times New Roman"/>
                <w:b w:val="0"/>
                <w:color w:val="auto"/>
                <w:sz w:val="24"/>
                <w:szCs w:val="24"/>
              </w:rPr>
            </w:pPr>
            <w:r>
              <w:rPr>
                <w:rFonts w:hint="default" w:ascii="Times New Roman" w:hAnsi="Times New Roman" w:eastAsia="宋体" w:cs="Times New Roman"/>
                <w:b w:val="0"/>
                <w:color w:val="auto"/>
                <w:sz w:val="24"/>
                <w:szCs w:val="24"/>
              </w:rPr>
              <w:t>施工期扬尘执行《大气污染物综合排放标准》（ GB16297-1996）表 2 中无组织排放监控浓度限值</w:t>
            </w:r>
          </w:p>
        </w:tc>
        <w:tc>
          <w:tcPr>
            <w:tcW w:w="157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8013CF8">
            <w:pPr>
              <w:spacing w:before="69" w:line="240" w:lineRule="auto"/>
              <w:jc w:val="center"/>
              <w:rPr>
                <w:rFonts w:hint="default" w:ascii="Times New Roman" w:hAnsi="Times New Roman" w:eastAsia="宋体" w:cs="Times New Roman"/>
                <w:b w:val="0"/>
                <w:color w:val="auto"/>
                <w:position w:val="1"/>
                <w:sz w:val="24"/>
                <w:szCs w:val="24"/>
              </w:rPr>
            </w:pPr>
            <w:r>
              <w:rPr>
                <w:rFonts w:hint="default" w:ascii="Times New Roman" w:hAnsi="Times New Roman" w:eastAsia="宋体" w:cs="Times New Roman"/>
                <w:b w:val="0"/>
                <w:color w:val="auto"/>
                <w:position w:val="1"/>
                <w:sz w:val="24"/>
                <w:szCs w:val="24"/>
              </w:rPr>
              <w:t>废气主要为采伐油锯产生的少量无组织废气、运输车辆进场产生的扬尘及车辆尾气，由于项目区比较空旷，空气流动性好，均为无组织排放。</w:t>
            </w:r>
          </w:p>
        </w:tc>
        <w:tc>
          <w:tcPr>
            <w:tcW w:w="67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DBD20A2">
            <w:pPr>
              <w:spacing w:before="69" w:line="240" w:lineRule="auto"/>
              <w:jc w:val="center"/>
              <w:rPr>
                <w:rFonts w:hint="default" w:ascii="Times New Roman" w:hAnsi="Times New Roman" w:eastAsia="宋体" w:cs="Times New Roman"/>
                <w:b w:val="0"/>
                <w:color w:val="auto"/>
                <w:position w:val="1"/>
                <w:sz w:val="24"/>
                <w:szCs w:val="24"/>
              </w:rPr>
            </w:pPr>
            <w:r>
              <w:rPr>
                <w:rFonts w:hint="default" w:ascii="Times New Roman" w:hAnsi="Times New Roman" w:eastAsia="宋体" w:cs="Times New Roman"/>
                <w:b w:val="0"/>
                <w:color w:val="auto"/>
                <w:position w:val="1"/>
                <w:sz w:val="24"/>
                <w:szCs w:val="24"/>
              </w:rPr>
              <w:t>/</w:t>
            </w:r>
          </w:p>
        </w:tc>
      </w:tr>
      <w:tr w14:paraId="66E098B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51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7BEF1BB">
            <w:pPr>
              <w:spacing w:before="78" w:line="240" w:lineRule="auto"/>
              <w:jc w:val="center"/>
              <w:rPr>
                <w:rFonts w:hint="default" w:ascii="Times New Roman" w:hAnsi="Times New Roman" w:eastAsia="宋体" w:cs="Times New Roman"/>
                <w:b w:val="0"/>
                <w:color w:val="auto"/>
                <w:spacing w:val="-5"/>
                <w:sz w:val="24"/>
                <w:szCs w:val="24"/>
              </w:rPr>
            </w:pPr>
            <w:r>
              <w:rPr>
                <w:rFonts w:hint="default" w:ascii="Times New Roman" w:hAnsi="Times New Roman" w:eastAsia="宋体" w:cs="Times New Roman"/>
                <w:b w:val="0"/>
                <w:color w:val="auto"/>
                <w:spacing w:val="-15"/>
                <w:sz w:val="24"/>
                <w:szCs w:val="24"/>
              </w:rPr>
              <w:t>固体</w:t>
            </w:r>
            <w:r>
              <w:rPr>
                <w:rFonts w:hint="default" w:ascii="Times New Roman" w:hAnsi="Times New Roman" w:eastAsia="宋体" w:cs="Times New Roman"/>
                <w:b w:val="0"/>
                <w:color w:val="auto"/>
                <w:spacing w:val="-5"/>
                <w:sz w:val="24"/>
                <w:szCs w:val="24"/>
              </w:rPr>
              <w:t>废物</w:t>
            </w:r>
          </w:p>
        </w:tc>
        <w:tc>
          <w:tcPr>
            <w:tcW w:w="154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1396EEC">
            <w:pPr>
              <w:spacing w:before="73" w:line="240" w:lineRule="auto"/>
              <w:ind w:left="112" w:right="105" w:hanging="1"/>
              <w:rPr>
                <w:rFonts w:hint="default" w:ascii="Times New Roman" w:hAnsi="Times New Roman" w:eastAsia="宋体" w:cs="Times New Roman"/>
                <w:b w:val="0"/>
                <w:color w:val="auto"/>
                <w:spacing w:val="19"/>
                <w:sz w:val="24"/>
                <w:szCs w:val="24"/>
              </w:rPr>
            </w:pPr>
            <w:r>
              <w:rPr>
                <w:rFonts w:hint="default" w:ascii="Times New Roman" w:hAnsi="Times New Roman" w:eastAsia="宋体" w:cs="Times New Roman"/>
                <w:b w:val="0"/>
                <w:color w:val="auto"/>
                <w:spacing w:val="19"/>
                <w:sz w:val="24"/>
                <w:szCs w:val="24"/>
              </w:rPr>
              <w:t>施工期生活垃圾应集中收集后统一送至当地生活垃圾填埋场进行集中处置；建筑垃圾统一收集后集中送至建筑垃圾处理场处置。</w:t>
            </w:r>
          </w:p>
        </w:tc>
        <w:tc>
          <w:tcPr>
            <w:tcW w:w="69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7CAEE22">
            <w:pPr>
              <w:spacing w:before="42" w:line="240" w:lineRule="auto"/>
              <w:ind w:left="114" w:right="105" w:firstLine="4"/>
              <w:jc w:val="center"/>
              <w:rPr>
                <w:rFonts w:hint="default" w:ascii="Times New Roman" w:hAnsi="Times New Roman" w:eastAsia="宋体" w:cs="Times New Roman"/>
                <w:b w:val="0"/>
                <w:color w:val="auto"/>
                <w:sz w:val="24"/>
                <w:szCs w:val="24"/>
              </w:rPr>
            </w:pPr>
            <w:r>
              <w:rPr>
                <w:rFonts w:hint="default" w:ascii="Times New Roman" w:hAnsi="Times New Roman" w:eastAsia="宋体" w:cs="Times New Roman"/>
                <w:b w:val="0"/>
                <w:color w:val="auto"/>
                <w:sz w:val="24"/>
                <w:szCs w:val="24"/>
              </w:rPr>
              <w:t>100%处置，不造成二次污染</w:t>
            </w:r>
          </w:p>
        </w:tc>
        <w:tc>
          <w:tcPr>
            <w:tcW w:w="157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8F8CAC5">
            <w:pPr>
              <w:spacing w:before="69" w:line="240" w:lineRule="auto"/>
              <w:jc w:val="center"/>
              <w:rPr>
                <w:rFonts w:hint="default" w:ascii="Times New Roman" w:hAnsi="Times New Roman" w:eastAsia="宋体" w:cs="Times New Roman"/>
                <w:b w:val="0"/>
                <w:color w:val="auto"/>
                <w:position w:val="1"/>
                <w:sz w:val="24"/>
                <w:szCs w:val="24"/>
              </w:rPr>
            </w:pPr>
            <w:r>
              <w:rPr>
                <w:rFonts w:hint="default" w:ascii="Times New Roman" w:hAnsi="Times New Roman" w:eastAsia="宋体" w:cs="Times New Roman"/>
                <w:b w:val="0"/>
                <w:color w:val="auto"/>
                <w:position w:val="1"/>
                <w:sz w:val="24"/>
                <w:szCs w:val="24"/>
              </w:rPr>
              <w:t>肥料废包装袋产生的废弃包装袋交由有资质单位处理。农药废包装物由有资质单位</w:t>
            </w:r>
          </w:p>
          <w:p w14:paraId="56188CC2">
            <w:pPr>
              <w:spacing w:before="69" w:line="240" w:lineRule="auto"/>
              <w:jc w:val="center"/>
              <w:rPr>
                <w:rFonts w:hint="default" w:ascii="Times New Roman" w:hAnsi="Times New Roman" w:eastAsia="宋体" w:cs="Times New Roman"/>
                <w:b w:val="0"/>
                <w:color w:val="auto"/>
                <w:position w:val="1"/>
                <w:sz w:val="24"/>
                <w:szCs w:val="24"/>
              </w:rPr>
            </w:pPr>
            <w:r>
              <w:rPr>
                <w:rFonts w:hint="default" w:ascii="Times New Roman" w:hAnsi="Times New Roman" w:eastAsia="宋体" w:cs="Times New Roman"/>
                <w:b w:val="0"/>
                <w:color w:val="auto"/>
                <w:position w:val="1"/>
                <w:sz w:val="24"/>
                <w:szCs w:val="24"/>
              </w:rPr>
              <w:t>处理。产生的灌木杂草集地清理，避免表土裸露。产生的枯枝弱叶集地清理，避免表土裸露。产生的生活垃圾运至当地垃圾收集点处理。</w:t>
            </w:r>
          </w:p>
        </w:tc>
        <w:tc>
          <w:tcPr>
            <w:tcW w:w="67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1EC2A25">
            <w:pPr>
              <w:spacing w:before="69" w:line="240" w:lineRule="auto"/>
              <w:jc w:val="center"/>
              <w:rPr>
                <w:rFonts w:hint="default" w:ascii="Times New Roman" w:hAnsi="Times New Roman" w:eastAsia="宋体" w:cs="Times New Roman"/>
                <w:b w:val="0"/>
                <w:color w:val="auto"/>
                <w:position w:val="1"/>
                <w:sz w:val="24"/>
                <w:szCs w:val="24"/>
              </w:rPr>
            </w:pPr>
            <w:r>
              <w:rPr>
                <w:rFonts w:hint="default" w:ascii="Times New Roman" w:hAnsi="Times New Roman" w:eastAsia="宋体" w:cs="Times New Roman"/>
                <w:b w:val="0"/>
                <w:color w:val="auto"/>
                <w:position w:val="1"/>
                <w:sz w:val="24"/>
                <w:szCs w:val="24"/>
              </w:rPr>
              <w:t>/</w:t>
            </w:r>
          </w:p>
        </w:tc>
      </w:tr>
      <w:tr w14:paraId="76E8A51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51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6472D67">
            <w:pPr>
              <w:spacing w:before="78" w:line="240" w:lineRule="auto"/>
              <w:jc w:val="center"/>
              <w:rPr>
                <w:rFonts w:hint="default" w:ascii="Times New Roman" w:hAnsi="Times New Roman" w:eastAsia="宋体" w:cs="Times New Roman"/>
                <w:b w:val="0"/>
                <w:color w:val="auto"/>
                <w:spacing w:val="-5"/>
                <w:sz w:val="24"/>
                <w:szCs w:val="24"/>
              </w:rPr>
            </w:pPr>
            <w:r>
              <w:rPr>
                <w:rFonts w:hint="default" w:ascii="Times New Roman" w:hAnsi="Times New Roman" w:eastAsia="宋体" w:cs="Times New Roman"/>
                <w:b w:val="0"/>
                <w:color w:val="auto"/>
                <w:spacing w:val="-19"/>
                <w:sz w:val="24"/>
                <w:szCs w:val="24"/>
              </w:rPr>
              <w:t>电磁</w:t>
            </w:r>
            <w:r>
              <w:rPr>
                <w:rFonts w:hint="default" w:ascii="Times New Roman" w:hAnsi="Times New Roman" w:eastAsia="宋体" w:cs="Times New Roman"/>
                <w:b w:val="0"/>
                <w:color w:val="auto"/>
                <w:spacing w:val="-5"/>
                <w:sz w:val="24"/>
                <w:szCs w:val="24"/>
              </w:rPr>
              <w:t>环境</w:t>
            </w:r>
          </w:p>
        </w:tc>
        <w:tc>
          <w:tcPr>
            <w:tcW w:w="154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BC9A9D5">
            <w:pPr>
              <w:spacing w:before="149" w:line="240" w:lineRule="auto"/>
              <w:jc w:val="center"/>
              <w:rPr>
                <w:rFonts w:hint="default" w:ascii="Times New Roman" w:hAnsi="Times New Roman" w:eastAsia="宋体" w:cs="Times New Roman"/>
                <w:b w:val="0"/>
                <w:color w:val="auto"/>
                <w:spacing w:val="19"/>
                <w:sz w:val="24"/>
                <w:szCs w:val="24"/>
              </w:rPr>
            </w:pPr>
            <w:r>
              <w:rPr>
                <w:rFonts w:hint="default" w:ascii="Times New Roman" w:hAnsi="Times New Roman" w:eastAsia="宋体" w:cs="Times New Roman"/>
                <w:b w:val="0"/>
                <w:color w:val="auto"/>
                <w:position w:val="1"/>
                <w:sz w:val="24"/>
                <w:szCs w:val="24"/>
              </w:rPr>
              <w:t>/</w:t>
            </w:r>
          </w:p>
        </w:tc>
        <w:tc>
          <w:tcPr>
            <w:tcW w:w="69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D267C30">
            <w:pPr>
              <w:spacing w:before="149" w:line="240" w:lineRule="auto"/>
              <w:jc w:val="center"/>
              <w:rPr>
                <w:rFonts w:hint="default" w:ascii="Times New Roman" w:hAnsi="Times New Roman" w:eastAsia="宋体" w:cs="Times New Roman"/>
                <w:b w:val="0"/>
                <w:color w:val="auto"/>
                <w:sz w:val="24"/>
                <w:szCs w:val="24"/>
              </w:rPr>
            </w:pPr>
            <w:r>
              <w:rPr>
                <w:rFonts w:hint="default" w:ascii="Times New Roman" w:hAnsi="Times New Roman" w:eastAsia="宋体" w:cs="Times New Roman"/>
                <w:b w:val="0"/>
                <w:color w:val="auto"/>
                <w:position w:val="1"/>
                <w:sz w:val="24"/>
                <w:szCs w:val="24"/>
              </w:rPr>
              <w:t>/</w:t>
            </w:r>
          </w:p>
        </w:tc>
        <w:tc>
          <w:tcPr>
            <w:tcW w:w="157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BAA424F">
            <w:pPr>
              <w:spacing w:before="149" w:line="240" w:lineRule="auto"/>
              <w:jc w:val="center"/>
              <w:rPr>
                <w:rFonts w:hint="default" w:ascii="Times New Roman" w:hAnsi="Times New Roman" w:eastAsia="宋体" w:cs="Times New Roman"/>
                <w:b w:val="0"/>
                <w:color w:val="auto"/>
                <w:position w:val="1"/>
                <w:sz w:val="24"/>
                <w:szCs w:val="24"/>
              </w:rPr>
            </w:pPr>
            <w:r>
              <w:rPr>
                <w:rFonts w:hint="default" w:ascii="Times New Roman" w:hAnsi="Times New Roman" w:eastAsia="宋体" w:cs="Times New Roman"/>
                <w:b w:val="0"/>
                <w:color w:val="auto"/>
                <w:position w:val="1"/>
                <w:sz w:val="24"/>
                <w:szCs w:val="24"/>
              </w:rPr>
              <w:t>/</w:t>
            </w:r>
          </w:p>
        </w:tc>
        <w:tc>
          <w:tcPr>
            <w:tcW w:w="67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F0AC9CB">
            <w:pPr>
              <w:spacing w:before="149" w:line="240" w:lineRule="auto"/>
              <w:jc w:val="center"/>
              <w:rPr>
                <w:rFonts w:hint="default" w:ascii="Times New Roman" w:hAnsi="Times New Roman" w:eastAsia="宋体" w:cs="Times New Roman"/>
                <w:b w:val="0"/>
                <w:color w:val="auto"/>
                <w:position w:val="1"/>
                <w:sz w:val="24"/>
                <w:szCs w:val="24"/>
              </w:rPr>
            </w:pPr>
            <w:r>
              <w:rPr>
                <w:rFonts w:hint="default" w:ascii="Times New Roman" w:hAnsi="Times New Roman" w:eastAsia="宋体" w:cs="Times New Roman"/>
                <w:b w:val="0"/>
                <w:color w:val="auto"/>
                <w:position w:val="1"/>
                <w:sz w:val="24"/>
                <w:szCs w:val="24"/>
              </w:rPr>
              <w:t>/</w:t>
            </w:r>
          </w:p>
        </w:tc>
      </w:tr>
      <w:tr w14:paraId="2D7C118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51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4C4EF5C">
            <w:pPr>
              <w:spacing w:before="78" w:line="240" w:lineRule="auto"/>
              <w:jc w:val="center"/>
              <w:rPr>
                <w:rFonts w:hint="default" w:ascii="Times New Roman" w:hAnsi="Times New Roman" w:eastAsia="宋体" w:cs="Times New Roman"/>
                <w:b w:val="0"/>
                <w:color w:val="auto"/>
                <w:spacing w:val="-5"/>
                <w:sz w:val="24"/>
                <w:szCs w:val="24"/>
              </w:rPr>
            </w:pPr>
            <w:r>
              <w:rPr>
                <w:rFonts w:hint="default" w:ascii="Times New Roman" w:hAnsi="Times New Roman" w:eastAsia="宋体" w:cs="Times New Roman"/>
                <w:b w:val="0"/>
                <w:color w:val="auto"/>
                <w:spacing w:val="-5"/>
                <w:sz w:val="24"/>
                <w:szCs w:val="24"/>
              </w:rPr>
              <w:t>环境</w:t>
            </w:r>
            <w:r>
              <w:rPr>
                <w:rFonts w:hint="default" w:ascii="Times New Roman" w:hAnsi="Times New Roman" w:eastAsia="宋体" w:cs="Times New Roman"/>
                <w:b w:val="0"/>
                <w:color w:val="auto"/>
                <w:spacing w:val="-6"/>
                <w:sz w:val="24"/>
                <w:szCs w:val="24"/>
              </w:rPr>
              <w:t>风险</w:t>
            </w:r>
          </w:p>
        </w:tc>
        <w:tc>
          <w:tcPr>
            <w:tcW w:w="154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C2FC819">
            <w:pPr>
              <w:spacing w:before="149" w:line="240" w:lineRule="auto"/>
              <w:jc w:val="center"/>
              <w:rPr>
                <w:rFonts w:hint="default" w:ascii="Times New Roman" w:hAnsi="Times New Roman" w:eastAsia="宋体" w:cs="Times New Roman"/>
                <w:b w:val="0"/>
                <w:color w:val="auto"/>
                <w:spacing w:val="19"/>
                <w:sz w:val="24"/>
                <w:szCs w:val="24"/>
              </w:rPr>
            </w:pPr>
            <w:r>
              <w:rPr>
                <w:rFonts w:hint="default" w:ascii="Times New Roman" w:hAnsi="Times New Roman" w:eastAsia="宋体" w:cs="Times New Roman"/>
                <w:b w:val="0"/>
                <w:color w:val="auto"/>
                <w:position w:val="1"/>
                <w:sz w:val="24"/>
                <w:szCs w:val="24"/>
              </w:rPr>
              <w:t>/</w:t>
            </w:r>
          </w:p>
        </w:tc>
        <w:tc>
          <w:tcPr>
            <w:tcW w:w="69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22648C3">
            <w:pPr>
              <w:spacing w:before="149" w:line="240" w:lineRule="auto"/>
              <w:jc w:val="center"/>
              <w:rPr>
                <w:rFonts w:hint="default" w:ascii="Times New Roman" w:hAnsi="Times New Roman" w:eastAsia="宋体" w:cs="Times New Roman"/>
                <w:b w:val="0"/>
                <w:color w:val="auto"/>
                <w:sz w:val="24"/>
                <w:szCs w:val="24"/>
              </w:rPr>
            </w:pPr>
            <w:r>
              <w:rPr>
                <w:rFonts w:hint="default" w:ascii="Times New Roman" w:hAnsi="Times New Roman" w:eastAsia="宋体" w:cs="Times New Roman"/>
                <w:b w:val="0"/>
                <w:color w:val="auto"/>
                <w:position w:val="1"/>
                <w:sz w:val="24"/>
                <w:szCs w:val="24"/>
              </w:rPr>
              <w:t>/</w:t>
            </w:r>
          </w:p>
        </w:tc>
        <w:tc>
          <w:tcPr>
            <w:tcW w:w="157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9558ECA">
            <w:pPr>
              <w:spacing w:before="149" w:line="240" w:lineRule="auto"/>
              <w:jc w:val="center"/>
              <w:rPr>
                <w:rFonts w:hint="default" w:ascii="Times New Roman" w:hAnsi="Times New Roman" w:eastAsia="宋体" w:cs="Times New Roman"/>
                <w:b w:val="0"/>
                <w:color w:val="auto"/>
                <w:position w:val="1"/>
                <w:sz w:val="24"/>
                <w:szCs w:val="24"/>
              </w:rPr>
            </w:pPr>
            <w:r>
              <w:rPr>
                <w:rFonts w:hint="default" w:ascii="Times New Roman" w:hAnsi="Times New Roman" w:eastAsia="宋体" w:cs="Times New Roman"/>
                <w:b w:val="0"/>
                <w:color w:val="auto"/>
                <w:position w:val="1"/>
                <w:sz w:val="24"/>
                <w:szCs w:val="24"/>
              </w:rPr>
              <w:t>/</w:t>
            </w:r>
          </w:p>
        </w:tc>
        <w:tc>
          <w:tcPr>
            <w:tcW w:w="67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BF50223">
            <w:pPr>
              <w:spacing w:before="149" w:line="240" w:lineRule="auto"/>
              <w:jc w:val="center"/>
              <w:rPr>
                <w:rFonts w:hint="default" w:ascii="Times New Roman" w:hAnsi="Times New Roman" w:eastAsia="宋体" w:cs="Times New Roman"/>
                <w:b w:val="0"/>
                <w:color w:val="auto"/>
                <w:position w:val="1"/>
                <w:sz w:val="24"/>
                <w:szCs w:val="24"/>
              </w:rPr>
            </w:pPr>
            <w:r>
              <w:rPr>
                <w:rFonts w:hint="default" w:ascii="Times New Roman" w:hAnsi="Times New Roman" w:eastAsia="宋体" w:cs="Times New Roman"/>
                <w:b w:val="0"/>
                <w:color w:val="auto"/>
                <w:position w:val="1"/>
                <w:sz w:val="24"/>
                <w:szCs w:val="24"/>
              </w:rPr>
              <w:t>/</w:t>
            </w:r>
          </w:p>
        </w:tc>
      </w:tr>
      <w:tr w14:paraId="0C1CD62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51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FCC728B">
            <w:pPr>
              <w:spacing w:before="78" w:line="240" w:lineRule="auto"/>
              <w:jc w:val="center"/>
              <w:rPr>
                <w:rFonts w:hint="default" w:ascii="Times New Roman" w:hAnsi="Times New Roman" w:eastAsia="宋体" w:cs="Times New Roman"/>
                <w:b w:val="0"/>
                <w:color w:val="auto"/>
                <w:spacing w:val="-5"/>
                <w:sz w:val="24"/>
                <w:szCs w:val="24"/>
              </w:rPr>
            </w:pPr>
            <w:r>
              <w:rPr>
                <w:rFonts w:hint="default" w:ascii="Times New Roman" w:hAnsi="Times New Roman" w:eastAsia="宋体" w:cs="Times New Roman"/>
                <w:b w:val="0"/>
                <w:color w:val="auto"/>
                <w:spacing w:val="-5"/>
                <w:sz w:val="24"/>
                <w:szCs w:val="24"/>
              </w:rPr>
              <w:t>环境</w:t>
            </w:r>
            <w:r>
              <w:rPr>
                <w:rFonts w:hint="default" w:ascii="Times New Roman" w:hAnsi="Times New Roman" w:eastAsia="宋体" w:cs="Times New Roman"/>
                <w:b w:val="0"/>
                <w:color w:val="auto"/>
                <w:spacing w:val="-6"/>
                <w:sz w:val="24"/>
                <w:szCs w:val="24"/>
              </w:rPr>
              <w:t>监测</w:t>
            </w:r>
          </w:p>
        </w:tc>
        <w:tc>
          <w:tcPr>
            <w:tcW w:w="154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8AEE667">
            <w:pPr>
              <w:spacing w:before="149" w:line="240" w:lineRule="auto"/>
              <w:jc w:val="center"/>
              <w:rPr>
                <w:rFonts w:hint="default" w:ascii="Times New Roman" w:hAnsi="Times New Roman" w:eastAsia="宋体" w:cs="Times New Roman"/>
                <w:b w:val="0"/>
                <w:color w:val="auto"/>
                <w:spacing w:val="19"/>
                <w:sz w:val="24"/>
                <w:szCs w:val="24"/>
              </w:rPr>
            </w:pPr>
            <w:r>
              <w:rPr>
                <w:rFonts w:hint="default" w:ascii="Times New Roman" w:hAnsi="Times New Roman" w:eastAsia="宋体" w:cs="Times New Roman"/>
                <w:b w:val="0"/>
                <w:color w:val="auto"/>
                <w:position w:val="1"/>
                <w:sz w:val="24"/>
                <w:szCs w:val="24"/>
              </w:rPr>
              <w:t>/</w:t>
            </w:r>
          </w:p>
        </w:tc>
        <w:tc>
          <w:tcPr>
            <w:tcW w:w="69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CA6F7B0">
            <w:pPr>
              <w:spacing w:before="149" w:line="240" w:lineRule="auto"/>
              <w:jc w:val="center"/>
              <w:rPr>
                <w:rFonts w:hint="default" w:ascii="Times New Roman" w:hAnsi="Times New Roman" w:eastAsia="宋体" w:cs="Times New Roman"/>
                <w:b w:val="0"/>
                <w:color w:val="auto"/>
                <w:sz w:val="24"/>
                <w:szCs w:val="24"/>
              </w:rPr>
            </w:pPr>
            <w:r>
              <w:rPr>
                <w:rFonts w:hint="default" w:ascii="Times New Roman" w:hAnsi="Times New Roman" w:eastAsia="宋体" w:cs="Times New Roman"/>
                <w:b w:val="0"/>
                <w:color w:val="auto"/>
                <w:position w:val="1"/>
                <w:sz w:val="24"/>
                <w:szCs w:val="24"/>
              </w:rPr>
              <w:t>/</w:t>
            </w:r>
          </w:p>
        </w:tc>
        <w:tc>
          <w:tcPr>
            <w:tcW w:w="157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66B9369">
            <w:pPr>
              <w:spacing w:before="40" w:line="240" w:lineRule="auto"/>
              <w:jc w:val="center"/>
              <w:rPr>
                <w:rFonts w:hint="default" w:ascii="Times New Roman" w:hAnsi="Times New Roman" w:eastAsia="宋体" w:cs="Times New Roman"/>
                <w:b w:val="0"/>
                <w:color w:val="auto"/>
                <w:position w:val="1"/>
                <w:sz w:val="24"/>
                <w:szCs w:val="24"/>
              </w:rPr>
            </w:pPr>
            <w:r>
              <w:rPr>
                <w:rFonts w:hint="default" w:ascii="Times New Roman" w:hAnsi="Times New Roman" w:eastAsia="宋体" w:cs="Times New Roman"/>
                <w:b w:val="0"/>
                <w:color w:val="auto"/>
                <w:position w:val="1"/>
                <w:sz w:val="24"/>
                <w:szCs w:val="24"/>
              </w:rPr>
              <w:t>生物多样性、</w:t>
            </w:r>
          </w:p>
          <w:p w14:paraId="5B6C5516">
            <w:pPr>
              <w:spacing w:before="40" w:line="240" w:lineRule="auto"/>
              <w:jc w:val="center"/>
              <w:rPr>
                <w:rFonts w:hint="default" w:ascii="Times New Roman" w:hAnsi="Times New Roman" w:eastAsia="宋体" w:cs="Times New Roman"/>
                <w:b w:val="0"/>
                <w:color w:val="auto"/>
                <w:position w:val="1"/>
                <w:sz w:val="24"/>
                <w:szCs w:val="24"/>
              </w:rPr>
            </w:pPr>
            <w:r>
              <w:rPr>
                <w:rFonts w:hint="default" w:ascii="Times New Roman" w:hAnsi="Times New Roman" w:eastAsia="宋体" w:cs="Times New Roman"/>
                <w:b w:val="0"/>
                <w:color w:val="auto"/>
                <w:position w:val="1"/>
                <w:sz w:val="24"/>
                <w:szCs w:val="24"/>
              </w:rPr>
              <w:t>土壤肥力、病虫害</w:t>
            </w:r>
          </w:p>
        </w:tc>
        <w:tc>
          <w:tcPr>
            <w:tcW w:w="67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A42E76F">
            <w:pPr>
              <w:spacing w:before="40" w:line="240" w:lineRule="auto"/>
              <w:jc w:val="center"/>
              <w:rPr>
                <w:rFonts w:hint="default" w:ascii="Times New Roman" w:hAnsi="Times New Roman" w:eastAsia="宋体" w:cs="Times New Roman"/>
                <w:b w:val="0"/>
                <w:color w:val="auto"/>
                <w:position w:val="1"/>
                <w:sz w:val="24"/>
                <w:szCs w:val="24"/>
              </w:rPr>
            </w:pPr>
            <w:r>
              <w:rPr>
                <w:rFonts w:hint="default" w:ascii="Times New Roman" w:hAnsi="Times New Roman" w:eastAsia="宋体" w:cs="Times New Roman"/>
                <w:b w:val="0"/>
                <w:color w:val="auto"/>
                <w:position w:val="1"/>
                <w:sz w:val="24"/>
                <w:szCs w:val="24"/>
              </w:rPr>
              <w:t>负面影响降至最低</w:t>
            </w:r>
          </w:p>
        </w:tc>
      </w:tr>
      <w:tr w14:paraId="435189A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51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1E7F4E7">
            <w:pPr>
              <w:spacing w:before="78" w:line="240" w:lineRule="auto"/>
              <w:jc w:val="center"/>
              <w:rPr>
                <w:rFonts w:hint="default" w:ascii="Times New Roman" w:hAnsi="Times New Roman" w:eastAsia="宋体" w:cs="Times New Roman"/>
                <w:b w:val="0"/>
                <w:color w:val="auto"/>
                <w:spacing w:val="-5"/>
                <w:sz w:val="24"/>
                <w:szCs w:val="24"/>
              </w:rPr>
            </w:pPr>
            <w:r>
              <w:rPr>
                <w:rFonts w:hint="default" w:ascii="Times New Roman" w:hAnsi="Times New Roman" w:eastAsia="宋体" w:cs="Times New Roman"/>
                <w:b w:val="0"/>
                <w:color w:val="auto"/>
                <w:spacing w:val="-6"/>
                <w:sz w:val="24"/>
                <w:szCs w:val="24"/>
              </w:rPr>
              <w:t>其他</w:t>
            </w:r>
          </w:p>
        </w:tc>
        <w:tc>
          <w:tcPr>
            <w:tcW w:w="154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8747242">
            <w:pPr>
              <w:spacing w:before="40" w:line="240" w:lineRule="auto"/>
              <w:ind w:firstLine="1244"/>
              <w:rPr>
                <w:rFonts w:hint="default" w:ascii="Times New Roman" w:hAnsi="Times New Roman" w:eastAsia="宋体" w:cs="Times New Roman"/>
                <w:b w:val="0"/>
                <w:color w:val="auto"/>
                <w:spacing w:val="19"/>
                <w:sz w:val="24"/>
                <w:szCs w:val="24"/>
              </w:rPr>
            </w:pPr>
            <w:r>
              <w:rPr>
                <w:rFonts w:hint="default" w:ascii="Times New Roman" w:hAnsi="Times New Roman" w:eastAsia="宋体" w:cs="Times New Roman"/>
                <w:b w:val="0"/>
                <w:color w:val="auto"/>
                <w:position w:val="1"/>
                <w:sz w:val="24"/>
                <w:szCs w:val="24"/>
              </w:rPr>
              <w:t>/</w:t>
            </w:r>
          </w:p>
        </w:tc>
        <w:tc>
          <w:tcPr>
            <w:tcW w:w="69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BB032A8">
            <w:pPr>
              <w:spacing w:before="40" w:line="240" w:lineRule="auto"/>
              <w:ind w:firstLine="708"/>
              <w:rPr>
                <w:rFonts w:hint="default" w:ascii="Times New Roman" w:hAnsi="Times New Roman" w:eastAsia="宋体" w:cs="Times New Roman"/>
                <w:b w:val="0"/>
                <w:color w:val="auto"/>
                <w:sz w:val="24"/>
                <w:szCs w:val="24"/>
              </w:rPr>
            </w:pPr>
            <w:r>
              <w:rPr>
                <w:rFonts w:hint="default" w:ascii="Times New Roman" w:hAnsi="Times New Roman" w:eastAsia="宋体" w:cs="Times New Roman"/>
                <w:b w:val="0"/>
                <w:color w:val="auto"/>
                <w:position w:val="1"/>
                <w:sz w:val="24"/>
                <w:szCs w:val="24"/>
              </w:rPr>
              <w:t>/</w:t>
            </w:r>
          </w:p>
        </w:tc>
        <w:tc>
          <w:tcPr>
            <w:tcW w:w="157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7A8C205">
            <w:pPr>
              <w:spacing w:before="40" w:line="240" w:lineRule="auto"/>
              <w:jc w:val="center"/>
              <w:rPr>
                <w:rFonts w:hint="default" w:ascii="Times New Roman" w:hAnsi="Times New Roman" w:eastAsia="宋体" w:cs="Times New Roman"/>
                <w:b w:val="0"/>
                <w:color w:val="auto"/>
                <w:position w:val="1"/>
                <w:sz w:val="24"/>
                <w:szCs w:val="24"/>
              </w:rPr>
            </w:pPr>
            <w:r>
              <w:rPr>
                <w:rFonts w:hint="default" w:ascii="Times New Roman" w:hAnsi="Times New Roman" w:eastAsia="宋体" w:cs="Times New Roman"/>
                <w:b w:val="0"/>
                <w:color w:val="auto"/>
                <w:position w:val="1"/>
                <w:sz w:val="24"/>
                <w:szCs w:val="24"/>
              </w:rPr>
              <w:t>/</w:t>
            </w:r>
          </w:p>
        </w:tc>
        <w:tc>
          <w:tcPr>
            <w:tcW w:w="677"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43E8D4E">
            <w:pPr>
              <w:spacing w:before="40" w:line="240" w:lineRule="auto"/>
              <w:jc w:val="center"/>
              <w:rPr>
                <w:rFonts w:hint="default" w:ascii="Times New Roman" w:hAnsi="Times New Roman" w:eastAsia="宋体" w:cs="Times New Roman"/>
                <w:b w:val="0"/>
                <w:color w:val="auto"/>
                <w:position w:val="1"/>
                <w:sz w:val="24"/>
                <w:szCs w:val="24"/>
              </w:rPr>
            </w:pPr>
            <w:r>
              <w:rPr>
                <w:rFonts w:hint="default" w:ascii="Times New Roman" w:hAnsi="Times New Roman" w:eastAsia="宋体" w:cs="Times New Roman"/>
                <w:b w:val="0"/>
                <w:color w:val="auto"/>
                <w:position w:val="1"/>
                <w:sz w:val="24"/>
                <w:szCs w:val="24"/>
              </w:rPr>
              <w:t>/</w:t>
            </w:r>
          </w:p>
        </w:tc>
      </w:tr>
    </w:tbl>
    <w:p w14:paraId="03CFB5E0">
      <w:pPr>
        <w:spacing w:line="91" w:lineRule="auto"/>
        <w:rPr>
          <w:rFonts w:hint="default" w:ascii="Times New Roman" w:hAnsi="Times New Roman" w:eastAsia="宋体" w:cs="Times New Roman"/>
          <w:color w:val="auto"/>
          <w:sz w:val="2"/>
        </w:rPr>
      </w:pPr>
    </w:p>
    <w:p w14:paraId="63CBA9AA">
      <w:pPr>
        <w:spacing w:line="91" w:lineRule="auto"/>
        <w:rPr>
          <w:rFonts w:hint="default" w:ascii="Times New Roman" w:hAnsi="Times New Roman" w:eastAsia="宋体" w:cs="Times New Roman"/>
          <w:color w:val="auto"/>
          <w:sz w:val="2"/>
        </w:rPr>
      </w:pPr>
    </w:p>
    <w:p w14:paraId="54CF6E10">
      <w:pPr>
        <w:rPr>
          <w:rFonts w:hint="default" w:ascii="Times New Roman" w:hAnsi="Times New Roman" w:eastAsia="宋体" w:cs="Times New Roman"/>
          <w:color w:val="auto"/>
        </w:rPr>
      </w:pPr>
    </w:p>
    <w:p w14:paraId="7EFED63C">
      <w:pPr>
        <w:rPr>
          <w:rFonts w:hint="default" w:ascii="Times New Roman" w:hAnsi="Times New Roman" w:eastAsia="宋体" w:cs="Times New Roman"/>
          <w:color w:val="auto"/>
        </w:rPr>
        <w:sectPr>
          <w:pgSz w:w="11906" w:h="16839"/>
          <w:pgMar w:top="1587" w:right="1984" w:bottom="1587" w:left="1984" w:header="0" w:footer="1003" w:gutter="0"/>
          <w:cols w:space="0" w:num="1"/>
        </w:sectPr>
      </w:pPr>
    </w:p>
    <w:p w14:paraId="47493260">
      <w:pPr>
        <w:spacing w:before="247" w:line="184" w:lineRule="auto"/>
        <w:jc w:val="center"/>
        <w:outlineLvl w:val="0"/>
        <w:rPr>
          <w:rFonts w:hint="default" w:ascii="Times New Roman" w:hAnsi="Times New Roman" w:eastAsia="宋体" w:cs="Times New Roman"/>
          <w:color w:val="auto"/>
          <w:sz w:val="30"/>
          <w:szCs w:val="30"/>
        </w:rPr>
      </w:pPr>
      <w:bookmarkStart w:id="49" w:name="_Toc10812"/>
      <w:r>
        <w:rPr>
          <w:rFonts w:hint="default" w:ascii="Times New Roman" w:hAnsi="Times New Roman" w:eastAsia="宋体" w:cs="Times New Roman"/>
          <w:color w:val="auto"/>
          <w:spacing w:val="-6"/>
          <w:sz w:val="30"/>
          <w:szCs w:val="30"/>
        </w:rPr>
        <w:t>七、结论</w:t>
      </w:r>
      <w:bookmarkEnd w:id="49"/>
    </w:p>
    <w:p w14:paraId="6400F033">
      <w:pPr>
        <w:rPr>
          <w:rFonts w:hint="default" w:ascii="Times New Roman" w:hAnsi="Times New Roman" w:eastAsia="宋体" w:cs="Times New Roman"/>
          <w:color w:val="auto"/>
        </w:rPr>
      </w:pPr>
    </w:p>
    <w:p w14:paraId="26F98E3D">
      <w:pPr>
        <w:spacing w:line="82" w:lineRule="exact"/>
        <w:rPr>
          <w:rFonts w:hint="default" w:ascii="Times New Roman" w:hAnsi="Times New Roman" w:eastAsia="宋体" w:cs="Times New Roman"/>
          <w:color w:val="auto"/>
        </w:rPr>
      </w:pPr>
    </w:p>
    <w:tbl>
      <w:tblPr>
        <w:tblStyle w:val="43"/>
        <w:tblW w:w="5000" w:type="pct"/>
        <w:jc w:val="center"/>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Layout w:type="autofit"/>
        <w:tblCellMar>
          <w:top w:w="0" w:type="dxa"/>
          <w:left w:w="0" w:type="dxa"/>
          <w:bottom w:w="0" w:type="dxa"/>
          <w:right w:w="0" w:type="dxa"/>
        </w:tblCellMar>
      </w:tblPr>
      <w:tblGrid>
        <w:gridCol w:w="7954"/>
      </w:tblGrid>
      <w:tr w14:paraId="001BED89">
        <w:tblPrEx>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CellMar>
            <w:top w:w="0" w:type="dxa"/>
            <w:left w:w="0" w:type="dxa"/>
            <w:bottom w:w="0" w:type="dxa"/>
            <w:right w:w="0" w:type="dxa"/>
          </w:tblCellMar>
        </w:tblPrEx>
        <w:trPr>
          <w:trHeight w:val="5725" w:hRule="atLeast"/>
          <w:jc w:val="center"/>
        </w:trPr>
        <w:tc>
          <w:tcPr>
            <w:tcW w:w="5000" w:type="pct"/>
          </w:tcPr>
          <w:p w14:paraId="601B892E">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综上分析，本项目的建设能够提升当地生态防护功能，提高森林保持水土、涵养水分、固碳减排，建成优质高效多功能森林系统，林下经济的开展可提高当地的经济收入，其生态、经济效益、社会效益明显。本项目建设符合相关法律法规，符合三线一单的管控要求，符合《国家储备林建设规划》的总体布局，工程施工期、营运期所产生的废水、废气、固体废物、噪声等对周围环境带来一定程度的影响，在落实环评报告提出的环境保护措施及环境保护设施后，项目对周围环境的影响可控制在国家允许的标准范围内，本项目属于储备林建设项目，项目建成后有利于当地经济、生态和谐发展、涵养水源，对当地生态保护有积极意义。因此，从环境角度看，本项目的建设是可行的。</w:t>
            </w:r>
          </w:p>
          <w:p w14:paraId="4B0BF5FA">
            <w:pPr>
              <w:spacing w:line="360" w:lineRule="auto"/>
              <w:ind w:firstLine="480" w:firstLineChars="200"/>
              <w:rPr>
                <w:rFonts w:hint="default" w:ascii="Times New Roman" w:hAnsi="Times New Roman" w:eastAsia="宋体" w:cs="Times New Roman"/>
                <w:color w:val="auto"/>
                <w:sz w:val="24"/>
                <w:szCs w:val="24"/>
              </w:rPr>
            </w:pPr>
          </w:p>
          <w:p w14:paraId="593AC978">
            <w:pPr>
              <w:spacing w:before="226" w:line="360" w:lineRule="auto"/>
              <w:ind w:left="111" w:right="102" w:firstLine="480"/>
              <w:rPr>
                <w:rFonts w:hint="default" w:ascii="Times New Roman" w:hAnsi="Times New Roman" w:eastAsia="宋体" w:cs="Times New Roman"/>
                <w:color w:val="auto"/>
                <w:spacing w:val="-2"/>
                <w:sz w:val="24"/>
                <w:szCs w:val="24"/>
              </w:rPr>
            </w:pPr>
          </w:p>
          <w:p w14:paraId="1DBEB4FC">
            <w:pPr>
              <w:spacing w:before="226" w:line="359" w:lineRule="auto"/>
              <w:ind w:left="111" w:right="102" w:firstLine="480"/>
              <w:rPr>
                <w:rFonts w:hint="default" w:ascii="Times New Roman" w:hAnsi="Times New Roman" w:eastAsia="宋体" w:cs="Times New Roman"/>
                <w:color w:val="auto"/>
                <w:spacing w:val="-2"/>
                <w:sz w:val="24"/>
                <w:szCs w:val="24"/>
              </w:rPr>
            </w:pPr>
          </w:p>
          <w:p w14:paraId="70950541">
            <w:pPr>
              <w:spacing w:before="226" w:line="359" w:lineRule="auto"/>
              <w:ind w:left="111" w:right="102" w:firstLine="480"/>
              <w:rPr>
                <w:rFonts w:hint="default" w:ascii="Times New Roman" w:hAnsi="Times New Roman" w:eastAsia="宋体" w:cs="Times New Roman"/>
                <w:color w:val="auto"/>
                <w:spacing w:val="-2"/>
                <w:sz w:val="24"/>
                <w:szCs w:val="24"/>
              </w:rPr>
            </w:pPr>
          </w:p>
          <w:p w14:paraId="768C6655">
            <w:pPr>
              <w:spacing w:before="226" w:line="359" w:lineRule="auto"/>
              <w:ind w:left="111" w:right="102" w:firstLine="480"/>
              <w:rPr>
                <w:rFonts w:hint="default" w:ascii="Times New Roman" w:hAnsi="Times New Roman" w:eastAsia="宋体" w:cs="Times New Roman"/>
                <w:color w:val="auto"/>
                <w:spacing w:val="-2"/>
                <w:sz w:val="24"/>
                <w:szCs w:val="24"/>
              </w:rPr>
            </w:pPr>
          </w:p>
          <w:p w14:paraId="5C7A364C">
            <w:pPr>
              <w:spacing w:before="226" w:line="359" w:lineRule="auto"/>
              <w:ind w:left="111" w:right="102" w:firstLine="480"/>
              <w:rPr>
                <w:rFonts w:hint="default" w:ascii="Times New Roman" w:hAnsi="Times New Roman" w:eastAsia="宋体" w:cs="Times New Roman"/>
                <w:color w:val="auto"/>
                <w:spacing w:val="-2"/>
                <w:sz w:val="24"/>
                <w:szCs w:val="24"/>
              </w:rPr>
            </w:pPr>
          </w:p>
          <w:p w14:paraId="7C1F9955">
            <w:pPr>
              <w:spacing w:before="226" w:line="359" w:lineRule="auto"/>
              <w:ind w:left="111" w:right="102" w:firstLine="480"/>
              <w:rPr>
                <w:rFonts w:hint="default" w:ascii="Times New Roman" w:hAnsi="Times New Roman" w:eastAsia="宋体" w:cs="Times New Roman"/>
                <w:color w:val="auto"/>
                <w:spacing w:val="-2"/>
                <w:sz w:val="24"/>
                <w:szCs w:val="24"/>
              </w:rPr>
            </w:pPr>
          </w:p>
          <w:p w14:paraId="02F9B11D">
            <w:pPr>
              <w:spacing w:before="226" w:line="359" w:lineRule="auto"/>
              <w:ind w:right="102"/>
              <w:rPr>
                <w:rFonts w:hint="default" w:ascii="Times New Roman" w:hAnsi="Times New Roman" w:eastAsia="宋体" w:cs="Times New Roman"/>
                <w:color w:val="auto"/>
                <w:spacing w:val="-2"/>
                <w:sz w:val="24"/>
                <w:szCs w:val="24"/>
              </w:rPr>
            </w:pPr>
          </w:p>
          <w:p w14:paraId="5590240D">
            <w:pPr>
              <w:spacing w:before="226" w:line="359" w:lineRule="auto"/>
              <w:ind w:left="111" w:right="102" w:firstLine="480"/>
              <w:rPr>
                <w:rFonts w:hint="default" w:ascii="Times New Roman" w:hAnsi="Times New Roman" w:eastAsia="宋体" w:cs="Times New Roman"/>
                <w:color w:val="auto"/>
                <w:spacing w:val="-2"/>
                <w:sz w:val="24"/>
                <w:szCs w:val="24"/>
              </w:rPr>
            </w:pPr>
          </w:p>
          <w:p w14:paraId="20908558">
            <w:pPr>
              <w:spacing w:before="226" w:line="359" w:lineRule="auto"/>
              <w:ind w:left="111" w:right="102" w:firstLine="480"/>
              <w:rPr>
                <w:rFonts w:hint="default" w:ascii="Times New Roman" w:hAnsi="Times New Roman" w:eastAsia="宋体" w:cs="Times New Roman"/>
                <w:color w:val="auto"/>
                <w:spacing w:val="-2"/>
                <w:sz w:val="24"/>
                <w:szCs w:val="24"/>
              </w:rPr>
            </w:pPr>
          </w:p>
          <w:p w14:paraId="61E1EA35">
            <w:pPr>
              <w:spacing w:before="226" w:line="359" w:lineRule="auto"/>
              <w:ind w:left="111" w:right="102" w:firstLine="480"/>
              <w:rPr>
                <w:rFonts w:hint="default" w:ascii="Times New Roman" w:hAnsi="Times New Roman" w:eastAsia="宋体" w:cs="Times New Roman"/>
                <w:color w:val="auto"/>
                <w:spacing w:val="-2"/>
                <w:sz w:val="24"/>
                <w:szCs w:val="24"/>
              </w:rPr>
            </w:pPr>
          </w:p>
          <w:p w14:paraId="147A275E">
            <w:pPr>
              <w:spacing w:before="226" w:line="359" w:lineRule="auto"/>
              <w:ind w:right="102"/>
              <w:rPr>
                <w:rFonts w:hint="default" w:ascii="Times New Roman" w:hAnsi="Times New Roman" w:eastAsia="宋体" w:cs="Times New Roman"/>
                <w:color w:val="auto"/>
                <w:sz w:val="24"/>
                <w:szCs w:val="24"/>
              </w:rPr>
            </w:pPr>
          </w:p>
        </w:tc>
      </w:tr>
    </w:tbl>
    <w:p w14:paraId="1A99ABB3">
      <w:pPr>
        <w:rPr>
          <w:rFonts w:hint="default" w:ascii="Times New Roman" w:hAnsi="Times New Roman" w:eastAsia="宋体" w:cs="Times New Roman"/>
          <w:color w:val="auto"/>
        </w:rPr>
        <w:sectPr>
          <w:pgSz w:w="11906" w:h="16839"/>
          <w:pgMar w:top="1587" w:right="1984" w:bottom="1587" w:left="1984" w:header="0" w:footer="1003" w:gutter="0"/>
          <w:cols w:space="0" w:num="1"/>
        </w:sectPr>
      </w:pPr>
    </w:p>
    <w:p w14:paraId="04E9D7EF">
      <w:pPr>
        <w:widowControl w:val="0"/>
        <w:kinsoku/>
        <w:autoSpaceDE/>
        <w:autoSpaceDN/>
        <w:snapToGrid/>
        <w:spacing w:line="360" w:lineRule="auto"/>
        <w:rPr>
          <w:rFonts w:hint="default" w:ascii="Times New Roman" w:hAnsi="Times New Roman" w:eastAsia="宋体" w:cs="Times New Roman"/>
          <w:color w:val="auto"/>
          <w:sz w:val="24"/>
          <w:szCs w:val="24"/>
        </w:rPr>
      </w:pPr>
    </w:p>
    <w:sectPr>
      <w:footerReference r:id="rId13" w:type="default"/>
      <w:pgSz w:w="11906" w:h="16838"/>
      <w:pgMar w:top="571" w:right="395" w:bottom="571" w:left="402" w:header="0" w:footer="0" w:gutter="0"/>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1"/>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_GB2312">
    <w:altName w:val="Times New Roman"/>
    <w:panose1 w:val="020B0604020202020204"/>
    <w:charset w:val="00"/>
    <w:family w:val="roman"/>
    <w:pitch w:val="default"/>
    <w:sig w:usb0="00000000" w:usb1="00000000" w:usb2="00000000" w:usb3="00000000" w:csb0="00040001" w:csb1="00000000"/>
  </w:font>
  <w:font w:name="Cambria">
    <w:panose1 w:val="02040503050406030204"/>
    <w:charset w:val="00"/>
    <w:family w:val="roman"/>
    <w:pitch w:val="default"/>
    <w:sig w:usb0="E00006FF" w:usb1="420024FF" w:usb2="02000000" w:usb3="00000000" w:csb0="2000019F" w:csb1="00000000"/>
  </w:font>
  <w:font w:name="仿宋_GB2312">
    <w:altName w:val="仿宋"/>
    <w:panose1 w:val="02010609030101010101"/>
    <w:charset w:val="86"/>
    <w:family w:val="modern"/>
    <w:pitch w:val="default"/>
    <w:sig w:usb0="00000000" w:usb1="00000000" w:usb2="00000000" w:usb3="00000000" w:csb0="00040000" w:csb1="00000000"/>
  </w:font>
  <w:font w:name="Arial Black">
    <w:panose1 w:val="020B0A04020102020204"/>
    <w:charset w:val="00"/>
    <w:family w:val="swiss"/>
    <w:pitch w:val="default"/>
    <w:sig w:usb0="A00002AF" w:usb1="400078FB" w:usb2="00000000" w:usb3="00000000" w:csb0="6000009F" w:csb1="DFD70000"/>
  </w:font>
  <w:font w:name="仿宋">
    <w:panose1 w:val="02010609060101010101"/>
    <w:charset w:val="86"/>
    <w:family w:val="modern"/>
    <w:pitch w:val="default"/>
    <w:sig w:usb0="800002BF" w:usb1="38CF7CFA" w:usb2="00000016" w:usb3="00000000" w:csb0="00040001" w:csb1="00000000"/>
  </w:font>
  <w:font w:name="楷体_GB2312">
    <w:altName w:val="楷体"/>
    <w:panose1 w:val="00000000000000000000"/>
    <w:charset w:val="86"/>
    <w:family w:val="modern"/>
    <w:pitch w:val="default"/>
    <w:sig w:usb0="00000000" w:usb1="00000000" w:usb2="00000010" w:usb3="00000000" w:csb0="00040000" w:csb1="00000000"/>
  </w:font>
  <w:font w:name="Wingdings 2">
    <w:panose1 w:val="05020102010507070707"/>
    <w:charset w:val="02"/>
    <w:family w:val="roman"/>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86D3D0">
    <w:pPr>
      <w:pStyle w:val="22"/>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C76C1F">
    <w:pPr>
      <w:spacing w:line="177" w:lineRule="exact"/>
      <w:ind w:firstLine="7746"/>
      <w:rPr>
        <w:rFonts w:ascii="宋体" w:hAnsi="宋体" w:eastAsia="宋体" w:cs="宋体"/>
        <w:sz w:val="28"/>
        <w:szCs w:val="28"/>
      </w:rPr>
    </w:pPr>
    <w:r>
      <w:rPr>
        <w:sz w:val="28"/>
      </w:rPr>
      <mc:AlternateContent>
        <mc:Choice Requires="wps">
          <w:drawing>
            <wp:anchor distT="0" distB="0" distL="114300" distR="114300" simplePos="0" relativeHeight="251663360" behindDoc="0" locked="0" layoutInCell="1" allowOverlap="1">
              <wp:simplePos x="0" y="0"/>
              <wp:positionH relativeFrom="margin">
                <wp:align>right</wp:align>
              </wp:positionH>
              <wp:positionV relativeFrom="paragraph">
                <wp:posOffset>0</wp:posOffset>
              </wp:positionV>
              <wp:extent cx="1828800" cy="1828800"/>
              <wp:effectExtent l="0" t="0" r="0" b="0"/>
              <wp:wrapNone/>
              <wp:docPr id="290" name="文本框 29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3D48352">
                          <w:pPr>
                            <w:pStyle w:val="22"/>
                          </w:pPr>
                          <w:r>
                            <w:t>—</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Pr>
                              <w:rFonts w:ascii="Times New Roman" w:hAnsi="Times New Roman" w:cs="Times New Roman"/>
                              <w:sz w:val="24"/>
                              <w:szCs w:val="24"/>
                            </w:rPr>
                            <w:t>62</w:t>
                          </w:r>
                          <w:r>
                            <w:rPr>
                              <w:rFonts w:ascii="Times New Roman" w:hAnsi="Times New Roman" w:cs="Times New Roman"/>
                              <w:sz w:val="24"/>
                              <w:szCs w:val="24"/>
                            </w:rPr>
                            <w:fldChar w:fldCharType="end"/>
                          </w:r>
                          <w:r>
                            <w:t>—</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7EWNEtAgAAWQ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C7EWNEtAgAAWQQAAA4AAAAAAAAAAQAgAAAAHwEAAGRycy9lMm9Eb2MueG1sUEsFBgAAAAAG&#10;AAYAWQEAAL4FAAAAAA==&#10;">
              <v:fill on="f" focussize="0,0"/>
              <v:stroke on="f" weight="0.5pt"/>
              <v:imagedata o:title=""/>
              <o:lock v:ext="edit" aspectratio="f"/>
              <v:textbox inset="0mm,0mm,0mm,0mm" style="mso-fit-shape-to-text:t;">
                <w:txbxContent>
                  <w:p w14:paraId="73D48352">
                    <w:pPr>
                      <w:pStyle w:val="22"/>
                    </w:pPr>
                    <w:r>
                      <w:t>—</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Pr>
                        <w:rFonts w:ascii="Times New Roman" w:hAnsi="Times New Roman" w:cs="Times New Roman"/>
                        <w:sz w:val="24"/>
                        <w:szCs w:val="24"/>
                      </w:rPr>
                      <w:t>62</w:t>
                    </w:r>
                    <w:r>
                      <w:rPr>
                        <w:rFonts w:ascii="Times New Roman" w:hAnsi="Times New Roman" w:cs="Times New Roman"/>
                        <w:sz w:val="24"/>
                        <w:szCs w:val="24"/>
                      </w:rPr>
                      <w:fldChar w:fldCharType="end"/>
                    </w:r>
                    <w:r>
                      <w:t>—</w:t>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B3199A">
    <w:pPr>
      <w:spacing w:line="14" w:lineRule="auto"/>
      <w:rPr>
        <w:rFonts w:ascii="宋体"/>
        <w:sz w:val="2"/>
      </w:rPr>
    </w:pPr>
    <w:r>
      <w:rPr>
        <w:sz w:val="2"/>
      </w:rPr>
      <mc:AlternateContent>
        <mc:Choice Requires="wps">
          <w:drawing>
            <wp:anchor distT="0" distB="0" distL="114300" distR="114300" simplePos="0" relativeHeight="251664384" behindDoc="0" locked="0" layoutInCell="1" allowOverlap="1">
              <wp:simplePos x="0" y="0"/>
              <wp:positionH relativeFrom="margin">
                <wp:align>right</wp:align>
              </wp:positionH>
              <wp:positionV relativeFrom="paragraph">
                <wp:posOffset>0</wp:posOffset>
              </wp:positionV>
              <wp:extent cx="1828800" cy="1828800"/>
              <wp:effectExtent l="0" t="0" r="0" b="0"/>
              <wp:wrapNone/>
              <wp:docPr id="292" name="文本框 29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4BDD399">
                          <w:pPr>
                            <w:pStyle w:val="22"/>
                          </w:pPr>
                          <w:r>
                            <w:t>—</w:t>
                          </w:r>
                          <w:r>
                            <w:fldChar w:fldCharType="begin"/>
                          </w:r>
                          <w:r>
                            <w:instrText xml:space="preserve"> PAGE  \* MERGEFORMAT </w:instrText>
                          </w:r>
                          <w:r>
                            <w:fldChar w:fldCharType="separate"/>
                          </w:r>
                          <w:r>
                            <w:t>64</w:t>
                          </w:r>
                          <w:r>
                            <w:fldChar w:fldCharType="end"/>
                          </w:r>
                          <w:r>
                            <w:t>—</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J7AGsuAgAAWQ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LNJWO7QAAAABQEAAA8AAAAAAAAAAQAgAAAAIgAAAGRycy9kb3ducmV2LnhtbFBLAQIUABQAAAAI&#10;AIdO4kDyewBrLgIAAFkEAAAOAAAAAAAAAAEAIAAAAB8BAABkcnMvZTJvRG9jLnhtbFBLBQYAAAAA&#10;BgAGAFkBAAC/BQAAAAA=&#10;">
              <v:fill on="f" focussize="0,0"/>
              <v:stroke on="f" weight="0.5pt"/>
              <v:imagedata o:title=""/>
              <o:lock v:ext="edit" aspectratio="f"/>
              <v:textbox inset="0mm,0mm,0mm,0mm" style="mso-fit-shape-to-text:t;">
                <w:txbxContent>
                  <w:p w14:paraId="74BDD399">
                    <w:pPr>
                      <w:pStyle w:val="22"/>
                    </w:pPr>
                    <w:r>
                      <w:t>—</w:t>
                    </w:r>
                    <w:r>
                      <w:fldChar w:fldCharType="begin"/>
                    </w:r>
                    <w:r>
                      <w:instrText xml:space="preserve"> PAGE  \* MERGEFORMAT </w:instrText>
                    </w:r>
                    <w:r>
                      <w:fldChar w:fldCharType="separate"/>
                    </w:r>
                    <w:r>
                      <w:t>64</w:t>
                    </w:r>
                    <w:r>
                      <w:fldChar w:fldCharType="end"/>
                    </w:r>
                    <w:r>
                      <w:t>—</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B2DBDA">
    <w:pPr>
      <w:pStyle w:val="22"/>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FAF1B8">
    <w:pPr>
      <w:pStyle w:val="22"/>
    </w:pPr>
    <w:r>
      <mc:AlternateContent>
        <mc:Choice Requires="wps">
          <w:drawing>
            <wp:anchor distT="0" distB="0" distL="114300" distR="114300" simplePos="0" relativeHeight="251665408" behindDoc="0" locked="0" layoutInCell="1" allowOverlap="1">
              <wp:simplePos x="0" y="0"/>
              <wp:positionH relativeFrom="margin">
                <wp:align>right</wp:align>
              </wp:positionH>
              <wp:positionV relativeFrom="paragraph">
                <wp:posOffset>0</wp:posOffset>
              </wp:positionV>
              <wp:extent cx="1828800" cy="1828800"/>
              <wp:effectExtent l="0" t="0" r="0" b="0"/>
              <wp:wrapNone/>
              <wp:docPr id="58" name="文本框 5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9B660E7">
                          <w:pPr>
                            <w:pStyle w:val="22"/>
                          </w:pPr>
                          <w:r>
                            <w:t>—</w:t>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PAGE  \* MERGEFORMAT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t>7</w:t>
                          </w:r>
                          <w:r>
                            <w:rPr>
                              <w:rFonts w:ascii="Times New Roman" w:hAnsi="Times New Roman" w:eastAsia="宋体" w:cs="Times New Roman"/>
                              <w:sz w:val="24"/>
                              <w:szCs w:val="24"/>
                            </w:rPr>
                            <w:fldChar w:fldCharType="end"/>
                          </w:r>
                          <w:r>
                            <w:t>—</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dUCbQ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JdUCbQtAgAAVwQAAA4AAAAAAAAAAQAgAAAAHwEAAGRycy9lMm9Eb2MueG1sUEsFBgAAAAAG&#10;AAYAWQEAAL4FAAAAAA==&#10;">
              <v:fill on="f" focussize="0,0"/>
              <v:stroke on="f" weight="0.5pt"/>
              <v:imagedata o:title=""/>
              <o:lock v:ext="edit" aspectratio="f"/>
              <v:textbox inset="0mm,0mm,0mm,0mm" style="mso-fit-shape-to-text:t;">
                <w:txbxContent>
                  <w:p w14:paraId="79B660E7">
                    <w:pPr>
                      <w:pStyle w:val="22"/>
                    </w:pPr>
                    <w:r>
                      <w:t>—</w:t>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PAGE  \* MERGEFORMAT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t>7</w:t>
                    </w:r>
                    <w:r>
                      <w:rPr>
                        <w:rFonts w:ascii="Times New Roman" w:hAnsi="Times New Roman" w:eastAsia="宋体" w:cs="Times New Roman"/>
                        <w:sz w:val="24"/>
                        <w:szCs w:val="24"/>
                      </w:rPr>
                      <w:fldChar w:fldCharType="end"/>
                    </w:r>
                    <w:r>
                      <w:t>—</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128AA7">
    <w:pPr>
      <w:spacing w:line="177" w:lineRule="exact"/>
      <w:ind w:firstLine="7784"/>
      <w:rPr>
        <w:rFonts w:ascii="宋体" w:hAnsi="宋体" w:eastAsia="宋体" w:cs="宋体"/>
        <w:sz w:val="28"/>
        <w:szCs w:val="28"/>
      </w:rPr>
    </w:pPr>
    <w:r>
      <w:rPr>
        <w:sz w:val="28"/>
      </w:rPr>
      <mc:AlternateContent>
        <mc:Choice Requires="wps">
          <w:drawing>
            <wp:anchor distT="0" distB="0" distL="114300" distR="114300" simplePos="0" relativeHeight="251659264" behindDoc="0" locked="0" layoutInCell="1" allowOverlap="1">
              <wp:simplePos x="0" y="0"/>
              <wp:positionH relativeFrom="margin">
                <wp:align>right</wp:align>
              </wp:positionH>
              <wp:positionV relativeFrom="paragraph">
                <wp:posOffset>0</wp:posOffset>
              </wp:positionV>
              <wp:extent cx="1828800" cy="16002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600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F7F2DC1">
                          <w:pPr>
                            <w:pStyle w:val="22"/>
                          </w:pPr>
                          <w:r>
                            <w:t>—</w:t>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PAGE  \* MERGEFORMAT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t>7</w:t>
                          </w:r>
                          <w:r>
                            <w:rPr>
                              <w:rFonts w:ascii="Times New Roman" w:hAnsi="Times New Roman" w:eastAsia="宋体" w:cs="Times New Roman"/>
                              <w:sz w:val="24"/>
                              <w:szCs w:val="24"/>
                            </w:rPr>
                            <w:fldChar w:fldCharType="end"/>
                          </w:r>
                          <w:r>
                            <w:t>—</w:t>
                          </w:r>
                        </w:p>
                      </w:txbxContent>
                    </wps:txbx>
                    <wps:bodyPr rot="0" spcFirstLastPara="0" vertOverflow="overflow" horzOverflow="overflow" vert="horz" wrap="non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top:0pt;height:12.6pt;width:144pt;mso-position-horizontal:right;mso-position-horizontal-relative:margin;mso-wrap-style:none;z-index:251659264;mso-width-relative:page;mso-height-relative:page;" filled="f" stroked="f" coordsize="21600,21600" o:gfxdata="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oJNGu9MAAAAEAQAADwAAAAAAAAABACAAAAAiAAAAZHJzL2Rvd25yZXYueG1sUEsBAhQA&#10;FAAAAAgAh07iQHm8KsYwAgAAVAQAAA4AAAAAAAAAAQAgAAAAIgEAAGRycy9lMm9Eb2MueG1sUEsF&#10;BgAAAAAGAAYAWQEAAMQFAAAAAA==&#10;">
              <v:fill on="f" focussize="0,0"/>
              <v:stroke on="f" weight="0.5pt"/>
              <v:imagedata o:title=""/>
              <o:lock v:ext="edit" aspectratio="f"/>
              <v:textbox inset="0mm,0mm,0mm,0mm">
                <w:txbxContent>
                  <w:p w14:paraId="3F7F2DC1">
                    <w:pPr>
                      <w:pStyle w:val="22"/>
                    </w:pPr>
                    <w:r>
                      <w:t>—</w:t>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PAGE  \* MERGEFORMAT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t>7</w:t>
                    </w:r>
                    <w:r>
                      <w:rPr>
                        <w:rFonts w:ascii="Times New Roman" w:hAnsi="Times New Roman" w:eastAsia="宋体" w:cs="Times New Roman"/>
                        <w:sz w:val="24"/>
                        <w:szCs w:val="24"/>
                      </w:rPr>
                      <w:fldChar w:fldCharType="end"/>
                    </w:r>
                    <w:r>
                      <w:t>—</w:t>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459667">
    <w:pPr>
      <w:spacing w:line="177" w:lineRule="exact"/>
      <w:ind w:firstLine="7784"/>
      <w:rPr>
        <w:rFonts w:ascii="宋体" w:hAnsi="宋体" w:eastAsia="宋体" w:cs="宋体"/>
        <w:sz w:val="28"/>
        <w:szCs w:val="28"/>
      </w:rPr>
    </w:pPr>
    <w:r>
      <w:rPr>
        <w:sz w:val="28"/>
      </w:rPr>
      <mc:AlternateContent>
        <mc:Choice Requires="wps">
          <w:drawing>
            <wp:anchor distT="0" distB="0" distL="114300" distR="114300" simplePos="0" relativeHeight="251660288" behindDoc="0" locked="0" layoutInCell="1" allowOverlap="1">
              <wp:simplePos x="0" y="0"/>
              <wp:positionH relativeFrom="margin">
                <wp:align>right</wp:align>
              </wp:positionH>
              <wp:positionV relativeFrom="paragraph">
                <wp:posOffset>0</wp:posOffset>
              </wp:positionV>
              <wp:extent cx="1828800" cy="160020"/>
              <wp:effectExtent l="0" t="0" r="0" b="0"/>
              <wp:wrapNone/>
              <wp:docPr id="257" name="文本框 257"/>
              <wp:cNvGraphicFramePr/>
              <a:graphic xmlns:a="http://schemas.openxmlformats.org/drawingml/2006/main">
                <a:graphicData uri="http://schemas.microsoft.com/office/word/2010/wordprocessingShape">
                  <wps:wsp>
                    <wps:cNvSpPr txBox="1"/>
                    <wps:spPr>
                      <a:xfrm>
                        <a:off x="0" y="0"/>
                        <a:ext cx="1828800" cy="1600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CE17943">
                          <w:pPr>
                            <w:pStyle w:val="22"/>
                          </w:pPr>
                          <w:r>
                            <w:t>—</w:t>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PAGE  \* MERGEFORMAT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t>7</w:t>
                          </w:r>
                          <w:r>
                            <w:rPr>
                              <w:rFonts w:ascii="Times New Roman" w:hAnsi="Times New Roman" w:eastAsia="宋体" w:cs="Times New Roman"/>
                              <w:sz w:val="24"/>
                              <w:szCs w:val="24"/>
                            </w:rPr>
                            <w:fldChar w:fldCharType="end"/>
                          </w:r>
                          <w:r>
                            <w:t>—</w:t>
                          </w:r>
                        </w:p>
                      </w:txbxContent>
                    </wps:txbx>
                    <wps:bodyPr rot="0" spcFirstLastPara="0" vertOverflow="overflow" horzOverflow="overflow" vert="horz" wrap="non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top:0pt;height:12.6pt;width:144pt;mso-position-horizontal:right;mso-position-horizontal-relative:margin;mso-wrap-style:none;z-index:251660288;mso-width-relative:page;mso-height-relative:page;" filled="f" stroked="f" coordsize="21600,21600" o:gfxdata="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KCTRrvTAAAABAEAAA8AAAAAAAAAAQAgAAAAIgAAAGRycy9kb3ducmV2LnhtbFBLAQIU&#10;ABQAAAAIAIdO4kBvlOHXMQIAAFgEAAAOAAAAAAAAAAEAIAAAACIBAABkcnMvZTJvRG9jLnhtbFBL&#10;BQYAAAAABgAGAFkBAADFBQAAAAA=&#10;">
              <v:fill on="f" focussize="0,0"/>
              <v:stroke on="f" weight="0.5pt"/>
              <v:imagedata o:title=""/>
              <o:lock v:ext="edit" aspectratio="f"/>
              <v:textbox inset="0mm,0mm,0mm,0mm">
                <w:txbxContent>
                  <w:p w14:paraId="0CE17943">
                    <w:pPr>
                      <w:pStyle w:val="22"/>
                    </w:pPr>
                    <w:r>
                      <w:t>—</w:t>
                    </w:r>
                    <w:r>
                      <w:rPr>
                        <w:rFonts w:ascii="Times New Roman" w:hAnsi="Times New Roman" w:eastAsia="宋体" w:cs="Times New Roman"/>
                        <w:sz w:val="24"/>
                        <w:szCs w:val="24"/>
                      </w:rPr>
                      <w:fldChar w:fldCharType="begin"/>
                    </w:r>
                    <w:r>
                      <w:rPr>
                        <w:rFonts w:ascii="Times New Roman" w:hAnsi="Times New Roman" w:eastAsia="宋体" w:cs="Times New Roman"/>
                        <w:sz w:val="24"/>
                        <w:szCs w:val="24"/>
                      </w:rPr>
                      <w:instrText xml:space="preserve"> PAGE  \* MERGEFORMAT </w:instrText>
                    </w:r>
                    <w:r>
                      <w:rPr>
                        <w:rFonts w:ascii="Times New Roman" w:hAnsi="Times New Roman" w:eastAsia="宋体" w:cs="Times New Roman"/>
                        <w:sz w:val="24"/>
                        <w:szCs w:val="24"/>
                      </w:rPr>
                      <w:fldChar w:fldCharType="separate"/>
                    </w:r>
                    <w:r>
                      <w:rPr>
                        <w:rFonts w:ascii="Times New Roman" w:hAnsi="Times New Roman" w:eastAsia="宋体" w:cs="Times New Roman"/>
                        <w:sz w:val="24"/>
                        <w:szCs w:val="24"/>
                      </w:rPr>
                      <w:t>7</w:t>
                    </w:r>
                    <w:r>
                      <w:rPr>
                        <w:rFonts w:ascii="Times New Roman" w:hAnsi="Times New Roman" w:eastAsia="宋体" w:cs="Times New Roman"/>
                        <w:sz w:val="24"/>
                        <w:szCs w:val="24"/>
                      </w:rPr>
                      <w:fldChar w:fldCharType="end"/>
                    </w:r>
                    <w:r>
                      <w:t>—</w:t>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6B313B">
    <w:pPr>
      <w:spacing w:line="177" w:lineRule="exact"/>
      <w:ind w:firstLine="121"/>
      <w:rPr>
        <w:rFonts w:ascii="宋体" w:hAnsi="宋体" w:eastAsia="宋体" w:cs="宋体"/>
        <w:sz w:val="28"/>
        <w:szCs w:val="28"/>
      </w:rPr>
    </w:pPr>
    <w:r>
      <w:rPr>
        <w:sz w:val="28"/>
      </w:rPr>
      <mc:AlternateContent>
        <mc:Choice Requires="wps">
          <w:drawing>
            <wp:anchor distT="0" distB="0" distL="114300" distR="114300" simplePos="0" relativeHeight="251678720" behindDoc="0" locked="0" layoutInCell="1" allowOverlap="1">
              <wp:simplePos x="0" y="0"/>
              <wp:positionH relativeFrom="margin">
                <wp:align>right</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FBA9F59">
                          <w:pPr>
                            <w:pStyle w:val="22"/>
                          </w:pPr>
                          <w:r>
                            <w:t>—</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Pr>
                              <w:rFonts w:ascii="Times New Roman" w:hAnsi="Times New Roman" w:cs="Times New Roman"/>
                              <w:sz w:val="24"/>
                              <w:szCs w:val="24"/>
                            </w:rPr>
                            <w:t>11</w:t>
                          </w:r>
                          <w:r>
                            <w:rPr>
                              <w:rFonts w:ascii="Times New Roman" w:hAnsi="Times New Roman" w:cs="Times New Roman"/>
                              <w:sz w:val="24"/>
                              <w:szCs w:val="24"/>
                            </w:rPr>
                            <w:fldChar w:fldCharType="end"/>
                          </w:r>
                          <w:r>
                            <w:t>—</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7872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zXDnwqAgAAV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CLNmWdjqneUROirm&#10;7eoYIGCnaxSlV2LQCtPWdWZ4GXGc/9x3UY9/g+V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0lY&#10;7tAAAAAFAQAADwAAAAAAAAABACAAAAAiAAAAZHJzL2Rvd25yZXYueG1sUEsBAhQAFAAAAAgAh07i&#10;QIzXDnwqAgAAVQQAAA4AAAAAAAAAAQAgAAAAHwEAAGRycy9lMm9Eb2MueG1sUEsFBgAAAAAGAAYA&#10;WQEAALsFAAAAAA==&#10;">
              <v:fill on="f" focussize="0,0"/>
              <v:stroke on="f" weight="0.5pt"/>
              <v:imagedata o:title=""/>
              <o:lock v:ext="edit" aspectratio="f"/>
              <v:textbox inset="0mm,0mm,0mm,0mm" style="mso-fit-shape-to-text:t;">
                <w:txbxContent>
                  <w:p w14:paraId="3FBA9F59">
                    <w:pPr>
                      <w:pStyle w:val="22"/>
                    </w:pPr>
                    <w:r>
                      <w:t>—</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Pr>
                        <w:rFonts w:ascii="Times New Roman" w:hAnsi="Times New Roman" w:cs="Times New Roman"/>
                        <w:sz w:val="24"/>
                        <w:szCs w:val="24"/>
                      </w:rPr>
                      <w:t>11</w:t>
                    </w:r>
                    <w:r>
                      <w:rPr>
                        <w:rFonts w:ascii="Times New Roman" w:hAnsi="Times New Roman" w:cs="Times New Roman"/>
                        <w:sz w:val="24"/>
                        <w:szCs w:val="24"/>
                      </w:rPr>
                      <w:fldChar w:fldCharType="end"/>
                    </w:r>
                    <w:r>
                      <w:t>—</w:t>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983106">
    <w:pPr>
      <w:spacing w:line="177" w:lineRule="exact"/>
      <w:ind w:firstLine="121"/>
      <w:rPr>
        <w:rFonts w:ascii="宋体" w:hAnsi="宋体" w:eastAsia="宋体" w:cs="宋体"/>
        <w:sz w:val="28"/>
        <w:szCs w:val="28"/>
      </w:rPr>
    </w:pPr>
    <w:r>
      <w:rPr>
        <w:sz w:val="28"/>
      </w:rPr>
      <mc:AlternateContent>
        <mc:Choice Requires="wps">
          <w:drawing>
            <wp:anchor distT="0" distB="0" distL="114300" distR="114300" simplePos="0" relativeHeight="251677696" behindDoc="0" locked="0" layoutInCell="1" allowOverlap="1">
              <wp:simplePos x="0" y="0"/>
              <wp:positionH relativeFrom="margin">
                <wp:align>right</wp:align>
              </wp:positionH>
              <wp:positionV relativeFrom="paragraph">
                <wp:posOffset>0</wp:posOffset>
              </wp:positionV>
              <wp:extent cx="1828800" cy="1828800"/>
              <wp:effectExtent l="0" t="0" r="0" b="0"/>
              <wp:wrapNone/>
              <wp:docPr id="258" name="文本框 25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B6C507F">
                          <w:pPr>
                            <w:pStyle w:val="22"/>
                          </w:pPr>
                          <w:r>
                            <w:t>—</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Pr>
                              <w:rFonts w:ascii="Times New Roman" w:hAnsi="Times New Roman" w:cs="Times New Roman"/>
                              <w:sz w:val="24"/>
                              <w:szCs w:val="24"/>
                            </w:rPr>
                            <w:t>11</w:t>
                          </w:r>
                          <w:r>
                            <w:rPr>
                              <w:rFonts w:ascii="Times New Roman" w:hAnsi="Times New Roman" w:cs="Times New Roman"/>
                              <w:sz w:val="24"/>
                              <w:szCs w:val="24"/>
                            </w:rPr>
                            <w:fldChar w:fldCharType="end"/>
                          </w:r>
                          <w:r>
                            <w:t>—</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7769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oi8MuAgAAWQ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LNJWO7QAAAABQEAAA8AAAAAAAAAAQAgAAAAIgAAAGRycy9kb3ducmV2LnhtbFBLAQIUABQAAAAI&#10;AIdO4kCfqIvDLgIAAFkEAAAOAAAAAAAAAAEAIAAAAB8BAABkcnMvZTJvRG9jLnhtbFBLBQYAAAAA&#10;BgAGAFkBAAC/BQAAAAA=&#10;">
              <v:fill on="f" focussize="0,0"/>
              <v:stroke on="f" weight="0.5pt"/>
              <v:imagedata o:title=""/>
              <o:lock v:ext="edit" aspectratio="f"/>
              <v:textbox inset="0mm,0mm,0mm,0mm" style="mso-fit-shape-to-text:t;">
                <w:txbxContent>
                  <w:p w14:paraId="5B6C507F">
                    <w:pPr>
                      <w:pStyle w:val="22"/>
                    </w:pPr>
                    <w:r>
                      <w:t>—</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Pr>
                        <w:rFonts w:ascii="Times New Roman" w:hAnsi="Times New Roman" w:cs="Times New Roman"/>
                        <w:sz w:val="24"/>
                        <w:szCs w:val="24"/>
                      </w:rPr>
                      <w:t>11</w:t>
                    </w:r>
                    <w:r>
                      <w:rPr>
                        <w:rFonts w:ascii="Times New Roman" w:hAnsi="Times New Roman" w:cs="Times New Roman"/>
                        <w:sz w:val="24"/>
                        <w:szCs w:val="24"/>
                      </w:rPr>
                      <w:fldChar w:fldCharType="end"/>
                    </w:r>
                    <w:r>
                      <w:t>—</w:t>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A0CD2F">
    <w:pPr>
      <w:spacing w:line="177" w:lineRule="exact"/>
      <w:ind w:firstLine="121"/>
      <w:rPr>
        <w:rFonts w:ascii="宋体" w:hAnsi="宋体" w:eastAsia="宋体" w:cs="宋体"/>
        <w:sz w:val="28"/>
        <w:szCs w:val="28"/>
      </w:rPr>
    </w:pPr>
    <w:r>
      <w:rPr>
        <w:sz w:val="28"/>
      </w:rPr>
      <mc:AlternateContent>
        <mc:Choice Requires="wps">
          <w:drawing>
            <wp:anchor distT="0" distB="0" distL="114300" distR="114300" simplePos="0" relativeHeight="251661312" behindDoc="0" locked="0" layoutInCell="1" allowOverlap="1">
              <wp:simplePos x="0" y="0"/>
              <wp:positionH relativeFrom="margin">
                <wp:align>right</wp:align>
              </wp:positionH>
              <wp:positionV relativeFrom="paragraph">
                <wp:posOffset>0</wp:posOffset>
              </wp:positionV>
              <wp:extent cx="1828800" cy="1828800"/>
              <wp:effectExtent l="0" t="0" r="0" b="0"/>
              <wp:wrapNone/>
              <wp:docPr id="261" name="文本框 26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EAF11B6">
                          <w:pPr>
                            <w:pStyle w:val="22"/>
                          </w:pPr>
                          <w:r>
                            <w:t>—</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Pr>
                              <w:rFonts w:ascii="Times New Roman" w:hAnsi="Times New Roman" w:cs="Times New Roman"/>
                              <w:sz w:val="24"/>
                              <w:szCs w:val="24"/>
                            </w:rPr>
                            <w:t>33</w:t>
                          </w:r>
                          <w:r>
                            <w:rPr>
                              <w:rFonts w:ascii="Times New Roman" w:hAnsi="Times New Roman" w:cs="Times New Roman"/>
                              <w:sz w:val="24"/>
                              <w:szCs w:val="24"/>
                            </w:rPr>
                            <w:fldChar w:fldCharType="end"/>
                          </w:r>
                          <w:r>
                            <w:t>—</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KInZtItAgAAWQQAAA4AAAAAAAAAAQAgAAAAHwEAAGRycy9lMm9Eb2MueG1sUEsFBgAAAAAG&#10;AAYAWQEAAL4FAAAAAA==&#10;">
              <v:fill on="f" focussize="0,0"/>
              <v:stroke on="f" weight="0.5pt"/>
              <v:imagedata o:title=""/>
              <o:lock v:ext="edit" aspectratio="f"/>
              <v:textbox inset="0mm,0mm,0mm,0mm" style="mso-fit-shape-to-text:t;">
                <w:txbxContent>
                  <w:p w14:paraId="0EAF11B6">
                    <w:pPr>
                      <w:pStyle w:val="22"/>
                    </w:pPr>
                    <w:r>
                      <w:t>—</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Pr>
                        <w:rFonts w:ascii="Times New Roman" w:hAnsi="Times New Roman" w:cs="Times New Roman"/>
                        <w:sz w:val="24"/>
                        <w:szCs w:val="24"/>
                      </w:rPr>
                      <w:t>33</w:t>
                    </w:r>
                    <w:r>
                      <w:rPr>
                        <w:rFonts w:ascii="Times New Roman" w:hAnsi="Times New Roman" w:cs="Times New Roman"/>
                        <w:sz w:val="24"/>
                        <w:szCs w:val="24"/>
                      </w:rPr>
                      <w:fldChar w:fldCharType="end"/>
                    </w:r>
                    <w:r>
                      <w:t>—</w:t>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5AEDAF">
    <w:pPr>
      <w:spacing w:line="181" w:lineRule="exact"/>
      <w:ind w:firstLine="7171"/>
      <w:rPr>
        <w:rFonts w:ascii="宋体" w:hAnsi="宋体" w:eastAsia="宋体" w:cs="宋体"/>
        <w:sz w:val="28"/>
        <w:szCs w:val="28"/>
      </w:rPr>
    </w:pPr>
    <w:r>
      <w:rPr>
        <w:sz w:val="28"/>
      </w:rPr>
      <mc:AlternateContent>
        <mc:Choice Requires="wps">
          <w:drawing>
            <wp:anchor distT="0" distB="0" distL="114300" distR="114300" simplePos="0" relativeHeight="251662336" behindDoc="0" locked="0" layoutInCell="1" allowOverlap="1">
              <wp:simplePos x="0" y="0"/>
              <wp:positionH relativeFrom="margin">
                <wp:align>right</wp:align>
              </wp:positionH>
              <wp:positionV relativeFrom="paragraph">
                <wp:posOffset>0</wp:posOffset>
              </wp:positionV>
              <wp:extent cx="1828800" cy="1828800"/>
              <wp:effectExtent l="0" t="0" r="0" b="0"/>
              <wp:wrapNone/>
              <wp:docPr id="278" name="文本框 27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9043B3C">
                          <w:pPr>
                            <w:pStyle w:val="22"/>
                          </w:pPr>
                          <w:r>
                            <w:t>—</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Pr>
                              <w:rFonts w:ascii="Times New Roman" w:hAnsi="Times New Roman" w:cs="Times New Roman"/>
                              <w:sz w:val="24"/>
                              <w:szCs w:val="24"/>
                            </w:rPr>
                            <w:t>50</w:t>
                          </w:r>
                          <w:r>
                            <w:rPr>
                              <w:rFonts w:ascii="Times New Roman" w:hAnsi="Times New Roman" w:cs="Times New Roman"/>
                              <w:sz w:val="24"/>
                              <w:szCs w:val="24"/>
                            </w:rPr>
                            <w:fldChar w:fldCharType="end"/>
                          </w:r>
                          <w:r>
                            <w:t>—</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9uVEwuAgAAWQ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LNJWO7QAAAABQEAAA8AAAAAAAAAAQAgAAAAIgAAAGRycy9kb3ducmV2LnhtbFBLAQIUABQAAAAI&#10;AIdO4kDfblRMLgIAAFkEAAAOAAAAAAAAAAEAIAAAAB8BAABkcnMvZTJvRG9jLnhtbFBLBQYAAAAA&#10;BgAGAFkBAAC/BQAAAAA=&#10;">
              <v:fill on="f" focussize="0,0"/>
              <v:stroke on="f" weight="0.5pt"/>
              <v:imagedata o:title=""/>
              <o:lock v:ext="edit" aspectratio="f"/>
              <v:textbox inset="0mm,0mm,0mm,0mm" style="mso-fit-shape-to-text:t;">
                <w:txbxContent>
                  <w:p w14:paraId="19043B3C">
                    <w:pPr>
                      <w:pStyle w:val="22"/>
                    </w:pPr>
                    <w:r>
                      <w:t>—</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Pr>
                        <w:rFonts w:ascii="Times New Roman" w:hAnsi="Times New Roman" w:cs="Times New Roman"/>
                        <w:sz w:val="24"/>
                        <w:szCs w:val="24"/>
                      </w:rPr>
                      <w:t>50</w:t>
                    </w:r>
                    <w:r>
                      <w:rPr>
                        <w:rFonts w:ascii="Times New Roman" w:hAnsi="Times New Roman" w:cs="Times New Roman"/>
                        <w:sz w:val="24"/>
                        <w:szCs w:val="24"/>
                      </w:rPr>
                      <w:fldChar w:fldCharType="end"/>
                    </w:r>
                    <w:r>
                      <w:t>—</w:t>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492CB0C"/>
    <w:multiLevelType w:val="singleLevel"/>
    <w:tmpl w:val="9492CB0C"/>
    <w:lvl w:ilvl="0" w:tentative="0">
      <w:start w:val="1"/>
      <w:numFmt w:val="decimal"/>
      <w:suff w:val="nothing"/>
      <w:lvlText w:val="%1、"/>
      <w:lvlJc w:val="left"/>
    </w:lvl>
  </w:abstractNum>
  <w:abstractNum w:abstractNumId="1">
    <w:nsid w:val="11DE5FF9"/>
    <w:multiLevelType w:val="singleLevel"/>
    <w:tmpl w:val="11DE5FF9"/>
    <w:lvl w:ilvl="0" w:tentative="0">
      <w:start w:val="1"/>
      <w:numFmt w:val="upperLetter"/>
      <w:lvlText w:val="%1."/>
      <w:lvlJc w:val="left"/>
      <w:pPr>
        <w:tabs>
          <w:tab w:val="left" w:pos="312"/>
        </w:tabs>
      </w:pPr>
    </w:lvl>
  </w:abstractNum>
  <w:abstractNum w:abstractNumId="2">
    <w:nsid w:val="37436619"/>
    <w:multiLevelType w:val="singleLevel"/>
    <w:tmpl w:val="37436619"/>
    <w:lvl w:ilvl="0" w:tentative="0">
      <w:start w:val="1"/>
      <w:numFmt w:val="bullet"/>
      <w:pStyle w:val="18"/>
      <w:lvlText w:val=""/>
      <w:lvlJc w:val="left"/>
      <w:pPr>
        <w:tabs>
          <w:tab w:val="left" w:pos="2040"/>
        </w:tabs>
        <w:ind w:left="2040" w:hanging="360"/>
      </w:pPr>
      <w:rPr>
        <w:rFonts w:hint="default" w:ascii="Wingdings" w:hAnsi="Wingdings"/>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displayBackgroundShape w:val="1"/>
  <w:bordersDoNotSurroundHeader w:val="0"/>
  <w:bordersDoNotSurroundFooter w:val="0"/>
  <w:documentProtection w:enforcement="0"/>
  <w:defaultTabStop w:val="420"/>
  <w:displayHorizontalDrawingGridEvery w:val="1"/>
  <w:displayVerticalDrawingGridEvery w:val="1"/>
  <w:noPunctuationKerning w:val="1"/>
  <w:characterSpacingControl w:val="doNotCompress"/>
  <w:compat>
    <w:spaceForUL/>
    <w:ulTrailSpace/>
    <w:doNotExpandShiftReturn/>
    <w:doNotWrapTextWithPunct/>
    <w:doNotUseEastAsianBreakRules/>
    <w:useFELayout/>
    <w:doNotUseIndentAsNumberingTabStop/>
    <w:compatSetting w:name="compatibilityMode" w:uri="http://schemas.microsoft.com/office/word" w:val="14"/>
  </w:compat>
  <w:docVars>
    <w:docVar w:name="commondata" w:val="eyJoZGlkIjoiZmUzMWQzYWEzNmM3MmNkMTlhODc0ZjNmMjdjZDBhNTAifQ=="/>
  </w:docVars>
  <w:rsids>
    <w:rsidRoot w:val="0026177B"/>
    <w:rsid w:val="000641B7"/>
    <w:rsid w:val="00113A3A"/>
    <w:rsid w:val="00185A19"/>
    <w:rsid w:val="00236205"/>
    <w:rsid w:val="002500A9"/>
    <w:rsid w:val="0026177B"/>
    <w:rsid w:val="0034378D"/>
    <w:rsid w:val="0050638A"/>
    <w:rsid w:val="00537C28"/>
    <w:rsid w:val="007B3A77"/>
    <w:rsid w:val="00867FFD"/>
    <w:rsid w:val="00977B14"/>
    <w:rsid w:val="009C337D"/>
    <w:rsid w:val="00B00BD6"/>
    <w:rsid w:val="00B601B4"/>
    <w:rsid w:val="00B72FDC"/>
    <w:rsid w:val="00C06CD7"/>
    <w:rsid w:val="00F72ABC"/>
    <w:rsid w:val="011A24F4"/>
    <w:rsid w:val="011D6F97"/>
    <w:rsid w:val="015522D5"/>
    <w:rsid w:val="01826A17"/>
    <w:rsid w:val="018A2ED4"/>
    <w:rsid w:val="01E943A0"/>
    <w:rsid w:val="01EE5016"/>
    <w:rsid w:val="01F64D0F"/>
    <w:rsid w:val="01F90CAD"/>
    <w:rsid w:val="0213766F"/>
    <w:rsid w:val="02160F0D"/>
    <w:rsid w:val="02184C85"/>
    <w:rsid w:val="02395177"/>
    <w:rsid w:val="02406915"/>
    <w:rsid w:val="024F36AF"/>
    <w:rsid w:val="02B01361"/>
    <w:rsid w:val="02B40E52"/>
    <w:rsid w:val="02BF15A4"/>
    <w:rsid w:val="02DF57A3"/>
    <w:rsid w:val="0313544C"/>
    <w:rsid w:val="031A74EC"/>
    <w:rsid w:val="031B23D0"/>
    <w:rsid w:val="032A1D61"/>
    <w:rsid w:val="032A2EC2"/>
    <w:rsid w:val="03316E23"/>
    <w:rsid w:val="0332738A"/>
    <w:rsid w:val="03685798"/>
    <w:rsid w:val="036F6B27"/>
    <w:rsid w:val="0370464D"/>
    <w:rsid w:val="039E11BA"/>
    <w:rsid w:val="03AC3FE9"/>
    <w:rsid w:val="03B95FF4"/>
    <w:rsid w:val="03CD71A4"/>
    <w:rsid w:val="03CF75C5"/>
    <w:rsid w:val="03D05C9D"/>
    <w:rsid w:val="04126BC7"/>
    <w:rsid w:val="041C1E8D"/>
    <w:rsid w:val="042F18D1"/>
    <w:rsid w:val="0431202E"/>
    <w:rsid w:val="047839EA"/>
    <w:rsid w:val="04820ADC"/>
    <w:rsid w:val="04DE531A"/>
    <w:rsid w:val="04E416EA"/>
    <w:rsid w:val="04F3575F"/>
    <w:rsid w:val="04F371A2"/>
    <w:rsid w:val="04FB49DA"/>
    <w:rsid w:val="050D729E"/>
    <w:rsid w:val="05685438"/>
    <w:rsid w:val="05B13057"/>
    <w:rsid w:val="05BF21F9"/>
    <w:rsid w:val="05C32CC9"/>
    <w:rsid w:val="062260D2"/>
    <w:rsid w:val="063E07BB"/>
    <w:rsid w:val="06450013"/>
    <w:rsid w:val="064773D1"/>
    <w:rsid w:val="06782196"/>
    <w:rsid w:val="067B1C86"/>
    <w:rsid w:val="06897172"/>
    <w:rsid w:val="06B12965"/>
    <w:rsid w:val="06F61A38"/>
    <w:rsid w:val="073D3B40"/>
    <w:rsid w:val="07886409"/>
    <w:rsid w:val="07BD28A6"/>
    <w:rsid w:val="07E12DA0"/>
    <w:rsid w:val="081128A2"/>
    <w:rsid w:val="08202AE5"/>
    <w:rsid w:val="08470072"/>
    <w:rsid w:val="087370B9"/>
    <w:rsid w:val="0885118A"/>
    <w:rsid w:val="088B6DD6"/>
    <w:rsid w:val="089B03BE"/>
    <w:rsid w:val="089E3045"/>
    <w:rsid w:val="08AA23AF"/>
    <w:rsid w:val="090805E8"/>
    <w:rsid w:val="091A2112"/>
    <w:rsid w:val="09615163"/>
    <w:rsid w:val="09621DA3"/>
    <w:rsid w:val="096D58B6"/>
    <w:rsid w:val="09722BAD"/>
    <w:rsid w:val="099866AB"/>
    <w:rsid w:val="099B5DB6"/>
    <w:rsid w:val="09D11FA7"/>
    <w:rsid w:val="09D9119E"/>
    <w:rsid w:val="09ED4C49"/>
    <w:rsid w:val="09F4665F"/>
    <w:rsid w:val="0A0D599C"/>
    <w:rsid w:val="0A132C02"/>
    <w:rsid w:val="0A195A3E"/>
    <w:rsid w:val="0A1D552E"/>
    <w:rsid w:val="0A5208A3"/>
    <w:rsid w:val="0A5E16A3"/>
    <w:rsid w:val="0A6A0048"/>
    <w:rsid w:val="0A7E5C10"/>
    <w:rsid w:val="0A7F353D"/>
    <w:rsid w:val="0A8416D7"/>
    <w:rsid w:val="0A9775A4"/>
    <w:rsid w:val="0AA6723F"/>
    <w:rsid w:val="0AB102B4"/>
    <w:rsid w:val="0AB94B2B"/>
    <w:rsid w:val="0AD66DD2"/>
    <w:rsid w:val="0B02777B"/>
    <w:rsid w:val="0B0F7E1C"/>
    <w:rsid w:val="0B12641E"/>
    <w:rsid w:val="0B142C65"/>
    <w:rsid w:val="0B1701D0"/>
    <w:rsid w:val="0B2052EA"/>
    <w:rsid w:val="0B6902FF"/>
    <w:rsid w:val="0B6F3378"/>
    <w:rsid w:val="0B8E420A"/>
    <w:rsid w:val="0BA70938"/>
    <w:rsid w:val="0BA7221E"/>
    <w:rsid w:val="0BA90513"/>
    <w:rsid w:val="0BBC16CE"/>
    <w:rsid w:val="0BD240F7"/>
    <w:rsid w:val="0BE34556"/>
    <w:rsid w:val="0C0339AC"/>
    <w:rsid w:val="0C234952"/>
    <w:rsid w:val="0C286ADE"/>
    <w:rsid w:val="0C48260B"/>
    <w:rsid w:val="0C4C68DA"/>
    <w:rsid w:val="0C811679"/>
    <w:rsid w:val="0C906A8E"/>
    <w:rsid w:val="0CB30325"/>
    <w:rsid w:val="0D1A55C5"/>
    <w:rsid w:val="0D4728C2"/>
    <w:rsid w:val="0D570D57"/>
    <w:rsid w:val="0D730E39"/>
    <w:rsid w:val="0DA13D0F"/>
    <w:rsid w:val="0DBB7B04"/>
    <w:rsid w:val="0DCE6B40"/>
    <w:rsid w:val="0DD57ECE"/>
    <w:rsid w:val="0DF4226C"/>
    <w:rsid w:val="0E3275FA"/>
    <w:rsid w:val="0E3C6461"/>
    <w:rsid w:val="0E611762"/>
    <w:rsid w:val="0E7A79B4"/>
    <w:rsid w:val="0E841175"/>
    <w:rsid w:val="0E922FED"/>
    <w:rsid w:val="0E9E6512"/>
    <w:rsid w:val="0EB65753"/>
    <w:rsid w:val="0EDD34DE"/>
    <w:rsid w:val="0F2C086B"/>
    <w:rsid w:val="0F690D95"/>
    <w:rsid w:val="0F69741B"/>
    <w:rsid w:val="0F8D2FB7"/>
    <w:rsid w:val="0F9A13CF"/>
    <w:rsid w:val="0FB221DD"/>
    <w:rsid w:val="0FDC3796"/>
    <w:rsid w:val="100245DF"/>
    <w:rsid w:val="102F6212"/>
    <w:rsid w:val="10396061"/>
    <w:rsid w:val="10484824"/>
    <w:rsid w:val="10532640"/>
    <w:rsid w:val="106F18A1"/>
    <w:rsid w:val="10716446"/>
    <w:rsid w:val="107E484D"/>
    <w:rsid w:val="108C58F8"/>
    <w:rsid w:val="10BE10ED"/>
    <w:rsid w:val="10EE35F0"/>
    <w:rsid w:val="10F06CFB"/>
    <w:rsid w:val="10FD7E68"/>
    <w:rsid w:val="11077D03"/>
    <w:rsid w:val="11245B17"/>
    <w:rsid w:val="11494E5B"/>
    <w:rsid w:val="11A025A1"/>
    <w:rsid w:val="11EC74CE"/>
    <w:rsid w:val="11F8418B"/>
    <w:rsid w:val="12170AB5"/>
    <w:rsid w:val="12231F7B"/>
    <w:rsid w:val="12260CF8"/>
    <w:rsid w:val="12274A70"/>
    <w:rsid w:val="12753A2E"/>
    <w:rsid w:val="12891287"/>
    <w:rsid w:val="12B44556"/>
    <w:rsid w:val="12E27315"/>
    <w:rsid w:val="12E36BE9"/>
    <w:rsid w:val="12E4261A"/>
    <w:rsid w:val="131119A8"/>
    <w:rsid w:val="132F0080"/>
    <w:rsid w:val="13622204"/>
    <w:rsid w:val="13763F01"/>
    <w:rsid w:val="139E0D62"/>
    <w:rsid w:val="13C92110"/>
    <w:rsid w:val="13CA0C15"/>
    <w:rsid w:val="13CB0E42"/>
    <w:rsid w:val="13D80FD4"/>
    <w:rsid w:val="13D831EB"/>
    <w:rsid w:val="13F26B37"/>
    <w:rsid w:val="14272090"/>
    <w:rsid w:val="142F28B9"/>
    <w:rsid w:val="1437543F"/>
    <w:rsid w:val="144C07BE"/>
    <w:rsid w:val="149503B7"/>
    <w:rsid w:val="14B940A6"/>
    <w:rsid w:val="14CD18FF"/>
    <w:rsid w:val="14EE5BA3"/>
    <w:rsid w:val="14FC7600"/>
    <w:rsid w:val="15075FE0"/>
    <w:rsid w:val="15115C90"/>
    <w:rsid w:val="152666C9"/>
    <w:rsid w:val="15556D25"/>
    <w:rsid w:val="1562215A"/>
    <w:rsid w:val="15656587"/>
    <w:rsid w:val="15791A87"/>
    <w:rsid w:val="159003E0"/>
    <w:rsid w:val="159067CF"/>
    <w:rsid w:val="159B0A52"/>
    <w:rsid w:val="15B605E5"/>
    <w:rsid w:val="15BF5E22"/>
    <w:rsid w:val="161A6DC6"/>
    <w:rsid w:val="16290DB7"/>
    <w:rsid w:val="165F2A2B"/>
    <w:rsid w:val="167D1103"/>
    <w:rsid w:val="16914446"/>
    <w:rsid w:val="16DC22CD"/>
    <w:rsid w:val="17343EB7"/>
    <w:rsid w:val="173B6FF4"/>
    <w:rsid w:val="173D7210"/>
    <w:rsid w:val="174C7D70"/>
    <w:rsid w:val="176A5B2B"/>
    <w:rsid w:val="176C3651"/>
    <w:rsid w:val="178169D1"/>
    <w:rsid w:val="179761F4"/>
    <w:rsid w:val="17997093"/>
    <w:rsid w:val="17A41187"/>
    <w:rsid w:val="17AF79E2"/>
    <w:rsid w:val="17B02C67"/>
    <w:rsid w:val="17B703B8"/>
    <w:rsid w:val="18003D99"/>
    <w:rsid w:val="18095344"/>
    <w:rsid w:val="180A71E8"/>
    <w:rsid w:val="182201B4"/>
    <w:rsid w:val="18B14CEE"/>
    <w:rsid w:val="18F54C3F"/>
    <w:rsid w:val="19460320"/>
    <w:rsid w:val="19520625"/>
    <w:rsid w:val="1988673C"/>
    <w:rsid w:val="198B0CFD"/>
    <w:rsid w:val="19B90B8D"/>
    <w:rsid w:val="19D1065C"/>
    <w:rsid w:val="19ED4211"/>
    <w:rsid w:val="1A002777"/>
    <w:rsid w:val="1A147EE2"/>
    <w:rsid w:val="1A1F2BFD"/>
    <w:rsid w:val="1A622AE9"/>
    <w:rsid w:val="1A7E359D"/>
    <w:rsid w:val="1A9F1ABC"/>
    <w:rsid w:val="1AA2738A"/>
    <w:rsid w:val="1AB71C66"/>
    <w:rsid w:val="1AB74548"/>
    <w:rsid w:val="1AC217DA"/>
    <w:rsid w:val="1ADC0AEE"/>
    <w:rsid w:val="1ADF35D3"/>
    <w:rsid w:val="1B065B6B"/>
    <w:rsid w:val="1B0E4A1F"/>
    <w:rsid w:val="1B102545"/>
    <w:rsid w:val="1B292529"/>
    <w:rsid w:val="1B2B737F"/>
    <w:rsid w:val="1B562D46"/>
    <w:rsid w:val="1B650AE3"/>
    <w:rsid w:val="1B8E14CA"/>
    <w:rsid w:val="1B9118D8"/>
    <w:rsid w:val="1B9D1953"/>
    <w:rsid w:val="1BBF22C7"/>
    <w:rsid w:val="1BF956CF"/>
    <w:rsid w:val="1C2A57DB"/>
    <w:rsid w:val="1C580648"/>
    <w:rsid w:val="1C6E7E6B"/>
    <w:rsid w:val="1C773B75"/>
    <w:rsid w:val="1C8A6328"/>
    <w:rsid w:val="1CA607B0"/>
    <w:rsid w:val="1CBA4E5F"/>
    <w:rsid w:val="1CCC3CB4"/>
    <w:rsid w:val="1D061E52"/>
    <w:rsid w:val="1D5521F6"/>
    <w:rsid w:val="1D7229AB"/>
    <w:rsid w:val="1DA43419"/>
    <w:rsid w:val="1DAD6772"/>
    <w:rsid w:val="1DC85359"/>
    <w:rsid w:val="1DCE6769"/>
    <w:rsid w:val="1DFC5003"/>
    <w:rsid w:val="1E0B4052"/>
    <w:rsid w:val="1E1B4CDD"/>
    <w:rsid w:val="1E5D6DF0"/>
    <w:rsid w:val="1E6275A6"/>
    <w:rsid w:val="1E8E65A3"/>
    <w:rsid w:val="1EA2204E"/>
    <w:rsid w:val="1EB853CE"/>
    <w:rsid w:val="1EBD4792"/>
    <w:rsid w:val="1EDF0BAD"/>
    <w:rsid w:val="1EFC6F04"/>
    <w:rsid w:val="1F10520A"/>
    <w:rsid w:val="1F173173"/>
    <w:rsid w:val="1F413615"/>
    <w:rsid w:val="1F7A08D5"/>
    <w:rsid w:val="1F9F184A"/>
    <w:rsid w:val="1FA311D8"/>
    <w:rsid w:val="1FE33510"/>
    <w:rsid w:val="1FF138F3"/>
    <w:rsid w:val="20000DDB"/>
    <w:rsid w:val="20085EE1"/>
    <w:rsid w:val="201F0369"/>
    <w:rsid w:val="20214D6D"/>
    <w:rsid w:val="202D1DEC"/>
    <w:rsid w:val="206267A9"/>
    <w:rsid w:val="2073668D"/>
    <w:rsid w:val="209459C7"/>
    <w:rsid w:val="20C47AB6"/>
    <w:rsid w:val="20D12777"/>
    <w:rsid w:val="20E87786"/>
    <w:rsid w:val="20F3037C"/>
    <w:rsid w:val="210F504D"/>
    <w:rsid w:val="21115269"/>
    <w:rsid w:val="211F146D"/>
    <w:rsid w:val="212705E9"/>
    <w:rsid w:val="215533A8"/>
    <w:rsid w:val="215A6C10"/>
    <w:rsid w:val="215C64E4"/>
    <w:rsid w:val="216F387E"/>
    <w:rsid w:val="217C6B87"/>
    <w:rsid w:val="21F64047"/>
    <w:rsid w:val="21F97091"/>
    <w:rsid w:val="21FC6E36"/>
    <w:rsid w:val="22194776"/>
    <w:rsid w:val="222B4109"/>
    <w:rsid w:val="2288155B"/>
    <w:rsid w:val="22AF6AE8"/>
    <w:rsid w:val="22B37BD1"/>
    <w:rsid w:val="22FD3F17"/>
    <w:rsid w:val="23276F6B"/>
    <w:rsid w:val="23327085"/>
    <w:rsid w:val="23666F8B"/>
    <w:rsid w:val="23BC51DC"/>
    <w:rsid w:val="23C40371"/>
    <w:rsid w:val="23FC5D5D"/>
    <w:rsid w:val="24310343"/>
    <w:rsid w:val="24315E72"/>
    <w:rsid w:val="2492221D"/>
    <w:rsid w:val="249D6605"/>
    <w:rsid w:val="24A23F53"/>
    <w:rsid w:val="24BC729A"/>
    <w:rsid w:val="24CF4E40"/>
    <w:rsid w:val="24D02EC6"/>
    <w:rsid w:val="24D4160B"/>
    <w:rsid w:val="24D80578"/>
    <w:rsid w:val="24F3203F"/>
    <w:rsid w:val="250017D3"/>
    <w:rsid w:val="250A7500"/>
    <w:rsid w:val="250C0222"/>
    <w:rsid w:val="250F7D12"/>
    <w:rsid w:val="25300011"/>
    <w:rsid w:val="25357778"/>
    <w:rsid w:val="254E4396"/>
    <w:rsid w:val="255E3530"/>
    <w:rsid w:val="25662653"/>
    <w:rsid w:val="257B0F03"/>
    <w:rsid w:val="25822292"/>
    <w:rsid w:val="25892045"/>
    <w:rsid w:val="25A8619C"/>
    <w:rsid w:val="25C41F97"/>
    <w:rsid w:val="25CB2DFC"/>
    <w:rsid w:val="25ED13B5"/>
    <w:rsid w:val="25F5515A"/>
    <w:rsid w:val="260627D7"/>
    <w:rsid w:val="26306192"/>
    <w:rsid w:val="26346845"/>
    <w:rsid w:val="26431A21"/>
    <w:rsid w:val="26630315"/>
    <w:rsid w:val="2682244A"/>
    <w:rsid w:val="26921DB6"/>
    <w:rsid w:val="2692658A"/>
    <w:rsid w:val="26BE554B"/>
    <w:rsid w:val="26D11357"/>
    <w:rsid w:val="26F50534"/>
    <w:rsid w:val="26F70A5D"/>
    <w:rsid w:val="27343A60"/>
    <w:rsid w:val="27427F2B"/>
    <w:rsid w:val="27656BD3"/>
    <w:rsid w:val="277125BE"/>
    <w:rsid w:val="2778394C"/>
    <w:rsid w:val="279462AC"/>
    <w:rsid w:val="279664C8"/>
    <w:rsid w:val="27B020D6"/>
    <w:rsid w:val="27C9064C"/>
    <w:rsid w:val="27D94A95"/>
    <w:rsid w:val="27E62FAC"/>
    <w:rsid w:val="27EC7E96"/>
    <w:rsid w:val="27F8683B"/>
    <w:rsid w:val="28072F22"/>
    <w:rsid w:val="284321AC"/>
    <w:rsid w:val="284B2E0F"/>
    <w:rsid w:val="289B1FE8"/>
    <w:rsid w:val="28BD14A1"/>
    <w:rsid w:val="28F6721F"/>
    <w:rsid w:val="290C37E4"/>
    <w:rsid w:val="290F208E"/>
    <w:rsid w:val="292F4CB1"/>
    <w:rsid w:val="29312005"/>
    <w:rsid w:val="29334996"/>
    <w:rsid w:val="29764B01"/>
    <w:rsid w:val="29B72B6A"/>
    <w:rsid w:val="29E17ECF"/>
    <w:rsid w:val="29E906EA"/>
    <w:rsid w:val="29EA6A0F"/>
    <w:rsid w:val="29F91705"/>
    <w:rsid w:val="2A2F0C46"/>
    <w:rsid w:val="2A3909A4"/>
    <w:rsid w:val="2A9203F3"/>
    <w:rsid w:val="2AAB5DE7"/>
    <w:rsid w:val="2AAD6003"/>
    <w:rsid w:val="2AD56304"/>
    <w:rsid w:val="2AEA4D93"/>
    <w:rsid w:val="2B147E30"/>
    <w:rsid w:val="2B1716CE"/>
    <w:rsid w:val="2BC762AD"/>
    <w:rsid w:val="2BCD2AAD"/>
    <w:rsid w:val="2BFF1748"/>
    <w:rsid w:val="2C0B1E83"/>
    <w:rsid w:val="2C4B5AD3"/>
    <w:rsid w:val="2C5129BE"/>
    <w:rsid w:val="2C773CBA"/>
    <w:rsid w:val="2C8763E0"/>
    <w:rsid w:val="2D14247A"/>
    <w:rsid w:val="2D216834"/>
    <w:rsid w:val="2D2C6AE7"/>
    <w:rsid w:val="2D376058"/>
    <w:rsid w:val="2D5D45F0"/>
    <w:rsid w:val="2D6D3585"/>
    <w:rsid w:val="2D76766D"/>
    <w:rsid w:val="2DC11601"/>
    <w:rsid w:val="2DCD6C93"/>
    <w:rsid w:val="2DF92ABE"/>
    <w:rsid w:val="2E156F36"/>
    <w:rsid w:val="2E164734"/>
    <w:rsid w:val="2E1C62DE"/>
    <w:rsid w:val="2E310CF9"/>
    <w:rsid w:val="2E33681F"/>
    <w:rsid w:val="2E400F3C"/>
    <w:rsid w:val="2E461D92"/>
    <w:rsid w:val="2E4647A4"/>
    <w:rsid w:val="2E840E29"/>
    <w:rsid w:val="2EB711FE"/>
    <w:rsid w:val="2ED819EA"/>
    <w:rsid w:val="2EE93382"/>
    <w:rsid w:val="2EF138F6"/>
    <w:rsid w:val="2EFE6E2D"/>
    <w:rsid w:val="2F193C67"/>
    <w:rsid w:val="2F4607D4"/>
    <w:rsid w:val="2F724E1B"/>
    <w:rsid w:val="2F7B047E"/>
    <w:rsid w:val="2F833C5E"/>
    <w:rsid w:val="2FB469E6"/>
    <w:rsid w:val="2FB949C1"/>
    <w:rsid w:val="2FBD64EA"/>
    <w:rsid w:val="2FC11E96"/>
    <w:rsid w:val="2FCF5A97"/>
    <w:rsid w:val="2FD75E83"/>
    <w:rsid w:val="2FDB3386"/>
    <w:rsid w:val="2FFB21B0"/>
    <w:rsid w:val="2FFB59E2"/>
    <w:rsid w:val="2FFB65C8"/>
    <w:rsid w:val="30093CDB"/>
    <w:rsid w:val="301914A6"/>
    <w:rsid w:val="30364187"/>
    <w:rsid w:val="304B698A"/>
    <w:rsid w:val="304C5242"/>
    <w:rsid w:val="308116A8"/>
    <w:rsid w:val="308B0396"/>
    <w:rsid w:val="30A654E7"/>
    <w:rsid w:val="30AA01AA"/>
    <w:rsid w:val="30DF7E9D"/>
    <w:rsid w:val="30FF6E8C"/>
    <w:rsid w:val="31061FC9"/>
    <w:rsid w:val="310B3A83"/>
    <w:rsid w:val="31295CB7"/>
    <w:rsid w:val="318E33F4"/>
    <w:rsid w:val="31973569"/>
    <w:rsid w:val="319B3A77"/>
    <w:rsid w:val="31A977AF"/>
    <w:rsid w:val="31DC0F7C"/>
    <w:rsid w:val="31DF4222"/>
    <w:rsid w:val="31F84007"/>
    <w:rsid w:val="320F4EAD"/>
    <w:rsid w:val="321C75CA"/>
    <w:rsid w:val="322016E5"/>
    <w:rsid w:val="32274393"/>
    <w:rsid w:val="32464C31"/>
    <w:rsid w:val="328A6C2A"/>
    <w:rsid w:val="32BF68D3"/>
    <w:rsid w:val="32CE5FFF"/>
    <w:rsid w:val="331663BC"/>
    <w:rsid w:val="331D54C4"/>
    <w:rsid w:val="33275C00"/>
    <w:rsid w:val="332A3FF9"/>
    <w:rsid w:val="332E54B8"/>
    <w:rsid w:val="336863E2"/>
    <w:rsid w:val="336E7E90"/>
    <w:rsid w:val="33896B7B"/>
    <w:rsid w:val="33BE6B8B"/>
    <w:rsid w:val="33C42A96"/>
    <w:rsid w:val="33D14FE5"/>
    <w:rsid w:val="34180991"/>
    <w:rsid w:val="342675DA"/>
    <w:rsid w:val="344C4197"/>
    <w:rsid w:val="34692F9B"/>
    <w:rsid w:val="34A73AC3"/>
    <w:rsid w:val="34BB131C"/>
    <w:rsid w:val="34BD6DB1"/>
    <w:rsid w:val="34DF325D"/>
    <w:rsid w:val="34E268A9"/>
    <w:rsid w:val="35186426"/>
    <w:rsid w:val="35332F50"/>
    <w:rsid w:val="35405A6D"/>
    <w:rsid w:val="35410D7F"/>
    <w:rsid w:val="35611EC4"/>
    <w:rsid w:val="357A3683"/>
    <w:rsid w:val="35926521"/>
    <w:rsid w:val="359B1A8F"/>
    <w:rsid w:val="35E36E11"/>
    <w:rsid w:val="360F6088"/>
    <w:rsid w:val="363B2715"/>
    <w:rsid w:val="3643781B"/>
    <w:rsid w:val="366844DD"/>
    <w:rsid w:val="367774C5"/>
    <w:rsid w:val="368F4369"/>
    <w:rsid w:val="369D4959"/>
    <w:rsid w:val="36A24542"/>
    <w:rsid w:val="36B6732D"/>
    <w:rsid w:val="36CD5D80"/>
    <w:rsid w:val="36EA7C97"/>
    <w:rsid w:val="36F154C9"/>
    <w:rsid w:val="36F87E3A"/>
    <w:rsid w:val="370B53AB"/>
    <w:rsid w:val="370C40B1"/>
    <w:rsid w:val="37180CA8"/>
    <w:rsid w:val="37585269"/>
    <w:rsid w:val="375F6461"/>
    <w:rsid w:val="37735EDE"/>
    <w:rsid w:val="378C0D4E"/>
    <w:rsid w:val="37CC4789"/>
    <w:rsid w:val="380134EA"/>
    <w:rsid w:val="381416F6"/>
    <w:rsid w:val="381766DF"/>
    <w:rsid w:val="381D37E3"/>
    <w:rsid w:val="38206D21"/>
    <w:rsid w:val="38237F71"/>
    <w:rsid w:val="387758ED"/>
    <w:rsid w:val="388F4F9A"/>
    <w:rsid w:val="38983E4E"/>
    <w:rsid w:val="389E6F8B"/>
    <w:rsid w:val="38A21551"/>
    <w:rsid w:val="38AA254B"/>
    <w:rsid w:val="38B870EE"/>
    <w:rsid w:val="38DE1045"/>
    <w:rsid w:val="38E83456"/>
    <w:rsid w:val="38E8793A"/>
    <w:rsid w:val="38F207D6"/>
    <w:rsid w:val="39047736"/>
    <w:rsid w:val="39055B7B"/>
    <w:rsid w:val="394878BA"/>
    <w:rsid w:val="39665CFB"/>
    <w:rsid w:val="39774BE5"/>
    <w:rsid w:val="39AB7BB1"/>
    <w:rsid w:val="39E7758D"/>
    <w:rsid w:val="3A0B4AF4"/>
    <w:rsid w:val="3A2703B8"/>
    <w:rsid w:val="3A4849AC"/>
    <w:rsid w:val="3A96260F"/>
    <w:rsid w:val="3AD27DBE"/>
    <w:rsid w:val="3B1D6ED4"/>
    <w:rsid w:val="3B356BB3"/>
    <w:rsid w:val="3B6C3370"/>
    <w:rsid w:val="3BC26F2B"/>
    <w:rsid w:val="3BE249DC"/>
    <w:rsid w:val="3BEB0A5B"/>
    <w:rsid w:val="3C0B4937"/>
    <w:rsid w:val="3C2B4FD9"/>
    <w:rsid w:val="3C413199"/>
    <w:rsid w:val="3C840AC1"/>
    <w:rsid w:val="3CCE73A0"/>
    <w:rsid w:val="3D4E0F7F"/>
    <w:rsid w:val="3D5567B2"/>
    <w:rsid w:val="3D581FDD"/>
    <w:rsid w:val="3D6953E6"/>
    <w:rsid w:val="3D871C18"/>
    <w:rsid w:val="3DB64D77"/>
    <w:rsid w:val="3E330175"/>
    <w:rsid w:val="3E45142F"/>
    <w:rsid w:val="3E491EE2"/>
    <w:rsid w:val="3E4D56DB"/>
    <w:rsid w:val="3E546085"/>
    <w:rsid w:val="3E6C3FB1"/>
    <w:rsid w:val="3E907DE5"/>
    <w:rsid w:val="3E9C21BE"/>
    <w:rsid w:val="3EAD386D"/>
    <w:rsid w:val="3EBC5C47"/>
    <w:rsid w:val="3EFD0EAF"/>
    <w:rsid w:val="3F4C7224"/>
    <w:rsid w:val="3F562C73"/>
    <w:rsid w:val="3F5B25CD"/>
    <w:rsid w:val="3F8E5FAB"/>
    <w:rsid w:val="3F93536F"/>
    <w:rsid w:val="3FA94B93"/>
    <w:rsid w:val="3FBA180C"/>
    <w:rsid w:val="3FF02E6C"/>
    <w:rsid w:val="40152228"/>
    <w:rsid w:val="40297018"/>
    <w:rsid w:val="403C232E"/>
    <w:rsid w:val="40775164"/>
    <w:rsid w:val="408C5CB5"/>
    <w:rsid w:val="40A520DC"/>
    <w:rsid w:val="40AB3D1E"/>
    <w:rsid w:val="40C759A1"/>
    <w:rsid w:val="40F628BD"/>
    <w:rsid w:val="4105779B"/>
    <w:rsid w:val="415E375B"/>
    <w:rsid w:val="41860E7F"/>
    <w:rsid w:val="41883195"/>
    <w:rsid w:val="419B2D95"/>
    <w:rsid w:val="41A41AB6"/>
    <w:rsid w:val="41AA378E"/>
    <w:rsid w:val="41BD66D4"/>
    <w:rsid w:val="41BF5AC3"/>
    <w:rsid w:val="41CF00BD"/>
    <w:rsid w:val="41EB2280"/>
    <w:rsid w:val="42220C2D"/>
    <w:rsid w:val="42274495"/>
    <w:rsid w:val="42593699"/>
    <w:rsid w:val="42644DA1"/>
    <w:rsid w:val="42957651"/>
    <w:rsid w:val="42BF647C"/>
    <w:rsid w:val="42CD2946"/>
    <w:rsid w:val="42E67EAC"/>
    <w:rsid w:val="43040332"/>
    <w:rsid w:val="4352109E"/>
    <w:rsid w:val="436540BC"/>
    <w:rsid w:val="4383232B"/>
    <w:rsid w:val="43C37F4D"/>
    <w:rsid w:val="43D1148C"/>
    <w:rsid w:val="43FF1225"/>
    <w:rsid w:val="4439400C"/>
    <w:rsid w:val="446E63AB"/>
    <w:rsid w:val="44985B95"/>
    <w:rsid w:val="44AB4E4A"/>
    <w:rsid w:val="44BA5787"/>
    <w:rsid w:val="44CD2313"/>
    <w:rsid w:val="44E126D9"/>
    <w:rsid w:val="44EE129A"/>
    <w:rsid w:val="44F52628"/>
    <w:rsid w:val="44FE3761"/>
    <w:rsid w:val="452C65EB"/>
    <w:rsid w:val="4545019F"/>
    <w:rsid w:val="45634690"/>
    <w:rsid w:val="45AB6285"/>
    <w:rsid w:val="45B778DE"/>
    <w:rsid w:val="45C77069"/>
    <w:rsid w:val="45EC0586"/>
    <w:rsid w:val="45EC57D9"/>
    <w:rsid w:val="45F7403B"/>
    <w:rsid w:val="461865CE"/>
    <w:rsid w:val="46607F75"/>
    <w:rsid w:val="467900B5"/>
    <w:rsid w:val="467A1565"/>
    <w:rsid w:val="46993966"/>
    <w:rsid w:val="46AC6699"/>
    <w:rsid w:val="46DE034C"/>
    <w:rsid w:val="46E21AF1"/>
    <w:rsid w:val="46FF5F7D"/>
    <w:rsid w:val="471D4447"/>
    <w:rsid w:val="471E5E67"/>
    <w:rsid w:val="471F398D"/>
    <w:rsid w:val="47237426"/>
    <w:rsid w:val="472F1E22"/>
    <w:rsid w:val="473D50BB"/>
    <w:rsid w:val="475C073D"/>
    <w:rsid w:val="4792090F"/>
    <w:rsid w:val="47B9793D"/>
    <w:rsid w:val="47C97875"/>
    <w:rsid w:val="47E80223"/>
    <w:rsid w:val="47F24BFD"/>
    <w:rsid w:val="48272AF9"/>
    <w:rsid w:val="482A083B"/>
    <w:rsid w:val="482A4397"/>
    <w:rsid w:val="482B7945"/>
    <w:rsid w:val="48463005"/>
    <w:rsid w:val="484957E5"/>
    <w:rsid w:val="484D62D8"/>
    <w:rsid w:val="48510941"/>
    <w:rsid w:val="48987CCA"/>
    <w:rsid w:val="48C90054"/>
    <w:rsid w:val="48CB3DCC"/>
    <w:rsid w:val="48CC76AD"/>
    <w:rsid w:val="48D20804"/>
    <w:rsid w:val="48D9385D"/>
    <w:rsid w:val="48FE059C"/>
    <w:rsid w:val="49025314"/>
    <w:rsid w:val="490715C7"/>
    <w:rsid w:val="490824AF"/>
    <w:rsid w:val="490E6CFE"/>
    <w:rsid w:val="49186E7B"/>
    <w:rsid w:val="491F5EC6"/>
    <w:rsid w:val="493200B5"/>
    <w:rsid w:val="49544DDA"/>
    <w:rsid w:val="49634005"/>
    <w:rsid w:val="49873D78"/>
    <w:rsid w:val="49957F36"/>
    <w:rsid w:val="49CB411B"/>
    <w:rsid w:val="49D87946"/>
    <w:rsid w:val="4A0C644A"/>
    <w:rsid w:val="4A331C29"/>
    <w:rsid w:val="4A71122D"/>
    <w:rsid w:val="4A7B712C"/>
    <w:rsid w:val="4A7D2EA4"/>
    <w:rsid w:val="4A850578"/>
    <w:rsid w:val="4ABD5996"/>
    <w:rsid w:val="4B012421"/>
    <w:rsid w:val="4B2A6756"/>
    <w:rsid w:val="4B427C4A"/>
    <w:rsid w:val="4B7C5B59"/>
    <w:rsid w:val="4BAD7F94"/>
    <w:rsid w:val="4BEF1B80"/>
    <w:rsid w:val="4BF66D16"/>
    <w:rsid w:val="4BFF3076"/>
    <w:rsid w:val="4C013661"/>
    <w:rsid w:val="4C404189"/>
    <w:rsid w:val="4C76404F"/>
    <w:rsid w:val="4C770EE0"/>
    <w:rsid w:val="4C877251"/>
    <w:rsid w:val="4CA62F95"/>
    <w:rsid w:val="4CA75899"/>
    <w:rsid w:val="4CC76658"/>
    <w:rsid w:val="4CE90CC5"/>
    <w:rsid w:val="4D007DBC"/>
    <w:rsid w:val="4D1D44CA"/>
    <w:rsid w:val="4D2F0C57"/>
    <w:rsid w:val="4D592F3E"/>
    <w:rsid w:val="4D7C592E"/>
    <w:rsid w:val="4D8D78A2"/>
    <w:rsid w:val="4E0336C0"/>
    <w:rsid w:val="4E2D1E50"/>
    <w:rsid w:val="4E5E7C38"/>
    <w:rsid w:val="4E802F63"/>
    <w:rsid w:val="4EDF0059"/>
    <w:rsid w:val="4F1813ED"/>
    <w:rsid w:val="4F18319B"/>
    <w:rsid w:val="4F1F277C"/>
    <w:rsid w:val="4F3F2261"/>
    <w:rsid w:val="4F695058"/>
    <w:rsid w:val="4F881CBE"/>
    <w:rsid w:val="4F8E5013"/>
    <w:rsid w:val="4FA2515B"/>
    <w:rsid w:val="4FA74FBE"/>
    <w:rsid w:val="4FAA0544"/>
    <w:rsid w:val="4FB5460B"/>
    <w:rsid w:val="4FB95C10"/>
    <w:rsid w:val="4FD73056"/>
    <w:rsid w:val="4FF260E2"/>
    <w:rsid w:val="501716A5"/>
    <w:rsid w:val="5031555A"/>
    <w:rsid w:val="5033225E"/>
    <w:rsid w:val="5089443B"/>
    <w:rsid w:val="50A0343B"/>
    <w:rsid w:val="50B9275C"/>
    <w:rsid w:val="50F11EF6"/>
    <w:rsid w:val="50F84447"/>
    <w:rsid w:val="50FA67BE"/>
    <w:rsid w:val="51165E00"/>
    <w:rsid w:val="51290650"/>
    <w:rsid w:val="516A3CD7"/>
    <w:rsid w:val="51714DE5"/>
    <w:rsid w:val="51807CAB"/>
    <w:rsid w:val="518E3BE9"/>
    <w:rsid w:val="51AA0864"/>
    <w:rsid w:val="51C13FBE"/>
    <w:rsid w:val="51C555A8"/>
    <w:rsid w:val="51D451AA"/>
    <w:rsid w:val="51D6733E"/>
    <w:rsid w:val="51DA0BDC"/>
    <w:rsid w:val="51DC2D2C"/>
    <w:rsid w:val="51E67581"/>
    <w:rsid w:val="51F00DC5"/>
    <w:rsid w:val="52224331"/>
    <w:rsid w:val="5248023B"/>
    <w:rsid w:val="52552958"/>
    <w:rsid w:val="52770B21"/>
    <w:rsid w:val="527D55D2"/>
    <w:rsid w:val="52B007B9"/>
    <w:rsid w:val="52D64513"/>
    <w:rsid w:val="52DA300A"/>
    <w:rsid w:val="52FB3500"/>
    <w:rsid w:val="53430A03"/>
    <w:rsid w:val="535F0922"/>
    <w:rsid w:val="536A0225"/>
    <w:rsid w:val="536A69FF"/>
    <w:rsid w:val="5371731E"/>
    <w:rsid w:val="53B536AF"/>
    <w:rsid w:val="53C87AB4"/>
    <w:rsid w:val="53E350D7"/>
    <w:rsid w:val="53F51078"/>
    <w:rsid w:val="53FD1E0E"/>
    <w:rsid w:val="53FE2631"/>
    <w:rsid w:val="5415414D"/>
    <w:rsid w:val="54181E8F"/>
    <w:rsid w:val="54222AE8"/>
    <w:rsid w:val="54300D0E"/>
    <w:rsid w:val="54443771"/>
    <w:rsid w:val="545F186C"/>
    <w:rsid w:val="54774B15"/>
    <w:rsid w:val="54965FEE"/>
    <w:rsid w:val="54CF3319"/>
    <w:rsid w:val="54D67D81"/>
    <w:rsid w:val="54E2477F"/>
    <w:rsid w:val="54F14BBA"/>
    <w:rsid w:val="55020B76"/>
    <w:rsid w:val="550C37A2"/>
    <w:rsid w:val="5527238A"/>
    <w:rsid w:val="553C597C"/>
    <w:rsid w:val="553E76D4"/>
    <w:rsid w:val="554E2032"/>
    <w:rsid w:val="555B1850"/>
    <w:rsid w:val="55713605"/>
    <w:rsid w:val="55835564"/>
    <w:rsid w:val="55D911AB"/>
    <w:rsid w:val="55F61D5C"/>
    <w:rsid w:val="55FC45E5"/>
    <w:rsid w:val="560B5C16"/>
    <w:rsid w:val="56140F95"/>
    <w:rsid w:val="56336B0D"/>
    <w:rsid w:val="566B62A7"/>
    <w:rsid w:val="569D5B8C"/>
    <w:rsid w:val="56A1616C"/>
    <w:rsid w:val="56B00CFF"/>
    <w:rsid w:val="56B7773E"/>
    <w:rsid w:val="56D4209E"/>
    <w:rsid w:val="56D50407"/>
    <w:rsid w:val="56F75919"/>
    <w:rsid w:val="57080108"/>
    <w:rsid w:val="571526B6"/>
    <w:rsid w:val="57566F57"/>
    <w:rsid w:val="576A00F7"/>
    <w:rsid w:val="57BD2FDD"/>
    <w:rsid w:val="57E722A5"/>
    <w:rsid w:val="57EB1A3F"/>
    <w:rsid w:val="57FE3212"/>
    <w:rsid w:val="581F1A3E"/>
    <w:rsid w:val="585D60C3"/>
    <w:rsid w:val="586C18FB"/>
    <w:rsid w:val="58733A7A"/>
    <w:rsid w:val="588C42EE"/>
    <w:rsid w:val="58921AD3"/>
    <w:rsid w:val="589E5122"/>
    <w:rsid w:val="58D863B1"/>
    <w:rsid w:val="59202368"/>
    <w:rsid w:val="597D266E"/>
    <w:rsid w:val="599571C7"/>
    <w:rsid w:val="59A75804"/>
    <w:rsid w:val="59C3464B"/>
    <w:rsid w:val="5A044F70"/>
    <w:rsid w:val="5A3B6E9F"/>
    <w:rsid w:val="5A722EBF"/>
    <w:rsid w:val="5A733899"/>
    <w:rsid w:val="5A8D6D3C"/>
    <w:rsid w:val="5AB60FB5"/>
    <w:rsid w:val="5AB7035F"/>
    <w:rsid w:val="5AD516E1"/>
    <w:rsid w:val="5AF167FB"/>
    <w:rsid w:val="5AF80325"/>
    <w:rsid w:val="5B136F0D"/>
    <w:rsid w:val="5B142584"/>
    <w:rsid w:val="5B17742B"/>
    <w:rsid w:val="5B21787C"/>
    <w:rsid w:val="5B2279C4"/>
    <w:rsid w:val="5B5368B6"/>
    <w:rsid w:val="5B9D0110"/>
    <w:rsid w:val="5BAE68A6"/>
    <w:rsid w:val="5BEF690A"/>
    <w:rsid w:val="5C11169E"/>
    <w:rsid w:val="5C1A7F9B"/>
    <w:rsid w:val="5C2237D6"/>
    <w:rsid w:val="5C2E6841"/>
    <w:rsid w:val="5C2F5FC8"/>
    <w:rsid w:val="5C3C3BB3"/>
    <w:rsid w:val="5C3F445D"/>
    <w:rsid w:val="5C4A4BB0"/>
    <w:rsid w:val="5C531CB7"/>
    <w:rsid w:val="5C5D48E3"/>
    <w:rsid w:val="5C837D51"/>
    <w:rsid w:val="5C8C04C4"/>
    <w:rsid w:val="5CB12E81"/>
    <w:rsid w:val="5CBA05C5"/>
    <w:rsid w:val="5CC93D27"/>
    <w:rsid w:val="5D1256CE"/>
    <w:rsid w:val="5D146B30"/>
    <w:rsid w:val="5D1941F1"/>
    <w:rsid w:val="5D64000C"/>
    <w:rsid w:val="5D8B5480"/>
    <w:rsid w:val="5DA2346C"/>
    <w:rsid w:val="5DA402F0"/>
    <w:rsid w:val="5DE056F6"/>
    <w:rsid w:val="5DEB1BAF"/>
    <w:rsid w:val="5E0D495D"/>
    <w:rsid w:val="5E7128C8"/>
    <w:rsid w:val="5E8C14B0"/>
    <w:rsid w:val="5E8F4030"/>
    <w:rsid w:val="5EAA7B88"/>
    <w:rsid w:val="5EBE53E1"/>
    <w:rsid w:val="5ED05841"/>
    <w:rsid w:val="5ED52E57"/>
    <w:rsid w:val="5ED74E21"/>
    <w:rsid w:val="5EFF1C82"/>
    <w:rsid w:val="5F0D0D75"/>
    <w:rsid w:val="5F103E8F"/>
    <w:rsid w:val="5F285AE4"/>
    <w:rsid w:val="5F49114F"/>
    <w:rsid w:val="5F4F0902"/>
    <w:rsid w:val="5F697A43"/>
    <w:rsid w:val="5F7268F8"/>
    <w:rsid w:val="5F772160"/>
    <w:rsid w:val="5F84250C"/>
    <w:rsid w:val="5FB8757D"/>
    <w:rsid w:val="5FCE1F6E"/>
    <w:rsid w:val="5FD24151"/>
    <w:rsid w:val="5FD6569A"/>
    <w:rsid w:val="5FEA14E8"/>
    <w:rsid w:val="5FEB0222"/>
    <w:rsid w:val="5FEC366F"/>
    <w:rsid w:val="5FF76B26"/>
    <w:rsid w:val="600532C8"/>
    <w:rsid w:val="6048574E"/>
    <w:rsid w:val="60602BF4"/>
    <w:rsid w:val="609D0439"/>
    <w:rsid w:val="60B46A9C"/>
    <w:rsid w:val="60D038C3"/>
    <w:rsid w:val="60D50685"/>
    <w:rsid w:val="610A2B60"/>
    <w:rsid w:val="611B4D6D"/>
    <w:rsid w:val="611C02B9"/>
    <w:rsid w:val="6142054C"/>
    <w:rsid w:val="61525E6D"/>
    <w:rsid w:val="61624365"/>
    <w:rsid w:val="61A134C4"/>
    <w:rsid w:val="61BF2FF3"/>
    <w:rsid w:val="61C266EB"/>
    <w:rsid w:val="620A1069"/>
    <w:rsid w:val="623868EA"/>
    <w:rsid w:val="624361DE"/>
    <w:rsid w:val="6247406C"/>
    <w:rsid w:val="62542EE7"/>
    <w:rsid w:val="62690F0D"/>
    <w:rsid w:val="62747A93"/>
    <w:rsid w:val="62A051EE"/>
    <w:rsid w:val="62A80882"/>
    <w:rsid w:val="62B334AF"/>
    <w:rsid w:val="62C27B96"/>
    <w:rsid w:val="62E418BB"/>
    <w:rsid w:val="62EB0043"/>
    <w:rsid w:val="63021D41"/>
    <w:rsid w:val="630C74C5"/>
    <w:rsid w:val="637B25C6"/>
    <w:rsid w:val="637C6DCD"/>
    <w:rsid w:val="639253E3"/>
    <w:rsid w:val="63A23524"/>
    <w:rsid w:val="63AF0B85"/>
    <w:rsid w:val="63CD05A1"/>
    <w:rsid w:val="63E10C3D"/>
    <w:rsid w:val="63ED479F"/>
    <w:rsid w:val="64305C3B"/>
    <w:rsid w:val="64834EB2"/>
    <w:rsid w:val="64A93FA0"/>
    <w:rsid w:val="64BD6867"/>
    <w:rsid w:val="64ED07CF"/>
    <w:rsid w:val="64F61D79"/>
    <w:rsid w:val="65017845"/>
    <w:rsid w:val="652007DD"/>
    <w:rsid w:val="65293EFC"/>
    <w:rsid w:val="65375636"/>
    <w:rsid w:val="654B50E5"/>
    <w:rsid w:val="65522FC6"/>
    <w:rsid w:val="656071F2"/>
    <w:rsid w:val="65784102"/>
    <w:rsid w:val="658630FD"/>
    <w:rsid w:val="65CA0A26"/>
    <w:rsid w:val="65CE23AE"/>
    <w:rsid w:val="65D11E9E"/>
    <w:rsid w:val="65E16A5E"/>
    <w:rsid w:val="65F53DDF"/>
    <w:rsid w:val="66030172"/>
    <w:rsid w:val="66100C18"/>
    <w:rsid w:val="661028BE"/>
    <w:rsid w:val="661D538C"/>
    <w:rsid w:val="663F505A"/>
    <w:rsid w:val="66684A7D"/>
    <w:rsid w:val="6681413A"/>
    <w:rsid w:val="66886C0C"/>
    <w:rsid w:val="669E0D03"/>
    <w:rsid w:val="66B20B8A"/>
    <w:rsid w:val="66B23F50"/>
    <w:rsid w:val="66B463C6"/>
    <w:rsid w:val="66E3632D"/>
    <w:rsid w:val="66F422E8"/>
    <w:rsid w:val="67002A3B"/>
    <w:rsid w:val="670D4B76"/>
    <w:rsid w:val="67311FC6"/>
    <w:rsid w:val="673D77EB"/>
    <w:rsid w:val="67755ADB"/>
    <w:rsid w:val="67945ED4"/>
    <w:rsid w:val="679A4C3E"/>
    <w:rsid w:val="67BF46A4"/>
    <w:rsid w:val="67D6379C"/>
    <w:rsid w:val="67EB5453"/>
    <w:rsid w:val="67EE31DB"/>
    <w:rsid w:val="67FA56DC"/>
    <w:rsid w:val="684537B7"/>
    <w:rsid w:val="68522DA9"/>
    <w:rsid w:val="689B15E8"/>
    <w:rsid w:val="68B80714"/>
    <w:rsid w:val="68E1706C"/>
    <w:rsid w:val="68F02396"/>
    <w:rsid w:val="69026094"/>
    <w:rsid w:val="691849B7"/>
    <w:rsid w:val="69496146"/>
    <w:rsid w:val="694F00D9"/>
    <w:rsid w:val="69635503"/>
    <w:rsid w:val="69643C1A"/>
    <w:rsid w:val="69734234"/>
    <w:rsid w:val="697E2BB2"/>
    <w:rsid w:val="69B93B69"/>
    <w:rsid w:val="69CA2F1C"/>
    <w:rsid w:val="69D34437"/>
    <w:rsid w:val="6A363074"/>
    <w:rsid w:val="6A3F1ACC"/>
    <w:rsid w:val="6A721EA2"/>
    <w:rsid w:val="6AB21AFA"/>
    <w:rsid w:val="6AC37024"/>
    <w:rsid w:val="6AC47BAE"/>
    <w:rsid w:val="6AC90CB5"/>
    <w:rsid w:val="6B0B207F"/>
    <w:rsid w:val="6B1C51D6"/>
    <w:rsid w:val="6B347157"/>
    <w:rsid w:val="6B59096C"/>
    <w:rsid w:val="6B5B46E4"/>
    <w:rsid w:val="6B6D4417"/>
    <w:rsid w:val="6B924226"/>
    <w:rsid w:val="6BB77A59"/>
    <w:rsid w:val="6BBA58AE"/>
    <w:rsid w:val="6BCA3618"/>
    <w:rsid w:val="6BDC1710"/>
    <w:rsid w:val="6BF5724D"/>
    <w:rsid w:val="6C015834"/>
    <w:rsid w:val="6C0928D7"/>
    <w:rsid w:val="6C13510A"/>
    <w:rsid w:val="6C291490"/>
    <w:rsid w:val="6C433F50"/>
    <w:rsid w:val="6CB15FBE"/>
    <w:rsid w:val="6CE8644B"/>
    <w:rsid w:val="6D010115"/>
    <w:rsid w:val="6D2D0302"/>
    <w:rsid w:val="6D8B6DD7"/>
    <w:rsid w:val="6D8C0EFE"/>
    <w:rsid w:val="6DAF6F69"/>
    <w:rsid w:val="6DE26552"/>
    <w:rsid w:val="6DEC3D19"/>
    <w:rsid w:val="6E241705"/>
    <w:rsid w:val="6E2C680B"/>
    <w:rsid w:val="6E3B07FD"/>
    <w:rsid w:val="6E5D48A7"/>
    <w:rsid w:val="6E7245A2"/>
    <w:rsid w:val="6E7361E8"/>
    <w:rsid w:val="6EE13B87"/>
    <w:rsid w:val="6EF410D7"/>
    <w:rsid w:val="6F166144"/>
    <w:rsid w:val="6F265009"/>
    <w:rsid w:val="6F285225"/>
    <w:rsid w:val="6F2B0871"/>
    <w:rsid w:val="6F2D457A"/>
    <w:rsid w:val="6F512898"/>
    <w:rsid w:val="6F55769C"/>
    <w:rsid w:val="6F571666"/>
    <w:rsid w:val="6FA22640"/>
    <w:rsid w:val="6FAB3BED"/>
    <w:rsid w:val="6FB83FB0"/>
    <w:rsid w:val="6FD66A2F"/>
    <w:rsid w:val="6FFE7D34"/>
    <w:rsid w:val="700F1384"/>
    <w:rsid w:val="70425E72"/>
    <w:rsid w:val="705160B5"/>
    <w:rsid w:val="706268A3"/>
    <w:rsid w:val="706978A3"/>
    <w:rsid w:val="706E310B"/>
    <w:rsid w:val="706E4EB9"/>
    <w:rsid w:val="70820965"/>
    <w:rsid w:val="70871AD7"/>
    <w:rsid w:val="709114D5"/>
    <w:rsid w:val="70D50A94"/>
    <w:rsid w:val="70DF36C1"/>
    <w:rsid w:val="71184DC4"/>
    <w:rsid w:val="71245578"/>
    <w:rsid w:val="7157594D"/>
    <w:rsid w:val="71706A0F"/>
    <w:rsid w:val="718524BB"/>
    <w:rsid w:val="718F389A"/>
    <w:rsid w:val="71A20AE7"/>
    <w:rsid w:val="71B04B9D"/>
    <w:rsid w:val="71C70D25"/>
    <w:rsid w:val="71D60F68"/>
    <w:rsid w:val="71FE401B"/>
    <w:rsid w:val="72013A39"/>
    <w:rsid w:val="721C3CDC"/>
    <w:rsid w:val="727774C2"/>
    <w:rsid w:val="72802B87"/>
    <w:rsid w:val="729F57FE"/>
    <w:rsid w:val="72FC56B6"/>
    <w:rsid w:val="730323BD"/>
    <w:rsid w:val="7329331A"/>
    <w:rsid w:val="732D6117"/>
    <w:rsid w:val="73397A01"/>
    <w:rsid w:val="73635594"/>
    <w:rsid w:val="73742472"/>
    <w:rsid w:val="737F118B"/>
    <w:rsid w:val="73AA3A9E"/>
    <w:rsid w:val="73AF381F"/>
    <w:rsid w:val="73BA67BE"/>
    <w:rsid w:val="73BC5F3C"/>
    <w:rsid w:val="73C41D58"/>
    <w:rsid w:val="73CC77BB"/>
    <w:rsid w:val="73EF00BF"/>
    <w:rsid w:val="73EF3BBA"/>
    <w:rsid w:val="740C6EC3"/>
    <w:rsid w:val="7447572B"/>
    <w:rsid w:val="74535579"/>
    <w:rsid w:val="74677038"/>
    <w:rsid w:val="74B231F1"/>
    <w:rsid w:val="74BB4445"/>
    <w:rsid w:val="74D3353D"/>
    <w:rsid w:val="75220020"/>
    <w:rsid w:val="752714CE"/>
    <w:rsid w:val="753350E1"/>
    <w:rsid w:val="75BF3AC1"/>
    <w:rsid w:val="75DC19AF"/>
    <w:rsid w:val="75E672A0"/>
    <w:rsid w:val="760F4A49"/>
    <w:rsid w:val="7634625D"/>
    <w:rsid w:val="763844BE"/>
    <w:rsid w:val="76473DAF"/>
    <w:rsid w:val="764D37C3"/>
    <w:rsid w:val="767C5B7F"/>
    <w:rsid w:val="76875CF2"/>
    <w:rsid w:val="76980E3D"/>
    <w:rsid w:val="769B008A"/>
    <w:rsid w:val="769D3E02"/>
    <w:rsid w:val="76D637B8"/>
    <w:rsid w:val="76EE7A04"/>
    <w:rsid w:val="77185B7F"/>
    <w:rsid w:val="77291DC1"/>
    <w:rsid w:val="77366005"/>
    <w:rsid w:val="7761351B"/>
    <w:rsid w:val="77AD7E13"/>
    <w:rsid w:val="77BA09E4"/>
    <w:rsid w:val="77C80D66"/>
    <w:rsid w:val="77F04406"/>
    <w:rsid w:val="77FA78D2"/>
    <w:rsid w:val="783A28DC"/>
    <w:rsid w:val="78556CFD"/>
    <w:rsid w:val="78A05E2C"/>
    <w:rsid w:val="78B22884"/>
    <w:rsid w:val="78FE5CD7"/>
    <w:rsid w:val="791E4FA3"/>
    <w:rsid w:val="79200D1B"/>
    <w:rsid w:val="79522550"/>
    <w:rsid w:val="79660E24"/>
    <w:rsid w:val="79664E73"/>
    <w:rsid w:val="799108CB"/>
    <w:rsid w:val="79AF79CB"/>
    <w:rsid w:val="79ED50A1"/>
    <w:rsid w:val="79F07A5F"/>
    <w:rsid w:val="7A1B7E60"/>
    <w:rsid w:val="7A8341EB"/>
    <w:rsid w:val="7A8F2F09"/>
    <w:rsid w:val="7A916F59"/>
    <w:rsid w:val="7AC10E16"/>
    <w:rsid w:val="7AF20AF3"/>
    <w:rsid w:val="7AF64429"/>
    <w:rsid w:val="7B2E7583"/>
    <w:rsid w:val="7B334D35"/>
    <w:rsid w:val="7B6F0541"/>
    <w:rsid w:val="7BAB7F86"/>
    <w:rsid w:val="7BAF13AB"/>
    <w:rsid w:val="7BCC0CE6"/>
    <w:rsid w:val="7BCD1C62"/>
    <w:rsid w:val="7BCE2CB0"/>
    <w:rsid w:val="7BE91898"/>
    <w:rsid w:val="7BFC781D"/>
    <w:rsid w:val="7C196AC8"/>
    <w:rsid w:val="7CF52871"/>
    <w:rsid w:val="7D083FA0"/>
    <w:rsid w:val="7D085F7C"/>
    <w:rsid w:val="7D222E11"/>
    <w:rsid w:val="7D256A5B"/>
    <w:rsid w:val="7D2C7C8E"/>
    <w:rsid w:val="7D31799A"/>
    <w:rsid w:val="7D5176F5"/>
    <w:rsid w:val="7D7B088B"/>
    <w:rsid w:val="7DB546A1"/>
    <w:rsid w:val="7DC507E5"/>
    <w:rsid w:val="7DD667E4"/>
    <w:rsid w:val="7DF7741D"/>
    <w:rsid w:val="7E2E7A36"/>
    <w:rsid w:val="7E677620"/>
    <w:rsid w:val="7E7E4BDC"/>
    <w:rsid w:val="7E9C051C"/>
    <w:rsid w:val="7E9D698E"/>
    <w:rsid w:val="7ED6414B"/>
    <w:rsid w:val="7EDA7C4E"/>
    <w:rsid w:val="7F0B1347"/>
    <w:rsid w:val="7F390D88"/>
    <w:rsid w:val="7F445FB4"/>
    <w:rsid w:val="7F5434CC"/>
    <w:rsid w:val="7F5B485B"/>
    <w:rsid w:val="7F7027AD"/>
    <w:rsid w:val="7F740332"/>
    <w:rsid w:val="7F88354D"/>
    <w:rsid w:val="7F8952AA"/>
    <w:rsid w:val="7FB56661"/>
    <w:rsid w:val="7FE231C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9"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qFormat="1" w:uiPriority="99"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1"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nhideWhenUsed="0" w:uiPriority="0" w:semiHidden="0" w:name="caption"/>
    <w:lsdException w:qFormat="1"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qFormat="1"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iPriority="99" w:semiHidden="0" w:name="Body Text First Indent 2"/>
    <w:lsdException w:unhideWhenUsed="0" w:uiPriority="0" w:semiHidden="0" w:name="Note Heading"/>
    <w:lsdException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99"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kinsoku w:val="0"/>
      <w:autoSpaceDE w:val="0"/>
      <w:autoSpaceDN w:val="0"/>
      <w:adjustRightInd w:val="0"/>
      <w:snapToGrid w:val="0"/>
      <w:textAlignment w:val="baseline"/>
    </w:pPr>
    <w:rPr>
      <w:rFonts w:ascii="Arial" w:hAnsi="Arial" w:eastAsia="Arial" w:cs="Arial"/>
      <w:snapToGrid w:val="0"/>
      <w:color w:val="000000"/>
      <w:sz w:val="21"/>
      <w:szCs w:val="21"/>
      <w:lang w:val="en-US" w:eastAsia="zh-CN" w:bidi="ar-SA"/>
    </w:rPr>
  </w:style>
  <w:style w:type="paragraph" w:styleId="4">
    <w:name w:val="heading 1"/>
    <w:basedOn w:val="1"/>
    <w:next w:val="1"/>
    <w:autoRedefine/>
    <w:qFormat/>
    <w:uiPriority w:val="0"/>
    <w:pPr>
      <w:keepNext/>
      <w:keepLines/>
      <w:spacing w:before="340" w:after="340" w:line="480" w:lineRule="auto"/>
      <w:jc w:val="center"/>
      <w:outlineLvl w:val="0"/>
    </w:pPr>
    <w:rPr>
      <w:rFonts w:eastAsia="黑体"/>
      <w:b/>
      <w:bCs/>
      <w:kern w:val="44"/>
      <w:sz w:val="36"/>
      <w:szCs w:val="44"/>
    </w:rPr>
  </w:style>
  <w:style w:type="paragraph" w:styleId="5">
    <w:name w:val="heading 2"/>
    <w:basedOn w:val="1"/>
    <w:next w:val="1"/>
    <w:autoRedefine/>
    <w:unhideWhenUsed/>
    <w:qFormat/>
    <w:uiPriority w:val="0"/>
    <w:pPr>
      <w:spacing w:beforeAutospacing="1" w:afterAutospacing="1"/>
      <w:outlineLvl w:val="1"/>
    </w:pPr>
    <w:rPr>
      <w:rFonts w:hint="eastAsia" w:ascii="宋体" w:hAnsi="宋体"/>
      <w:b/>
      <w:sz w:val="36"/>
      <w:szCs w:val="36"/>
    </w:rPr>
  </w:style>
  <w:style w:type="paragraph" w:styleId="6">
    <w:name w:val="heading 3"/>
    <w:basedOn w:val="1"/>
    <w:next w:val="1"/>
    <w:autoRedefine/>
    <w:unhideWhenUsed/>
    <w:qFormat/>
    <w:uiPriority w:val="0"/>
    <w:pPr>
      <w:keepNext/>
      <w:keepLines/>
      <w:spacing w:before="120" w:after="120" w:line="500" w:lineRule="exact"/>
      <w:outlineLvl w:val="2"/>
    </w:pPr>
    <w:rPr>
      <w:rFonts w:eastAsia="黑体"/>
      <w:b/>
      <w:bCs/>
      <w:sz w:val="28"/>
      <w:szCs w:val="32"/>
    </w:rPr>
  </w:style>
  <w:style w:type="paragraph" w:styleId="7">
    <w:name w:val="heading 4"/>
    <w:basedOn w:val="1"/>
    <w:next w:val="1"/>
    <w:autoRedefine/>
    <w:semiHidden/>
    <w:unhideWhenUsed/>
    <w:qFormat/>
    <w:uiPriority w:val="9"/>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34">
    <w:name w:val="Default Paragraph Font"/>
    <w:autoRedefine/>
    <w:semiHidden/>
    <w:unhideWhenUsed/>
    <w:qFormat/>
    <w:uiPriority w:val="1"/>
  </w:style>
  <w:style w:type="table" w:default="1" w:styleId="32">
    <w:name w:val="Normal Table"/>
    <w:autoRedefine/>
    <w:semiHidden/>
    <w:unhideWhenUsed/>
    <w:qFormat/>
    <w:uiPriority w:val="99"/>
    <w:tblPr>
      <w:tblCellMar>
        <w:top w:w="0" w:type="dxa"/>
        <w:left w:w="108" w:type="dxa"/>
        <w:bottom w:w="0" w:type="dxa"/>
        <w:right w:w="108" w:type="dxa"/>
      </w:tblCellMar>
    </w:tblPr>
  </w:style>
  <w:style w:type="paragraph" w:styleId="2">
    <w:name w:val="Body Text First Indent 2"/>
    <w:basedOn w:val="3"/>
    <w:autoRedefine/>
    <w:unhideWhenUsed/>
    <w:qFormat/>
    <w:uiPriority w:val="99"/>
    <w:pPr>
      <w:ind w:firstLine="560" w:firstLineChars="200"/>
    </w:pPr>
    <w:rPr>
      <w:rFonts w:eastAsia="仿宋_GB2312"/>
    </w:rPr>
  </w:style>
  <w:style w:type="paragraph" w:styleId="3">
    <w:name w:val="Body Text Indent"/>
    <w:basedOn w:val="1"/>
    <w:autoRedefine/>
    <w:qFormat/>
    <w:uiPriority w:val="0"/>
    <w:pPr>
      <w:spacing w:after="120"/>
      <w:ind w:left="420" w:leftChars="200"/>
    </w:pPr>
    <w:rPr>
      <w:sz w:val="24"/>
      <w:szCs w:val="20"/>
    </w:rPr>
  </w:style>
  <w:style w:type="paragraph" w:styleId="8">
    <w:name w:val="index 8"/>
    <w:basedOn w:val="1"/>
    <w:next w:val="1"/>
    <w:autoRedefine/>
    <w:unhideWhenUsed/>
    <w:qFormat/>
    <w:uiPriority w:val="99"/>
    <w:rPr>
      <w:b/>
    </w:rPr>
  </w:style>
  <w:style w:type="paragraph" w:styleId="9">
    <w:name w:val="Normal Indent"/>
    <w:basedOn w:val="1"/>
    <w:autoRedefine/>
    <w:qFormat/>
    <w:uiPriority w:val="0"/>
    <w:pPr>
      <w:ind w:firstLine="420"/>
    </w:pPr>
    <w:rPr>
      <w:szCs w:val="20"/>
    </w:rPr>
  </w:style>
  <w:style w:type="paragraph" w:styleId="10">
    <w:name w:val="caption"/>
    <w:basedOn w:val="1"/>
    <w:next w:val="1"/>
    <w:autoRedefine/>
    <w:qFormat/>
    <w:uiPriority w:val="0"/>
    <w:pPr>
      <w:jc w:val="right"/>
    </w:pPr>
    <w:rPr>
      <w:rFonts w:ascii="Times New Roman" w:hAnsi="Times New Roman" w:eastAsia="黑体"/>
      <w:sz w:val="20"/>
    </w:rPr>
  </w:style>
  <w:style w:type="paragraph" w:styleId="11">
    <w:name w:val="toa heading"/>
    <w:basedOn w:val="1"/>
    <w:next w:val="1"/>
    <w:autoRedefine/>
    <w:qFormat/>
    <w:uiPriority w:val="0"/>
    <w:pPr>
      <w:spacing w:before="120"/>
    </w:pPr>
    <w:rPr>
      <w:sz w:val="24"/>
      <w:szCs w:val="24"/>
    </w:rPr>
  </w:style>
  <w:style w:type="paragraph" w:styleId="12">
    <w:name w:val="annotation text"/>
    <w:basedOn w:val="1"/>
    <w:link w:val="65"/>
    <w:autoRedefine/>
    <w:qFormat/>
    <w:uiPriority w:val="0"/>
  </w:style>
  <w:style w:type="paragraph" w:styleId="13">
    <w:name w:val="Body Text 3"/>
    <w:basedOn w:val="1"/>
    <w:autoRedefine/>
    <w:qFormat/>
    <w:uiPriority w:val="0"/>
    <w:pPr>
      <w:spacing w:after="120"/>
    </w:pPr>
    <w:rPr>
      <w:sz w:val="16"/>
    </w:rPr>
  </w:style>
  <w:style w:type="paragraph" w:styleId="14">
    <w:name w:val="Body Text"/>
    <w:basedOn w:val="1"/>
    <w:autoRedefine/>
    <w:qFormat/>
    <w:uiPriority w:val="0"/>
    <w:rPr>
      <w:rFonts w:ascii="宋体"/>
      <w:sz w:val="28"/>
      <w:szCs w:val="20"/>
    </w:rPr>
  </w:style>
  <w:style w:type="paragraph" w:styleId="15">
    <w:name w:val="Block Text"/>
    <w:basedOn w:val="1"/>
    <w:next w:val="1"/>
    <w:autoRedefine/>
    <w:qFormat/>
    <w:uiPriority w:val="0"/>
    <w:pPr>
      <w:spacing w:before="1" w:line="537" w:lineRule="exact"/>
      <w:ind w:left="88" w:right="6"/>
    </w:pPr>
    <w:rPr>
      <w:sz w:val="28"/>
      <w:szCs w:val="28"/>
    </w:rPr>
  </w:style>
  <w:style w:type="paragraph" w:styleId="16">
    <w:name w:val="toc 3"/>
    <w:basedOn w:val="1"/>
    <w:next w:val="1"/>
    <w:autoRedefine/>
    <w:qFormat/>
    <w:uiPriority w:val="1"/>
    <w:pPr>
      <w:spacing w:before="161"/>
      <w:ind w:left="2260" w:hanging="600"/>
    </w:pPr>
    <w:rPr>
      <w:rFonts w:ascii="宋体" w:hAnsi="宋体" w:eastAsia="宋体" w:cs="宋体"/>
      <w:sz w:val="24"/>
      <w:szCs w:val="24"/>
      <w:lang w:val="zh-CN" w:bidi="zh-CN"/>
    </w:rPr>
  </w:style>
  <w:style w:type="paragraph" w:styleId="17">
    <w:name w:val="Plain Text"/>
    <w:basedOn w:val="1"/>
    <w:next w:val="1"/>
    <w:autoRedefine/>
    <w:qFormat/>
    <w:uiPriority w:val="0"/>
    <w:rPr>
      <w:rFonts w:ascii="宋体" w:hAnsi="Courier New"/>
      <w:szCs w:val="20"/>
    </w:rPr>
  </w:style>
  <w:style w:type="paragraph" w:styleId="18">
    <w:name w:val="List Bullet 5"/>
    <w:basedOn w:val="1"/>
    <w:autoRedefine/>
    <w:qFormat/>
    <w:uiPriority w:val="0"/>
    <w:pPr>
      <w:numPr>
        <w:ilvl w:val="0"/>
        <w:numId w:val="1"/>
      </w:numPr>
    </w:pPr>
  </w:style>
  <w:style w:type="paragraph" w:styleId="19">
    <w:name w:val="Body Text Indent 2"/>
    <w:basedOn w:val="1"/>
    <w:next w:val="20"/>
    <w:autoRedefine/>
    <w:qFormat/>
    <w:uiPriority w:val="0"/>
    <w:pPr>
      <w:spacing w:after="120" w:line="480" w:lineRule="auto"/>
      <w:ind w:left="420" w:leftChars="200"/>
    </w:pPr>
  </w:style>
  <w:style w:type="paragraph" w:customStyle="1" w:styleId="20">
    <w:name w:val="简单回函地址"/>
    <w:basedOn w:val="1"/>
    <w:next w:val="21"/>
    <w:autoRedefine/>
    <w:qFormat/>
    <w:uiPriority w:val="0"/>
  </w:style>
  <w:style w:type="paragraph" w:customStyle="1" w:styleId="21">
    <w:name w:val="正文2"/>
    <w:basedOn w:val="1"/>
    <w:next w:val="1"/>
    <w:autoRedefine/>
    <w:qFormat/>
    <w:uiPriority w:val="0"/>
    <w:pPr>
      <w:spacing w:line="360" w:lineRule="auto"/>
      <w:ind w:firstLine="200" w:firstLineChars="200"/>
    </w:pPr>
    <w:rPr>
      <w:sz w:val="24"/>
      <w:szCs w:val="24"/>
    </w:rPr>
  </w:style>
  <w:style w:type="paragraph" w:styleId="22">
    <w:name w:val="footer"/>
    <w:basedOn w:val="1"/>
    <w:autoRedefine/>
    <w:qFormat/>
    <w:uiPriority w:val="99"/>
    <w:pPr>
      <w:tabs>
        <w:tab w:val="center" w:pos="4153"/>
        <w:tab w:val="right" w:pos="8306"/>
      </w:tabs>
    </w:pPr>
    <w:rPr>
      <w:sz w:val="18"/>
      <w:szCs w:val="20"/>
    </w:rPr>
  </w:style>
  <w:style w:type="paragraph" w:styleId="23">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jc w:val="both"/>
    </w:pPr>
    <w:rPr>
      <w:sz w:val="18"/>
    </w:rPr>
  </w:style>
  <w:style w:type="paragraph" w:styleId="24">
    <w:name w:val="toc 1"/>
    <w:basedOn w:val="1"/>
    <w:next w:val="1"/>
    <w:autoRedefine/>
    <w:qFormat/>
    <w:uiPriority w:val="0"/>
  </w:style>
  <w:style w:type="paragraph" w:styleId="25">
    <w:name w:val="Body Text Indent 3"/>
    <w:basedOn w:val="1"/>
    <w:autoRedefine/>
    <w:qFormat/>
    <w:uiPriority w:val="0"/>
    <w:pPr>
      <w:spacing w:after="120"/>
      <w:ind w:left="420" w:leftChars="200"/>
    </w:pPr>
    <w:rPr>
      <w:sz w:val="16"/>
      <w:szCs w:val="16"/>
    </w:rPr>
  </w:style>
  <w:style w:type="paragraph" w:styleId="26">
    <w:name w:val="table of figures"/>
    <w:basedOn w:val="1"/>
    <w:next w:val="1"/>
    <w:autoRedefine/>
    <w:qFormat/>
    <w:uiPriority w:val="0"/>
  </w:style>
  <w:style w:type="paragraph" w:styleId="27">
    <w:name w:val="toc 2"/>
    <w:basedOn w:val="1"/>
    <w:next w:val="1"/>
    <w:autoRedefine/>
    <w:qFormat/>
    <w:uiPriority w:val="0"/>
    <w:pPr>
      <w:ind w:left="420" w:leftChars="200"/>
    </w:pPr>
    <w:rPr>
      <w:rFonts w:hint="eastAsia"/>
      <w:szCs w:val="20"/>
    </w:rPr>
  </w:style>
  <w:style w:type="paragraph" w:styleId="28">
    <w:name w:val="HTML Preformatted"/>
    <w:basedOn w:val="1"/>
    <w:autoRedefine/>
    <w:qFormat/>
    <w:uiPriority w:val="99"/>
    <w:pPr>
      <w:spacing w:line="330" w:lineRule="atLeast"/>
    </w:pPr>
  </w:style>
  <w:style w:type="paragraph" w:styleId="29">
    <w:name w:val="Normal (Web)"/>
    <w:basedOn w:val="1"/>
    <w:autoRedefine/>
    <w:qFormat/>
    <w:uiPriority w:val="0"/>
    <w:pPr>
      <w:spacing w:before="100" w:beforeAutospacing="1" w:after="100" w:afterAutospacing="1"/>
    </w:pPr>
    <w:rPr>
      <w:rFonts w:ascii="宋体" w:hAnsi="宋体"/>
      <w:sz w:val="24"/>
      <w:szCs w:val="20"/>
    </w:rPr>
  </w:style>
  <w:style w:type="paragraph" w:styleId="30">
    <w:name w:val="annotation subject"/>
    <w:basedOn w:val="12"/>
    <w:next w:val="12"/>
    <w:link w:val="66"/>
    <w:autoRedefine/>
    <w:qFormat/>
    <w:uiPriority w:val="0"/>
    <w:rPr>
      <w:b/>
      <w:bCs/>
    </w:rPr>
  </w:style>
  <w:style w:type="paragraph" w:styleId="31">
    <w:name w:val="Body Text First Indent"/>
    <w:basedOn w:val="14"/>
    <w:next w:val="26"/>
    <w:autoRedefine/>
    <w:qFormat/>
    <w:uiPriority w:val="0"/>
    <w:pPr>
      <w:spacing w:after="120"/>
      <w:ind w:firstLine="420" w:firstLineChars="100"/>
    </w:pPr>
    <w:rPr>
      <w:rFonts w:ascii="Times New Roman"/>
      <w:sz w:val="21"/>
      <w:szCs w:val="24"/>
    </w:rPr>
  </w:style>
  <w:style w:type="table" w:styleId="33">
    <w:name w:val="Table Grid"/>
    <w:basedOn w:val="32"/>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5">
    <w:name w:val="Strong"/>
    <w:basedOn w:val="34"/>
    <w:autoRedefine/>
    <w:qFormat/>
    <w:uiPriority w:val="0"/>
    <w:rPr>
      <w:b/>
    </w:rPr>
  </w:style>
  <w:style w:type="character" w:styleId="36">
    <w:name w:val="page number"/>
    <w:basedOn w:val="34"/>
    <w:autoRedefine/>
    <w:qFormat/>
    <w:uiPriority w:val="0"/>
  </w:style>
  <w:style w:type="character" w:styleId="37">
    <w:name w:val="Hyperlink"/>
    <w:basedOn w:val="34"/>
    <w:autoRedefine/>
    <w:qFormat/>
    <w:uiPriority w:val="0"/>
    <w:rPr>
      <w:color w:val="0000FF"/>
      <w:u w:val="single"/>
    </w:rPr>
  </w:style>
  <w:style w:type="character" w:styleId="38">
    <w:name w:val="annotation reference"/>
    <w:basedOn w:val="34"/>
    <w:autoRedefine/>
    <w:qFormat/>
    <w:uiPriority w:val="0"/>
    <w:rPr>
      <w:sz w:val="21"/>
      <w:szCs w:val="21"/>
    </w:rPr>
  </w:style>
  <w:style w:type="paragraph" w:customStyle="1" w:styleId="39">
    <w:name w:val="Default"/>
    <w:basedOn w:val="40"/>
    <w:next w:val="1"/>
    <w:autoRedefine/>
    <w:qFormat/>
    <w:uiPriority w:val="0"/>
    <w:pPr>
      <w:widowControl w:val="0"/>
    </w:pPr>
    <w:rPr>
      <w:rFonts w:ascii="Arial Black" w:hAnsi="Arial Black" w:eastAsia="宋体" w:cs="Times New Roman"/>
      <w:sz w:val="24"/>
      <w:szCs w:val="24"/>
    </w:rPr>
  </w:style>
  <w:style w:type="paragraph" w:customStyle="1" w:styleId="40">
    <w:name w:val="标题 段落4级"/>
    <w:autoRedefine/>
    <w:qFormat/>
    <w:uiPriority w:val="0"/>
    <w:pPr>
      <w:spacing w:line="500" w:lineRule="exact"/>
      <w:outlineLvl w:val="3"/>
    </w:pPr>
    <w:rPr>
      <w:rFonts w:ascii="Times New Roman" w:hAnsi="Times New Roman" w:eastAsia="仿宋_GB2312" w:cs="Calibri"/>
      <w:b/>
      <w:kern w:val="2"/>
      <w:sz w:val="28"/>
      <w:szCs w:val="24"/>
      <w:lang w:val="en-US" w:eastAsia="zh-CN" w:bidi="ar-SA"/>
    </w:rPr>
  </w:style>
  <w:style w:type="paragraph" w:customStyle="1" w:styleId="41">
    <w:name w:val="纯文本1"/>
    <w:basedOn w:val="1"/>
    <w:autoRedefine/>
    <w:qFormat/>
    <w:uiPriority w:val="0"/>
    <w:rPr>
      <w:rFonts w:ascii="宋体" w:hAnsi="Courier New"/>
      <w:szCs w:val="20"/>
    </w:rPr>
  </w:style>
  <w:style w:type="paragraph" w:customStyle="1" w:styleId="42">
    <w:name w:val="正文文字 6"/>
    <w:next w:val="1"/>
    <w:autoRedefine/>
    <w:qFormat/>
    <w:uiPriority w:val="0"/>
    <w:pPr>
      <w:widowControl w:val="0"/>
      <w:ind w:left="240"/>
      <w:jc w:val="both"/>
    </w:pPr>
    <w:rPr>
      <w:rFonts w:ascii="宋体" w:hAnsi="Times New Roman" w:eastAsia="宋体" w:cs="Times New Roman"/>
      <w:b/>
      <w:bCs/>
      <w:kern w:val="2"/>
      <w:sz w:val="32"/>
      <w:szCs w:val="32"/>
      <w:lang w:val="en-US" w:eastAsia="zh-CN" w:bidi="ar-SA"/>
    </w:rPr>
  </w:style>
  <w:style w:type="table" w:customStyle="1" w:styleId="43">
    <w:name w:val="Table Normal"/>
    <w:autoRedefine/>
    <w:semiHidden/>
    <w:unhideWhenUsed/>
    <w:qFormat/>
    <w:uiPriority w:val="0"/>
    <w:tblPr>
      <w:tblCellMar>
        <w:top w:w="0" w:type="dxa"/>
        <w:left w:w="0" w:type="dxa"/>
        <w:bottom w:w="0" w:type="dxa"/>
        <w:right w:w="0" w:type="dxa"/>
      </w:tblCellMar>
    </w:tblPr>
  </w:style>
  <w:style w:type="paragraph" w:customStyle="1" w:styleId="44">
    <w:name w:val="正文00"/>
    <w:autoRedefine/>
    <w:qFormat/>
    <w:uiPriority w:val="0"/>
    <w:pPr>
      <w:overflowPunct w:val="0"/>
      <w:topLinePunct/>
      <w:adjustRightInd w:val="0"/>
      <w:snapToGrid w:val="0"/>
      <w:spacing w:line="460" w:lineRule="exact"/>
      <w:ind w:firstLine="200" w:firstLineChars="200"/>
      <w:jc w:val="both"/>
    </w:pPr>
    <w:rPr>
      <w:rFonts w:ascii="Times New Roman" w:hAnsi="Times New Roman" w:eastAsia="宋体" w:cs="Times New Roman"/>
      <w:color w:val="0000FF"/>
      <w:kern w:val="2"/>
      <w:sz w:val="24"/>
      <w:szCs w:val="24"/>
      <w:lang w:val="en-US" w:eastAsia="zh-CN" w:bidi="ar-SA"/>
    </w:rPr>
  </w:style>
  <w:style w:type="paragraph" w:styleId="45">
    <w:name w:val="List Paragraph"/>
    <w:basedOn w:val="1"/>
    <w:autoRedefine/>
    <w:qFormat/>
    <w:uiPriority w:val="1"/>
    <w:pPr>
      <w:spacing w:before="1"/>
      <w:ind w:left="1299" w:hanging="602"/>
    </w:pPr>
    <w:rPr>
      <w:rFonts w:ascii="宋体" w:hAnsi="宋体" w:eastAsia="宋体" w:cs="宋体"/>
      <w:lang w:val="zh-CN" w:bidi="zh-CN"/>
    </w:rPr>
  </w:style>
  <w:style w:type="paragraph" w:customStyle="1" w:styleId="46">
    <w:name w:val="Table Paragraph"/>
    <w:basedOn w:val="1"/>
    <w:autoRedefine/>
    <w:qFormat/>
    <w:uiPriority w:val="1"/>
    <w:rPr>
      <w:rFonts w:ascii="Calibri" w:hAnsi="Calibri" w:eastAsia="Calibri"/>
      <w:sz w:val="22"/>
      <w:lang w:eastAsia="en-US"/>
    </w:rPr>
  </w:style>
  <w:style w:type="paragraph" w:customStyle="1" w:styleId="47">
    <w:name w:val="表名称"/>
    <w:basedOn w:val="1"/>
    <w:autoRedefine/>
    <w:qFormat/>
    <w:uiPriority w:val="0"/>
    <w:pPr>
      <w:jc w:val="center"/>
    </w:pPr>
    <w:rPr>
      <w:rFonts w:ascii="黑体" w:eastAsia="黑体"/>
      <w:b/>
      <w:szCs w:val="24"/>
    </w:rPr>
  </w:style>
  <w:style w:type="paragraph" w:customStyle="1" w:styleId="48">
    <w:name w:val="表格"/>
    <w:basedOn w:val="1"/>
    <w:autoRedefine/>
    <w:qFormat/>
    <w:uiPriority w:val="0"/>
    <w:pPr>
      <w:spacing w:line="0" w:lineRule="atLeast"/>
      <w:jc w:val="center"/>
    </w:pPr>
    <w:rPr>
      <w:sz w:val="18"/>
    </w:rPr>
  </w:style>
  <w:style w:type="paragraph" w:customStyle="1" w:styleId="49">
    <w:name w:val="表头"/>
    <w:basedOn w:val="48"/>
    <w:next w:val="48"/>
    <w:autoRedefine/>
    <w:qFormat/>
    <w:uiPriority w:val="0"/>
    <w:pPr>
      <w:spacing w:before="120" w:after="120" w:line="300" w:lineRule="atLeast"/>
    </w:pPr>
    <w:rPr>
      <w:rFonts w:eastAsia="黑体"/>
      <w:b/>
      <w:sz w:val="24"/>
    </w:rPr>
  </w:style>
  <w:style w:type="paragraph" w:customStyle="1" w:styleId="50">
    <w:name w:val="图表头"/>
    <w:basedOn w:val="1"/>
    <w:autoRedefine/>
    <w:qFormat/>
    <w:uiPriority w:val="0"/>
    <w:pPr>
      <w:spacing w:line="440" w:lineRule="exact"/>
      <w:jc w:val="center"/>
    </w:pPr>
    <w:rPr>
      <w:rFonts w:eastAsia="黑体"/>
      <w:spacing w:val="-10"/>
    </w:rPr>
  </w:style>
  <w:style w:type="paragraph" w:customStyle="1" w:styleId="51">
    <w:name w:val="无间隔1"/>
    <w:autoRedefine/>
    <w:qFormat/>
    <w:uiPriority w:val="0"/>
    <w:pPr>
      <w:jc w:val="center"/>
    </w:pPr>
    <w:rPr>
      <w:rFonts w:ascii="Times New Roman" w:hAnsi="Times New Roman" w:eastAsia="宋体" w:cs="Times New Roman"/>
      <w:kern w:val="2"/>
      <w:sz w:val="21"/>
      <w:szCs w:val="22"/>
      <w:lang w:val="en-US" w:eastAsia="zh-CN" w:bidi="ar-SA"/>
    </w:rPr>
  </w:style>
  <w:style w:type="paragraph" w:customStyle="1" w:styleId="52">
    <w:name w:val="样式 首行缩进:  2 字符"/>
    <w:basedOn w:val="1"/>
    <w:autoRedefine/>
    <w:qFormat/>
    <w:uiPriority w:val="0"/>
    <w:pPr>
      <w:spacing w:line="480" w:lineRule="exact"/>
    </w:pPr>
    <w:rPr>
      <w:szCs w:val="20"/>
    </w:rPr>
  </w:style>
  <w:style w:type="paragraph" w:customStyle="1" w:styleId="53">
    <w:name w:val="表格文字"/>
    <w:basedOn w:val="17"/>
    <w:autoRedefine/>
    <w:qFormat/>
    <w:uiPriority w:val="0"/>
    <w:pPr>
      <w:widowControl w:val="0"/>
      <w:spacing w:line="360" w:lineRule="atLeast"/>
      <w:jc w:val="center"/>
    </w:pPr>
    <w:rPr>
      <w:rFonts w:ascii="Times New Roman" w:hAnsi="Times New Roman" w:eastAsia="宋体" w:cs="Times New Roman"/>
      <w:szCs w:val="21"/>
    </w:rPr>
  </w:style>
  <w:style w:type="paragraph" w:customStyle="1" w:styleId="54">
    <w:name w:val="Normal_0_0"/>
    <w:autoRedefine/>
    <w:qFormat/>
    <w:uiPriority w:val="0"/>
    <w:pPr>
      <w:widowControl w:val="0"/>
      <w:spacing w:line="360" w:lineRule="auto"/>
      <w:ind w:firstLine="200" w:firstLineChars="200"/>
      <w:jc w:val="both"/>
    </w:pPr>
    <w:rPr>
      <w:rFonts w:ascii="Times New Roman" w:hAnsi="Times New Roman" w:eastAsia="仿宋" w:cs="Times New Roman"/>
      <w:kern w:val="2"/>
      <w:sz w:val="28"/>
      <w:szCs w:val="21"/>
      <w:lang w:val="en-US" w:eastAsia="zh-CN" w:bidi="ar-SA"/>
    </w:rPr>
  </w:style>
  <w:style w:type="table" w:customStyle="1" w:styleId="55">
    <w:name w:val="Table Grid_0"/>
    <w:basedOn w:val="32"/>
    <w:autoRedefine/>
    <w:qFormat/>
    <w:uiPriority w:val="0"/>
    <w:rPr>
      <w:rFonts w:eastAsia="仿宋"/>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56">
    <w:name w:val="KD正文"/>
    <w:autoRedefine/>
    <w:qFormat/>
    <w:uiPriority w:val="0"/>
    <w:pPr>
      <w:autoSpaceDE w:val="0"/>
      <w:autoSpaceDN w:val="0"/>
      <w:spacing w:line="360" w:lineRule="auto"/>
      <w:ind w:firstLine="200" w:firstLineChars="200"/>
      <w:jc w:val="both"/>
    </w:pPr>
    <w:rPr>
      <w:rFonts w:ascii="Times New Roman" w:hAnsi="Times New Roman" w:eastAsia="宋体" w:cs="Times New Roman"/>
      <w:kern w:val="2"/>
      <w:sz w:val="24"/>
      <w:szCs w:val="22"/>
      <w:lang w:val="en-US" w:eastAsia="zh-CN" w:bidi="ar-SA"/>
    </w:rPr>
  </w:style>
  <w:style w:type="paragraph" w:customStyle="1" w:styleId="57">
    <w:name w:val="表格样式"/>
    <w:basedOn w:val="1"/>
    <w:autoRedefine/>
    <w:qFormat/>
    <w:uiPriority w:val="0"/>
    <w:pPr>
      <w:jc w:val="center"/>
    </w:pPr>
    <w:rPr>
      <w:rFonts w:eastAsia="仿宋_GB2312"/>
      <w:sz w:val="24"/>
      <w:szCs w:val="20"/>
    </w:rPr>
  </w:style>
  <w:style w:type="paragraph" w:customStyle="1" w:styleId="58">
    <w:name w:val="WPSOffice手动目录 1"/>
    <w:autoRedefine/>
    <w:qFormat/>
    <w:uiPriority w:val="0"/>
    <w:rPr>
      <w:rFonts w:ascii="Times New Roman" w:hAnsi="Times New Roman" w:eastAsia="宋体" w:cs="Times New Roman"/>
      <w:lang w:val="en-US" w:eastAsia="zh-CN" w:bidi="ar-SA"/>
    </w:rPr>
  </w:style>
  <w:style w:type="paragraph" w:customStyle="1" w:styleId="59">
    <w:name w:val="WPSOffice手动目录 2"/>
    <w:autoRedefine/>
    <w:qFormat/>
    <w:uiPriority w:val="0"/>
    <w:pPr>
      <w:ind w:left="200" w:leftChars="200"/>
    </w:pPr>
    <w:rPr>
      <w:rFonts w:ascii="Times New Roman" w:hAnsi="Times New Roman" w:eastAsia="宋体" w:cs="Times New Roman"/>
      <w:lang w:val="en-US" w:eastAsia="zh-CN" w:bidi="ar-SA"/>
    </w:rPr>
  </w:style>
  <w:style w:type="paragraph" w:customStyle="1" w:styleId="60">
    <w:name w:val="表格文字1"/>
    <w:basedOn w:val="1"/>
    <w:autoRedefine/>
    <w:qFormat/>
    <w:uiPriority w:val="0"/>
    <w:pPr>
      <w:spacing w:before="120" w:line="360" w:lineRule="auto"/>
      <w:ind w:left="113"/>
    </w:pPr>
    <w:rPr>
      <w:rFonts w:ascii="宋体"/>
      <w:sz w:val="24"/>
      <w:szCs w:val="20"/>
    </w:rPr>
  </w:style>
  <w:style w:type="paragraph" w:customStyle="1" w:styleId="61">
    <w:name w:val="表格文字3"/>
    <w:basedOn w:val="1"/>
    <w:autoRedefine/>
    <w:qFormat/>
    <w:uiPriority w:val="0"/>
    <w:pPr>
      <w:adjustRightInd/>
      <w:jc w:val="center"/>
      <w:textAlignment w:val="auto"/>
    </w:pPr>
    <w:rPr>
      <w:spacing w:val="4"/>
    </w:rPr>
  </w:style>
  <w:style w:type="paragraph" w:customStyle="1" w:styleId="62">
    <w:name w:val="Table Text"/>
    <w:basedOn w:val="1"/>
    <w:autoRedefine/>
    <w:semiHidden/>
    <w:qFormat/>
    <w:uiPriority w:val="0"/>
    <w:rPr>
      <w:rFonts w:ascii="宋体" w:hAnsi="宋体" w:eastAsia="宋体" w:cs="宋体"/>
      <w:sz w:val="24"/>
      <w:szCs w:val="24"/>
      <w:lang w:eastAsia="en-US"/>
    </w:rPr>
  </w:style>
  <w:style w:type="paragraph" w:customStyle="1" w:styleId="63">
    <w:name w:val="表格内容"/>
    <w:basedOn w:val="64"/>
    <w:autoRedefine/>
    <w:qFormat/>
    <w:uiPriority w:val="0"/>
    <w:pPr>
      <w:spacing w:line="240" w:lineRule="auto"/>
    </w:pPr>
    <w:rPr>
      <w:rFonts w:eastAsia="楷体_GB2312"/>
      <w:b w:val="0"/>
    </w:rPr>
  </w:style>
  <w:style w:type="paragraph" w:customStyle="1" w:styleId="64">
    <w:name w:val="表格标题"/>
    <w:basedOn w:val="10"/>
    <w:autoRedefine/>
    <w:qFormat/>
    <w:uiPriority w:val="0"/>
    <w:pPr>
      <w:spacing w:line="360" w:lineRule="auto"/>
      <w:jc w:val="center"/>
    </w:pPr>
    <w:rPr>
      <w:rFonts w:eastAsia="宋体"/>
      <w:b/>
      <w:sz w:val="21"/>
    </w:rPr>
  </w:style>
  <w:style w:type="character" w:customStyle="1" w:styleId="65">
    <w:name w:val="批注文字 字符"/>
    <w:basedOn w:val="34"/>
    <w:link w:val="12"/>
    <w:autoRedefine/>
    <w:qFormat/>
    <w:uiPriority w:val="0"/>
    <w:rPr>
      <w:rFonts w:ascii="Arial" w:hAnsi="Arial" w:eastAsia="Arial" w:cs="Arial"/>
      <w:snapToGrid w:val="0"/>
      <w:color w:val="000000"/>
      <w:sz w:val="21"/>
      <w:szCs w:val="21"/>
    </w:rPr>
  </w:style>
  <w:style w:type="character" w:customStyle="1" w:styleId="66">
    <w:name w:val="批注主题 字符"/>
    <w:basedOn w:val="65"/>
    <w:link w:val="30"/>
    <w:autoRedefine/>
    <w:qFormat/>
    <w:uiPriority w:val="0"/>
    <w:rPr>
      <w:rFonts w:ascii="Arial" w:hAnsi="Arial" w:eastAsia="Arial" w:cs="Arial"/>
      <w:b/>
      <w:bCs/>
      <w:snapToGrid w:val="0"/>
      <w:color w:val="000000"/>
      <w:sz w:val="21"/>
      <w:szCs w:val="21"/>
    </w:rPr>
  </w:style>
</w:styles>
</file>

<file path=word/_rels/document.xml.rels><?xml version="1.0" encoding="UTF-8" standalone="yes"?>
<Relationships xmlns="http://schemas.openxmlformats.org/package/2006/relationships"><Relationship Id="rId9" Type="http://schemas.openxmlformats.org/officeDocument/2006/relationships/footer" Target="footer7.xml"/><Relationship Id="rId8" Type="http://schemas.openxmlformats.org/officeDocument/2006/relationships/footer" Target="footer6.xml"/><Relationship Id="rId7" Type="http://schemas.openxmlformats.org/officeDocument/2006/relationships/footer" Target="footer5.xml"/><Relationship Id="rId6" Type="http://schemas.openxmlformats.org/officeDocument/2006/relationships/footer" Target="footer4.xml"/><Relationship Id="rId5" Type="http://schemas.openxmlformats.org/officeDocument/2006/relationships/footer" Target="footer3.xml"/><Relationship Id="rId49" Type="http://schemas.openxmlformats.org/officeDocument/2006/relationships/fontTable" Target="fontTable.xml"/><Relationship Id="rId48" Type="http://schemas.openxmlformats.org/officeDocument/2006/relationships/numbering" Target="numbering.xml"/><Relationship Id="rId47" Type="http://schemas.openxmlformats.org/officeDocument/2006/relationships/customXml" Target="../customXml/item1.xml"/><Relationship Id="rId46" Type="http://schemas.openxmlformats.org/officeDocument/2006/relationships/image" Target="media/image32.png"/><Relationship Id="rId45" Type="http://schemas.openxmlformats.org/officeDocument/2006/relationships/image" Target="media/image31.png"/><Relationship Id="rId44" Type="http://schemas.openxmlformats.org/officeDocument/2006/relationships/image" Target="media/image30.png"/><Relationship Id="rId43" Type="http://schemas.openxmlformats.org/officeDocument/2006/relationships/image" Target="media/image29.png"/><Relationship Id="rId42" Type="http://schemas.openxmlformats.org/officeDocument/2006/relationships/image" Target="media/image28.png"/><Relationship Id="rId41" Type="http://schemas.openxmlformats.org/officeDocument/2006/relationships/image" Target="media/image27.png"/><Relationship Id="rId40" Type="http://schemas.openxmlformats.org/officeDocument/2006/relationships/image" Target="media/image26.png"/><Relationship Id="rId4" Type="http://schemas.openxmlformats.org/officeDocument/2006/relationships/footer" Target="footer2.xml"/><Relationship Id="rId39" Type="http://schemas.openxmlformats.org/officeDocument/2006/relationships/image" Target="media/image25.png"/><Relationship Id="rId38" Type="http://schemas.openxmlformats.org/officeDocument/2006/relationships/image" Target="media/image24.jpeg"/><Relationship Id="rId37" Type="http://schemas.openxmlformats.org/officeDocument/2006/relationships/image" Target="media/image23.jpeg"/><Relationship Id="rId36" Type="http://schemas.openxmlformats.org/officeDocument/2006/relationships/image" Target="media/image22.jpeg"/><Relationship Id="rId35" Type="http://schemas.openxmlformats.org/officeDocument/2006/relationships/image" Target="media/image21.jpeg"/><Relationship Id="rId34" Type="http://schemas.openxmlformats.org/officeDocument/2006/relationships/image" Target="media/image20.jpeg"/><Relationship Id="rId33" Type="http://schemas.openxmlformats.org/officeDocument/2006/relationships/image" Target="media/image19.jpeg"/><Relationship Id="rId32" Type="http://schemas.openxmlformats.org/officeDocument/2006/relationships/image" Target="media/image18.jpeg"/><Relationship Id="rId31" Type="http://schemas.openxmlformats.org/officeDocument/2006/relationships/image" Target="media/image17.png"/><Relationship Id="rId30" Type="http://schemas.openxmlformats.org/officeDocument/2006/relationships/image" Target="media/image16.png"/><Relationship Id="rId3" Type="http://schemas.openxmlformats.org/officeDocument/2006/relationships/footer" Target="footer1.xml"/><Relationship Id="rId29" Type="http://schemas.openxmlformats.org/officeDocument/2006/relationships/image" Target="media/image15.png"/><Relationship Id="rId28" Type="http://schemas.openxmlformats.org/officeDocument/2006/relationships/image" Target="media/image14.png"/><Relationship Id="rId27" Type="http://schemas.openxmlformats.org/officeDocument/2006/relationships/image" Target="media/image13.png"/><Relationship Id="rId26" Type="http://schemas.openxmlformats.org/officeDocument/2006/relationships/image" Target="media/image12.png"/><Relationship Id="rId25" Type="http://schemas.openxmlformats.org/officeDocument/2006/relationships/image" Target="media/image11.png"/><Relationship Id="rId24" Type="http://schemas.openxmlformats.org/officeDocument/2006/relationships/image" Target="media/image10.png"/><Relationship Id="rId23" Type="http://schemas.openxmlformats.org/officeDocument/2006/relationships/image" Target="media/image9.png"/><Relationship Id="rId22" Type="http://schemas.openxmlformats.org/officeDocument/2006/relationships/image" Target="media/image8.png"/><Relationship Id="rId21" Type="http://schemas.openxmlformats.org/officeDocument/2006/relationships/image" Target="media/image7.png"/><Relationship Id="rId20" Type="http://schemas.openxmlformats.org/officeDocument/2006/relationships/image" Target="media/image6.png"/><Relationship Id="rId2" Type="http://schemas.openxmlformats.org/officeDocument/2006/relationships/settings" Target="settings.xml"/><Relationship Id="rId19" Type="http://schemas.openxmlformats.org/officeDocument/2006/relationships/image" Target="media/image5.png"/><Relationship Id="rId18" Type="http://schemas.openxmlformats.org/officeDocument/2006/relationships/image" Target="media/image4.png"/><Relationship Id="rId17" Type="http://schemas.openxmlformats.org/officeDocument/2006/relationships/image" Target="media/image3.png"/><Relationship Id="rId16" Type="http://schemas.openxmlformats.org/officeDocument/2006/relationships/image" Target="media/image2.png"/><Relationship Id="rId15" Type="http://schemas.openxmlformats.org/officeDocument/2006/relationships/image" Target="media/image1.png"/><Relationship Id="rId14" Type="http://schemas.openxmlformats.org/officeDocument/2006/relationships/theme" Target="theme/theme1.xml"/><Relationship Id="rId13" Type="http://schemas.openxmlformats.org/officeDocument/2006/relationships/footer" Target="footer11.xml"/><Relationship Id="rId12" Type="http://schemas.openxmlformats.org/officeDocument/2006/relationships/footer" Target="footer10.xml"/><Relationship Id="rId11" Type="http://schemas.openxmlformats.org/officeDocument/2006/relationships/footer" Target="footer9.xml"/><Relationship Id="rId10" Type="http://schemas.openxmlformats.org/officeDocument/2006/relationships/footer" Target="footer8.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224</Pages>
  <Words>118116</Words>
  <Characters>136459</Characters>
  <Lines>618</Lines>
  <Paragraphs>173</Paragraphs>
  <TotalTime>226</TotalTime>
  <ScaleCrop>false</ScaleCrop>
  <LinksUpToDate>false</LinksUpToDate>
  <CharactersWithSpaces>137546</CharactersWithSpaces>
  <Application>WPS Office_12.1.0.17142_F1E327BC-269C-435d-A152-05C5408002CA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2021-10-29T11:05:00Z</dcterms:created>
  <dc:creator>LH2</dc:creator>
  <cp:lastModifiedBy>^O^ly</cp:lastModifiedBy>
  <cp:lastPrinted>2022-07-11T12:12:00Z</cp:lastPrinted>
  <dcterms:modified xsi:type="dcterms:W3CDTF">2024-08-26T02:39:59Z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wqlLaW5nc29mdCBQREYgdG8gV1BTIDY1</vt:lpwstr>
  </property>
  <property fmtid="{D5CDD505-2E9C-101B-9397-08002B2CF9AE}" pid="3" name="Created">
    <vt:filetime>2022-01-06T10:03:02Z</vt:filetime>
  </property>
  <property fmtid="{D5CDD505-2E9C-101B-9397-08002B2CF9AE}" pid="4" name="KSOProductBuildVer">
    <vt:lpwstr>2052-12.1.0.17142</vt:lpwstr>
  </property>
  <property fmtid="{D5CDD505-2E9C-101B-9397-08002B2CF9AE}" pid="5" name="ICV">
    <vt:lpwstr>4985D0AE73894368A39CE40C5BAEFEA0_13</vt:lpwstr>
  </property>
</Properties>
</file>