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30</w:t>
      </w:r>
      <w:r>
        <w:rPr>
          <w:rFonts w:hint="eastAsia" w:ascii="Times New Roman" w:hAnsi="Times New Roman" w:eastAsia="仿宋_GB2312"/>
          <w:color w:val="000000"/>
          <w:sz w:val="32"/>
        </w:rPr>
        <w:t>号</w:t>
      </w:r>
    </w:p>
    <w:p>
      <w:pPr>
        <w:pStyle w:val="4"/>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lang w:eastAsia="zh-CN"/>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G85G76重庆（川渝界）至成都高速公路扩容工程施工总承包ZCB4标段临时拌合站</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lang w:eastAsia="zh-CN"/>
        </w:rPr>
        <w:t>项目</w:t>
      </w: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中铁五局集团有限公司G85G76重庆（川渝界）至成都高速公路扩容工程施工总承包ZCB4标段项目经理部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你单位报送的《G85G76重庆（川渝界）至成都高速公路扩容工程施工总承包ZCB4标段临时拌合站项目</w:t>
      </w:r>
      <w:r>
        <w:rPr>
          <w:rFonts w:hint="eastAsia" w:ascii="Times New Roman" w:eastAsia="方正仿宋简体" w:cs="Times New Roman"/>
          <w:color w:val="auto"/>
          <w:sz w:val="32"/>
          <w:szCs w:val="32"/>
          <w:u w:val="none" w:color="auto"/>
          <w:lang w:val="zh-CN" w:eastAsia="zh-CN"/>
        </w:rPr>
        <w:t>环</w:t>
      </w:r>
      <w:r>
        <w:rPr>
          <w:rFonts w:hint="eastAsia" w:ascii="Times New Roman" w:eastAsia="方正仿宋简体" w:cs="Times New Roman"/>
          <w:color w:val="auto"/>
          <w:sz w:val="32"/>
          <w:szCs w:val="32"/>
          <w:u w:val="none" w:color="auto"/>
          <w:lang w:val="en-US" w:eastAsia="zh-CN"/>
        </w:rPr>
        <w:t>境影响报告表》（以下简称：报告表）及审批申请、承诺书等收悉。现对报告表批复如下：</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该项目为污染影响类项目，四川省发展和改革委员会于2022年8月29日以《关于</w:t>
      </w:r>
      <w:r>
        <w:rPr>
          <w:rFonts w:hint="eastAsia" w:ascii="Times New Roman" w:eastAsia="方正仿宋简体" w:cs="Times New Roman"/>
          <w:color w:val="auto"/>
          <w:sz w:val="32"/>
          <w:szCs w:val="32"/>
          <w:u w:val="none" w:color="auto"/>
          <w:lang w:eastAsia="zh-CN"/>
        </w:rPr>
        <w:t>G85G76 重庆(川渝界)至成都高速公路扩容工程项目标准</w:t>
      </w:r>
      <w:r>
        <w:rPr>
          <w:rFonts w:hint="eastAsia" w:ascii="Times New Roman" w:eastAsia="方正仿宋简体" w:cs="Times New Roman"/>
          <w:color w:val="auto"/>
          <w:sz w:val="32"/>
          <w:szCs w:val="32"/>
          <w:u w:val="none" w:color="auto"/>
          <w:lang w:val="en-US" w:eastAsia="zh-CN"/>
        </w:rPr>
        <w:t>的批复》（川发改基础〔2022〕471号）对本项目进行了项目审批，项目建设地址位于四川省资阳市雁江区宝台镇东角村，主要建设内容为：建设混凝土临时拌合站1处，占地面积约为21085m</w:t>
      </w:r>
      <w:r>
        <w:rPr>
          <w:rFonts w:hint="eastAsia" w:ascii="Times New Roman" w:eastAsia="方正仿宋简体" w:cs="Times New Roman"/>
          <w:color w:val="auto"/>
          <w:sz w:val="32"/>
          <w:szCs w:val="32"/>
          <w:u w:val="none" w:color="auto"/>
          <w:vertAlign w:val="superscript"/>
          <w:lang w:val="en-US" w:eastAsia="zh-CN"/>
        </w:rPr>
        <w:t>2</w:t>
      </w:r>
      <w:r>
        <w:rPr>
          <w:rFonts w:hint="eastAsia" w:ascii="Times New Roman" w:eastAsia="方正仿宋简体" w:cs="Times New Roman"/>
          <w:color w:val="auto"/>
          <w:sz w:val="32"/>
          <w:szCs w:val="32"/>
          <w:u w:val="none" w:color="auto"/>
          <w:lang w:val="en-US" w:eastAsia="zh-CN"/>
        </w:rPr>
        <w:t>，主要用于混凝土制作；总设计生产能力为混凝土33万立方米、平均年生产能力为11万立方米，全部用于G85G76重庆（川渝界）至成都高速公路扩容工程ZCB4标段施工。项目总投资490万元，其中环保投资62.3万元，占总投资的12.7%。</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Times New Roman" w:eastAsia="方正仿宋简体" w:cs="Times New Roman"/>
          <w:strike w:val="0"/>
          <w:dstrike w:val="0"/>
          <w:color w:val="000000"/>
          <w:sz w:val="32"/>
          <w:szCs w:val="32"/>
          <w:lang w:val="en-US" w:eastAsia="zh-CN"/>
        </w:rPr>
      </w:pPr>
      <w:r>
        <w:rPr>
          <w:rFonts w:hint="eastAsia" w:ascii="方正仿宋_GBK" w:hAnsi="方正仿宋_GBK" w:eastAsia="方正仿宋_GBK" w:cs="方正仿宋_GBK"/>
          <w:spacing w:val="-13"/>
          <w:kern w:val="0"/>
          <w:sz w:val="32"/>
          <w:szCs w:val="32"/>
          <w:lang w:val="en-US" w:eastAsia="zh-CN" w:bidi="ar"/>
        </w:rPr>
        <w:t>（一）</w:t>
      </w:r>
      <w:r>
        <w:rPr>
          <w:rFonts w:hint="eastAsia" w:ascii="Times New Roman" w:eastAsia="方正仿宋简体" w:cs="Times New Roman"/>
          <w:strike w:val="0"/>
          <w:dstrike w:val="0"/>
          <w:color w:val="000000"/>
          <w:sz w:val="32"/>
          <w:szCs w:val="32"/>
          <w:lang w:val="en-US" w:eastAsia="zh-CN"/>
        </w:rPr>
        <w:t>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8"/>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2"/>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9</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24</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4"/>
        <w:rPr>
          <w:rFonts w:hint="eastAsia" w:eastAsia="宋体"/>
          <w:lang w:eastAsia="zh-CN"/>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四川全过程安全环保技术服务有限公司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9</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24</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p/>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Times New Roman" w:hAnsi="Times New Roman" w:eastAsia="方正仿宋简体"/>
        <w:sz w:val="28"/>
        <w:szCs w:val="28"/>
      </w:rPr>
    </w:pPr>
    <w:r>
      <w:rPr>
        <w:rStyle w:val="7"/>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7"/>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7"/>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7"/>
        <w:rFonts w:hint="eastAsia" w:ascii="Times New Roman" w:hAnsi="Times New Roman" w:eastAsia="方正仿宋简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3"/>
                          </w:pPr>
                          <w:r>
                            <w:fldChar w:fldCharType="begin"/>
                          </w:r>
                          <w:r>
                            <w:rPr>
                              <w:rStyle w:val="7"/>
                            </w:rPr>
                            <w:instrText xml:space="preserve">Page</w:instrText>
                          </w:r>
                          <w:r>
                            <w:fldChar w:fldCharType="separate"/>
                          </w:r>
                          <w:r>
                            <w:rPr>
                              <w:rStyle w:val="7"/>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3"/>
                    </w:pPr>
                    <w:r>
                      <w:fldChar w:fldCharType="begin"/>
                    </w:r>
                    <w:r>
                      <w:rPr>
                        <w:rStyle w:val="7"/>
                      </w:rPr>
                      <w:instrText xml:space="preserve">Page</w:instrText>
                    </w:r>
                    <w:r>
                      <w:fldChar w:fldCharType="separate"/>
                    </w:r>
                    <w:r>
                      <w:rPr>
                        <w:rStyle w:val="7"/>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C27EB"/>
    <w:rsid w:val="03A67136"/>
    <w:rsid w:val="049C27EB"/>
    <w:rsid w:val="1CDF0AEB"/>
    <w:rsid w:val="29033289"/>
    <w:rsid w:val="438C21E0"/>
    <w:rsid w:val="6A3B6DD7"/>
    <w:rsid w:val="6D886442"/>
    <w:rsid w:val="6F962016"/>
    <w:rsid w:val="729C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3">
    <w:name w:val="footer"/>
    <w:basedOn w:val="1"/>
    <w:qFormat/>
    <w:uiPriority w:val="0"/>
    <w:pPr>
      <w:tabs>
        <w:tab w:val="center" w:pos="4153"/>
        <w:tab w:val="right" w:pos="8307"/>
      </w:tabs>
      <w:snapToGrid w:val="0"/>
      <w:jc w:val="left"/>
    </w:pPr>
    <w:rPr>
      <w:sz w:val="18"/>
    </w:rPr>
  </w:style>
  <w:style w:type="paragraph" w:styleId="4">
    <w:name w:val="Body Text 2"/>
    <w:basedOn w:val="1"/>
    <w:qFormat/>
    <w:uiPriority w:val="0"/>
    <w:rPr>
      <w:rFonts w:ascii="宋体" w:hAnsi="宋体"/>
      <w:sz w:val="28"/>
      <w:szCs w:val="20"/>
    </w:rPr>
  </w:style>
  <w:style w:type="character" w:styleId="7">
    <w:name w:val="page number"/>
    <w:basedOn w:val="6"/>
    <w:qFormat/>
    <w:uiPriority w:val="0"/>
  </w:style>
  <w:style w:type="paragraph" w:customStyle="1" w:styleId="8">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2024-09-24T06:16:00Z</dcterms:created>
  <dc:creator>全夏冬</dc:creator>
  <cp:lastModifiedBy>莫方敏</cp:lastModifiedBy>
  <cp:lastPrinted>2024-09-24T07:41:00Z</cp:lastPrinted>
  <dcterms:modified xsi:type="dcterms:W3CDTF">2024-09-27T06:37:35Z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EFFCC9699E874FC48AE98DD47D83E93F_11</vt:lpwstr>
  </property>
</Properties>
</file>