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w:t>
      </w:r>
      <w:r>
        <w:rPr>
          <w:rFonts w:hint="eastAsia" w:ascii="方正小标宋简体" w:eastAsia="方正小标宋简体"/>
          <w:sz w:val="44"/>
          <w:szCs w:val="44"/>
          <w:lang w:val="en-US" w:eastAsia="zh-CN"/>
        </w:rPr>
        <w:t>国有资产监管和金融工作局</w:t>
      </w:r>
    </w:p>
    <w:p>
      <w:pPr>
        <w:spacing w:line="600" w:lineRule="exact"/>
        <w:ind w:firstLine="1760" w:firstLineChars="400"/>
        <w:jc w:val="both"/>
        <w:rPr>
          <w:rFonts w:hint="eastAsia" w:ascii="方正小标宋简体" w:eastAsia="方正小标宋简体"/>
          <w:sz w:val="44"/>
          <w:szCs w:val="44"/>
        </w:rPr>
      </w:pPr>
      <w:r>
        <w:rPr>
          <w:rFonts w:hint="eastAsia" w:ascii="方正小标宋简体" w:eastAsia="方正小标宋简体"/>
          <w:sz w:val="44"/>
          <w:szCs w:val="44"/>
          <w:lang w:val="en-US" w:eastAsia="zh-CN"/>
        </w:rPr>
        <w:t>2024</w:t>
      </w:r>
      <w:r>
        <w:rPr>
          <w:rFonts w:hint="eastAsia" w:ascii="方正小标宋简体" w:eastAsia="方正小标宋简体"/>
          <w:sz w:val="44"/>
          <w:szCs w:val="44"/>
        </w:rPr>
        <w:t>年单位预算编制说明</w:t>
      </w:r>
    </w:p>
    <w:p>
      <w:pPr>
        <w:spacing w:line="600" w:lineRule="exact"/>
        <w:ind w:firstLine="640" w:firstLineChars="200"/>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eastAsia="黑体"/>
          <w:sz w:val="33"/>
          <w:szCs w:val="33"/>
        </w:rPr>
      </w:pPr>
      <w:r>
        <w:rPr>
          <w:rFonts w:eastAsia="黑体"/>
          <w:sz w:val="33"/>
          <w:szCs w:val="33"/>
        </w:rPr>
        <w:t>一、基本职能及主要工作</w:t>
      </w:r>
    </w:p>
    <w:p>
      <w:pPr>
        <w:keepNext w:val="0"/>
        <w:keepLines w:val="0"/>
        <w:pageBreakBefore w:val="0"/>
        <w:widowControl w:val="0"/>
        <w:kinsoku/>
        <w:wordWrap/>
        <w:overflowPunct/>
        <w:topLinePunct w:val="0"/>
        <w:autoSpaceDE/>
        <w:autoSpaceDN/>
        <w:bidi w:val="0"/>
        <w:spacing w:line="570" w:lineRule="exact"/>
        <w:ind w:left="596" w:leftChars="284"/>
        <w:textAlignment w:val="auto"/>
        <w:rPr>
          <w:rFonts w:eastAsia="方正楷体简体"/>
          <w:b/>
          <w:sz w:val="33"/>
          <w:szCs w:val="33"/>
        </w:rPr>
      </w:pPr>
      <w:r>
        <w:rPr>
          <w:rFonts w:eastAsia="方正楷体简体"/>
          <w:b/>
          <w:sz w:val="33"/>
          <w:szCs w:val="33"/>
        </w:rPr>
        <w:t>（一）职能简介</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left="0" w:right="0" w:firstLine="660" w:firstLineChars="200"/>
        <w:jc w:val="both"/>
        <w:textAlignment w:val="auto"/>
        <w:rPr>
          <w:rFonts w:hint="eastAsia" w:eastAsia="方正仿宋简体"/>
          <w:sz w:val="33"/>
          <w:szCs w:val="33"/>
        </w:rPr>
      </w:pPr>
      <w:r>
        <w:rPr>
          <w:rFonts w:hint="eastAsia" w:eastAsia="方正仿宋简体"/>
          <w:sz w:val="33"/>
          <w:szCs w:val="33"/>
        </w:rPr>
        <w:t>资阳市雁江区国有资产监管和金融工作局</w:t>
      </w:r>
      <w:r>
        <w:rPr>
          <w:rFonts w:hint="eastAsia" w:ascii="宋体" w:hAnsi="宋体" w:eastAsia="方正仿宋简体" w:cs="方正仿宋简体"/>
          <w:kern w:val="2"/>
          <w:sz w:val="33"/>
          <w:szCs w:val="33"/>
          <w:lang w:val="en-US" w:eastAsia="zh-CN" w:bidi="ar"/>
        </w:rPr>
        <w:t>根据区政府授权，依照《中华人民共和国公司法》《中华人民共和国企业国有资产法》等法律和行政法规履行出资人职责，负责监管区属企业国有资产，加强国有资产的管理工作；</w:t>
      </w:r>
      <w:r>
        <w:rPr>
          <w:rFonts w:hint="eastAsia" w:ascii="宋体" w:hAnsi="宋体" w:eastAsia="方正仿宋简体" w:cs="Times New Roman"/>
          <w:kern w:val="2"/>
          <w:sz w:val="33"/>
          <w:szCs w:val="33"/>
          <w:lang w:val="en-US" w:eastAsia="zh-CN" w:bidi="ar"/>
        </w:rPr>
        <w:t>统筹、协调推进全区金融业服务实体经济、防控金融风险，推动政府与金融机构合作，加强金融对外合作交流；统筹全区地方金融要素市场体系建设，会同有关部门指导、推动全区金融要素市场建设，组织推进多层次资本市场发展。</w:t>
      </w:r>
    </w:p>
    <w:p>
      <w:pPr>
        <w:keepNext w:val="0"/>
        <w:keepLines w:val="0"/>
        <w:pageBreakBefore w:val="0"/>
        <w:widowControl w:val="0"/>
        <w:kinsoku/>
        <w:wordWrap/>
        <w:overflowPunct/>
        <w:topLinePunct w:val="0"/>
        <w:autoSpaceDE/>
        <w:autoSpaceDN/>
        <w:bidi w:val="0"/>
        <w:spacing w:line="570" w:lineRule="exact"/>
        <w:ind w:firstLine="636" w:firstLineChars="192"/>
        <w:textAlignment w:val="auto"/>
        <w:rPr>
          <w:rFonts w:eastAsia="方正楷体简体"/>
          <w:b/>
          <w:sz w:val="33"/>
          <w:szCs w:val="33"/>
        </w:rPr>
      </w:pPr>
      <w:r>
        <w:rPr>
          <w:rFonts w:eastAsia="方正楷体简体"/>
          <w:b/>
          <w:sz w:val="33"/>
          <w:szCs w:val="33"/>
        </w:rPr>
        <w:t>（二）</w:t>
      </w:r>
      <w:r>
        <w:rPr>
          <w:rFonts w:hint="eastAsia" w:eastAsia="方正楷体简体"/>
          <w:b/>
          <w:sz w:val="33"/>
          <w:szCs w:val="33"/>
          <w:lang w:val="en-US" w:eastAsia="zh-CN"/>
        </w:rPr>
        <w:t>2024</w:t>
      </w:r>
      <w:r>
        <w:rPr>
          <w:rFonts w:eastAsia="方正楷体简体"/>
          <w:b/>
          <w:sz w:val="33"/>
          <w:szCs w:val="33"/>
        </w:rPr>
        <w:t>年重点工作</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right="0" w:firstLine="663" w:firstLineChars="200"/>
        <w:jc w:val="both"/>
        <w:textAlignment w:val="auto"/>
        <w:rPr>
          <w:rFonts w:hint="eastAsia" w:ascii="宋体" w:hAnsi="宋体" w:eastAsia="方正仿宋_GBK" w:cs="方正仿宋_GBK"/>
          <w:sz w:val="33"/>
          <w:szCs w:val="33"/>
          <w:lang w:val="en-US"/>
        </w:rPr>
      </w:pPr>
      <w:r>
        <w:rPr>
          <w:rFonts w:hint="eastAsia" w:ascii="宋体" w:hAnsi="宋体" w:eastAsia="方正楷体_GBK" w:cs="方正楷体_GBK"/>
          <w:b/>
          <w:bCs/>
          <w:kern w:val="2"/>
          <w:sz w:val="33"/>
          <w:szCs w:val="33"/>
          <w:lang w:val="en-US" w:eastAsia="zh-CN" w:bidi="ar"/>
        </w:rPr>
        <w:t>1．国资国企方面。</w:t>
      </w:r>
      <w:r>
        <w:rPr>
          <w:rFonts w:hint="eastAsia" w:ascii="宋体" w:hAnsi="宋体" w:eastAsia="方正仿宋_GBK" w:cs="方正仿宋_GBK"/>
          <w:b/>
          <w:bCs/>
          <w:kern w:val="2"/>
          <w:sz w:val="33"/>
          <w:szCs w:val="33"/>
          <w:lang w:val="en-US" w:eastAsia="zh-CN" w:bidi="ar"/>
        </w:rPr>
        <w:t>一是</w:t>
      </w:r>
      <w:r>
        <w:rPr>
          <w:rFonts w:hint="eastAsia" w:ascii="宋体" w:hAnsi="宋体" w:eastAsia="方正仿宋_GBK" w:cs="方正仿宋_GBK"/>
          <w:kern w:val="2"/>
          <w:sz w:val="33"/>
          <w:szCs w:val="33"/>
          <w:lang w:val="en-US" w:eastAsia="zh-CN" w:bidi="ar"/>
        </w:rPr>
        <w:t>全面加强党的领导和党的建设。指导企业继续加强将党建工作融入经营管理、人才培养、项目推进、安全生产、改革发展等方面，不断推进党建与中心工作有机结合、相互促进，以高质量党建促进国有企业高质量发展。</w:t>
      </w:r>
      <w:r>
        <w:rPr>
          <w:rFonts w:hint="eastAsia" w:ascii="宋体" w:hAnsi="宋体" w:eastAsia="方正仿宋_GBK" w:cs="方正仿宋_GBK"/>
          <w:b/>
          <w:bCs/>
          <w:kern w:val="2"/>
          <w:sz w:val="33"/>
          <w:szCs w:val="33"/>
          <w:lang w:val="en-US" w:eastAsia="zh-CN" w:bidi="ar"/>
        </w:rPr>
        <w:t>二是</w:t>
      </w:r>
      <w:r>
        <w:rPr>
          <w:rFonts w:hint="eastAsia" w:ascii="宋体" w:hAnsi="宋体" w:eastAsia="方正仿宋_GBK" w:cs="方正仿宋_GBK"/>
          <w:kern w:val="2"/>
          <w:sz w:val="33"/>
          <w:szCs w:val="33"/>
          <w:lang w:val="en-US" w:eastAsia="zh-CN" w:bidi="ar"/>
        </w:rPr>
        <w:t>规范企业内部运行机制。监督企业严格按制度要求落实相关工作，进一步推进企业依法决策、依法经营、依法管理，全面提升企业管理规范化、制度化、法制化水平。</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right="0"/>
        <w:jc w:val="both"/>
        <w:textAlignment w:val="auto"/>
        <w:rPr>
          <w:rFonts w:hint="eastAsia" w:ascii="宋体" w:hAnsi="宋体" w:eastAsia="方正仿宋_GBK" w:cs="方正仿宋_GBK"/>
          <w:sz w:val="33"/>
          <w:szCs w:val="33"/>
          <w:lang w:val="zh-CN" w:eastAsia="zh-CN" w:bidi="zh-CN"/>
        </w:rPr>
      </w:pPr>
      <w:r>
        <w:rPr>
          <w:rFonts w:hint="eastAsia" w:ascii="宋体" w:hAnsi="宋体" w:eastAsia="方正仿宋_GBK" w:cs="方正仿宋_GBK"/>
          <w:b/>
          <w:bCs/>
          <w:kern w:val="2"/>
          <w:sz w:val="33"/>
          <w:szCs w:val="33"/>
          <w:lang w:val="en-US" w:eastAsia="zh-CN" w:bidi="ar"/>
        </w:rPr>
        <w:t>三是</w:t>
      </w:r>
      <w:r>
        <w:rPr>
          <w:rFonts w:hint="eastAsia" w:ascii="宋体" w:hAnsi="宋体" w:eastAsia="方正仿宋_GBK" w:cs="方正仿宋_GBK"/>
          <w:kern w:val="2"/>
          <w:sz w:val="33"/>
          <w:szCs w:val="33"/>
          <w:lang w:val="en-US" w:eastAsia="zh-CN" w:bidi="ar"/>
        </w:rPr>
        <w:t>严防债务领域风险。加强企业债务融资资金用途管控，督促企业将投资放到产业引领、国计民生、公共服务等关键领域和重要行业，切实发挥资本市场服务实体经济的功能作用。督促企业严格执行国家金融监管政策，严禁资金空转、脱实向虚，严禁挪用资金、违规套利，有效防范资金使用风险。</w:t>
      </w:r>
      <w:r>
        <w:rPr>
          <w:rFonts w:hint="eastAsia" w:ascii="宋体" w:hAnsi="宋体" w:eastAsia="方正仿宋_GBK" w:cs="方正仿宋_GBK"/>
          <w:b/>
          <w:bCs/>
          <w:kern w:val="2"/>
          <w:sz w:val="33"/>
          <w:szCs w:val="33"/>
          <w:lang w:val="en-US" w:eastAsia="zh-CN" w:bidi="ar"/>
        </w:rPr>
        <w:t>四是</w:t>
      </w:r>
      <w:r>
        <w:rPr>
          <w:rFonts w:hint="eastAsia" w:ascii="宋体" w:hAnsi="宋体" w:eastAsia="方正仿宋_GBK" w:cs="方正仿宋_GBK"/>
          <w:kern w:val="2"/>
          <w:sz w:val="33"/>
          <w:szCs w:val="33"/>
          <w:lang w:val="en-US" w:eastAsia="zh-CN" w:bidi="ar"/>
        </w:rPr>
        <w:t>优化企业人力资源。开展企业人力资源摸底调查，大力实施“人才强企”战略。组织企业干部持续深入系统学习产业经济及国资监管专业知识，努力成为“懂经济、懂产业、懂企业”的行家里手，着力提升国资国企干部队伍的业务能力水平。</w:t>
      </w:r>
    </w:p>
    <w:p>
      <w:pPr>
        <w:keepNext w:val="0"/>
        <w:keepLines w:val="0"/>
        <w:pageBreakBefore w:val="0"/>
        <w:widowControl w:val="0"/>
        <w:suppressLineNumbers w:val="0"/>
        <w:tabs>
          <w:tab w:val="left" w:pos="5985"/>
        </w:tabs>
        <w:kinsoku/>
        <w:wordWrap/>
        <w:overflowPunct/>
        <w:topLinePunct w:val="0"/>
        <w:autoSpaceDE/>
        <w:autoSpaceDN/>
        <w:bidi w:val="0"/>
        <w:spacing w:before="0" w:beforeAutospacing="0" w:after="0" w:afterAutospacing="0" w:line="570" w:lineRule="exact"/>
        <w:ind w:left="0" w:right="0" w:firstLine="663" w:firstLineChars="200"/>
        <w:jc w:val="both"/>
        <w:textAlignment w:val="auto"/>
        <w:rPr>
          <w:rFonts w:hint="eastAsia" w:ascii="宋体" w:hAnsi="宋体" w:eastAsia="方正仿宋_GBK" w:cs="宋体"/>
          <w:sz w:val="33"/>
          <w:szCs w:val="33"/>
          <w:lang w:val="en-US"/>
        </w:rPr>
      </w:pPr>
      <w:r>
        <w:rPr>
          <w:rFonts w:hint="eastAsia" w:ascii="宋体" w:hAnsi="宋体" w:eastAsia="方正楷体_GBK" w:cs="方正楷体_GBK"/>
          <w:b/>
          <w:bCs/>
          <w:kern w:val="2"/>
          <w:sz w:val="33"/>
          <w:szCs w:val="33"/>
          <w:lang w:val="en-US" w:eastAsia="zh-CN" w:bidi="ar"/>
        </w:rPr>
        <w:t>2．金融方面。</w:t>
      </w:r>
      <w:r>
        <w:rPr>
          <w:rFonts w:hint="eastAsia" w:ascii="宋体" w:hAnsi="宋体" w:eastAsia="方正仿宋_GBK" w:cs="方正仿宋_GBK"/>
          <w:b/>
          <w:bCs/>
          <w:color w:val="000000"/>
          <w:kern w:val="2"/>
          <w:sz w:val="33"/>
          <w:szCs w:val="33"/>
          <w:lang w:val="en-US" w:eastAsia="zh-CN" w:bidi="ar"/>
        </w:rPr>
        <w:t>一是</w:t>
      </w:r>
      <w:r>
        <w:rPr>
          <w:rFonts w:hint="eastAsia" w:ascii="宋体" w:hAnsi="宋体" w:eastAsia="方正仿宋_GBK" w:cs="方正仿宋_GBK"/>
          <w:color w:val="000000"/>
          <w:kern w:val="2"/>
          <w:sz w:val="33"/>
          <w:szCs w:val="33"/>
          <w:lang w:val="en-US" w:eastAsia="zh-CN" w:bidi="ar"/>
        </w:rPr>
        <w:t>全面提升金融获得率。提升实体金融服务质效，充分发挥“金融顾问团”雁江服务站的桥梁纽带作用，通过金融走基层、进园区等形式，积极开展银企对接活动，积极为我区中小微企业合理运用金融工具、优化融资结构、防范金融风险等提供针对性金融服务，帮助企业更好把握经济和金融政策，提升企业金融获得率。</w:t>
      </w:r>
      <w:r>
        <w:rPr>
          <w:rFonts w:hint="eastAsia" w:ascii="宋体" w:hAnsi="宋体" w:eastAsia="方正仿宋_GBK" w:cs="方正仿宋_GBK"/>
          <w:b/>
          <w:bCs/>
          <w:color w:val="000000"/>
          <w:kern w:val="2"/>
          <w:sz w:val="33"/>
          <w:szCs w:val="33"/>
          <w:lang w:val="en-US" w:eastAsia="zh-CN" w:bidi="ar"/>
        </w:rPr>
        <w:t>二是</w:t>
      </w:r>
      <w:r>
        <w:rPr>
          <w:rFonts w:hint="eastAsia" w:ascii="宋体" w:hAnsi="宋体" w:eastAsia="方正仿宋_GBK" w:cs="方正仿宋_GBK"/>
          <w:color w:val="000000"/>
          <w:kern w:val="2"/>
          <w:sz w:val="33"/>
          <w:szCs w:val="33"/>
          <w:lang w:val="en-US" w:eastAsia="zh-CN" w:bidi="ar"/>
        </w:rPr>
        <w:t>完善金融服务体系。聚焦资本市场改革，建立企业常态化合作服务机制，联合证券机构开展资本市场和企业入库政策宣讲，引导鼓励更多企业改制挂牌，推进我区企业进入省上市后备企业资源库。全力引入成渝地区担保、融资租赁、商业保理、资产管理等金融组织跨区域前来我区展业，补齐我区金融发展短板。推动</w:t>
      </w:r>
      <w:r>
        <w:rPr>
          <w:rFonts w:hint="eastAsia" w:ascii="宋体" w:hAnsi="宋体" w:eastAsia="方正仿宋_GBK" w:cs="方正仿宋_GBK"/>
          <w:kern w:val="2"/>
          <w:sz w:val="33"/>
          <w:szCs w:val="33"/>
          <w:lang w:val="en-US" w:eastAsia="zh-CN" w:bidi="ar"/>
        </w:rPr>
        <w:t>“资易贷”普惠金融风险补偿基金尽快落地落实，切实提升中小微企业金融服务能力。引导金融机构从授信审批、贷款期限、贷款利率等方面对农户、农民专业合作社、农村企业给予优惠和便利，提升农村地区金融服务水平。</w:t>
      </w:r>
      <w:r>
        <w:rPr>
          <w:rFonts w:hint="eastAsia" w:ascii="宋体" w:hAnsi="宋体" w:eastAsia="方正仿宋_GBK" w:cs="方正仿宋_GBK"/>
          <w:b/>
          <w:bCs/>
          <w:kern w:val="2"/>
          <w:sz w:val="33"/>
          <w:szCs w:val="33"/>
          <w:lang w:val="en-US" w:eastAsia="zh-CN" w:bidi="ar"/>
        </w:rPr>
        <w:t>三是</w:t>
      </w:r>
      <w:r>
        <w:rPr>
          <w:rFonts w:hint="eastAsia" w:ascii="宋体" w:hAnsi="宋体" w:eastAsia="方正仿宋_GBK" w:cs="方正仿宋_GBK"/>
          <w:kern w:val="2"/>
          <w:sz w:val="33"/>
          <w:szCs w:val="33"/>
          <w:lang w:val="en-US" w:eastAsia="zh-CN" w:bidi="ar"/>
        </w:rPr>
        <w:t>推动金融生态环境优化。加强地方金融监管，开展涉金融字样企业排查工作，依法打击违规从事或变相从事金融服务的公司、机构，保护消费者合法权益。持续强化非法集资源头治理，加大非法集资宣传力度，提高群众防范辨识投资风险的能力。集中资源和力量持续推动历史遗留非法集资案件化解，用心用情做好信访重点人员工作。</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黑体"/>
          <w:sz w:val="33"/>
          <w:szCs w:val="33"/>
        </w:rPr>
      </w:pPr>
      <w:r>
        <w:rPr>
          <w:rFonts w:eastAsia="黑体"/>
          <w:sz w:val="33"/>
          <w:szCs w:val="33"/>
        </w:rPr>
        <w:t>二、收支预算情况</w:t>
      </w:r>
      <w:r>
        <w:rPr>
          <w:rFonts w:hint="eastAsia" w:eastAsia="黑体"/>
          <w:sz w:val="33"/>
          <w:szCs w:val="33"/>
        </w:rPr>
        <w:t>说明</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ascii="Times New Roman" w:hAnsi="Times New Roman" w:eastAsia="方正仿宋简体" w:cs="Times New Roman"/>
          <w:kern w:val="2"/>
          <w:sz w:val="33"/>
          <w:szCs w:val="33"/>
          <w:lang w:val="en-US" w:eastAsia="zh-CN" w:bidi="ar"/>
        </w:rPr>
      </w:pPr>
      <w:r>
        <w:rPr>
          <w:rFonts w:hint="eastAsia" w:ascii="Times New Roman" w:hAnsi="Times New Roman" w:eastAsia="方正仿宋简体" w:cs="Times New Roman"/>
          <w:kern w:val="2"/>
          <w:sz w:val="33"/>
          <w:szCs w:val="33"/>
          <w:lang w:val="en-US" w:eastAsia="zh-CN" w:bidi="ar"/>
        </w:rPr>
        <w:t>按照综合预算的原则，资阳市雁江区</w:t>
      </w:r>
      <w:r>
        <w:rPr>
          <w:rFonts w:hint="eastAsia" w:eastAsia="方正仿宋简体" w:cs="Times New Roman"/>
          <w:kern w:val="2"/>
          <w:sz w:val="33"/>
          <w:szCs w:val="33"/>
          <w:lang w:val="en-US" w:eastAsia="zh-CN" w:bidi="ar"/>
        </w:rPr>
        <w:t>国有资产监管和金融工作局</w:t>
      </w:r>
      <w:r>
        <w:rPr>
          <w:rFonts w:hint="eastAsia" w:ascii="Times New Roman" w:hAnsi="Times New Roman" w:eastAsia="方正仿宋简体" w:cs="Times New Roman"/>
          <w:kern w:val="2"/>
          <w:sz w:val="33"/>
          <w:szCs w:val="33"/>
          <w:lang w:val="en-US" w:eastAsia="zh-CN" w:bidi="ar"/>
        </w:rPr>
        <w:t>所有收入和支出均纳入单位预算管理。收入包括：一般公共预算拨款收入；支出包括：一般公共服务支出、社会保障和就业支出、卫生健康支出、住房保障支出。</w:t>
      </w:r>
      <w:r>
        <w:rPr>
          <w:rFonts w:hint="eastAsia" w:eastAsia="方正仿宋简体" w:cs="Times New Roman"/>
          <w:kern w:val="2"/>
          <w:sz w:val="33"/>
          <w:szCs w:val="33"/>
          <w:lang w:val="en-US" w:eastAsia="zh-CN" w:bidi="ar"/>
        </w:rPr>
        <w:t>资</w:t>
      </w:r>
      <w:r>
        <w:rPr>
          <w:rFonts w:hint="eastAsia" w:ascii="Times New Roman" w:hAnsi="Times New Roman" w:eastAsia="方正仿宋简体" w:cs="Times New Roman"/>
          <w:kern w:val="2"/>
          <w:sz w:val="33"/>
          <w:szCs w:val="33"/>
          <w:lang w:val="en-US" w:eastAsia="zh-CN" w:bidi="ar"/>
        </w:rPr>
        <w:t>阳市雁江区</w:t>
      </w:r>
      <w:r>
        <w:rPr>
          <w:rFonts w:hint="eastAsia" w:eastAsia="方正仿宋简体" w:cs="Times New Roman"/>
          <w:kern w:val="2"/>
          <w:sz w:val="33"/>
          <w:szCs w:val="33"/>
          <w:lang w:val="en-US" w:eastAsia="zh-CN" w:bidi="ar"/>
        </w:rPr>
        <w:t>国有资产监管和金融工作局</w:t>
      </w:r>
      <w:r>
        <w:rPr>
          <w:rFonts w:hint="default" w:ascii="Times New Roman" w:hAnsi="Times New Roman" w:eastAsia="方正仿宋简体" w:cs="Times New Roman"/>
          <w:kern w:val="2"/>
          <w:sz w:val="33"/>
          <w:szCs w:val="33"/>
          <w:lang w:val="en-US" w:eastAsia="zh-CN" w:bidi="ar"/>
        </w:rPr>
        <w:t>2</w:t>
      </w:r>
      <w:r>
        <w:rPr>
          <w:rFonts w:hint="eastAsia" w:eastAsia="方正仿宋简体" w:cs="Times New Roman"/>
          <w:kern w:val="2"/>
          <w:sz w:val="33"/>
          <w:szCs w:val="33"/>
          <w:lang w:val="en-US" w:eastAsia="zh-CN" w:bidi="ar"/>
        </w:rPr>
        <w:t>024</w:t>
      </w:r>
      <w:r>
        <w:rPr>
          <w:rFonts w:hint="eastAsia" w:ascii="Times New Roman" w:hAnsi="Times New Roman" w:eastAsia="方正仿宋简体" w:cs="Times New Roman"/>
          <w:kern w:val="2"/>
          <w:sz w:val="33"/>
          <w:szCs w:val="33"/>
          <w:lang w:val="en-US" w:eastAsia="zh-CN" w:bidi="ar"/>
        </w:rPr>
        <w:t>年收支总预算</w:t>
      </w:r>
      <w:r>
        <w:rPr>
          <w:rFonts w:hint="eastAsia" w:eastAsia="方正仿宋简体" w:cs="Times New Roman"/>
          <w:kern w:val="2"/>
          <w:sz w:val="33"/>
          <w:szCs w:val="33"/>
          <w:lang w:val="en-US" w:eastAsia="zh-CN" w:bidi="ar"/>
        </w:rPr>
        <w:t>474.57</w:t>
      </w:r>
      <w:r>
        <w:rPr>
          <w:rFonts w:hint="eastAsia" w:ascii="Times New Roman" w:hAnsi="Times New Roman" w:eastAsia="方正仿宋简体" w:cs="Times New Roman"/>
          <w:kern w:val="2"/>
          <w:sz w:val="33"/>
          <w:szCs w:val="33"/>
          <w:lang w:val="en-US" w:eastAsia="zh-CN" w:bidi="ar"/>
        </w:rPr>
        <w:t>万元。</w:t>
      </w:r>
    </w:p>
    <w:p>
      <w:pPr>
        <w:keepNext w:val="0"/>
        <w:keepLines w:val="0"/>
        <w:pageBreakBefore w:val="0"/>
        <w:widowControl w:val="0"/>
        <w:kinsoku/>
        <w:wordWrap/>
        <w:overflowPunct/>
        <w:topLinePunct w:val="0"/>
        <w:autoSpaceDE/>
        <w:autoSpaceDN/>
        <w:bidi w:val="0"/>
        <w:spacing w:line="570" w:lineRule="exact"/>
        <w:ind w:firstLine="663" w:firstLineChars="200"/>
        <w:textAlignment w:val="auto"/>
        <w:rPr>
          <w:rFonts w:hint="eastAsia" w:ascii="方正楷体_GBK" w:hAnsi="方正楷体_GBK" w:eastAsia="方正楷体_GBK" w:cs="方正楷体_GBK"/>
          <w:b/>
          <w:bCs/>
          <w:kern w:val="2"/>
          <w:sz w:val="33"/>
          <w:szCs w:val="33"/>
          <w:lang w:val="en-US" w:eastAsia="zh-CN" w:bidi="ar"/>
        </w:rPr>
      </w:pPr>
      <w:r>
        <w:rPr>
          <w:rFonts w:hint="eastAsia" w:ascii="方正楷体_GBK" w:hAnsi="方正楷体_GBK" w:eastAsia="方正楷体_GBK" w:cs="方正楷体_GBK"/>
          <w:b/>
          <w:bCs/>
          <w:kern w:val="2"/>
          <w:sz w:val="33"/>
          <w:szCs w:val="33"/>
          <w:lang w:val="en-US" w:eastAsia="zh-CN" w:bidi="ar"/>
        </w:rPr>
        <w:t>（一）收入预算情况</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left="0" w:right="0" w:firstLine="660" w:firstLineChars="200"/>
        <w:jc w:val="both"/>
        <w:textAlignment w:val="auto"/>
        <w:rPr>
          <w:rFonts w:eastAsia="方正仿宋简体"/>
          <w:sz w:val="33"/>
          <w:szCs w:val="33"/>
          <w:lang w:val="en-US"/>
        </w:rPr>
      </w:pPr>
      <w:r>
        <w:rPr>
          <w:rFonts w:hint="eastAsia" w:eastAsia="方正仿宋简体" w:cs="Times New Roman"/>
          <w:kern w:val="2"/>
          <w:sz w:val="33"/>
          <w:szCs w:val="33"/>
          <w:lang w:val="en-US" w:eastAsia="zh-CN" w:bidi="ar"/>
        </w:rPr>
        <w:t>资</w:t>
      </w:r>
      <w:r>
        <w:rPr>
          <w:rFonts w:hint="eastAsia" w:ascii="Times New Roman" w:hAnsi="Times New Roman" w:eastAsia="方正仿宋简体" w:cs="Times New Roman"/>
          <w:kern w:val="2"/>
          <w:sz w:val="33"/>
          <w:szCs w:val="33"/>
          <w:lang w:val="en-US" w:eastAsia="zh-CN" w:bidi="ar"/>
        </w:rPr>
        <w:t>阳市雁江区</w:t>
      </w:r>
      <w:r>
        <w:rPr>
          <w:rFonts w:hint="eastAsia" w:eastAsia="方正仿宋简体" w:cs="Times New Roman"/>
          <w:kern w:val="2"/>
          <w:sz w:val="33"/>
          <w:szCs w:val="33"/>
          <w:lang w:val="en-US" w:eastAsia="zh-CN" w:bidi="ar"/>
        </w:rPr>
        <w:t>国有资产监管和金融工作局</w:t>
      </w:r>
      <w:r>
        <w:rPr>
          <w:rFonts w:hint="default" w:ascii="Times New Roman" w:hAnsi="Times New Roman" w:eastAsia="方正仿宋简体" w:cs="Times New Roman"/>
          <w:kern w:val="2"/>
          <w:sz w:val="33"/>
          <w:szCs w:val="33"/>
          <w:lang w:val="en-US" w:eastAsia="zh-CN" w:bidi="ar"/>
        </w:rPr>
        <w:t>202</w:t>
      </w:r>
      <w:r>
        <w:rPr>
          <w:rFonts w:hint="eastAsia" w:eastAsia="方正仿宋简体" w:cs="Times New Roman"/>
          <w:kern w:val="2"/>
          <w:sz w:val="33"/>
          <w:szCs w:val="33"/>
          <w:lang w:val="en-US" w:eastAsia="zh-CN" w:bidi="ar"/>
        </w:rPr>
        <w:t>4</w:t>
      </w:r>
      <w:r>
        <w:rPr>
          <w:rFonts w:hint="eastAsia" w:ascii="Times New Roman" w:hAnsi="方正仿宋简体" w:eastAsia="方正仿宋简体" w:cs="方正仿宋简体"/>
          <w:kern w:val="2"/>
          <w:sz w:val="33"/>
          <w:szCs w:val="33"/>
          <w:lang w:val="en-US" w:eastAsia="zh-CN" w:bidi="ar"/>
        </w:rPr>
        <w:t>年收入预算</w:t>
      </w:r>
      <w:r>
        <w:rPr>
          <w:rFonts w:hint="eastAsia" w:eastAsia="方正仿宋简体" w:cs="Times New Roman"/>
          <w:kern w:val="2"/>
          <w:sz w:val="33"/>
          <w:szCs w:val="33"/>
          <w:lang w:val="en-US" w:eastAsia="zh-CN" w:bidi="ar"/>
        </w:rPr>
        <w:t>474.57</w:t>
      </w:r>
      <w:r>
        <w:rPr>
          <w:rFonts w:hint="eastAsia" w:ascii="Times New Roman" w:hAnsi="方正仿宋简体" w:eastAsia="方正仿宋简体" w:cs="方正仿宋简体"/>
          <w:kern w:val="2"/>
          <w:sz w:val="33"/>
          <w:szCs w:val="33"/>
          <w:lang w:val="en-US" w:eastAsia="zh-CN" w:bidi="ar"/>
        </w:rPr>
        <w:t>万元，其中：一般公共预算拨款收入</w:t>
      </w:r>
      <w:r>
        <w:rPr>
          <w:rFonts w:hint="eastAsia" w:eastAsia="方正仿宋简体" w:cs="Times New Roman"/>
          <w:kern w:val="2"/>
          <w:sz w:val="33"/>
          <w:szCs w:val="33"/>
          <w:lang w:val="en-US" w:eastAsia="zh-CN" w:bidi="ar"/>
        </w:rPr>
        <w:t>474.57</w:t>
      </w:r>
      <w:r>
        <w:rPr>
          <w:rFonts w:hint="eastAsia" w:ascii="Times New Roman" w:hAnsi="方正仿宋简体" w:eastAsia="方正仿宋简体" w:cs="方正仿宋简体"/>
          <w:kern w:val="2"/>
          <w:sz w:val="33"/>
          <w:szCs w:val="33"/>
          <w:lang w:val="en-US" w:eastAsia="zh-CN" w:bidi="ar"/>
        </w:rPr>
        <w:t>万元，占</w:t>
      </w:r>
      <w:r>
        <w:rPr>
          <w:rFonts w:hint="default" w:ascii="Times New Roman" w:hAnsi="Times New Roman" w:eastAsia="方正仿宋简体" w:cs="Times New Roman"/>
          <w:kern w:val="2"/>
          <w:sz w:val="33"/>
          <w:szCs w:val="33"/>
          <w:lang w:val="en-US" w:eastAsia="zh-CN" w:bidi="ar"/>
        </w:rPr>
        <w:t>100%</w:t>
      </w:r>
      <w:r>
        <w:rPr>
          <w:rFonts w:hint="eastAsia" w:ascii="Times New Roman" w:hAnsi="方正仿宋简体" w:eastAsia="方正仿宋简体" w:cs="方正仿宋简体"/>
          <w:kern w:val="2"/>
          <w:sz w:val="33"/>
          <w:szCs w:val="33"/>
          <w:lang w:val="en-US" w:eastAsia="zh-CN" w:bidi="ar"/>
        </w:rPr>
        <w:t>。</w:t>
      </w:r>
    </w:p>
    <w:p>
      <w:pPr>
        <w:keepNext w:val="0"/>
        <w:keepLines w:val="0"/>
        <w:pageBreakBefore w:val="0"/>
        <w:widowControl w:val="0"/>
        <w:kinsoku/>
        <w:wordWrap/>
        <w:overflowPunct/>
        <w:topLinePunct w:val="0"/>
        <w:autoSpaceDE/>
        <w:autoSpaceDN/>
        <w:bidi w:val="0"/>
        <w:spacing w:line="570" w:lineRule="exact"/>
        <w:ind w:firstLine="663" w:firstLineChars="200"/>
        <w:textAlignment w:val="auto"/>
        <w:rPr>
          <w:rFonts w:hint="eastAsia" w:eastAsia="方正仿宋简体" w:cs="Times New Roman"/>
          <w:kern w:val="2"/>
          <w:sz w:val="33"/>
          <w:szCs w:val="33"/>
          <w:lang w:val="en-US" w:eastAsia="zh-CN" w:bidi="ar"/>
        </w:rPr>
      </w:pPr>
      <w:r>
        <w:rPr>
          <w:rFonts w:hint="eastAsia" w:ascii="方正楷体_GBK" w:hAnsi="方正楷体_GBK" w:eastAsia="方正楷体_GBK" w:cs="方正楷体_GBK"/>
          <w:b/>
          <w:bCs/>
          <w:kern w:val="2"/>
          <w:sz w:val="33"/>
          <w:szCs w:val="33"/>
          <w:lang w:val="en-US" w:eastAsia="zh-CN" w:bidi="ar"/>
        </w:rPr>
        <w:t>（二）支出预算情况</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left="0" w:right="0" w:firstLine="660" w:firstLineChars="200"/>
        <w:jc w:val="both"/>
        <w:textAlignment w:val="auto"/>
        <w:rPr>
          <w:rFonts w:eastAsia="方正仿宋简体"/>
          <w:sz w:val="33"/>
          <w:szCs w:val="33"/>
          <w:lang w:val="en-US"/>
        </w:rPr>
      </w:pPr>
      <w:r>
        <w:rPr>
          <w:rFonts w:hint="eastAsia" w:eastAsia="方正仿宋简体" w:cs="Times New Roman"/>
          <w:kern w:val="2"/>
          <w:sz w:val="33"/>
          <w:szCs w:val="33"/>
          <w:lang w:val="en-US" w:eastAsia="zh-CN" w:bidi="ar"/>
        </w:rPr>
        <w:t>资</w:t>
      </w:r>
      <w:r>
        <w:rPr>
          <w:rFonts w:hint="eastAsia" w:ascii="Times New Roman" w:hAnsi="Times New Roman" w:eastAsia="方正仿宋简体" w:cs="Times New Roman"/>
          <w:kern w:val="2"/>
          <w:sz w:val="33"/>
          <w:szCs w:val="33"/>
          <w:lang w:val="en-US" w:eastAsia="zh-CN" w:bidi="ar"/>
        </w:rPr>
        <w:t>阳市雁江区</w:t>
      </w:r>
      <w:r>
        <w:rPr>
          <w:rFonts w:hint="eastAsia" w:eastAsia="方正仿宋简体" w:cs="Times New Roman"/>
          <w:kern w:val="2"/>
          <w:sz w:val="33"/>
          <w:szCs w:val="33"/>
          <w:lang w:val="en-US" w:eastAsia="zh-CN" w:bidi="ar"/>
        </w:rPr>
        <w:t>国有资产监管和金融工作局</w:t>
      </w:r>
      <w:r>
        <w:rPr>
          <w:rFonts w:hint="default" w:ascii="Times New Roman" w:hAnsi="Times New Roman" w:eastAsia="方正仿宋简体" w:cs="Times New Roman"/>
          <w:kern w:val="2"/>
          <w:sz w:val="33"/>
          <w:szCs w:val="33"/>
          <w:lang w:val="en-US" w:eastAsia="zh-CN" w:bidi="ar"/>
        </w:rPr>
        <w:t>2</w:t>
      </w:r>
      <w:r>
        <w:rPr>
          <w:rFonts w:hint="eastAsia" w:eastAsia="方正仿宋简体" w:cs="Times New Roman"/>
          <w:kern w:val="2"/>
          <w:sz w:val="33"/>
          <w:szCs w:val="33"/>
          <w:lang w:val="en-US" w:eastAsia="zh-CN" w:bidi="ar"/>
        </w:rPr>
        <w:t>024</w:t>
      </w:r>
      <w:r>
        <w:rPr>
          <w:rFonts w:hint="eastAsia" w:ascii="Times New Roman" w:hAnsi="方正仿宋简体" w:eastAsia="方正仿宋简体" w:cs="方正仿宋简体"/>
          <w:kern w:val="2"/>
          <w:sz w:val="33"/>
          <w:szCs w:val="33"/>
          <w:lang w:val="en-US" w:eastAsia="zh-CN" w:bidi="ar"/>
        </w:rPr>
        <w:t>年支出预算</w:t>
      </w:r>
      <w:r>
        <w:rPr>
          <w:rFonts w:hint="eastAsia" w:eastAsia="方正仿宋简体" w:cs="Times New Roman"/>
          <w:kern w:val="2"/>
          <w:sz w:val="33"/>
          <w:szCs w:val="33"/>
          <w:lang w:val="en-US" w:eastAsia="zh-CN" w:bidi="ar"/>
        </w:rPr>
        <w:t>474.57</w:t>
      </w:r>
      <w:r>
        <w:rPr>
          <w:rFonts w:hint="eastAsia" w:ascii="Times New Roman" w:hAnsi="方正仿宋简体" w:eastAsia="方正仿宋简体" w:cs="方正仿宋简体"/>
          <w:kern w:val="2"/>
          <w:sz w:val="33"/>
          <w:szCs w:val="33"/>
          <w:lang w:val="en-US" w:eastAsia="zh-CN" w:bidi="ar"/>
        </w:rPr>
        <w:t>万元，其中：基本支出</w:t>
      </w:r>
      <w:r>
        <w:rPr>
          <w:rFonts w:hint="eastAsia" w:eastAsia="方正仿宋简体" w:cs="Times New Roman"/>
          <w:kern w:val="2"/>
          <w:sz w:val="33"/>
          <w:szCs w:val="33"/>
          <w:lang w:val="en-US" w:eastAsia="zh-CN" w:bidi="ar"/>
        </w:rPr>
        <w:t>218.17</w:t>
      </w:r>
      <w:r>
        <w:rPr>
          <w:rFonts w:hint="eastAsia" w:ascii="Times New Roman" w:hAnsi="方正仿宋简体" w:eastAsia="方正仿宋简体" w:cs="方正仿宋简体"/>
          <w:kern w:val="2"/>
          <w:sz w:val="33"/>
          <w:szCs w:val="33"/>
          <w:lang w:val="en-US" w:eastAsia="zh-CN" w:bidi="ar"/>
        </w:rPr>
        <w:t>万元，占</w:t>
      </w:r>
      <w:r>
        <w:rPr>
          <w:rFonts w:hint="eastAsia" w:eastAsia="方正仿宋简体" w:cs="Times New Roman"/>
          <w:kern w:val="2"/>
          <w:sz w:val="33"/>
          <w:szCs w:val="33"/>
          <w:lang w:val="en-US" w:eastAsia="zh-CN" w:bidi="ar"/>
        </w:rPr>
        <w:t>45.97</w:t>
      </w:r>
      <w:r>
        <w:rPr>
          <w:rFonts w:hint="default" w:ascii="Times New Roman" w:hAnsi="Times New Roman" w:eastAsia="方正仿宋简体" w:cs="Times New Roman"/>
          <w:kern w:val="2"/>
          <w:sz w:val="33"/>
          <w:szCs w:val="33"/>
          <w:lang w:val="en-US" w:eastAsia="zh-CN" w:bidi="ar"/>
        </w:rPr>
        <w:t>%</w:t>
      </w:r>
      <w:r>
        <w:rPr>
          <w:rFonts w:hint="eastAsia" w:ascii="Times New Roman" w:hAnsi="方正仿宋简体" w:eastAsia="方正仿宋简体" w:cs="方正仿宋简体"/>
          <w:kern w:val="2"/>
          <w:sz w:val="33"/>
          <w:szCs w:val="33"/>
          <w:lang w:val="en-US" w:eastAsia="zh-CN" w:bidi="ar"/>
        </w:rPr>
        <w:t>；项目支出</w:t>
      </w:r>
      <w:r>
        <w:rPr>
          <w:rFonts w:hint="eastAsia" w:eastAsia="方正仿宋简体" w:cs="Times New Roman"/>
          <w:kern w:val="2"/>
          <w:sz w:val="33"/>
          <w:szCs w:val="33"/>
          <w:lang w:val="en-US" w:eastAsia="zh-CN" w:bidi="ar"/>
        </w:rPr>
        <w:t>256.40</w:t>
      </w:r>
      <w:r>
        <w:rPr>
          <w:rFonts w:hint="eastAsia" w:ascii="Times New Roman" w:hAnsi="方正仿宋简体" w:eastAsia="方正仿宋简体" w:cs="方正仿宋简体"/>
          <w:kern w:val="2"/>
          <w:sz w:val="33"/>
          <w:szCs w:val="33"/>
          <w:lang w:val="en-US" w:eastAsia="zh-CN" w:bidi="ar"/>
        </w:rPr>
        <w:t>万元，占</w:t>
      </w:r>
      <w:r>
        <w:rPr>
          <w:rFonts w:hint="eastAsia" w:eastAsia="方正仿宋简体" w:cs="Times New Roman"/>
          <w:kern w:val="2"/>
          <w:sz w:val="33"/>
          <w:szCs w:val="33"/>
          <w:lang w:val="en-US" w:eastAsia="zh-CN" w:bidi="ar"/>
        </w:rPr>
        <w:t>54.03</w:t>
      </w:r>
      <w:r>
        <w:rPr>
          <w:rFonts w:hint="default" w:ascii="Times New Roman" w:hAnsi="Times New Roman" w:eastAsia="方正仿宋简体" w:cs="Times New Roman"/>
          <w:kern w:val="2"/>
          <w:sz w:val="33"/>
          <w:szCs w:val="33"/>
          <w:lang w:val="en-US" w:eastAsia="zh-CN" w:bidi="ar"/>
        </w:rPr>
        <w:t>%</w:t>
      </w:r>
      <w:r>
        <w:rPr>
          <w:rFonts w:hint="eastAsia" w:ascii="Times New Roman" w:hAnsi="方正仿宋简体" w:eastAsia="方正仿宋简体" w:cs="方正仿宋简体"/>
          <w:kern w:val="2"/>
          <w:sz w:val="33"/>
          <w:szCs w:val="33"/>
          <w:lang w:val="en-US" w:eastAsia="zh-CN" w:bidi="ar"/>
        </w:rPr>
        <w:t>。</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黑体"/>
          <w:sz w:val="33"/>
          <w:szCs w:val="33"/>
        </w:rPr>
      </w:pPr>
      <w:r>
        <w:rPr>
          <w:rFonts w:hint="eastAsia" w:eastAsia="黑体"/>
          <w:sz w:val="33"/>
          <w:szCs w:val="33"/>
        </w:rPr>
        <w:t>三、财政拨款收支预算情况说明</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lang w:val="en-US" w:eastAsia="zh-CN"/>
        </w:rPr>
      </w:pPr>
      <w:r>
        <w:rPr>
          <w:rFonts w:hint="eastAsia" w:eastAsia="方正仿宋简体" w:cs="Times New Roman"/>
          <w:kern w:val="2"/>
          <w:sz w:val="33"/>
          <w:szCs w:val="33"/>
          <w:lang w:val="en-US" w:eastAsia="zh-CN" w:bidi="ar"/>
        </w:rPr>
        <w:t>资</w:t>
      </w:r>
      <w:r>
        <w:rPr>
          <w:rFonts w:hint="eastAsia" w:ascii="Times New Roman" w:hAnsi="Times New Roman" w:eastAsia="方正仿宋简体" w:cs="Times New Roman"/>
          <w:kern w:val="2"/>
          <w:sz w:val="33"/>
          <w:szCs w:val="33"/>
          <w:lang w:val="en-US" w:eastAsia="zh-CN" w:bidi="ar"/>
        </w:rPr>
        <w:t>阳市雁江区</w:t>
      </w:r>
      <w:r>
        <w:rPr>
          <w:rFonts w:hint="eastAsia" w:eastAsia="方正仿宋简体" w:cs="Times New Roman"/>
          <w:kern w:val="2"/>
          <w:sz w:val="33"/>
          <w:szCs w:val="33"/>
          <w:lang w:val="en-US" w:eastAsia="zh-CN" w:bidi="ar"/>
        </w:rPr>
        <w:t>国有资产监管和金融工作局</w:t>
      </w:r>
      <w:r>
        <w:rPr>
          <w:rFonts w:hint="eastAsia" w:eastAsia="方正仿宋简体"/>
          <w:sz w:val="33"/>
          <w:szCs w:val="33"/>
          <w:lang w:val="en-US" w:eastAsia="zh-CN"/>
        </w:rPr>
        <w:t>2024年财政拨款收支总预算474.57万元，比2023年财政拨款收支总预算增加333.42万元。收入包括：本年一般公共预算拨款收入474.57万元；支出包括：一般公共服务支出425.05万元、社会保障和就业支出22.67万元、卫生健康支出8.26万元、住房保障支出18.59万元。</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黑体"/>
          <w:sz w:val="33"/>
          <w:szCs w:val="33"/>
        </w:rPr>
      </w:pPr>
      <w:r>
        <w:rPr>
          <w:rFonts w:hint="eastAsia" w:eastAsia="黑体"/>
          <w:sz w:val="33"/>
          <w:szCs w:val="33"/>
        </w:rPr>
        <w:t>四</w:t>
      </w:r>
      <w:r>
        <w:rPr>
          <w:rFonts w:eastAsia="黑体"/>
          <w:sz w:val="33"/>
          <w:szCs w:val="33"/>
        </w:rPr>
        <w:t>、</w:t>
      </w:r>
      <w:r>
        <w:rPr>
          <w:rFonts w:hint="eastAsia" w:eastAsia="黑体"/>
          <w:sz w:val="33"/>
          <w:szCs w:val="33"/>
        </w:rPr>
        <w:t>一般公共预算当年拨款情况说明</w:t>
      </w:r>
    </w:p>
    <w:p>
      <w:pPr>
        <w:keepNext w:val="0"/>
        <w:keepLines w:val="0"/>
        <w:pageBreakBefore w:val="0"/>
        <w:widowControl w:val="0"/>
        <w:kinsoku/>
        <w:wordWrap/>
        <w:overflowPunct/>
        <w:topLinePunct w:val="0"/>
        <w:autoSpaceDE/>
        <w:autoSpaceDN/>
        <w:bidi w:val="0"/>
        <w:spacing w:line="570" w:lineRule="exact"/>
        <w:ind w:firstLine="636" w:firstLineChars="192"/>
        <w:textAlignment w:val="auto"/>
        <w:rPr>
          <w:rFonts w:hint="eastAsia" w:eastAsia="方正楷体简体"/>
          <w:b/>
          <w:sz w:val="33"/>
          <w:szCs w:val="33"/>
        </w:rPr>
      </w:pPr>
      <w:r>
        <w:rPr>
          <w:rFonts w:hint="eastAsia" w:eastAsia="方正楷体简体"/>
          <w:b/>
          <w:sz w:val="33"/>
          <w:szCs w:val="33"/>
        </w:rPr>
        <w:t>（一）一般公共预算当年拨款规模变化情况</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lang w:val="en-US" w:eastAsia="zh-CN"/>
        </w:rPr>
      </w:pPr>
      <w:r>
        <w:rPr>
          <w:rFonts w:hint="eastAsia" w:eastAsia="方正仿宋简体" w:cs="Times New Roman"/>
          <w:kern w:val="2"/>
          <w:sz w:val="33"/>
          <w:szCs w:val="33"/>
          <w:lang w:val="en-US" w:eastAsia="zh-CN" w:bidi="ar"/>
        </w:rPr>
        <w:t>资</w:t>
      </w:r>
      <w:r>
        <w:rPr>
          <w:rFonts w:hint="eastAsia" w:ascii="Times New Roman" w:hAnsi="Times New Roman" w:eastAsia="方正仿宋简体" w:cs="Times New Roman"/>
          <w:kern w:val="2"/>
          <w:sz w:val="33"/>
          <w:szCs w:val="33"/>
          <w:lang w:val="en-US" w:eastAsia="zh-CN" w:bidi="ar"/>
        </w:rPr>
        <w:t>阳市雁江区</w:t>
      </w:r>
      <w:r>
        <w:rPr>
          <w:rFonts w:hint="eastAsia" w:eastAsia="方正仿宋简体" w:cs="Times New Roman"/>
          <w:kern w:val="2"/>
          <w:sz w:val="33"/>
          <w:szCs w:val="33"/>
          <w:lang w:val="en-US" w:eastAsia="zh-CN" w:bidi="ar"/>
        </w:rPr>
        <w:t>国有资产监管和金融工作局</w:t>
      </w:r>
      <w:r>
        <w:rPr>
          <w:rFonts w:hint="eastAsia" w:eastAsia="方正仿宋简体"/>
          <w:sz w:val="33"/>
          <w:szCs w:val="33"/>
          <w:lang w:val="en-US" w:eastAsia="zh-CN"/>
        </w:rPr>
        <w:t>2024年一般公共预算当年拨款474.57万元，</w:t>
      </w:r>
      <w:r>
        <w:rPr>
          <w:rFonts w:hint="eastAsia" w:eastAsia="方正仿宋简体"/>
          <w:sz w:val="33"/>
          <w:szCs w:val="33"/>
        </w:rPr>
        <w:t>比202</w:t>
      </w:r>
      <w:r>
        <w:rPr>
          <w:rFonts w:hint="eastAsia" w:eastAsia="方正仿宋简体"/>
          <w:sz w:val="33"/>
          <w:szCs w:val="33"/>
          <w:lang w:val="en-US" w:eastAsia="zh-CN"/>
        </w:rPr>
        <w:t>3</w:t>
      </w:r>
      <w:r>
        <w:rPr>
          <w:rFonts w:hint="eastAsia" w:eastAsia="方正仿宋简体"/>
          <w:sz w:val="33"/>
          <w:szCs w:val="33"/>
        </w:rPr>
        <w:t>年收支预算总数</w:t>
      </w:r>
      <w:r>
        <w:rPr>
          <w:rFonts w:hint="eastAsia" w:eastAsia="方正仿宋简体"/>
          <w:sz w:val="33"/>
          <w:szCs w:val="33"/>
          <w:lang w:val="en-US" w:eastAsia="zh-CN"/>
        </w:rPr>
        <w:t>增加333.42</w:t>
      </w:r>
      <w:r>
        <w:rPr>
          <w:rFonts w:hint="eastAsia" w:eastAsia="方正仿宋简体"/>
          <w:sz w:val="33"/>
          <w:szCs w:val="33"/>
        </w:rPr>
        <w:t>万元</w:t>
      </w:r>
      <w:r>
        <w:rPr>
          <w:rFonts w:hint="eastAsia" w:eastAsia="方正仿宋简体"/>
          <w:sz w:val="33"/>
          <w:szCs w:val="33"/>
          <w:lang w:val="en-US" w:eastAsia="zh-CN"/>
        </w:rPr>
        <w:t>，</w:t>
      </w:r>
      <w:r>
        <w:rPr>
          <w:rFonts w:hint="eastAsia" w:eastAsia="方正仿宋简体"/>
          <w:sz w:val="33"/>
          <w:szCs w:val="33"/>
        </w:rPr>
        <w:t>主要原因是</w:t>
      </w:r>
      <w:r>
        <w:rPr>
          <w:rFonts w:hint="eastAsia" w:eastAsia="方正仿宋简体"/>
          <w:sz w:val="33"/>
          <w:szCs w:val="33"/>
          <w:lang w:val="en-US" w:eastAsia="zh-CN"/>
        </w:rPr>
        <w:t>2023年机构调整，由原区金融工作局变为区国资金融局，在编在岗人员由原7人调整为15人，相应机构职能也发生重大转变，工资奖金、养保、医保、住房公积金等人员经费也上升</w:t>
      </w:r>
      <w:r>
        <w:rPr>
          <w:rFonts w:hint="eastAsia" w:eastAsia="方正仿宋简体"/>
          <w:sz w:val="33"/>
          <w:szCs w:val="33"/>
        </w:rPr>
        <w:t>。</w:t>
      </w:r>
    </w:p>
    <w:p>
      <w:pPr>
        <w:keepNext w:val="0"/>
        <w:keepLines w:val="0"/>
        <w:pageBreakBefore w:val="0"/>
        <w:widowControl w:val="0"/>
        <w:kinsoku/>
        <w:wordWrap/>
        <w:overflowPunct/>
        <w:topLinePunct w:val="0"/>
        <w:autoSpaceDE/>
        <w:autoSpaceDN/>
        <w:bidi w:val="0"/>
        <w:spacing w:line="570" w:lineRule="exact"/>
        <w:ind w:firstLine="636" w:firstLineChars="192"/>
        <w:textAlignment w:val="auto"/>
        <w:rPr>
          <w:rFonts w:hint="eastAsia" w:ascii="仿宋_GB2312" w:eastAsia="仿宋_GB2312"/>
          <w:color w:val="333333"/>
          <w:sz w:val="33"/>
          <w:szCs w:val="33"/>
        </w:rPr>
      </w:pPr>
      <w:r>
        <w:rPr>
          <w:rFonts w:hint="eastAsia" w:eastAsia="方正楷体简体"/>
          <w:b/>
          <w:sz w:val="33"/>
          <w:szCs w:val="33"/>
        </w:rPr>
        <w:t>（二）一般公共预算当年拨款结构情况</w:t>
      </w:r>
    </w:p>
    <w:p>
      <w:pPr>
        <w:keepNext w:val="0"/>
        <w:keepLines w:val="0"/>
        <w:pageBreakBefore w:val="0"/>
        <w:widowControl w:val="0"/>
        <w:kinsoku/>
        <w:wordWrap/>
        <w:overflowPunct/>
        <w:topLinePunct w:val="0"/>
        <w:autoSpaceDE/>
        <w:autoSpaceDN/>
        <w:bidi w:val="0"/>
        <w:spacing w:line="570" w:lineRule="exact"/>
        <w:ind w:firstLine="633" w:firstLineChars="192"/>
        <w:textAlignment w:val="auto"/>
        <w:rPr>
          <w:rFonts w:hint="eastAsia" w:eastAsia="方正仿宋简体"/>
          <w:sz w:val="33"/>
          <w:szCs w:val="33"/>
          <w:lang w:val="en-US" w:eastAsia="zh-CN"/>
        </w:rPr>
      </w:pPr>
      <w:r>
        <w:rPr>
          <w:rFonts w:hint="eastAsia" w:eastAsia="方正仿宋简体"/>
          <w:sz w:val="33"/>
          <w:szCs w:val="33"/>
          <w:lang w:val="en-US" w:eastAsia="zh-CN"/>
        </w:rPr>
        <w:t>一般公共服务支出425.05万元，占89.57%；社会保障和就业支出22.67万元，占4.77%；卫生健康支出8.26万元，占1.74%；住房保障支出18.59万元，占3.92%。</w:t>
      </w:r>
    </w:p>
    <w:p>
      <w:pPr>
        <w:keepNext w:val="0"/>
        <w:keepLines w:val="0"/>
        <w:pageBreakBefore w:val="0"/>
        <w:widowControl w:val="0"/>
        <w:kinsoku/>
        <w:wordWrap/>
        <w:overflowPunct/>
        <w:topLinePunct w:val="0"/>
        <w:autoSpaceDE/>
        <w:autoSpaceDN/>
        <w:bidi w:val="0"/>
        <w:spacing w:line="570" w:lineRule="exact"/>
        <w:ind w:firstLine="636" w:firstLineChars="192"/>
        <w:textAlignment w:val="auto"/>
        <w:rPr>
          <w:rFonts w:hint="eastAsia" w:eastAsia="方正楷体简体"/>
          <w:b/>
          <w:bCs/>
          <w:sz w:val="33"/>
          <w:szCs w:val="33"/>
        </w:rPr>
      </w:pPr>
      <w:r>
        <w:rPr>
          <w:rFonts w:hint="eastAsia" w:eastAsia="方正楷体简体"/>
          <w:b/>
          <w:bCs/>
          <w:sz w:val="33"/>
          <w:szCs w:val="33"/>
        </w:rPr>
        <w:t>（三）一般公共预算当年拨款具体使用情况</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eastAsia="仿宋_GB2312"/>
          <w:sz w:val="32"/>
          <w:szCs w:val="32"/>
        </w:rPr>
      </w:pPr>
      <w:r>
        <w:rPr>
          <w:rFonts w:hint="eastAsia" w:eastAsia="方正仿宋简体"/>
          <w:sz w:val="33"/>
          <w:szCs w:val="33"/>
          <w:lang w:val="en-US" w:eastAsia="zh-CN"/>
        </w:rPr>
        <w:t>1. 一般公共服务（类）政府办公厅（室）及相关机构事务（款）行政运行（项）2024年预算数为114.02万元。</w:t>
      </w:r>
      <w:r>
        <w:rPr>
          <w:rFonts w:eastAsia="仿宋_GB2312"/>
          <w:sz w:val="32"/>
          <w:szCs w:val="32"/>
        </w:rPr>
        <w:t>主要用于：局机关及参公管理事业单位正常运转的基本支出，包括基本工资、津贴补贴等人员经费以及办公费、印刷费、水电费等日常公用经费。</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eastAsia="仿宋_GB2312"/>
          <w:sz w:val="32"/>
          <w:szCs w:val="32"/>
        </w:rPr>
      </w:pPr>
      <w:r>
        <w:rPr>
          <w:rFonts w:hint="eastAsia" w:eastAsia="方正仿宋简体"/>
          <w:sz w:val="33"/>
          <w:szCs w:val="33"/>
          <w:lang w:val="en-US" w:eastAsia="zh-CN"/>
        </w:rPr>
        <w:t>2. 一般公共服务（类）政府办公厅（室）及相关机构事务（款）事业运行（项）2024年预算数为54.63万元。</w:t>
      </w:r>
      <w:r>
        <w:rPr>
          <w:rFonts w:eastAsia="仿宋_GB2312"/>
          <w:sz w:val="32"/>
          <w:szCs w:val="32"/>
        </w:rPr>
        <w:t>主要用于：局机关及参公管理事业单位正常运转的基本支出，包括基本工资、津贴补贴等人员经费以及办公费、印刷费、水电费等日常公用经费。</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eastAsia" w:eastAsia="方正仿宋简体"/>
          <w:sz w:val="33"/>
          <w:szCs w:val="33"/>
          <w:lang w:val="en-US" w:eastAsia="zh-CN"/>
        </w:rPr>
      </w:pPr>
      <w:r>
        <w:rPr>
          <w:rFonts w:hint="eastAsia" w:eastAsia="仿宋_GB2312"/>
          <w:sz w:val="32"/>
          <w:szCs w:val="32"/>
          <w:lang w:val="en-US" w:eastAsia="zh-CN"/>
        </w:rPr>
        <w:t>3.</w:t>
      </w:r>
      <w:r>
        <w:rPr>
          <w:rFonts w:hint="eastAsia" w:eastAsia="方正仿宋简体"/>
          <w:sz w:val="33"/>
          <w:szCs w:val="33"/>
          <w:lang w:val="en-US" w:eastAsia="zh-CN"/>
        </w:rPr>
        <w:t>一般公共服务（类）政府办公厅（室）及相关机构事务（款）一般行政管理事务（项）2024年预算数为248.00万元。主要用于：局机关及下辖事业单位开展的国有资产管理、金融服务等未单独设置项级科目的工作的项目支出。如：金融工作、融资工作、国资国企监管工作等。</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4.一</w:t>
      </w:r>
      <w:r>
        <w:rPr>
          <w:rFonts w:hint="eastAsia" w:eastAsia="方正仿宋简体"/>
          <w:sz w:val="33"/>
          <w:szCs w:val="33"/>
          <w:lang w:val="en-US" w:eastAsia="zh-CN"/>
        </w:rPr>
        <w:t>般公共服务（类）政府办公厅（室）及相关机构事务（款） 其他政府办公厅（室）及相关机构事务支出（项）2024年预算数为8.40万元。主要用于局机关临聘人员劳务费支出，</w:t>
      </w:r>
      <w:r>
        <w:rPr>
          <w:rFonts w:eastAsia="仿宋_GB2312"/>
          <w:sz w:val="32"/>
          <w:szCs w:val="32"/>
        </w:rPr>
        <w:t>包括基本工资</w:t>
      </w:r>
      <w:r>
        <w:rPr>
          <w:rFonts w:hint="eastAsia" w:eastAsia="仿宋_GB2312"/>
          <w:sz w:val="32"/>
          <w:szCs w:val="32"/>
          <w:lang w:eastAsia="zh-CN"/>
        </w:rPr>
        <w:t>、养老保险、医疗保险、失业工伤保险、公积金等经费。</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5.</w:t>
      </w:r>
      <w:r>
        <w:rPr>
          <w:rFonts w:eastAsia="仿宋_GB2312"/>
          <w:sz w:val="32"/>
          <w:szCs w:val="32"/>
        </w:rPr>
        <w:t>社会保障和就业（类）行政事业单位</w:t>
      </w:r>
      <w:r>
        <w:rPr>
          <w:rFonts w:hint="eastAsia" w:eastAsia="仿宋_GB2312"/>
          <w:sz w:val="32"/>
          <w:szCs w:val="32"/>
        </w:rPr>
        <w:t>养老</w:t>
      </w:r>
      <w:r>
        <w:rPr>
          <w:rFonts w:eastAsia="仿宋_GB2312"/>
          <w:sz w:val="32"/>
          <w:szCs w:val="32"/>
        </w:rPr>
        <w:t>支出（款）</w:t>
      </w:r>
      <w:r>
        <w:rPr>
          <w:rFonts w:hint="eastAsia" w:eastAsia="仿宋_GB2312"/>
          <w:sz w:val="32"/>
          <w:szCs w:val="32"/>
        </w:rPr>
        <w:t>机关事业单位基本养老保险缴费支出</w:t>
      </w:r>
      <w:r>
        <w:rPr>
          <w:rFonts w:eastAsia="仿宋_GB2312"/>
          <w:sz w:val="32"/>
          <w:szCs w:val="32"/>
        </w:rPr>
        <w:t>（项）</w:t>
      </w:r>
      <w:r>
        <w:rPr>
          <w:rFonts w:hint="eastAsia" w:eastAsia="方正仿宋简体"/>
          <w:sz w:val="33"/>
          <w:szCs w:val="33"/>
          <w:lang w:val="en-US" w:eastAsia="zh-CN"/>
        </w:rPr>
        <w:t>2024年预算数为22.15万元。主要用于</w:t>
      </w:r>
      <w:r>
        <w:rPr>
          <w:rFonts w:hint="eastAsia" w:eastAsia="仿宋_GB2312"/>
          <w:sz w:val="32"/>
          <w:szCs w:val="32"/>
        </w:rPr>
        <w:t>用于单位缴纳的基本养老保险支出</w:t>
      </w:r>
      <w:r>
        <w:rPr>
          <w:rFonts w:hint="eastAsia" w:eastAsia="仿宋_GB2312"/>
          <w:sz w:val="32"/>
          <w:szCs w:val="32"/>
          <w:lang w:eastAsia="zh-CN"/>
        </w:rPr>
        <w:t>。</w:t>
      </w:r>
    </w:p>
    <w:p>
      <w:pPr>
        <w:spacing w:line="600" w:lineRule="exact"/>
        <w:ind w:firstLine="640" w:firstLineChars="200"/>
        <w:rPr>
          <w:rFonts w:ascii="宋体" w:hAnsi="宋体" w:eastAsia="方正仿宋简体"/>
          <w:sz w:val="33"/>
          <w:szCs w:val="33"/>
        </w:rPr>
      </w:pPr>
      <w:r>
        <w:rPr>
          <w:rFonts w:hint="eastAsia" w:eastAsia="仿宋_GB2312"/>
          <w:sz w:val="32"/>
          <w:szCs w:val="32"/>
          <w:lang w:val="en-US" w:eastAsia="zh-CN"/>
        </w:rPr>
        <w:t>6.</w:t>
      </w:r>
      <w:r>
        <w:rPr>
          <w:rFonts w:hint="eastAsia" w:ascii="宋体" w:hAnsi="宋体" w:eastAsia="方正仿宋简体"/>
          <w:sz w:val="33"/>
          <w:szCs w:val="33"/>
        </w:rPr>
        <w:t>社会保障和支出（类）其他社会会保障和就业支出（款）其他社会保障和就业支出（项）：</w:t>
      </w:r>
      <w:r>
        <w:rPr>
          <w:rFonts w:hint="eastAsia" w:ascii="宋体" w:hAnsi="宋体" w:eastAsia="方正仿宋简体"/>
          <w:sz w:val="33"/>
          <w:szCs w:val="33"/>
          <w:lang w:val="en-US" w:eastAsia="zh-CN"/>
        </w:rPr>
        <w:t>2024</w:t>
      </w:r>
      <w:r>
        <w:rPr>
          <w:rFonts w:hint="eastAsia" w:ascii="宋体" w:hAnsi="宋体" w:eastAsia="方正仿宋简体"/>
          <w:sz w:val="33"/>
          <w:szCs w:val="33"/>
        </w:rPr>
        <w:t>年预算数为</w:t>
      </w:r>
      <w:r>
        <w:rPr>
          <w:rFonts w:hint="eastAsia" w:ascii="宋体" w:hAnsi="宋体" w:eastAsia="方正仿宋简体"/>
          <w:sz w:val="33"/>
          <w:szCs w:val="33"/>
          <w:lang w:val="en-US" w:eastAsia="zh-CN"/>
        </w:rPr>
        <w:t>0.52</w:t>
      </w:r>
      <w:r>
        <w:rPr>
          <w:rFonts w:hint="eastAsia" w:ascii="宋体" w:hAnsi="宋体" w:eastAsia="方正仿宋简体"/>
          <w:sz w:val="33"/>
          <w:szCs w:val="33"/>
        </w:rPr>
        <w:t>万元，主要用于：保障局机关及下属事业单位人员工伤生育保险等支出。</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eastAsia="仿宋_GB2312"/>
          <w:sz w:val="32"/>
          <w:szCs w:val="32"/>
        </w:rPr>
      </w:pPr>
      <w:r>
        <w:rPr>
          <w:rFonts w:hint="eastAsia" w:eastAsia="仿宋_GB2312"/>
          <w:sz w:val="32"/>
          <w:szCs w:val="32"/>
          <w:lang w:val="en-US" w:eastAsia="zh-CN"/>
        </w:rPr>
        <w:t>7.</w:t>
      </w:r>
      <w:r>
        <w:rPr>
          <w:rFonts w:hint="eastAsia" w:eastAsia="仿宋_GB2312"/>
          <w:sz w:val="32"/>
          <w:szCs w:val="32"/>
        </w:rPr>
        <w:t>卫生健康支出（类）行政事业单位医疗（款）行政单位医疗（项）</w:t>
      </w:r>
      <w:r>
        <w:rPr>
          <w:rFonts w:hint="eastAsia" w:eastAsia="仿宋_GB2312"/>
          <w:sz w:val="32"/>
          <w:szCs w:val="32"/>
          <w:lang w:val="en-US" w:eastAsia="zh-CN"/>
        </w:rPr>
        <w:t>2024</w:t>
      </w:r>
      <w:r>
        <w:rPr>
          <w:rFonts w:eastAsia="仿宋_GB2312"/>
          <w:sz w:val="32"/>
          <w:szCs w:val="32"/>
        </w:rPr>
        <w:t>年预算数为</w:t>
      </w:r>
      <w:r>
        <w:rPr>
          <w:rFonts w:hint="eastAsia" w:eastAsia="方正仿宋简体"/>
          <w:sz w:val="32"/>
          <w:szCs w:val="32"/>
          <w:lang w:val="en-US" w:eastAsia="zh-CN"/>
        </w:rPr>
        <w:t>4.55</w:t>
      </w:r>
      <w:r>
        <w:rPr>
          <w:rFonts w:eastAsia="仿宋_GB2312"/>
          <w:sz w:val="32"/>
          <w:szCs w:val="32"/>
        </w:rPr>
        <w:t>万元，</w:t>
      </w:r>
      <w:r>
        <w:rPr>
          <w:rFonts w:hint="eastAsia" w:eastAsia="仿宋_GB2312"/>
          <w:sz w:val="32"/>
          <w:szCs w:val="32"/>
        </w:rPr>
        <w:t>用于为职工缴纳的基本医疗保险支出</w:t>
      </w:r>
      <w:r>
        <w:rPr>
          <w:rFonts w:eastAsia="仿宋_GB2312"/>
          <w:sz w:val="32"/>
          <w:szCs w:val="32"/>
        </w:rPr>
        <w:t>。</w:t>
      </w:r>
    </w:p>
    <w:p>
      <w:pPr>
        <w:pStyle w:val="2"/>
        <w:rPr>
          <w:rFonts w:hint="default" w:eastAsia="仿宋_GB2312"/>
          <w:lang w:val="en-US" w:eastAsia="zh-CN"/>
        </w:rPr>
      </w:pPr>
      <w:r>
        <w:rPr>
          <w:rFonts w:hint="eastAsia" w:eastAsia="仿宋_GB2312"/>
          <w:sz w:val="32"/>
          <w:szCs w:val="32"/>
          <w:lang w:val="en-US" w:eastAsia="zh-CN"/>
        </w:rPr>
        <w:t xml:space="preserve">  </w:t>
      </w:r>
      <w:r>
        <w:rPr>
          <w:rFonts w:hint="eastAsia" w:ascii="Times New Roman" w:hAnsi="Times New Roman" w:eastAsia="仿宋_GB2312" w:cs="Times New Roman"/>
          <w:kern w:val="2"/>
          <w:sz w:val="32"/>
          <w:szCs w:val="32"/>
          <w:lang w:val="en-US" w:eastAsia="zh-CN" w:bidi="ar-SA"/>
        </w:rPr>
        <w:t xml:space="preserve">  8.卫生健康支出（类）行政事业单位医疗（款）事业单位医疗（项）2024年预算数为2.74万元，用于为职工缴纳的基本医疗保险支出。</w:t>
      </w:r>
    </w:p>
    <w:p>
      <w:pPr>
        <w:pStyle w:val="2"/>
        <w:ind w:firstLine="640" w:firstLineChars="200"/>
        <w:rPr>
          <w:rFonts w:hint="eastAsia" w:eastAsia="仿宋_GB2312"/>
          <w:sz w:val="32"/>
          <w:szCs w:val="32"/>
        </w:rPr>
      </w:pPr>
      <w:r>
        <w:rPr>
          <w:rFonts w:hint="eastAsia" w:eastAsia="仿宋_GB2312"/>
          <w:sz w:val="32"/>
          <w:szCs w:val="32"/>
          <w:lang w:val="en-US" w:eastAsia="zh-CN"/>
        </w:rPr>
        <w:t>9</w:t>
      </w:r>
      <w:r>
        <w:rPr>
          <w:rFonts w:hint="eastAsia" w:eastAsia="仿宋_GB2312"/>
          <w:sz w:val="32"/>
          <w:szCs w:val="32"/>
        </w:rPr>
        <w:t>.卫生健康支出（类）行政事业单位医疗（款）公务员医疗补助（项）2</w:t>
      </w:r>
      <w:r>
        <w:rPr>
          <w:rFonts w:hint="eastAsia" w:eastAsia="仿宋_GB2312"/>
          <w:sz w:val="32"/>
          <w:szCs w:val="32"/>
          <w:lang w:val="en-US" w:eastAsia="zh-CN"/>
        </w:rPr>
        <w:t>024</w:t>
      </w:r>
      <w:r>
        <w:rPr>
          <w:rFonts w:hint="eastAsia" w:eastAsia="仿宋_GB2312"/>
          <w:sz w:val="32"/>
          <w:szCs w:val="32"/>
        </w:rPr>
        <w:t>年预算数为</w:t>
      </w:r>
      <w:r>
        <w:rPr>
          <w:rFonts w:hint="eastAsia" w:eastAsia="方正仿宋简体"/>
          <w:sz w:val="32"/>
          <w:szCs w:val="32"/>
          <w:lang w:val="en-US" w:eastAsia="zh-CN"/>
        </w:rPr>
        <w:t>0.97</w:t>
      </w:r>
      <w:r>
        <w:rPr>
          <w:rFonts w:hint="eastAsia" w:eastAsia="仿宋_GB2312"/>
          <w:sz w:val="32"/>
          <w:szCs w:val="32"/>
        </w:rPr>
        <w:t>万元，用于为职工缴纳的公务员医疗补助支出。</w:t>
      </w:r>
    </w:p>
    <w:p>
      <w:pPr>
        <w:rPr>
          <w:rFonts w:hint="default" w:eastAsia="仿宋_GB2312"/>
          <w:lang w:val="en-US" w:eastAsia="zh-CN"/>
        </w:rPr>
      </w:pPr>
      <w:r>
        <w:rPr>
          <w:rFonts w:hint="eastAsia" w:eastAsia="仿宋_GB2312"/>
          <w:sz w:val="32"/>
          <w:szCs w:val="32"/>
          <w:lang w:val="en-US" w:eastAsia="zh-CN"/>
        </w:rPr>
        <w:t xml:space="preserve">    10.</w:t>
      </w:r>
      <w:r>
        <w:rPr>
          <w:rFonts w:eastAsia="仿宋_GB2312"/>
          <w:sz w:val="32"/>
          <w:szCs w:val="32"/>
        </w:rPr>
        <w:t>住房保障（类）住房改革支出（款）住房公积金（项）</w:t>
      </w:r>
      <w:r>
        <w:rPr>
          <w:rFonts w:hint="eastAsia" w:eastAsia="仿宋_GB2312"/>
          <w:sz w:val="32"/>
          <w:szCs w:val="32"/>
        </w:rPr>
        <w:t>：</w:t>
      </w:r>
      <w:r>
        <w:rPr>
          <w:rFonts w:hint="eastAsia" w:eastAsia="仿宋_GB2312"/>
          <w:sz w:val="32"/>
          <w:szCs w:val="32"/>
          <w:lang w:val="en-US" w:eastAsia="zh-CN"/>
        </w:rPr>
        <w:t>2024</w:t>
      </w:r>
      <w:r>
        <w:rPr>
          <w:rFonts w:eastAsia="仿宋_GB2312"/>
          <w:sz w:val="32"/>
          <w:szCs w:val="32"/>
        </w:rPr>
        <w:t>年预算数为</w:t>
      </w:r>
      <w:r>
        <w:rPr>
          <w:rFonts w:hint="eastAsia" w:eastAsia="方正仿宋简体"/>
          <w:sz w:val="32"/>
          <w:szCs w:val="32"/>
          <w:lang w:val="en-US" w:eastAsia="zh-CN"/>
        </w:rPr>
        <w:t>18.59</w:t>
      </w:r>
      <w:r>
        <w:rPr>
          <w:rFonts w:eastAsia="仿宋_GB2312"/>
          <w:sz w:val="32"/>
          <w:szCs w:val="32"/>
        </w:rPr>
        <w:t>万元，主要用于：</w:t>
      </w:r>
      <w:r>
        <w:rPr>
          <w:rFonts w:hint="eastAsia" w:eastAsia="仿宋_GB2312"/>
          <w:sz w:val="32"/>
          <w:szCs w:val="32"/>
        </w:rPr>
        <w:t>单位</w:t>
      </w:r>
      <w:r>
        <w:rPr>
          <w:rFonts w:eastAsia="仿宋_GB2312"/>
          <w:sz w:val="32"/>
          <w:szCs w:val="32"/>
        </w:rPr>
        <w:t>按人力资源和社会保障部、财政部规定的基本工资和津贴补贴以及规定比例为职工缴纳的住房公积金支出。</w:t>
      </w:r>
    </w:p>
    <w:p>
      <w:pPr>
        <w:keepNext w:val="0"/>
        <w:keepLines w:val="0"/>
        <w:pageBreakBefore w:val="0"/>
        <w:widowControl w:val="0"/>
        <w:kinsoku/>
        <w:wordWrap/>
        <w:overflowPunct/>
        <w:topLinePunct w:val="0"/>
        <w:autoSpaceDE/>
        <w:autoSpaceDN/>
        <w:bidi w:val="0"/>
        <w:spacing w:line="570" w:lineRule="exact"/>
        <w:ind w:left="147" w:leftChars="70" w:firstLine="495" w:firstLineChars="150"/>
        <w:textAlignment w:val="auto"/>
        <w:rPr>
          <w:rFonts w:hint="eastAsia" w:eastAsia="黑体"/>
          <w:sz w:val="33"/>
          <w:szCs w:val="33"/>
        </w:rPr>
      </w:pPr>
      <w:r>
        <w:rPr>
          <w:rFonts w:hint="eastAsia" w:eastAsia="黑体"/>
          <w:sz w:val="33"/>
          <w:szCs w:val="33"/>
        </w:rPr>
        <w:t>五、一般公共预算基本支出情况说明</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lang w:val="en-US" w:eastAsia="zh-CN"/>
        </w:rPr>
      </w:pPr>
      <w:r>
        <w:rPr>
          <w:rFonts w:hint="eastAsia" w:eastAsia="方正仿宋简体"/>
          <w:sz w:val="33"/>
          <w:szCs w:val="33"/>
          <w:lang w:val="en-US" w:eastAsia="zh-CN"/>
        </w:rPr>
        <w:t>资阳市雁江区国有资产监管和金融工作局2024年一般公共预算基本支出218.17万元，其中：</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lang w:val="en-US" w:eastAsia="zh-CN"/>
        </w:rPr>
      </w:pPr>
      <w:r>
        <w:rPr>
          <w:rFonts w:hint="eastAsia" w:eastAsia="方正仿宋简体"/>
          <w:sz w:val="33"/>
          <w:szCs w:val="33"/>
          <w:lang w:val="en-US" w:eastAsia="zh-CN"/>
        </w:rPr>
        <w:t>人员经费187.95万元，主要包括：基本工资、津贴补贴、奖金、社会保险缴费等。</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lang w:val="en-US" w:eastAsia="zh-CN"/>
        </w:rPr>
      </w:pPr>
      <w:r>
        <w:rPr>
          <w:rFonts w:hint="eastAsia" w:eastAsia="方正仿宋简体"/>
          <w:sz w:val="33"/>
          <w:szCs w:val="33"/>
          <w:lang w:val="en-US" w:eastAsia="zh-CN"/>
        </w:rPr>
        <w:t>公用经费30.22万元，主要包括：办公费、水费、电费、邮电费、印刷费、差旅费、维修（护）费、劳务费等。</w:t>
      </w:r>
    </w:p>
    <w:p>
      <w:pPr>
        <w:keepNext w:val="0"/>
        <w:keepLines w:val="0"/>
        <w:pageBreakBefore w:val="0"/>
        <w:widowControl w:val="0"/>
        <w:kinsoku/>
        <w:wordWrap/>
        <w:overflowPunct/>
        <w:topLinePunct w:val="0"/>
        <w:autoSpaceDE/>
        <w:autoSpaceDN/>
        <w:bidi w:val="0"/>
        <w:spacing w:line="570" w:lineRule="exact"/>
        <w:ind w:left="147" w:leftChars="70" w:firstLine="660" w:firstLineChars="200"/>
        <w:textAlignment w:val="auto"/>
        <w:rPr>
          <w:rFonts w:hint="eastAsia" w:eastAsia="方正仿宋简体"/>
          <w:color w:val="FF0000"/>
          <w:sz w:val="33"/>
          <w:szCs w:val="33"/>
        </w:rPr>
      </w:pPr>
      <w:r>
        <w:rPr>
          <w:rFonts w:hint="eastAsia" w:eastAsia="黑体"/>
          <w:sz w:val="33"/>
          <w:szCs w:val="33"/>
        </w:rPr>
        <w:t>六</w:t>
      </w:r>
      <w:r>
        <w:rPr>
          <w:rFonts w:eastAsia="黑体"/>
          <w:sz w:val="33"/>
          <w:szCs w:val="33"/>
        </w:rPr>
        <w:t>、</w:t>
      </w:r>
      <w:r>
        <w:rPr>
          <w:rFonts w:hint="eastAsia" w:eastAsia="黑体"/>
          <w:sz w:val="33"/>
          <w:szCs w:val="33"/>
        </w:rPr>
        <w:t>“</w:t>
      </w:r>
      <w:r>
        <w:rPr>
          <w:rFonts w:eastAsia="黑体"/>
          <w:sz w:val="33"/>
          <w:szCs w:val="33"/>
        </w:rPr>
        <w:t>三公</w:t>
      </w:r>
      <w:r>
        <w:rPr>
          <w:rFonts w:hint="eastAsia" w:eastAsia="黑体"/>
          <w:sz w:val="33"/>
          <w:szCs w:val="33"/>
        </w:rPr>
        <w:t>”</w:t>
      </w:r>
      <w:r>
        <w:rPr>
          <w:rFonts w:eastAsia="黑体"/>
          <w:sz w:val="33"/>
          <w:szCs w:val="33"/>
        </w:rPr>
        <w:t>经费财政拨款预算安排情况</w:t>
      </w:r>
      <w:r>
        <w:rPr>
          <w:rFonts w:hint="eastAsia" w:eastAsia="黑体"/>
          <w:sz w:val="33"/>
          <w:szCs w:val="33"/>
        </w:rPr>
        <w:t>说明</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lang w:val="en-US" w:eastAsia="zh-CN"/>
        </w:rPr>
      </w:pPr>
      <w:r>
        <w:rPr>
          <w:rFonts w:hint="eastAsia" w:eastAsia="方正仿宋简体"/>
          <w:sz w:val="33"/>
          <w:szCs w:val="33"/>
          <w:lang w:val="en-US" w:eastAsia="zh-CN"/>
        </w:rPr>
        <w:t>资阳市雁江区国有资产监管和金融工作局2024年“三公”经费财政拨款预算数0万元，其中：因公出国（境）经费0万元，公务接待费0万元，公务用车购置及运行维护费0万元。</w:t>
      </w:r>
    </w:p>
    <w:p>
      <w:pPr>
        <w:keepNext w:val="0"/>
        <w:keepLines w:val="0"/>
        <w:pageBreakBefore w:val="0"/>
        <w:widowControl w:val="0"/>
        <w:kinsoku/>
        <w:wordWrap/>
        <w:overflowPunct/>
        <w:topLinePunct w:val="0"/>
        <w:autoSpaceDE/>
        <w:autoSpaceDN/>
        <w:bidi w:val="0"/>
        <w:spacing w:line="570" w:lineRule="exact"/>
        <w:ind w:firstLine="663" w:firstLineChars="200"/>
        <w:textAlignment w:val="auto"/>
        <w:rPr>
          <w:rFonts w:hint="eastAsia" w:eastAsia="方正仿宋简体"/>
          <w:sz w:val="33"/>
          <w:szCs w:val="33"/>
          <w:lang w:val="en-US" w:eastAsia="zh-CN"/>
        </w:rPr>
      </w:pPr>
      <w:r>
        <w:rPr>
          <w:rFonts w:eastAsia="方正楷体简体"/>
          <w:b/>
          <w:sz w:val="33"/>
          <w:szCs w:val="33"/>
        </w:rPr>
        <w:t>（一）因公出国（境）经费较20</w:t>
      </w:r>
      <w:r>
        <w:rPr>
          <w:rFonts w:hint="eastAsia" w:eastAsia="方正楷体简体"/>
          <w:b/>
          <w:sz w:val="33"/>
          <w:szCs w:val="33"/>
        </w:rPr>
        <w:t>2</w:t>
      </w:r>
      <w:r>
        <w:rPr>
          <w:rFonts w:hint="eastAsia" w:eastAsia="方正楷体简体"/>
          <w:b/>
          <w:sz w:val="33"/>
          <w:szCs w:val="33"/>
          <w:lang w:val="en-US" w:eastAsia="zh-CN"/>
        </w:rPr>
        <w:t>3</w:t>
      </w:r>
      <w:r>
        <w:rPr>
          <w:rFonts w:eastAsia="方正楷体简体"/>
          <w:b/>
          <w:sz w:val="33"/>
          <w:szCs w:val="33"/>
        </w:rPr>
        <w:t>年预算持平。</w:t>
      </w:r>
      <w:r>
        <w:rPr>
          <w:rFonts w:hint="eastAsia" w:eastAsia="方正仿宋简体"/>
          <w:sz w:val="33"/>
          <w:szCs w:val="33"/>
          <w:lang w:val="en-US" w:eastAsia="zh-CN"/>
        </w:rPr>
        <w:t>主要原因是无因公出国，本年度拟安排出国（境）0人次。</w:t>
      </w:r>
    </w:p>
    <w:p>
      <w:pPr>
        <w:keepNext w:val="0"/>
        <w:keepLines w:val="0"/>
        <w:pageBreakBefore w:val="0"/>
        <w:widowControl w:val="0"/>
        <w:kinsoku/>
        <w:wordWrap/>
        <w:overflowPunct/>
        <w:topLinePunct w:val="0"/>
        <w:autoSpaceDE/>
        <w:autoSpaceDN/>
        <w:bidi w:val="0"/>
        <w:spacing w:line="570" w:lineRule="exact"/>
        <w:ind w:left="147" w:leftChars="70" w:firstLine="497" w:firstLineChars="150"/>
        <w:textAlignment w:val="auto"/>
        <w:rPr>
          <w:rFonts w:hint="eastAsia" w:eastAsia="方正仿宋简体"/>
          <w:sz w:val="33"/>
          <w:szCs w:val="33"/>
          <w:lang w:val="en-US" w:eastAsia="zh-CN"/>
        </w:rPr>
      </w:pPr>
      <w:r>
        <w:rPr>
          <w:rFonts w:eastAsia="方正楷体简体"/>
          <w:b/>
          <w:sz w:val="33"/>
          <w:szCs w:val="33"/>
        </w:rPr>
        <w:t>（二）公务接待费较20</w:t>
      </w:r>
      <w:r>
        <w:rPr>
          <w:rFonts w:hint="eastAsia" w:eastAsia="方正楷体简体"/>
          <w:b/>
          <w:sz w:val="33"/>
          <w:szCs w:val="33"/>
        </w:rPr>
        <w:t>2</w:t>
      </w:r>
      <w:r>
        <w:rPr>
          <w:rFonts w:hint="eastAsia" w:eastAsia="方正楷体简体"/>
          <w:b/>
          <w:sz w:val="33"/>
          <w:szCs w:val="33"/>
          <w:lang w:val="en-US" w:eastAsia="zh-CN"/>
        </w:rPr>
        <w:t>3</w:t>
      </w:r>
      <w:r>
        <w:rPr>
          <w:rFonts w:eastAsia="方正楷体简体"/>
          <w:b/>
          <w:sz w:val="33"/>
          <w:szCs w:val="33"/>
        </w:rPr>
        <w:t>年预算持平。</w:t>
      </w:r>
      <w:r>
        <w:rPr>
          <w:rFonts w:eastAsia="方正仿宋简体"/>
          <w:sz w:val="33"/>
          <w:szCs w:val="33"/>
        </w:rPr>
        <w:t>主要原</w:t>
      </w:r>
      <w:r>
        <w:rPr>
          <w:rFonts w:hint="eastAsia" w:eastAsia="方正仿宋简体"/>
          <w:sz w:val="33"/>
          <w:szCs w:val="33"/>
          <w:lang w:val="en-US" w:eastAsia="zh-CN"/>
        </w:rPr>
        <w:t>因是公务接待极少，未单独安排预算。</w:t>
      </w:r>
    </w:p>
    <w:p>
      <w:pPr>
        <w:keepNext w:val="0"/>
        <w:keepLines w:val="0"/>
        <w:pageBreakBefore w:val="0"/>
        <w:widowControl w:val="0"/>
        <w:kinsoku/>
        <w:wordWrap/>
        <w:overflowPunct/>
        <w:topLinePunct w:val="0"/>
        <w:autoSpaceDE/>
        <w:autoSpaceDN/>
        <w:bidi w:val="0"/>
        <w:adjustRightInd w:val="0"/>
        <w:snapToGrid w:val="0"/>
        <w:spacing w:before="93" w:beforeLines="30" w:line="570" w:lineRule="exact"/>
        <w:ind w:firstLine="663" w:firstLineChars="200"/>
        <w:textAlignment w:val="auto"/>
        <w:rPr>
          <w:rFonts w:eastAsia="方正楷体简体"/>
          <w:b/>
          <w:sz w:val="33"/>
          <w:szCs w:val="33"/>
        </w:rPr>
      </w:pPr>
      <w:r>
        <w:rPr>
          <w:rFonts w:eastAsia="方正楷体简体"/>
          <w:b/>
          <w:sz w:val="33"/>
          <w:szCs w:val="33"/>
        </w:rPr>
        <w:t>（三）</w:t>
      </w:r>
      <w:r>
        <w:rPr>
          <w:rFonts w:hint="eastAsia" w:eastAsia="方正楷体简体"/>
          <w:b/>
          <w:sz w:val="33"/>
          <w:szCs w:val="33"/>
        </w:rPr>
        <w:t>公务用车购置及运行维护费较202</w:t>
      </w:r>
      <w:r>
        <w:rPr>
          <w:rFonts w:hint="eastAsia" w:eastAsia="方正楷体简体"/>
          <w:b/>
          <w:sz w:val="33"/>
          <w:szCs w:val="33"/>
          <w:lang w:val="en-US" w:eastAsia="zh-CN"/>
        </w:rPr>
        <w:t>3</w:t>
      </w:r>
      <w:r>
        <w:rPr>
          <w:rFonts w:hint="eastAsia" w:eastAsia="方正楷体简体"/>
          <w:b/>
          <w:sz w:val="33"/>
          <w:szCs w:val="33"/>
        </w:rPr>
        <w:t>年预算下降</w:t>
      </w:r>
      <w:r>
        <w:rPr>
          <w:rFonts w:hint="eastAsia" w:eastAsia="方正楷体简体"/>
          <w:b/>
          <w:sz w:val="33"/>
          <w:szCs w:val="33"/>
          <w:lang w:val="en-US" w:eastAsia="zh-CN"/>
        </w:rPr>
        <w:t>0</w:t>
      </w:r>
      <w:r>
        <w:rPr>
          <w:rFonts w:hint="eastAsia" w:eastAsia="方正楷体简体"/>
          <w:b/>
          <w:sz w:val="33"/>
          <w:szCs w:val="33"/>
        </w:rPr>
        <w:t>%。</w:t>
      </w:r>
    </w:p>
    <w:p>
      <w:pPr>
        <w:keepNext w:val="0"/>
        <w:keepLines w:val="0"/>
        <w:pageBreakBefore w:val="0"/>
        <w:widowControl w:val="0"/>
        <w:kinsoku/>
        <w:wordWrap/>
        <w:overflowPunct/>
        <w:topLinePunct w:val="0"/>
        <w:autoSpaceDE/>
        <w:autoSpaceDN/>
        <w:bidi w:val="0"/>
        <w:spacing w:line="570" w:lineRule="exact"/>
        <w:ind w:left="147" w:leftChars="70" w:firstLine="495" w:firstLineChars="150"/>
        <w:textAlignment w:val="auto"/>
        <w:rPr>
          <w:rFonts w:hint="eastAsia" w:eastAsia="方正仿宋简体"/>
          <w:sz w:val="33"/>
          <w:szCs w:val="33"/>
          <w:lang w:val="en-US" w:eastAsia="zh-CN"/>
        </w:rPr>
      </w:pPr>
      <w:r>
        <w:rPr>
          <w:rFonts w:hint="eastAsia" w:eastAsia="方正仿宋简体"/>
          <w:sz w:val="33"/>
          <w:szCs w:val="33"/>
          <w:lang w:val="en-US" w:eastAsia="zh-CN"/>
        </w:rPr>
        <w:t>单位现有公务用车0辆。</w:t>
      </w:r>
    </w:p>
    <w:p>
      <w:pPr>
        <w:keepNext w:val="0"/>
        <w:keepLines w:val="0"/>
        <w:pageBreakBefore w:val="0"/>
        <w:widowControl w:val="0"/>
        <w:kinsoku/>
        <w:wordWrap/>
        <w:overflowPunct/>
        <w:topLinePunct w:val="0"/>
        <w:autoSpaceDE/>
        <w:autoSpaceDN/>
        <w:bidi w:val="0"/>
        <w:spacing w:line="570" w:lineRule="exact"/>
        <w:ind w:left="147" w:leftChars="70" w:firstLine="495" w:firstLineChars="150"/>
        <w:textAlignment w:val="auto"/>
        <w:rPr>
          <w:rFonts w:hint="eastAsia" w:eastAsia="方正仿宋简体"/>
          <w:sz w:val="33"/>
          <w:szCs w:val="33"/>
          <w:lang w:val="en-US" w:eastAsia="zh-CN"/>
        </w:rPr>
      </w:pPr>
      <w:r>
        <w:rPr>
          <w:rFonts w:hint="eastAsia" w:eastAsia="方正仿宋简体"/>
          <w:sz w:val="33"/>
          <w:szCs w:val="33"/>
          <w:lang w:val="en-US" w:eastAsia="zh-CN"/>
        </w:rPr>
        <w:t>公务用车购置费0万元，较2023年预算下降0%。</w:t>
      </w:r>
    </w:p>
    <w:p>
      <w:pPr>
        <w:keepNext w:val="0"/>
        <w:keepLines w:val="0"/>
        <w:pageBreakBefore w:val="0"/>
        <w:widowControl w:val="0"/>
        <w:kinsoku/>
        <w:wordWrap/>
        <w:overflowPunct/>
        <w:topLinePunct w:val="0"/>
        <w:autoSpaceDE/>
        <w:autoSpaceDN/>
        <w:bidi w:val="0"/>
        <w:spacing w:line="570" w:lineRule="exact"/>
        <w:ind w:left="147" w:leftChars="70" w:firstLine="495" w:firstLineChars="150"/>
        <w:textAlignment w:val="auto"/>
        <w:rPr>
          <w:rFonts w:hint="eastAsia" w:eastAsia="方正仿宋简体"/>
          <w:sz w:val="33"/>
          <w:szCs w:val="33"/>
          <w:lang w:val="en-US" w:eastAsia="zh-CN"/>
        </w:rPr>
      </w:pPr>
      <w:r>
        <w:rPr>
          <w:rFonts w:hint="eastAsia" w:eastAsia="方正仿宋简体"/>
          <w:sz w:val="33"/>
          <w:szCs w:val="33"/>
          <w:lang w:val="en-US" w:eastAsia="zh-CN"/>
        </w:rPr>
        <w:t>公务用车运行维护费0万元，较2023年预算下降0%。</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rPr>
      </w:pPr>
      <w:r>
        <w:rPr>
          <w:rFonts w:hint="eastAsia" w:eastAsia="黑体"/>
          <w:sz w:val="33"/>
          <w:szCs w:val="33"/>
        </w:rPr>
        <w:t>七、政府性基金预算支出情况说明</w:t>
      </w:r>
    </w:p>
    <w:p>
      <w:pPr>
        <w:keepNext w:val="0"/>
        <w:keepLines w:val="0"/>
        <w:pageBreakBefore w:val="0"/>
        <w:widowControl w:val="0"/>
        <w:kinsoku/>
        <w:wordWrap/>
        <w:overflowPunct/>
        <w:topLinePunct w:val="0"/>
        <w:autoSpaceDE/>
        <w:autoSpaceDN/>
        <w:bidi w:val="0"/>
        <w:spacing w:line="570" w:lineRule="exact"/>
        <w:ind w:left="147" w:leftChars="70" w:firstLine="495" w:firstLineChars="150"/>
        <w:textAlignment w:val="auto"/>
        <w:rPr>
          <w:rFonts w:hint="eastAsia" w:eastAsia="方正仿宋简体"/>
          <w:sz w:val="33"/>
          <w:szCs w:val="33"/>
          <w:lang w:val="en-US" w:eastAsia="zh-CN"/>
        </w:rPr>
      </w:pPr>
      <w:r>
        <w:rPr>
          <w:rFonts w:hint="eastAsia" w:eastAsia="方正仿宋简体"/>
          <w:sz w:val="33"/>
          <w:szCs w:val="33"/>
          <w:lang w:val="en-US" w:eastAsia="zh-CN"/>
        </w:rPr>
        <w:t>无政府性基金预算的单位表述为：区国资金融局2024年没有使用政府性基金预算拨款安排的支出。</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黑体"/>
          <w:sz w:val="33"/>
          <w:szCs w:val="33"/>
        </w:rPr>
      </w:pPr>
      <w:r>
        <w:rPr>
          <w:rFonts w:hint="eastAsia" w:eastAsia="黑体"/>
          <w:sz w:val="33"/>
          <w:szCs w:val="33"/>
        </w:rPr>
        <w:t>八、国有资本经营预算支出情况说明</w:t>
      </w:r>
    </w:p>
    <w:p>
      <w:pPr>
        <w:keepNext w:val="0"/>
        <w:keepLines w:val="0"/>
        <w:pageBreakBefore w:val="0"/>
        <w:widowControl w:val="0"/>
        <w:kinsoku/>
        <w:wordWrap/>
        <w:overflowPunct/>
        <w:topLinePunct w:val="0"/>
        <w:autoSpaceDE/>
        <w:autoSpaceDN/>
        <w:bidi w:val="0"/>
        <w:spacing w:line="570" w:lineRule="exact"/>
        <w:ind w:left="147" w:leftChars="70" w:firstLine="495" w:firstLineChars="150"/>
        <w:textAlignment w:val="auto"/>
        <w:rPr>
          <w:rFonts w:hint="eastAsia" w:eastAsia="方正仿宋简体"/>
          <w:sz w:val="33"/>
          <w:szCs w:val="33"/>
          <w:lang w:val="en-US" w:eastAsia="zh-CN"/>
        </w:rPr>
      </w:pPr>
      <w:r>
        <w:rPr>
          <w:rFonts w:hint="eastAsia" w:eastAsia="方正仿宋简体"/>
          <w:sz w:val="33"/>
          <w:szCs w:val="33"/>
          <w:lang w:val="en-US" w:eastAsia="zh-CN"/>
        </w:rPr>
        <w:t>区国资金融局2024年没有使用国有资本经营预算拨款安排的支出。</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黑体"/>
          <w:sz w:val="33"/>
          <w:szCs w:val="33"/>
        </w:rPr>
      </w:pPr>
      <w:r>
        <w:rPr>
          <w:rFonts w:hint="eastAsia" w:eastAsia="黑体"/>
          <w:sz w:val="33"/>
          <w:szCs w:val="33"/>
        </w:rPr>
        <w:t>九、其他重要事项的情况说明</w:t>
      </w:r>
    </w:p>
    <w:p>
      <w:pPr>
        <w:keepNext w:val="0"/>
        <w:keepLines w:val="0"/>
        <w:pageBreakBefore w:val="0"/>
        <w:widowControl w:val="0"/>
        <w:kinsoku/>
        <w:wordWrap/>
        <w:overflowPunct/>
        <w:topLinePunct w:val="0"/>
        <w:autoSpaceDE/>
        <w:autoSpaceDN/>
        <w:bidi w:val="0"/>
        <w:spacing w:line="570" w:lineRule="exact"/>
        <w:ind w:firstLine="636" w:firstLineChars="192"/>
        <w:textAlignment w:val="auto"/>
        <w:rPr>
          <w:rFonts w:hint="eastAsia" w:eastAsia="方正楷体简体"/>
          <w:b/>
          <w:sz w:val="33"/>
          <w:szCs w:val="33"/>
        </w:rPr>
      </w:pPr>
      <w:r>
        <w:rPr>
          <w:rFonts w:hint="eastAsia" w:eastAsia="方正楷体简体"/>
          <w:b/>
          <w:sz w:val="33"/>
          <w:szCs w:val="33"/>
        </w:rPr>
        <w:t>（一）机关运行经费</w:t>
      </w:r>
    </w:p>
    <w:p>
      <w:pPr>
        <w:keepNext w:val="0"/>
        <w:keepLines w:val="0"/>
        <w:pageBreakBefore w:val="0"/>
        <w:widowControl w:val="0"/>
        <w:kinsoku/>
        <w:wordWrap/>
        <w:overflowPunct/>
        <w:topLinePunct w:val="0"/>
        <w:autoSpaceDE/>
        <w:autoSpaceDN/>
        <w:bidi w:val="0"/>
        <w:adjustRightInd/>
        <w:snapToGrid/>
        <w:spacing w:line="570" w:lineRule="exact"/>
        <w:ind w:firstLine="660" w:firstLineChars="200"/>
        <w:textAlignment w:val="auto"/>
        <w:rPr>
          <w:rFonts w:hint="default" w:eastAsia="方正仿宋简体"/>
          <w:sz w:val="33"/>
          <w:szCs w:val="33"/>
          <w:lang w:val="en-US" w:eastAsia="zh-CN"/>
        </w:rPr>
      </w:pPr>
      <w:r>
        <w:rPr>
          <w:rFonts w:hint="eastAsia" w:eastAsia="方正仿宋简体"/>
          <w:sz w:val="33"/>
          <w:szCs w:val="33"/>
          <w:lang w:val="en-US" w:eastAsia="zh-CN"/>
        </w:rPr>
        <w:t>区国资金融局2024年机关运行经费财政拨款预算为30.22万元，比2022年预算增加13万元，增长75.49%。增长原因是因机构改革，我局合并调整后机关人数由原8人调整为15人。</w:t>
      </w:r>
      <w:bookmarkStart w:id="0" w:name="_GoBack"/>
      <w:bookmarkEnd w:id="0"/>
    </w:p>
    <w:p>
      <w:pPr>
        <w:keepNext w:val="0"/>
        <w:keepLines w:val="0"/>
        <w:pageBreakBefore w:val="0"/>
        <w:widowControl w:val="0"/>
        <w:kinsoku/>
        <w:wordWrap/>
        <w:overflowPunct/>
        <w:topLinePunct w:val="0"/>
        <w:autoSpaceDE/>
        <w:autoSpaceDN/>
        <w:bidi w:val="0"/>
        <w:spacing w:line="570" w:lineRule="exact"/>
        <w:ind w:firstLine="636" w:firstLineChars="192"/>
        <w:textAlignment w:val="auto"/>
        <w:rPr>
          <w:rFonts w:hint="eastAsia" w:eastAsia="方正楷体简体"/>
          <w:b/>
          <w:sz w:val="33"/>
          <w:szCs w:val="33"/>
        </w:rPr>
      </w:pPr>
      <w:r>
        <w:rPr>
          <w:rFonts w:hint="eastAsia" w:eastAsia="方正楷体简体"/>
          <w:b/>
          <w:sz w:val="33"/>
          <w:szCs w:val="33"/>
        </w:rPr>
        <w:t>（二）政府采购情况</w:t>
      </w:r>
    </w:p>
    <w:p>
      <w:pPr>
        <w:keepNext w:val="0"/>
        <w:keepLines w:val="0"/>
        <w:pageBreakBefore w:val="0"/>
        <w:widowControl w:val="0"/>
        <w:kinsoku/>
        <w:wordWrap/>
        <w:overflowPunct/>
        <w:topLinePunct w:val="0"/>
        <w:autoSpaceDE/>
        <w:autoSpaceDN/>
        <w:bidi w:val="0"/>
        <w:adjustRightInd/>
        <w:snapToGrid/>
        <w:spacing w:line="570" w:lineRule="exact"/>
        <w:ind w:firstLine="660" w:firstLineChars="200"/>
        <w:textAlignment w:val="auto"/>
        <w:rPr>
          <w:rFonts w:hint="eastAsia" w:eastAsia="方正仿宋简体"/>
          <w:sz w:val="33"/>
          <w:szCs w:val="33"/>
          <w:lang w:val="en-US" w:eastAsia="zh-CN"/>
        </w:rPr>
      </w:pPr>
      <w:r>
        <w:rPr>
          <w:rFonts w:hint="eastAsia" w:eastAsia="方正仿宋简体"/>
          <w:sz w:val="33"/>
          <w:szCs w:val="33"/>
          <w:lang w:val="en-US" w:eastAsia="zh-CN"/>
        </w:rPr>
        <w:t>2023年，区国资金融局无政府采购项目，未安排政府采购预算。</w:t>
      </w:r>
    </w:p>
    <w:p>
      <w:pPr>
        <w:keepNext w:val="0"/>
        <w:keepLines w:val="0"/>
        <w:pageBreakBefore w:val="0"/>
        <w:widowControl w:val="0"/>
        <w:kinsoku/>
        <w:wordWrap/>
        <w:overflowPunct/>
        <w:topLinePunct w:val="0"/>
        <w:autoSpaceDE/>
        <w:autoSpaceDN/>
        <w:bidi w:val="0"/>
        <w:spacing w:line="570" w:lineRule="exact"/>
        <w:ind w:firstLine="663" w:firstLineChars="200"/>
        <w:textAlignment w:val="auto"/>
        <w:rPr>
          <w:rFonts w:hint="eastAsia" w:eastAsia="方正楷体简体"/>
          <w:b/>
          <w:sz w:val="33"/>
          <w:szCs w:val="33"/>
        </w:rPr>
      </w:pPr>
      <w:r>
        <w:rPr>
          <w:rFonts w:hint="eastAsia" w:eastAsia="方正楷体简体"/>
          <w:b/>
          <w:sz w:val="33"/>
          <w:szCs w:val="33"/>
        </w:rPr>
        <w:t>（三）国有资产占有使用情况</w:t>
      </w:r>
    </w:p>
    <w:p>
      <w:pPr>
        <w:keepNext w:val="0"/>
        <w:keepLines w:val="0"/>
        <w:pageBreakBefore w:val="0"/>
        <w:widowControl w:val="0"/>
        <w:kinsoku/>
        <w:wordWrap/>
        <w:overflowPunct/>
        <w:topLinePunct w:val="0"/>
        <w:autoSpaceDE/>
        <w:autoSpaceDN/>
        <w:bidi w:val="0"/>
        <w:spacing w:line="570" w:lineRule="exact"/>
        <w:ind w:left="147" w:leftChars="70" w:firstLine="495" w:firstLineChars="150"/>
        <w:textAlignment w:val="auto"/>
        <w:rPr>
          <w:rFonts w:hint="eastAsia" w:eastAsia="方正仿宋简体"/>
          <w:sz w:val="33"/>
          <w:szCs w:val="33"/>
          <w:lang w:val="en-US" w:eastAsia="zh-CN"/>
        </w:rPr>
      </w:pPr>
      <w:r>
        <w:rPr>
          <w:rFonts w:hint="eastAsia" w:eastAsia="方正仿宋简体"/>
          <w:sz w:val="33"/>
          <w:szCs w:val="33"/>
          <w:lang w:val="en-US" w:eastAsia="zh-CN"/>
        </w:rPr>
        <w:t>截至2023年底，区国资金融局共有车辆0辆。</w:t>
      </w:r>
    </w:p>
    <w:p>
      <w:pPr>
        <w:keepNext w:val="0"/>
        <w:keepLines w:val="0"/>
        <w:pageBreakBefore w:val="0"/>
        <w:widowControl w:val="0"/>
        <w:kinsoku/>
        <w:wordWrap/>
        <w:overflowPunct/>
        <w:topLinePunct w:val="0"/>
        <w:autoSpaceDE/>
        <w:autoSpaceDN/>
        <w:bidi w:val="0"/>
        <w:spacing w:line="570" w:lineRule="exact"/>
        <w:ind w:left="147" w:leftChars="70" w:firstLine="495" w:firstLineChars="150"/>
        <w:textAlignment w:val="auto"/>
        <w:rPr>
          <w:rFonts w:hint="eastAsia" w:eastAsia="方正仿宋简体"/>
          <w:sz w:val="33"/>
          <w:szCs w:val="33"/>
          <w:lang w:val="en-US" w:eastAsia="zh-CN"/>
        </w:rPr>
      </w:pPr>
      <w:r>
        <w:rPr>
          <w:rFonts w:hint="eastAsia" w:eastAsia="方正仿宋简体"/>
          <w:sz w:val="33"/>
          <w:szCs w:val="33"/>
          <w:lang w:val="en-US" w:eastAsia="zh-CN"/>
        </w:rPr>
        <w:t>2024年单位预算未安排购置车辆及单位价值100万元以上大型设备。</w:t>
      </w:r>
    </w:p>
    <w:p>
      <w:pPr>
        <w:keepNext w:val="0"/>
        <w:keepLines w:val="0"/>
        <w:pageBreakBefore w:val="0"/>
        <w:widowControl w:val="0"/>
        <w:kinsoku/>
        <w:wordWrap/>
        <w:overflowPunct/>
        <w:topLinePunct w:val="0"/>
        <w:autoSpaceDE/>
        <w:autoSpaceDN/>
        <w:bidi w:val="0"/>
        <w:spacing w:line="570" w:lineRule="exact"/>
        <w:ind w:firstLine="663" w:firstLineChars="200"/>
        <w:textAlignment w:val="auto"/>
        <w:rPr>
          <w:rFonts w:hint="eastAsia" w:eastAsia="方正楷体简体"/>
          <w:b/>
          <w:sz w:val="33"/>
          <w:szCs w:val="33"/>
        </w:rPr>
      </w:pPr>
      <w:r>
        <w:rPr>
          <w:rFonts w:hint="eastAsia" w:eastAsia="方正楷体简体"/>
          <w:b/>
          <w:sz w:val="33"/>
          <w:szCs w:val="33"/>
        </w:rPr>
        <w:t>（四）绩效目标设置情况</w:t>
      </w:r>
    </w:p>
    <w:p>
      <w:pPr>
        <w:keepNext w:val="0"/>
        <w:keepLines w:val="0"/>
        <w:pageBreakBefore w:val="0"/>
        <w:widowControl w:val="0"/>
        <w:kinsoku/>
        <w:wordWrap/>
        <w:overflowPunct/>
        <w:topLinePunct w:val="0"/>
        <w:autoSpaceDE/>
        <w:autoSpaceDN/>
        <w:bidi w:val="0"/>
        <w:adjustRightInd/>
        <w:snapToGrid/>
        <w:spacing w:line="570" w:lineRule="exact"/>
        <w:ind w:firstLine="660" w:firstLineChars="200"/>
        <w:textAlignment w:val="auto"/>
        <w:rPr>
          <w:rFonts w:hint="eastAsia" w:eastAsia="方正仿宋简体"/>
          <w:sz w:val="33"/>
          <w:szCs w:val="33"/>
          <w:lang w:val="en-US" w:eastAsia="zh-CN"/>
        </w:rPr>
      </w:pPr>
      <w:r>
        <w:rPr>
          <w:rFonts w:hint="eastAsia" w:eastAsia="方正仿宋简体"/>
          <w:sz w:val="33"/>
          <w:szCs w:val="33"/>
          <w:lang w:val="en-US" w:eastAsia="zh-CN"/>
        </w:rPr>
        <w:t>绩效目标是预算编制的前提和基础，按照“费随事定”的原则，2024年区国资金融局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spacing w:line="570" w:lineRule="exact"/>
        <w:ind w:firstLine="990" w:firstLineChars="300"/>
        <w:textAlignment w:val="auto"/>
        <w:rPr>
          <w:rFonts w:hint="eastAsia" w:eastAsia="黑体"/>
          <w:sz w:val="33"/>
          <w:szCs w:val="33"/>
        </w:rPr>
      </w:pPr>
      <w:r>
        <w:rPr>
          <w:rFonts w:hint="eastAsia" w:eastAsia="黑体"/>
          <w:sz w:val="33"/>
          <w:szCs w:val="33"/>
        </w:rPr>
        <w:t>十、名词解释</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rPr>
      </w:pPr>
      <w:r>
        <w:rPr>
          <w:rFonts w:hint="eastAsia" w:eastAsia="方正仿宋简体"/>
          <w:sz w:val="33"/>
          <w:szCs w:val="33"/>
        </w:rPr>
        <w:t>（一）一般公共预算拨款收入：指区级财政当年拨付的资金。</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rPr>
      </w:pPr>
      <w:r>
        <w:rPr>
          <w:rFonts w:hint="eastAsia" w:eastAsia="方正仿宋简体"/>
          <w:sz w:val="33"/>
          <w:szCs w:val="33"/>
        </w:rPr>
        <w:t>（二）上年结转：指以前年度尚未完成，结转到本年仍按原规定用途继续使用的资金。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rPr>
      </w:pPr>
      <w:r>
        <w:rPr>
          <w:rFonts w:hint="eastAsia" w:eastAsia="方正仿宋简体"/>
          <w:sz w:val="33"/>
          <w:szCs w:val="33"/>
        </w:rPr>
        <w:t>（三）一般公共服务（类）政府办公厅（室）及相关机构事务（款）行政运行（项）：指局机关及</w:t>
      </w:r>
      <w:r>
        <w:rPr>
          <w:rFonts w:hint="eastAsia" w:eastAsia="方正仿宋简体"/>
          <w:sz w:val="33"/>
          <w:szCs w:val="33"/>
          <w:lang w:val="en-US" w:eastAsia="zh-CN"/>
        </w:rPr>
        <w:t>下辖</w:t>
      </w:r>
      <w:r>
        <w:rPr>
          <w:rFonts w:hint="eastAsia" w:eastAsia="方正仿宋简体"/>
          <w:sz w:val="33"/>
          <w:szCs w:val="33"/>
        </w:rPr>
        <w:t>事业单位用于保障机构正常运行、开展日常工作的基本支出。</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rPr>
      </w:pPr>
      <w:r>
        <w:rPr>
          <w:rFonts w:hint="eastAsia" w:eastAsia="方正仿宋简体"/>
          <w:sz w:val="33"/>
          <w:szCs w:val="33"/>
        </w:rPr>
        <w:t>（四）一般公共服务（类）政府办公厅（室）及相关机构事务（款）一般行政管理事务（项）：指局机关及</w:t>
      </w:r>
      <w:r>
        <w:rPr>
          <w:rFonts w:hint="eastAsia" w:eastAsia="方正仿宋简体"/>
          <w:sz w:val="33"/>
          <w:szCs w:val="33"/>
          <w:lang w:val="en-US" w:eastAsia="zh-CN"/>
        </w:rPr>
        <w:t>下辖</w:t>
      </w:r>
      <w:r>
        <w:rPr>
          <w:rFonts w:hint="eastAsia" w:eastAsia="方正仿宋简体"/>
          <w:sz w:val="33"/>
          <w:szCs w:val="33"/>
        </w:rPr>
        <w:t>事业单位开展</w:t>
      </w:r>
      <w:r>
        <w:rPr>
          <w:rFonts w:hint="eastAsia" w:eastAsia="方正仿宋简体"/>
          <w:sz w:val="33"/>
          <w:szCs w:val="33"/>
          <w:lang w:val="en-US" w:eastAsia="zh-CN"/>
        </w:rPr>
        <w:t>融资、金融顾问团</w:t>
      </w:r>
      <w:r>
        <w:rPr>
          <w:rFonts w:hint="eastAsia" w:eastAsia="方正仿宋简体"/>
          <w:sz w:val="33"/>
          <w:szCs w:val="33"/>
        </w:rPr>
        <w:t>等未单独设置项级科目的工作的项目支出。</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rPr>
      </w:pPr>
      <w:r>
        <w:rPr>
          <w:rFonts w:hint="eastAsia" w:eastAsia="方正仿宋简体"/>
          <w:sz w:val="33"/>
          <w:szCs w:val="33"/>
        </w:rPr>
        <w:t>（</w:t>
      </w:r>
      <w:r>
        <w:rPr>
          <w:rFonts w:hint="eastAsia" w:eastAsia="方正仿宋简体"/>
          <w:sz w:val="33"/>
          <w:szCs w:val="33"/>
          <w:lang w:val="en-US" w:eastAsia="zh-CN"/>
        </w:rPr>
        <w:t>五</w:t>
      </w:r>
      <w:r>
        <w:rPr>
          <w:rFonts w:hint="eastAsia" w:eastAsia="方正仿宋简体"/>
          <w:sz w:val="33"/>
          <w:szCs w:val="33"/>
        </w:rPr>
        <w:t>）基本支出：指为保证机构正常运转，完成日常工作任务而发生的人员支出和公用支出。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rPr>
      </w:pPr>
      <w:r>
        <w:rPr>
          <w:rFonts w:hint="eastAsia" w:eastAsia="方正仿宋简体"/>
          <w:sz w:val="33"/>
          <w:szCs w:val="33"/>
        </w:rPr>
        <w:t>（</w:t>
      </w:r>
      <w:r>
        <w:rPr>
          <w:rFonts w:hint="eastAsia" w:eastAsia="方正仿宋简体"/>
          <w:sz w:val="33"/>
          <w:szCs w:val="33"/>
          <w:lang w:val="en-US" w:eastAsia="zh-CN"/>
        </w:rPr>
        <w:t>六</w:t>
      </w:r>
      <w:r>
        <w:rPr>
          <w:rFonts w:hint="eastAsia" w:eastAsia="方正仿宋简体"/>
          <w:sz w:val="33"/>
          <w:szCs w:val="33"/>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rPr>
      </w:pPr>
      <w:r>
        <w:rPr>
          <w:rFonts w:hint="eastAsia" w:eastAsia="方正仿宋简体"/>
          <w:sz w:val="33"/>
          <w:szCs w:val="33"/>
        </w:rPr>
        <w:t>（</w:t>
      </w:r>
      <w:r>
        <w:rPr>
          <w:rFonts w:hint="eastAsia" w:eastAsia="方正仿宋简体"/>
          <w:sz w:val="33"/>
          <w:szCs w:val="33"/>
          <w:lang w:val="en-US" w:eastAsia="zh-CN"/>
        </w:rPr>
        <w:t>七</w:t>
      </w:r>
      <w:r>
        <w:rPr>
          <w:rFonts w:hint="eastAsia" w:eastAsia="方正仿宋简体"/>
          <w:sz w:val="33"/>
          <w:szCs w:val="33"/>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rPr>
      </w:pPr>
      <w:r>
        <w:rPr>
          <w:rFonts w:hint="eastAsia" w:eastAsia="方正仿宋简体"/>
          <w:sz w:val="33"/>
          <w:szCs w:val="33"/>
        </w:rPr>
        <w:t>（</w:t>
      </w:r>
      <w:r>
        <w:rPr>
          <w:rFonts w:hint="eastAsia" w:eastAsia="方正仿宋简体"/>
          <w:sz w:val="33"/>
          <w:szCs w:val="33"/>
          <w:lang w:val="en-US" w:eastAsia="zh-CN"/>
        </w:rPr>
        <w:t>八</w:t>
      </w:r>
      <w:r>
        <w:rPr>
          <w:rFonts w:hint="eastAsia" w:eastAsia="方正仿宋简体"/>
          <w:sz w:val="33"/>
          <w:szCs w:val="33"/>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rPr>
      </w:pPr>
    </w:p>
    <w:p>
      <w:pPr>
        <w:keepNext w:val="0"/>
        <w:keepLines w:val="0"/>
        <w:pageBreakBefore w:val="0"/>
        <w:widowControl w:val="0"/>
        <w:kinsoku/>
        <w:wordWrap/>
        <w:overflowPunct/>
        <w:topLinePunct w:val="0"/>
        <w:autoSpaceDE/>
        <w:autoSpaceDN/>
        <w:bidi w:val="0"/>
        <w:spacing w:line="570" w:lineRule="exact"/>
        <w:ind w:firstLine="660" w:firstLineChars="200"/>
        <w:textAlignment w:val="auto"/>
        <w:rPr>
          <w:rFonts w:hint="eastAsia" w:eastAsia="方正仿宋简体"/>
          <w:sz w:val="33"/>
          <w:szCs w:val="33"/>
        </w:rPr>
      </w:pPr>
      <w:r>
        <w:rPr>
          <w:rFonts w:hint="eastAsia" w:eastAsia="方正仿宋简体"/>
          <w:sz w:val="33"/>
          <w:szCs w:val="33"/>
        </w:rPr>
        <w:t>附件：20</w:t>
      </w:r>
      <w:r>
        <w:rPr>
          <w:rFonts w:eastAsia="方正仿宋简体"/>
          <w:sz w:val="33"/>
          <w:szCs w:val="33"/>
        </w:rPr>
        <w:t>2</w:t>
      </w:r>
      <w:r>
        <w:rPr>
          <w:rFonts w:hint="eastAsia" w:eastAsia="方正仿宋简体"/>
          <w:sz w:val="33"/>
          <w:szCs w:val="33"/>
          <w:lang w:val="en-US" w:eastAsia="zh-CN"/>
        </w:rPr>
        <w:t>4</w:t>
      </w:r>
      <w:r>
        <w:rPr>
          <w:rFonts w:hint="eastAsia" w:eastAsia="方正仿宋简体"/>
          <w:sz w:val="33"/>
          <w:szCs w:val="33"/>
        </w:rPr>
        <w:t>年单位预算公开表</w:t>
      </w:r>
    </w:p>
    <w:p>
      <w:pPr>
        <w:keepNext w:val="0"/>
        <w:keepLines w:val="0"/>
        <w:pageBreakBefore w:val="0"/>
        <w:widowControl w:val="0"/>
        <w:kinsoku/>
        <w:wordWrap/>
        <w:overflowPunct/>
        <w:topLinePunct w:val="0"/>
        <w:autoSpaceDE/>
        <w:autoSpaceDN/>
        <w:bidi w:val="0"/>
        <w:spacing w:line="570" w:lineRule="exact"/>
        <w:ind w:right="640"/>
        <w:jc w:val="left"/>
        <w:textAlignment w:val="auto"/>
        <w:rPr>
          <w:rFonts w:hint="eastAsia" w:eastAsia="方正仿宋简体"/>
          <w:sz w:val="33"/>
          <w:szCs w:val="33"/>
        </w:rPr>
      </w:pPr>
    </w:p>
    <w:p>
      <w:pPr>
        <w:keepNext w:val="0"/>
        <w:keepLines w:val="0"/>
        <w:pageBreakBefore w:val="0"/>
        <w:widowControl w:val="0"/>
        <w:kinsoku/>
        <w:wordWrap/>
        <w:overflowPunct/>
        <w:topLinePunct w:val="0"/>
        <w:autoSpaceDE/>
        <w:autoSpaceDN/>
        <w:bidi w:val="0"/>
        <w:spacing w:line="570" w:lineRule="exact"/>
        <w:textAlignment w:val="auto"/>
        <w:rPr>
          <w:sz w:val="33"/>
          <w:szCs w:val="33"/>
        </w:rPr>
      </w:pPr>
    </w:p>
    <w:sectPr>
      <w:footerReference r:id="rId3" w:type="default"/>
      <w:pgSz w:w="11906" w:h="16838"/>
      <w:pgMar w:top="1440" w:right="1588" w:bottom="1440" w:left="1588"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DD96F3-5787-4130-A9C4-7707A738CF9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embedRegular r:id="rId2" w:fontKey="{2C385E1A-4C90-4FE2-841F-32AF927B1B5D}"/>
  </w:font>
  <w:font w:name="方正仿宋简体">
    <w:panose1 w:val="02010601030101010101"/>
    <w:charset w:val="86"/>
    <w:family w:val="script"/>
    <w:pitch w:val="default"/>
    <w:sig w:usb0="00000001" w:usb1="080E0000" w:usb2="00000000" w:usb3="00000000" w:csb0="00040000" w:csb1="00000000"/>
    <w:embedRegular r:id="rId3" w:fontKey="{5E2B7BA5-D12F-42FF-8FEE-D6D96F82F7BD}"/>
  </w:font>
  <w:font w:name="方正楷体简体">
    <w:panose1 w:val="02010601030101010101"/>
    <w:charset w:val="86"/>
    <w:family w:val="script"/>
    <w:pitch w:val="default"/>
    <w:sig w:usb0="00000001" w:usb1="080E0000" w:usb2="00000000" w:usb3="00000000" w:csb0="00040000" w:csb1="00000000"/>
    <w:embedRegular r:id="rId4" w:fontKey="{34DE4306-9FC1-4800-AD74-D27ED0BE9A36}"/>
  </w:font>
  <w:font w:name="方正仿宋_GBK">
    <w:panose1 w:val="03000509000000000000"/>
    <w:charset w:val="86"/>
    <w:family w:val="auto"/>
    <w:pitch w:val="default"/>
    <w:sig w:usb0="00000001" w:usb1="080E0000" w:usb2="00000000" w:usb3="00000000" w:csb0="00040000" w:csb1="00000000"/>
    <w:embedRegular r:id="rId5" w:fontKey="{FA1B43FC-58E6-42E0-A886-11853BED2FAC}"/>
  </w:font>
  <w:font w:name="方正楷体_GBK">
    <w:panose1 w:val="03000509000000000000"/>
    <w:charset w:val="86"/>
    <w:family w:val="auto"/>
    <w:pitch w:val="default"/>
    <w:sig w:usb0="00000001" w:usb1="080E0000" w:usb2="00000000" w:usb3="00000000" w:csb0="00040000" w:csb1="00000000"/>
    <w:embedRegular r:id="rId6" w:fontKey="{658213E9-2DB4-4343-8959-D873B26D918D}"/>
  </w:font>
  <w:font w:name="仿宋_GB2312">
    <w:panose1 w:val="02010609030101010101"/>
    <w:charset w:val="86"/>
    <w:family w:val="modern"/>
    <w:pitch w:val="default"/>
    <w:sig w:usb0="00000001" w:usb1="080E0000" w:usb2="00000000" w:usb3="00000000" w:csb0="00040000" w:csb1="00000000"/>
    <w:embedRegular r:id="rId7" w:fontKey="{0B7FE003-6A7A-4E25-BB57-9B6EB066719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ZDQ5NTdkMDIxNDIzOGU4NzVlYWNiZWJiZDVmNjgifQ=="/>
  </w:docVars>
  <w:rsids>
    <w:rsidRoot w:val="54E45A4C"/>
    <w:rsid w:val="062D74A1"/>
    <w:rsid w:val="0F931306"/>
    <w:rsid w:val="12094F94"/>
    <w:rsid w:val="154D3B23"/>
    <w:rsid w:val="19F526DE"/>
    <w:rsid w:val="19F906FD"/>
    <w:rsid w:val="1BD63489"/>
    <w:rsid w:val="22CF2EEE"/>
    <w:rsid w:val="264845B7"/>
    <w:rsid w:val="26F20C0D"/>
    <w:rsid w:val="272070C4"/>
    <w:rsid w:val="27767BD4"/>
    <w:rsid w:val="28B25693"/>
    <w:rsid w:val="2AB6143C"/>
    <w:rsid w:val="2F3C7B7C"/>
    <w:rsid w:val="32BC1435"/>
    <w:rsid w:val="336A51C2"/>
    <w:rsid w:val="3371227F"/>
    <w:rsid w:val="347B4A7C"/>
    <w:rsid w:val="3A05655C"/>
    <w:rsid w:val="3B600DB0"/>
    <w:rsid w:val="3B791398"/>
    <w:rsid w:val="3C516599"/>
    <w:rsid w:val="416D1BF0"/>
    <w:rsid w:val="464F24E9"/>
    <w:rsid w:val="4E76515C"/>
    <w:rsid w:val="52753C59"/>
    <w:rsid w:val="54E45A4C"/>
    <w:rsid w:val="587B260F"/>
    <w:rsid w:val="61202383"/>
    <w:rsid w:val="62C46D01"/>
    <w:rsid w:val="62CA25F9"/>
    <w:rsid w:val="655F0FEE"/>
    <w:rsid w:val="6B1E4416"/>
    <w:rsid w:val="6F651FE9"/>
    <w:rsid w:val="71AA3CCF"/>
    <w:rsid w:val="75E030EB"/>
    <w:rsid w:val="773109EF"/>
    <w:rsid w:val="7C766C8B"/>
    <w:rsid w:val="7DCB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Salutation"/>
    <w:basedOn w:val="1"/>
    <w:next w:val="1"/>
    <w:link w:val="13"/>
    <w:uiPriority w:val="0"/>
  </w:style>
  <w:style w:type="paragraph" w:styleId="3">
    <w:name w:val="Body Text"/>
    <w:basedOn w:val="1"/>
    <w:link w:val="10"/>
    <w:uiPriority w:val="0"/>
    <w:pPr>
      <w:spacing w:after="120" w:afterLines="0" w:afterAutospacing="0"/>
    </w:pPr>
  </w:style>
  <w:style w:type="paragraph" w:styleId="4">
    <w:name w:val="Body Text Indent"/>
    <w:basedOn w:val="1"/>
    <w:link w:val="12"/>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link w:val="11"/>
    <w:uiPriority w:val="0"/>
    <w:pPr>
      <w:ind w:firstLine="420" w:firstLineChars="200"/>
    </w:pPr>
  </w:style>
  <w:style w:type="character" w:customStyle="1" w:styleId="10">
    <w:name w:val="正文文本 Char"/>
    <w:basedOn w:val="9"/>
    <w:link w:val="3"/>
    <w:uiPriority w:val="0"/>
    <w:rPr>
      <w:kern w:val="2"/>
      <w:sz w:val="21"/>
      <w:szCs w:val="24"/>
    </w:rPr>
  </w:style>
  <w:style w:type="character" w:customStyle="1" w:styleId="11">
    <w:name w:val="正文首行缩进 2 Char"/>
    <w:basedOn w:val="12"/>
    <w:link w:val="7"/>
    <w:uiPriority w:val="0"/>
    <w:rPr>
      <w:kern w:val="2"/>
      <w:sz w:val="21"/>
      <w:szCs w:val="24"/>
    </w:rPr>
  </w:style>
  <w:style w:type="character" w:customStyle="1" w:styleId="12">
    <w:name w:val="正文文本缩进 Char"/>
    <w:basedOn w:val="9"/>
    <w:link w:val="4"/>
    <w:uiPriority w:val="0"/>
    <w:rPr>
      <w:kern w:val="2"/>
      <w:sz w:val="21"/>
      <w:szCs w:val="24"/>
    </w:rPr>
  </w:style>
  <w:style w:type="character" w:customStyle="1" w:styleId="13">
    <w:name w:val="称呼 Char"/>
    <w:basedOn w:val="9"/>
    <w:link w:val="2"/>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2944</Words>
  <Characters>3161</Characters>
  <Lines>0</Lines>
  <Paragraphs>0</Paragraphs>
  <TotalTime>1</TotalTime>
  <ScaleCrop>false</ScaleCrop>
  <LinksUpToDate>false</LinksUpToDate>
  <CharactersWithSpaces>3167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Administrator</cp:lastModifiedBy>
  <dcterms:modified xsi:type="dcterms:W3CDTF">2024-01-26T02:49:11Z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46ECC0DF77224BB596E164E217FC86D9</vt:lpwstr>
  </property>
</Properties>
</file>