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bidi w:val="0"/>
        <w:rPr>
          <w:rFonts w:hint="eastAsia"/>
          <w:lang w:val="en-US" w:eastAsia="zh-CN"/>
        </w:rPr>
      </w:pPr>
    </w:p>
    <w:p>
      <w:pPr>
        <w:rPr>
          <w:rFonts w:hint="eastAsia"/>
          <w:lang w:val="en-US" w:eastAsia="zh-CN"/>
        </w:rPr>
      </w:pPr>
    </w:p>
    <w:p>
      <w:pPr>
        <w:pStyle w:val="15"/>
        <w:bidi w:val="0"/>
        <w:rPr>
          <w:rFonts w:hint="eastAsia"/>
          <w:lang w:val="en-US" w:eastAsia="zh-CN"/>
        </w:rPr>
      </w:pPr>
      <w:bookmarkStart w:id="0" w:name="_GoBack"/>
      <w:r>
        <w:rPr>
          <w:rFonts w:hint="eastAsia"/>
          <w:lang w:val="en-US" w:eastAsia="zh-CN"/>
        </w:rPr>
        <w:t>资阳市雁江区综合行政执法局</w:t>
      </w:r>
    </w:p>
    <w:p>
      <w:pPr>
        <w:pStyle w:val="15"/>
        <w:bidi w:val="0"/>
        <w:rPr>
          <w:rFonts w:hint="eastAsia"/>
          <w:lang w:val="en-US" w:eastAsia="zh-CN"/>
        </w:rPr>
      </w:pPr>
      <w:r>
        <w:rPr>
          <w:rFonts w:hint="eastAsia"/>
          <w:lang w:val="en-US" w:eastAsia="zh-CN"/>
        </w:rPr>
        <w:t>2024年单位预算编制说明</w:t>
      </w:r>
    </w:p>
    <w:bookmarkEnd w:id="0"/>
    <w:p>
      <w:pPr>
        <w:pStyle w:val="15"/>
        <w:bidi w:val="0"/>
        <w:rPr>
          <w:rFonts w:hint="eastAsia"/>
          <w:lang w:val="en-US" w:eastAsia="zh-CN"/>
        </w:rPr>
      </w:pPr>
    </w:p>
    <w:p>
      <w:pPr>
        <w:pStyle w:val="12"/>
        <w:bidi w:val="0"/>
        <w:rPr>
          <w:rFonts w:hint="eastAsia"/>
          <w:lang w:val="en-US" w:eastAsia="zh-CN"/>
        </w:rPr>
      </w:pPr>
      <w:r>
        <w:rPr>
          <w:rFonts w:hint="eastAsia"/>
          <w:lang w:val="en-US" w:eastAsia="zh-CN"/>
        </w:rPr>
        <w:t>一、基本职能及主要工作</w:t>
      </w:r>
    </w:p>
    <w:p>
      <w:pPr>
        <w:pStyle w:val="13"/>
        <w:bidi w:val="0"/>
        <w:rPr>
          <w:rFonts w:hint="eastAsia"/>
          <w:lang w:val="en-US" w:eastAsia="zh-CN"/>
        </w:rPr>
      </w:pPr>
      <w:r>
        <w:rPr>
          <w:rFonts w:hint="eastAsia"/>
          <w:lang w:val="en-US" w:eastAsia="zh-CN"/>
        </w:rPr>
        <w:t>（一）职能简介</w:t>
      </w:r>
    </w:p>
    <w:p>
      <w:pPr>
        <w:bidi w:val="0"/>
        <w:rPr>
          <w:rFonts w:hint="eastAsia"/>
          <w:lang w:val="en-US" w:eastAsia="zh-CN"/>
        </w:rPr>
      </w:pPr>
      <w:r>
        <w:rPr>
          <w:rFonts w:hint="eastAsia"/>
          <w:lang w:val="en-US" w:eastAsia="zh-CN"/>
        </w:rPr>
        <w:t>区综合行政执法局贯彻落实党中央关于综合行政执法工作的方针政策和省委、市委、区委的决策部署，在履行职责过程中坚持和加强党对全区综合行政执法工作的集中统一领导。主要职责是：</w:t>
      </w:r>
    </w:p>
    <w:p>
      <w:pPr>
        <w:bidi w:val="0"/>
        <w:rPr>
          <w:rFonts w:hint="eastAsia"/>
          <w:lang w:val="en-US" w:eastAsia="zh-CN"/>
        </w:rPr>
      </w:pPr>
      <w:r>
        <w:rPr>
          <w:rFonts w:hint="eastAsia"/>
          <w:lang w:val="en-US" w:eastAsia="zh-CN"/>
        </w:rPr>
        <w:t>1.</w:t>
      </w:r>
      <w:r>
        <w:rPr>
          <w:rFonts w:hint="eastAsia" w:ascii="方正仿宋_GBK" w:hAnsi="方正仿宋_GBK" w:eastAsia="方正仿宋_GBK" w:cs="方正仿宋_GBK"/>
          <w:lang w:val="en-US" w:eastAsia="zh-CN"/>
        </w:rPr>
        <w:t xml:space="preserve"> </w:t>
      </w:r>
      <w:r>
        <w:rPr>
          <w:rFonts w:hint="eastAsia"/>
          <w:lang w:val="en-US" w:eastAsia="zh-CN"/>
        </w:rPr>
        <w:t>贯彻执行有关城市市容、环境卫生、城市管理、综合行政执法、城乡环境综合治理等工作的法律、法规、规章和方针、政策，拟订全区有关城市市容、环境卫生、综合行政执法、城乡环境综合治理工作的相关规范性文件并组织实施。</w:t>
      </w:r>
    </w:p>
    <w:p>
      <w:pPr>
        <w:bidi w:val="0"/>
        <w:rPr>
          <w:rFonts w:hint="eastAsia"/>
          <w:lang w:val="en-US" w:eastAsia="zh-CN"/>
        </w:rPr>
      </w:pPr>
      <w:r>
        <w:rPr>
          <w:rFonts w:hint="eastAsia"/>
          <w:lang w:val="en-US" w:eastAsia="zh-CN"/>
        </w:rPr>
        <w:t>2.</w:t>
      </w:r>
      <w:r>
        <w:rPr>
          <w:rFonts w:hint="eastAsia" w:ascii="方正仿宋_GBK" w:hAnsi="方正仿宋_GBK" w:eastAsia="方正仿宋_GBK" w:cs="方正仿宋_GBK"/>
          <w:lang w:val="en-US" w:eastAsia="zh-CN"/>
        </w:rPr>
        <w:t xml:space="preserve"> </w:t>
      </w:r>
      <w:r>
        <w:rPr>
          <w:rFonts w:hint="eastAsia"/>
          <w:lang w:val="en-US" w:eastAsia="zh-CN"/>
        </w:rPr>
        <w:t>负责全区城市市容、环境卫生、城市管理、综合行政执法、城乡环境综合治理工作，牵头拟订相关的中长期规划、专项规划、工作计划并组织实施，组织拟订相关的标准、规范并监督实施。研究提出完善综合行政执法和城市管理体制、调整优化综合行政执法事项和城市管理行使范围、权限的建议。</w:t>
      </w:r>
    </w:p>
    <w:p>
      <w:pPr>
        <w:bidi w:val="0"/>
        <w:rPr>
          <w:rFonts w:hint="eastAsia"/>
          <w:lang w:val="en-US" w:eastAsia="zh-CN"/>
        </w:rPr>
      </w:pPr>
      <w:r>
        <w:rPr>
          <w:rFonts w:hint="eastAsia"/>
          <w:lang w:val="en-US" w:eastAsia="zh-CN"/>
        </w:rPr>
        <w:t>3.</w:t>
      </w:r>
      <w:r>
        <w:rPr>
          <w:rFonts w:hint="eastAsia" w:ascii="方正仿宋_GBK" w:hAnsi="方正仿宋_GBK" w:eastAsia="方正仿宋_GBK" w:cs="方正仿宋_GBK"/>
          <w:lang w:val="en-US" w:eastAsia="zh-CN"/>
        </w:rPr>
        <w:t xml:space="preserve"> </w:t>
      </w:r>
      <w:r>
        <w:rPr>
          <w:rFonts w:hint="eastAsia"/>
          <w:lang w:val="en-US" w:eastAsia="zh-CN"/>
        </w:rPr>
        <w:t>组织开展全区综合行政执法活动和专项执法行动。按权限查处案件，协调和监督案件处置和跨区域执法工作，依法集中行使综合行政执法领域法律、法规、规章、规定的行政处罚权及相关行政检查、行政强制权。</w:t>
      </w:r>
    </w:p>
    <w:p>
      <w:pPr>
        <w:bidi w:val="0"/>
        <w:rPr>
          <w:rFonts w:hint="eastAsia"/>
          <w:lang w:val="en-US" w:eastAsia="zh-CN"/>
        </w:rPr>
      </w:pPr>
      <w:r>
        <w:rPr>
          <w:rFonts w:hint="eastAsia"/>
          <w:lang w:val="en-US" w:eastAsia="zh-CN"/>
        </w:rPr>
        <w:t>4.</w:t>
      </w:r>
      <w:r>
        <w:rPr>
          <w:rFonts w:hint="eastAsia" w:ascii="方正仿宋_GBK" w:hAnsi="方正仿宋_GBK" w:eastAsia="方正仿宋_GBK" w:cs="方正仿宋_GBK"/>
          <w:lang w:val="en-US" w:eastAsia="zh-CN"/>
        </w:rPr>
        <w:t xml:space="preserve"> </w:t>
      </w:r>
      <w:r>
        <w:rPr>
          <w:rFonts w:hint="eastAsia"/>
          <w:lang w:val="en-US" w:eastAsia="zh-CN"/>
        </w:rPr>
        <w:t>负责全区综合行政执法工作的统筹协调和指导监督。研究提出深化和完善全区综合行政执法改革方案并督促落实。建立健全并落实综合行政执法协作配合和执法联动机制，协调镇（街道）、行业主管部门研究处理综合行政执法有关事宜。承担文化市场、市场监管、交通运输、农业、生态环境保护等领域间和领域外相关部门间的执法协调。完善综合行政执法与司法的衔接机制。</w:t>
      </w:r>
    </w:p>
    <w:p>
      <w:pPr>
        <w:bidi w:val="0"/>
        <w:rPr>
          <w:rFonts w:hint="eastAsia"/>
          <w:lang w:val="en-US" w:eastAsia="zh-CN"/>
        </w:rPr>
      </w:pPr>
      <w:r>
        <w:rPr>
          <w:rFonts w:hint="eastAsia"/>
          <w:lang w:val="en-US" w:eastAsia="zh-CN"/>
        </w:rPr>
        <w:t>5.</w:t>
      </w:r>
      <w:r>
        <w:rPr>
          <w:rFonts w:hint="eastAsia" w:ascii="方正仿宋_GBK" w:hAnsi="方正仿宋_GBK" w:eastAsia="方正仿宋_GBK" w:cs="方正仿宋_GBK"/>
          <w:lang w:val="en-US" w:eastAsia="zh-CN"/>
        </w:rPr>
        <w:t xml:space="preserve"> </w:t>
      </w:r>
      <w:r>
        <w:rPr>
          <w:rFonts w:hint="eastAsia"/>
          <w:lang w:val="en-US" w:eastAsia="zh-CN"/>
        </w:rPr>
        <w:t>负责推进全区综合行政执法规范化建设。牵头制定镇（街道）综合行政执法权责清单。制定并实施综合行政执法队伍规范化建设标准，指导镇（街道）综合行政执法队伍建设和管理。统筹推进全区综合行政执法系统信息化建设。</w:t>
      </w:r>
    </w:p>
    <w:p>
      <w:pPr>
        <w:bidi w:val="0"/>
        <w:rPr>
          <w:rFonts w:hint="eastAsia"/>
          <w:lang w:val="en-US" w:eastAsia="zh-CN"/>
        </w:rPr>
      </w:pPr>
      <w:r>
        <w:rPr>
          <w:rFonts w:hint="eastAsia"/>
          <w:lang w:val="en-US" w:eastAsia="zh-CN"/>
        </w:rPr>
        <w:t>6.</w:t>
      </w:r>
      <w:r>
        <w:rPr>
          <w:rFonts w:hint="eastAsia" w:ascii="方正仿宋_GBK" w:hAnsi="方正仿宋_GBK" w:eastAsia="方正仿宋_GBK" w:cs="方正仿宋_GBK"/>
          <w:lang w:val="en-US" w:eastAsia="zh-CN"/>
        </w:rPr>
        <w:t xml:space="preserve"> </w:t>
      </w:r>
      <w:r>
        <w:rPr>
          <w:rFonts w:hint="eastAsia"/>
          <w:lang w:val="en-US" w:eastAsia="zh-CN"/>
        </w:rPr>
        <w:t>负责全区城市管理工作的综合协调和监督管理。负责市容环卫、城市照明以及与城市管理密切相关的公共空间秩序、环境保护、交通秩序等方面相关工作的综合协调和监督管理。</w:t>
      </w:r>
    </w:p>
    <w:p>
      <w:pPr>
        <w:bidi w:val="0"/>
        <w:rPr>
          <w:rFonts w:hint="eastAsia"/>
          <w:lang w:val="en-US" w:eastAsia="zh-CN"/>
        </w:rPr>
      </w:pPr>
      <w:r>
        <w:rPr>
          <w:rFonts w:hint="eastAsia"/>
          <w:lang w:val="en-US" w:eastAsia="zh-CN"/>
        </w:rPr>
        <w:t>7.</w:t>
      </w:r>
      <w:r>
        <w:rPr>
          <w:rFonts w:hint="eastAsia" w:ascii="方正仿宋_GBK" w:hAnsi="方正仿宋_GBK" w:eastAsia="方正仿宋_GBK" w:cs="方正仿宋_GBK"/>
          <w:lang w:val="en-US" w:eastAsia="zh-CN"/>
        </w:rPr>
        <w:t xml:space="preserve"> </w:t>
      </w:r>
      <w:r>
        <w:rPr>
          <w:rFonts w:hint="eastAsia"/>
          <w:lang w:val="en-US" w:eastAsia="zh-CN"/>
        </w:rPr>
        <w:t>负责全区城乡环境综合治理工作的综合协调和监督管理。牵头落实城乡环境综合治理工作责任区制度，健全协调联动机制，完善容貌秩序、环境卫生、设施建设等方面综合监管制度。</w:t>
      </w:r>
    </w:p>
    <w:p>
      <w:pPr>
        <w:bidi w:val="0"/>
        <w:rPr>
          <w:rFonts w:hint="eastAsia"/>
          <w:lang w:val="en-US" w:eastAsia="zh-CN"/>
        </w:rPr>
      </w:pPr>
      <w:r>
        <w:rPr>
          <w:rFonts w:hint="eastAsia"/>
          <w:lang w:val="en-US" w:eastAsia="zh-CN"/>
        </w:rPr>
        <w:t>8.</w:t>
      </w:r>
      <w:r>
        <w:rPr>
          <w:rFonts w:hint="eastAsia" w:ascii="方正仿宋_GBK" w:hAnsi="方正仿宋_GBK" w:eastAsia="方正仿宋_GBK" w:cs="方正仿宋_GBK"/>
          <w:lang w:val="en-US" w:eastAsia="zh-CN"/>
        </w:rPr>
        <w:t xml:space="preserve"> </w:t>
      </w:r>
      <w:r>
        <w:rPr>
          <w:rFonts w:hint="eastAsia"/>
          <w:lang w:val="en-US" w:eastAsia="zh-CN"/>
        </w:rPr>
        <w:t>负责职责范围内的职业健康、生态环境保护、审批服务便民化工作。</w:t>
      </w:r>
    </w:p>
    <w:p>
      <w:pPr>
        <w:bidi w:val="0"/>
        <w:rPr>
          <w:rFonts w:hint="eastAsia"/>
          <w:lang w:val="en-US" w:eastAsia="zh-CN"/>
        </w:rPr>
      </w:pPr>
      <w:r>
        <w:rPr>
          <w:rFonts w:hint="eastAsia"/>
          <w:lang w:val="en-US" w:eastAsia="zh-CN"/>
        </w:rPr>
        <w:t>9.</w:t>
      </w:r>
      <w:r>
        <w:rPr>
          <w:rFonts w:hint="eastAsia" w:ascii="方正仿宋_GBK" w:hAnsi="方正仿宋_GBK" w:eastAsia="方正仿宋_GBK" w:cs="方正仿宋_GBK"/>
          <w:lang w:val="en-US" w:eastAsia="zh-CN"/>
        </w:rPr>
        <w:t xml:space="preserve"> </w:t>
      </w:r>
      <w:r>
        <w:rPr>
          <w:rFonts w:hint="eastAsia"/>
          <w:lang w:val="en-US" w:eastAsia="zh-CN"/>
        </w:rPr>
        <w:t>完成区委、区政府交办的其他工作任务。</w:t>
      </w:r>
    </w:p>
    <w:p>
      <w:pPr>
        <w:pStyle w:val="13"/>
        <w:bidi w:val="0"/>
        <w:rPr>
          <w:rFonts w:hint="eastAsia"/>
          <w:lang w:val="en-US" w:eastAsia="zh-CN"/>
        </w:rPr>
      </w:pPr>
      <w:r>
        <w:rPr>
          <w:rFonts w:hint="eastAsia"/>
          <w:lang w:val="en-US" w:eastAsia="zh-CN"/>
        </w:rPr>
        <w:t>（二）2024年重点工作</w:t>
      </w:r>
    </w:p>
    <w:p>
      <w:pPr>
        <w:pStyle w:val="14"/>
        <w:bidi w:val="0"/>
        <w:rPr>
          <w:rFonts w:hint="eastAsia"/>
          <w:lang w:val="en-US" w:eastAsia="zh-CN"/>
        </w:rPr>
      </w:pPr>
      <w:r>
        <w:rPr>
          <w:rFonts w:hint="eastAsia"/>
          <w:lang w:val="en-US" w:eastAsia="zh-CN"/>
        </w:rPr>
        <w:t>1.用绣花功夫助推城市管理精细化</w:t>
      </w:r>
    </w:p>
    <w:p>
      <w:pPr>
        <w:bidi w:val="0"/>
        <w:rPr>
          <w:rFonts w:hint="eastAsia"/>
          <w:lang w:val="en-US" w:eastAsia="zh-CN"/>
        </w:rPr>
      </w:pPr>
      <w:r>
        <w:rPr>
          <w:rStyle w:val="16"/>
          <w:rFonts w:hint="eastAsia"/>
          <w:lang w:val="en-US" w:eastAsia="zh-CN"/>
        </w:rPr>
        <w:t>（1）合力攻坚开展专项行动，整治城市痛难点。一是</w:t>
      </w:r>
      <w:r>
        <w:rPr>
          <w:rFonts w:hint="eastAsia"/>
          <w:lang w:val="en-US" w:eastAsia="zh-CN"/>
        </w:rPr>
        <w:t>开展美丽街区建设专项整治活动，精准治理占道经营等街面环境突出问题，全面提升城市环境品质，努力打造宜居的美丽街区。</w:t>
      </w:r>
      <w:r>
        <w:rPr>
          <w:rStyle w:val="16"/>
          <w:rFonts w:hint="eastAsia"/>
          <w:lang w:val="en-US" w:eastAsia="zh-CN"/>
        </w:rPr>
        <w:t>二是</w:t>
      </w:r>
      <w:r>
        <w:rPr>
          <w:rFonts w:hint="eastAsia"/>
          <w:lang w:val="en-US" w:eastAsia="zh-CN"/>
        </w:rPr>
        <w:t>开展美丽家园建设专项行动，解决城市管理中市民关心、政府关注的热点、难点问题入手，实现“城管进小区、服务雾距离”的目的。</w:t>
      </w:r>
      <w:r>
        <w:rPr>
          <w:rStyle w:val="16"/>
          <w:rFonts w:hint="eastAsia"/>
          <w:lang w:val="en-US" w:eastAsia="zh-CN"/>
        </w:rPr>
        <w:t>三是</w:t>
      </w:r>
      <w:r>
        <w:rPr>
          <w:rFonts w:hint="eastAsia"/>
          <w:lang w:val="en-US" w:eastAsia="zh-CN"/>
        </w:rPr>
        <w:t>开展市容秩序整治行动，对占道经营、非机动车乱停乱放、建筑立面脏污等进行集中整治，城市道路更宽、车辆秩序井然、沿街立面美观大方、户外广告整齐规范。四是开展流动摊贩整治行动。对于流动摊贩的管理，通过“首犯不究、教育为主”、“错时管理”的长效化、人性化的管理方法和教育疏导安置相结合的原则，来缓冲流动摊点乱摆乱象。</w:t>
      </w:r>
    </w:p>
    <w:p>
      <w:pPr>
        <w:bidi w:val="0"/>
        <w:rPr>
          <w:rFonts w:hint="eastAsia"/>
          <w:lang w:val="en-US" w:eastAsia="zh-CN"/>
        </w:rPr>
      </w:pPr>
      <w:r>
        <w:rPr>
          <w:rStyle w:val="16"/>
          <w:rFonts w:hint="eastAsia"/>
          <w:lang w:val="en-US" w:eastAsia="zh-CN"/>
        </w:rPr>
        <w:t>（2）理论与实践并行，强化执法队伍建设。</w:t>
      </w:r>
      <w:r>
        <w:rPr>
          <w:rFonts w:hint="eastAsia"/>
          <w:lang w:val="en-US" w:eastAsia="zh-CN"/>
        </w:rPr>
        <w:t>一方面加强城管队伍专业能力和综合素养的培训，做强执法监督，打造一支忠诚干净担当的城管执法干部队伍，为依法履行城管执法职责提供保障；另一方面提高依法行政能力，提高正式执法队员执法能力，落实行政执法三项制度，推进执法规范化，实现公正文明执法标。</w:t>
      </w:r>
    </w:p>
    <w:p>
      <w:pPr>
        <w:bidi w:val="0"/>
        <w:rPr>
          <w:rFonts w:hint="eastAsia"/>
          <w:lang w:val="en-US" w:eastAsia="zh-CN"/>
        </w:rPr>
      </w:pPr>
      <w:r>
        <w:rPr>
          <w:rStyle w:val="16"/>
          <w:rFonts w:hint="eastAsia"/>
          <w:lang w:val="en-US" w:eastAsia="zh-CN"/>
        </w:rPr>
        <w:t>（3）坚持以问题为导向，破解执法难题，不断提升群众满意度。一是强化燃气领域执法。</w:t>
      </w:r>
      <w:r>
        <w:rPr>
          <w:rFonts w:hint="eastAsia"/>
          <w:lang w:val="en-US" w:eastAsia="zh-CN"/>
        </w:rPr>
        <w:t>对辖区内的餐饮企业、液化气经营点、充装站进行全覆盖检查，同时对重点企业进行定期抽查，保障人民群众生命财产安全。</w:t>
      </w:r>
      <w:r>
        <w:rPr>
          <w:rStyle w:val="16"/>
          <w:rFonts w:hint="eastAsia"/>
          <w:lang w:val="en-US" w:eastAsia="zh-CN"/>
        </w:rPr>
        <w:t>二是加强违章搭建治理。</w:t>
      </w:r>
      <w:r>
        <w:rPr>
          <w:rFonts w:hint="eastAsia"/>
          <w:lang w:val="en-US" w:eastAsia="zh-CN"/>
        </w:rPr>
        <w:t>坚持控增量、减存量的治理理念，治理私搭乱建；进一步强化临街面安装外置式防护栏（网）的巡查，保障市容整洁。</w:t>
      </w:r>
      <w:r>
        <w:rPr>
          <w:rStyle w:val="16"/>
          <w:rFonts w:hint="eastAsia"/>
          <w:lang w:val="en-US" w:eastAsia="zh-CN"/>
        </w:rPr>
        <w:t>三是加强住建领域执法。</w:t>
      </w:r>
      <w:r>
        <w:rPr>
          <w:rFonts w:hint="eastAsia"/>
          <w:lang w:val="en-US" w:eastAsia="zh-CN"/>
        </w:rPr>
        <w:t>进一步加强工地管理、要求各工地签订责任书，施工期间做到封闭施工、围场作业、出入口配置车辆冲洗设备、场地硬化、运输车辆“密闭式”运输的、杜绝带泥上路及运输车辆抛洒滴漏现象。</w:t>
      </w:r>
      <w:r>
        <w:rPr>
          <w:rStyle w:val="16"/>
          <w:rFonts w:hint="eastAsia"/>
          <w:lang w:val="en-US" w:eastAsia="zh-CN"/>
        </w:rPr>
        <w:t>四是强化噪音、油烟执法。</w:t>
      </w:r>
      <w:r>
        <w:rPr>
          <w:rFonts w:hint="eastAsia"/>
          <w:lang w:val="en-US" w:eastAsia="zh-CN"/>
        </w:rPr>
        <w:t>加大对广场舞、宵夜店类噪声扰民巡查检查，发放告知书，加大宣传，提高市民重视度，减少噪音污染。</w:t>
      </w:r>
    </w:p>
    <w:p>
      <w:pPr>
        <w:bidi w:val="0"/>
        <w:rPr>
          <w:rFonts w:hint="eastAsia"/>
          <w:lang w:val="en-US" w:eastAsia="zh-CN"/>
        </w:rPr>
      </w:pPr>
      <w:r>
        <w:rPr>
          <w:rStyle w:val="16"/>
          <w:rFonts w:hint="eastAsia"/>
          <w:lang w:val="en-US" w:eastAsia="zh-CN"/>
        </w:rPr>
        <w:t>（4）点亮背街小巷，维护通行安全。</w:t>
      </w:r>
      <w:r>
        <w:rPr>
          <w:rFonts w:hint="eastAsia"/>
          <w:lang w:val="en-US" w:eastAsia="zh-CN"/>
        </w:rPr>
        <w:t>常态化开展雁江区中心城区背街小巷1079盏路灯的管理，及时回应和解决群众反映的问题，及时对问题路灯进行摸排，组织人员加强设施故障维修，保障群众夜间通行安全。</w:t>
      </w:r>
    </w:p>
    <w:p>
      <w:pPr>
        <w:pStyle w:val="14"/>
        <w:bidi w:val="0"/>
        <w:rPr>
          <w:rFonts w:hint="eastAsia"/>
          <w:lang w:val="en-US" w:eastAsia="zh-CN"/>
        </w:rPr>
      </w:pPr>
      <w:r>
        <w:rPr>
          <w:rFonts w:hint="eastAsia"/>
          <w:lang w:val="en-US" w:eastAsia="zh-CN"/>
        </w:rPr>
        <w:t>2.优化市容环卫工作扮靓城市容颜</w:t>
      </w:r>
    </w:p>
    <w:p>
      <w:pPr>
        <w:bidi w:val="0"/>
        <w:rPr>
          <w:rFonts w:hint="eastAsia"/>
          <w:lang w:val="en-US" w:eastAsia="zh-CN"/>
        </w:rPr>
      </w:pPr>
      <w:r>
        <w:rPr>
          <w:rStyle w:val="16"/>
          <w:rFonts w:hint="eastAsia"/>
          <w:lang w:val="en-US" w:eastAsia="zh-CN"/>
        </w:rPr>
        <w:t>（1）健全规范环卫保洁制度。</w:t>
      </w:r>
      <w:r>
        <w:rPr>
          <w:rFonts w:hint="eastAsia"/>
          <w:lang w:val="en-US" w:eastAsia="zh-CN"/>
        </w:rPr>
        <w:t>按照“确保重点范围，兼顾一般区域，实现全面达标”的工作要求，推进以“机扫、冲洗、普扫、拣扫、管理人员巡回监管”的“五位一体”保洁制度，垃圾清运做到定车、定人、定时、定点的规范作业。</w:t>
      </w:r>
    </w:p>
    <w:p>
      <w:pPr>
        <w:bidi w:val="0"/>
        <w:rPr>
          <w:rFonts w:hint="eastAsia"/>
          <w:lang w:val="en-US" w:eastAsia="zh-CN"/>
        </w:rPr>
      </w:pPr>
      <w:r>
        <w:rPr>
          <w:rStyle w:val="16"/>
          <w:rFonts w:hint="eastAsia"/>
          <w:lang w:val="en-US" w:eastAsia="zh-CN"/>
        </w:rPr>
        <w:t>（2）保障生活垃圾日产日清。</w:t>
      </w:r>
      <w:r>
        <w:rPr>
          <w:rFonts w:hint="eastAsia"/>
          <w:lang w:val="en-US" w:eastAsia="zh-CN"/>
        </w:rPr>
        <w:t>一方面做好生活垃圾收集运输全面密闭化，防止清运车滴漏污水造成二次污染，另一方面重点做好主次干道和居民小区的垃圾清运工作，保障生活区垃圾不过夜，日产日清。</w:t>
      </w:r>
    </w:p>
    <w:p>
      <w:pPr>
        <w:bidi w:val="0"/>
        <w:rPr>
          <w:rFonts w:hint="eastAsia"/>
          <w:lang w:val="en-US" w:eastAsia="zh-CN"/>
        </w:rPr>
      </w:pPr>
      <w:r>
        <w:rPr>
          <w:rStyle w:val="16"/>
          <w:rFonts w:hint="eastAsia"/>
          <w:lang w:val="en-US" w:eastAsia="zh-CN"/>
        </w:rPr>
        <w:t>（3）完善环卫基础设施建设。</w:t>
      </w:r>
      <w:r>
        <w:rPr>
          <w:rFonts w:hint="eastAsia"/>
          <w:lang w:val="en-US" w:eastAsia="zh-CN"/>
        </w:rPr>
        <w:t xml:space="preserve">对现有的28座公厕，将进一步加强管理 ，实行24小时免费开放、专人值守，专人维修、维护，保证公厕内外干净整洁无异味，确保公厕真正地方便市民，方便游客。     </w:t>
      </w:r>
    </w:p>
    <w:p>
      <w:pPr>
        <w:pStyle w:val="14"/>
        <w:bidi w:val="0"/>
        <w:rPr>
          <w:rFonts w:hint="eastAsia"/>
          <w:lang w:val="en-US" w:eastAsia="zh-CN"/>
        </w:rPr>
      </w:pPr>
      <w:r>
        <w:rPr>
          <w:rFonts w:hint="eastAsia"/>
          <w:lang w:val="en-US" w:eastAsia="zh-CN"/>
        </w:rPr>
        <w:t>3.多措并举保障城乡环境治理见实效</w:t>
      </w:r>
    </w:p>
    <w:p>
      <w:pPr>
        <w:bidi w:val="0"/>
        <w:rPr>
          <w:rFonts w:hint="eastAsia"/>
          <w:lang w:val="en-US" w:eastAsia="zh-CN"/>
        </w:rPr>
      </w:pPr>
      <w:r>
        <w:rPr>
          <w:rStyle w:val="16"/>
          <w:rFonts w:hint="eastAsia"/>
          <w:lang w:val="en-US" w:eastAsia="zh-CN"/>
        </w:rPr>
        <w:t>（1）巩固城乡环境专项治理成效。</w:t>
      </w:r>
      <w:r>
        <w:rPr>
          <w:rFonts w:hint="eastAsia"/>
          <w:lang w:val="en-US" w:eastAsia="zh-CN"/>
        </w:rPr>
        <w:t>在集中开展城乡环境专项治理基础上，查缺补漏，完善措施，进一步巩固提升专项治理成效，建立长效工作机制。每月以明查和暗访、日常考核和集中考核相结合的方式，对各镇治理工作进行专项督查考核，对在城乡环境综合治理工作中成绩突出的单位，进行通报表扬，对重视程度不够、执行不力的责任单位进行问责追究。</w:t>
      </w:r>
    </w:p>
    <w:p>
      <w:pPr>
        <w:bidi w:val="0"/>
        <w:rPr>
          <w:rFonts w:hint="eastAsia"/>
          <w:lang w:val="en-US" w:eastAsia="zh-CN"/>
        </w:rPr>
      </w:pPr>
      <w:r>
        <w:rPr>
          <w:rStyle w:val="16"/>
          <w:rFonts w:hint="eastAsia"/>
          <w:lang w:val="en-US" w:eastAsia="zh-CN"/>
        </w:rPr>
        <w:t>（2）持续深入开展“五乱”治理。</w:t>
      </w:r>
      <w:r>
        <w:rPr>
          <w:rFonts w:hint="eastAsia"/>
          <w:lang w:val="en-US" w:eastAsia="zh-CN"/>
        </w:rPr>
        <w:t>持续开展场镇“五乱”治理，加强背街小巷、卫生死角的环境治理力度，着力解决环境卫生“脏、乱、差”。加大环卫设备、基础设施和公共服务设施投入。</w:t>
      </w:r>
    </w:p>
    <w:p>
      <w:pPr>
        <w:bidi w:val="0"/>
        <w:rPr>
          <w:rFonts w:hint="eastAsia"/>
          <w:lang w:val="en-US" w:eastAsia="zh-CN"/>
        </w:rPr>
      </w:pPr>
      <w:r>
        <w:rPr>
          <w:rStyle w:val="16"/>
          <w:rFonts w:hint="eastAsia"/>
          <w:lang w:val="en-US" w:eastAsia="zh-CN"/>
        </w:rPr>
        <w:t>（3）持续推进农村生活垃圾处置收费。</w:t>
      </w:r>
      <w:r>
        <w:rPr>
          <w:rFonts w:hint="eastAsia"/>
          <w:lang w:val="en-US" w:eastAsia="zh-CN"/>
        </w:rPr>
        <w:t>考察、学习已完善农村生活垃圾处置收费制度的市、县，推进我区农村生活垃圾处置收费制度的建设，与区级相关部门深入基层调研，结合其他地区的先进经验，制定符合我区农村实际和农户经济承受能力的收费标准，进一步巩固农村生活垃圾收转运处置体系。</w:t>
      </w:r>
    </w:p>
    <w:p>
      <w:pPr>
        <w:pStyle w:val="14"/>
        <w:bidi w:val="0"/>
        <w:rPr>
          <w:rFonts w:hint="eastAsia"/>
          <w:lang w:val="en-US" w:eastAsia="zh-CN"/>
        </w:rPr>
      </w:pPr>
      <w:r>
        <w:rPr>
          <w:rFonts w:hint="eastAsia"/>
          <w:lang w:val="en-US" w:eastAsia="zh-CN"/>
        </w:rPr>
        <w:t>4.重质量，强管理，加快项目建设。</w:t>
      </w:r>
    </w:p>
    <w:p>
      <w:pPr>
        <w:bidi w:val="0"/>
        <w:rPr>
          <w:rFonts w:hint="eastAsia"/>
          <w:lang w:val="en-US" w:eastAsia="zh-CN"/>
        </w:rPr>
      </w:pPr>
      <w:r>
        <w:rPr>
          <w:rStyle w:val="16"/>
          <w:rFonts w:hint="eastAsia"/>
          <w:lang w:val="en-US" w:eastAsia="zh-CN"/>
        </w:rPr>
        <w:t>（1）加快推进资阳市垃圾发电厂片区人居环境改善提升项目建设。</w:t>
      </w:r>
      <w:r>
        <w:rPr>
          <w:rFonts w:hint="eastAsia"/>
          <w:lang w:val="en-US" w:eastAsia="zh-CN"/>
        </w:rPr>
        <w:t>积极协调相关部门，完善资金保障等相关工作，压实项目建设业主主体责任，优化施工方案，推动资阳市垃圾发电厂片区人居环境改善提升项目建设，力争年内全面竣工，达到交房标准。积极向市财政争取资金，进一步明确资金分摊比例，完善资金保障等相关工作。启动安置户选房工作，及时解决项目建设中存在的问题，协调相关单位及时化解信访问题，确保项目外部环境稳定。</w:t>
      </w:r>
    </w:p>
    <w:p>
      <w:pPr>
        <w:bidi w:val="0"/>
        <w:rPr>
          <w:rFonts w:hint="eastAsia"/>
          <w:lang w:val="en-US" w:eastAsia="zh-CN"/>
        </w:rPr>
      </w:pPr>
      <w:r>
        <w:rPr>
          <w:rStyle w:val="16"/>
          <w:rFonts w:hint="eastAsia"/>
          <w:lang w:val="en-US" w:eastAsia="zh-CN"/>
        </w:rPr>
        <w:t>（2）推进生活垃圾分类项目，引领低碳生活新时尚。一是</w:t>
      </w:r>
      <w:r>
        <w:rPr>
          <w:rFonts w:hint="eastAsia"/>
          <w:lang w:val="en-US" w:eastAsia="zh-CN"/>
        </w:rPr>
        <w:t>大力推进垃圾分类项目建设。以设置垃圾分类收集亭（站）、配置垃圾分类桶、配置垃圾分类收集车、明确垃圾分类标识为重点，实现城东新区、14个镇生活垃圾分类基础设施全覆盖。</w:t>
      </w:r>
      <w:r>
        <w:rPr>
          <w:rStyle w:val="16"/>
          <w:rFonts w:hint="eastAsia"/>
          <w:lang w:val="en-US" w:eastAsia="zh-CN"/>
        </w:rPr>
        <w:t>二是</w:t>
      </w:r>
      <w:r>
        <w:rPr>
          <w:rFonts w:hint="eastAsia"/>
          <w:lang w:val="en-US" w:eastAsia="zh-CN"/>
        </w:rPr>
        <w:t>打造垃圾分类试点小区。计划将上东逸景、富丽天喜作为垃圾分类试点小区，完善配备垃圾分类设施、桶边督导员，定时定点投放生活垃圾，为全面推进垃圾分类工作积累经验。</w:t>
      </w:r>
      <w:r>
        <w:rPr>
          <w:rStyle w:val="16"/>
          <w:rFonts w:hint="eastAsia"/>
          <w:lang w:val="en-US" w:eastAsia="zh-CN"/>
        </w:rPr>
        <w:t>三是</w:t>
      </w:r>
      <w:r>
        <w:rPr>
          <w:rFonts w:hint="eastAsia"/>
          <w:lang w:val="en-US" w:eastAsia="zh-CN"/>
        </w:rPr>
        <w:t>因地制宜推动农村生活垃圾分类。按照“化繁为简、简单实用、注重实效”的原则，在全区农村推行生活垃圾“四分法”。鼓励推进农村生活垃圾分类减量和资源化利用，完成农村生活垃圾分类示范区建设。</w:t>
      </w:r>
    </w:p>
    <w:p>
      <w:pPr>
        <w:bidi w:val="0"/>
        <w:rPr>
          <w:rFonts w:hint="eastAsia"/>
          <w:lang w:val="en-US" w:eastAsia="zh-CN"/>
        </w:rPr>
      </w:pPr>
      <w:r>
        <w:rPr>
          <w:rStyle w:val="16"/>
          <w:rFonts w:hint="eastAsia"/>
          <w:lang w:val="en-US" w:eastAsia="zh-CN"/>
        </w:rPr>
        <w:t>（3）完善城东新区公共卫生间建设，便民服务再升级。</w:t>
      </w:r>
      <w:r>
        <w:rPr>
          <w:rFonts w:hint="eastAsia"/>
          <w:lang w:val="en-US" w:eastAsia="zh-CN"/>
        </w:rPr>
        <w:t>2024年将根据市自然资源规划局对中心城区公共卫生间的规划布局，结合城东新区实际，逐步修建完善城东新区公共卫生间，解决群众如厕难的问题。目前，在全面分析城东新区人流状况及公共卫生间分布的基础上，初步计划在吴仲良九义校、航向九义校、天立学校、沱三桥桥头广场附近各建设1座公共卫生间，预计2024年底完工投用，届时将有效缓解城东新区群众如厕难问题。</w:t>
      </w:r>
    </w:p>
    <w:p>
      <w:pPr>
        <w:pStyle w:val="12"/>
        <w:bidi w:val="0"/>
        <w:rPr>
          <w:rFonts w:hint="eastAsia"/>
          <w:lang w:val="en-US" w:eastAsia="zh-CN"/>
        </w:rPr>
      </w:pPr>
      <w:r>
        <w:rPr>
          <w:rFonts w:hint="eastAsia"/>
          <w:lang w:val="en-US" w:eastAsia="zh-CN"/>
        </w:rPr>
        <w:t>二、收支预算情况说明</w:t>
      </w:r>
    </w:p>
    <w:p>
      <w:pPr>
        <w:bidi w:val="0"/>
        <w:rPr>
          <w:rFonts w:hint="eastAsia"/>
          <w:lang w:val="en-US" w:eastAsia="zh-CN"/>
        </w:rPr>
      </w:pPr>
      <w:r>
        <w:rPr>
          <w:rFonts w:hint="eastAsia"/>
          <w:lang w:val="en-US" w:eastAsia="zh-CN"/>
        </w:rPr>
        <w:t>按照综合预算的原则，雁江区综合行政执法局所有收入和支出均纳入单位预算管理。收入包括：一般公共预算拨款收入。支出包括：社会保障和就业支出、卫生健康支出、城乡社区支出、住房保障支出。雁江区综合行政执法局2024年收支总预算4160.28万元，比2023年收支预算总数增加1968.02万元，主要原因是2024年增加了项目支出的年初预算。</w:t>
      </w:r>
    </w:p>
    <w:p>
      <w:pPr>
        <w:pStyle w:val="13"/>
        <w:bidi w:val="0"/>
        <w:rPr>
          <w:rFonts w:hint="eastAsia"/>
          <w:lang w:val="en-US" w:eastAsia="zh-CN"/>
        </w:rPr>
      </w:pPr>
      <w:r>
        <w:rPr>
          <w:rFonts w:hint="eastAsia"/>
          <w:lang w:val="en-US" w:eastAsia="zh-CN"/>
        </w:rPr>
        <w:t>（一）收入预算情况</w:t>
      </w:r>
    </w:p>
    <w:p>
      <w:pPr>
        <w:bidi w:val="0"/>
        <w:rPr>
          <w:rFonts w:hint="eastAsia"/>
          <w:lang w:val="en-US" w:eastAsia="zh-CN"/>
        </w:rPr>
      </w:pPr>
      <w:r>
        <w:rPr>
          <w:rFonts w:hint="eastAsia"/>
          <w:lang w:val="en-US" w:eastAsia="zh-CN"/>
        </w:rPr>
        <w:t>雁江区综合行政执法局2024年收入预算4160.28万元，其中：一般公共预算拨款收入4160.28万元，占100%。</w:t>
      </w:r>
    </w:p>
    <w:p>
      <w:pPr>
        <w:pStyle w:val="13"/>
        <w:bidi w:val="0"/>
        <w:rPr>
          <w:rFonts w:hint="eastAsia"/>
          <w:lang w:val="en-US" w:eastAsia="zh-CN"/>
        </w:rPr>
      </w:pPr>
      <w:r>
        <w:rPr>
          <w:rFonts w:hint="eastAsia"/>
          <w:lang w:val="en-US" w:eastAsia="zh-CN"/>
        </w:rPr>
        <w:t>（二）支出预算情况</w:t>
      </w:r>
    </w:p>
    <w:p>
      <w:pPr>
        <w:bidi w:val="0"/>
        <w:rPr>
          <w:rFonts w:hint="eastAsia"/>
          <w:lang w:val="en-US" w:eastAsia="zh-CN"/>
        </w:rPr>
      </w:pPr>
      <w:r>
        <w:rPr>
          <w:rFonts w:hint="eastAsia"/>
          <w:lang w:val="en-US" w:eastAsia="zh-CN"/>
        </w:rPr>
        <w:t>雁江区综合行政执法局2024年支出预算4160.28万元，其中：基本支出822.94万元，占19.78%；项目支出3337.34万元，占80.22%。</w:t>
      </w:r>
    </w:p>
    <w:p>
      <w:pPr>
        <w:pStyle w:val="12"/>
        <w:bidi w:val="0"/>
        <w:rPr>
          <w:rFonts w:hint="eastAsia"/>
          <w:lang w:val="en-US" w:eastAsia="zh-CN"/>
        </w:rPr>
      </w:pPr>
      <w:r>
        <w:rPr>
          <w:rFonts w:hint="eastAsia"/>
          <w:lang w:val="en-US" w:eastAsia="zh-CN"/>
        </w:rPr>
        <w:t>三、财政拨款收支预算情况说明</w:t>
      </w:r>
    </w:p>
    <w:p>
      <w:pPr>
        <w:bidi w:val="0"/>
        <w:rPr>
          <w:rFonts w:hint="eastAsia"/>
          <w:lang w:val="en-US" w:eastAsia="zh-CN"/>
        </w:rPr>
      </w:pPr>
      <w:r>
        <w:rPr>
          <w:rFonts w:hint="eastAsia"/>
          <w:lang w:val="en-US" w:eastAsia="zh-CN"/>
        </w:rPr>
        <w:t>雁江区综合行政执法局2024年财政拨款收支总预算4160.28万元，比2023年财政拨款收支总预算增加1968.02万元，主要原因是2024年增加了项目支出的年初预算。</w:t>
      </w:r>
    </w:p>
    <w:p>
      <w:pPr>
        <w:bidi w:val="0"/>
        <w:rPr>
          <w:rFonts w:hint="eastAsia"/>
          <w:lang w:val="en-US" w:eastAsia="zh-CN"/>
        </w:rPr>
      </w:pPr>
      <w:r>
        <w:rPr>
          <w:rFonts w:hint="eastAsia"/>
          <w:lang w:val="en-US" w:eastAsia="zh-CN"/>
        </w:rPr>
        <w:t>收入包括：本年一般公共预算拨款收入4160.28万元、上年结转一般公共预算拨款收入0万元；支出包括：社会保障和就业支出84.16万元、卫生健康支出31.38万元、城乡社区支出3975.22万元、住房保障支出69.52万元。</w:t>
      </w:r>
    </w:p>
    <w:p>
      <w:pPr>
        <w:pStyle w:val="12"/>
        <w:bidi w:val="0"/>
        <w:rPr>
          <w:rFonts w:hint="eastAsia"/>
          <w:lang w:val="en-US" w:eastAsia="zh-CN"/>
        </w:rPr>
      </w:pPr>
      <w:r>
        <w:rPr>
          <w:rFonts w:hint="eastAsia"/>
          <w:lang w:val="en-US" w:eastAsia="zh-CN"/>
        </w:rPr>
        <w:t>四、一般公共预算当年拨款情况说明</w:t>
      </w:r>
    </w:p>
    <w:p>
      <w:pPr>
        <w:pStyle w:val="13"/>
        <w:bidi w:val="0"/>
        <w:rPr>
          <w:rFonts w:hint="eastAsia"/>
          <w:lang w:val="en-US" w:eastAsia="zh-CN"/>
        </w:rPr>
      </w:pPr>
      <w:r>
        <w:rPr>
          <w:rFonts w:hint="eastAsia"/>
          <w:lang w:val="en-US" w:eastAsia="zh-CN"/>
        </w:rPr>
        <w:t>（一）一般公共预算当年拨款规模变化情况</w:t>
      </w:r>
    </w:p>
    <w:p>
      <w:pPr>
        <w:bidi w:val="0"/>
        <w:rPr>
          <w:rFonts w:hint="eastAsia"/>
          <w:lang w:val="en-US" w:eastAsia="zh-CN"/>
        </w:rPr>
      </w:pPr>
      <w:r>
        <w:rPr>
          <w:rFonts w:hint="eastAsia"/>
          <w:lang w:val="en-US" w:eastAsia="zh-CN"/>
        </w:rPr>
        <w:t>雁江区综合行政执法局2024年一般公共预算当年拨款4160.28万元，比2023年一般公共预算当年拨款增加1935.46万元，主要原因是2024年增加了项目支出的年初预算。</w:t>
      </w:r>
    </w:p>
    <w:p>
      <w:pPr>
        <w:pStyle w:val="13"/>
        <w:bidi w:val="0"/>
        <w:rPr>
          <w:rFonts w:hint="eastAsia"/>
          <w:lang w:val="en-US" w:eastAsia="zh-CN"/>
        </w:rPr>
      </w:pPr>
      <w:r>
        <w:rPr>
          <w:rFonts w:hint="eastAsia"/>
          <w:lang w:val="en-US" w:eastAsia="zh-CN"/>
        </w:rPr>
        <w:t>（二）一般公共预算当年拨款结构情况</w:t>
      </w:r>
    </w:p>
    <w:p>
      <w:pPr>
        <w:bidi w:val="0"/>
        <w:rPr>
          <w:rFonts w:hint="eastAsia"/>
          <w:lang w:val="en-US" w:eastAsia="zh-CN"/>
        </w:rPr>
      </w:pPr>
      <w:r>
        <w:rPr>
          <w:rFonts w:hint="eastAsia"/>
          <w:lang w:val="en-US" w:eastAsia="zh-CN"/>
        </w:rPr>
        <w:t>社会保障和就业支出84.16万元，占2.02%；卫生健康支出31.38万元，占0.75%；城乡社区支出3975.22万元，占95.55%；住房保障支出69.52万元，占1.75%。</w:t>
      </w:r>
    </w:p>
    <w:p>
      <w:pPr>
        <w:pStyle w:val="13"/>
        <w:bidi w:val="0"/>
        <w:rPr>
          <w:rFonts w:hint="eastAsia"/>
          <w:lang w:val="en-US" w:eastAsia="zh-CN"/>
        </w:rPr>
      </w:pPr>
      <w:r>
        <w:rPr>
          <w:rFonts w:hint="eastAsia"/>
          <w:lang w:val="en-US" w:eastAsia="zh-CN"/>
        </w:rPr>
        <w:t>（三）一般公共预算当年拨款具体使用情况</w:t>
      </w:r>
    </w:p>
    <w:p>
      <w:pPr>
        <w:bidi w:val="0"/>
        <w:rPr>
          <w:rFonts w:hint="eastAsia"/>
          <w:lang w:val="en-US" w:eastAsia="zh-CN"/>
        </w:rPr>
      </w:pPr>
      <w:r>
        <w:rPr>
          <w:rFonts w:hint="eastAsia"/>
          <w:lang w:val="en-US" w:eastAsia="zh-CN"/>
        </w:rPr>
        <w:t>1. 城乡社区支出（类）城乡社区管理事务（款）行政运行（项）2024年预算数为460.25万元，主要用于：局机关及下属参公单位正常运转的基本支出，包括基本工资、津贴补贴等人员经费以及办公费、邮电费、水电费等日常公用经费。</w:t>
      </w:r>
    </w:p>
    <w:p>
      <w:pPr>
        <w:bidi w:val="0"/>
        <w:rPr>
          <w:rFonts w:hint="eastAsia"/>
          <w:lang w:val="en-US" w:eastAsia="zh-CN"/>
        </w:rPr>
      </w:pPr>
      <w:r>
        <w:rPr>
          <w:rFonts w:hint="eastAsia"/>
          <w:lang w:val="en-US" w:eastAsia="zh-CN"/>
        </w:rPr>
        <w:t>2. 城乡社区支出（类）城乡社区管理事务（款）其他城乡社区管理事务（项）2024年预算数为177.63万元，主要用于：局机关下属事业单位开展正常运转的基本支出，包括基本工资、津贴补贴、保险等人员经费。</w:t>
      </w:r>
    </w:p>
    <w:p>
      <w:pPr>
        <w:bidi w:val="0"/>
        <w:rPr>
          <w:rFonts w:hint="eastAsia"/>
          <w:lang w:val="en-US" w:eastAsia="zh-CN"/>
        </w:rPr>
      </w:pPr>
      <w:r>
        <w:rPr>
          <w:rFonts w:hint="eastAsia"/>
          <w:lang w:val="en-US" w:eastAsia="zh-CN"/>
        </w:rPr>
        <w:t>3. 社会保障和就业支出（类）行政事业单位养老（款）事业单位离退休（项）2024年预算数为0.03万元，主要用于：退休事业人员活动费。</w:t>
      </w:r>
    </w:p>
    <w:p>
      <w:pPr>
        <w:bidi w:val="0"/>
        <w:rPr>
          <w:rFonts w:hint="eastAsia"/>
          <w:lang w:val="en-US" w:eastAsia="zh-CN"/>
        </w:rPr>
      </w:pPr>
      <w:r>
        <w:rPr>
          <w:rFonts w:hint="eastAsia"/>
          <w:lang w:val="en-US" w:eastAsia="zh-CN"/>
        </w:rPr>
        <w:t>4. 社会保障和就业支出（类）行政事业单位养老（款）机关事业单位基本养老保险缴费（项）2024年预算数为83.01万元，主要用于：单位缴纳的基本养老保险费。</w:t>
      </w:r>
    </w:p>
    <w:p>
      <w:pPr>
        <w:bidi w:val="0"/>
        <w:rPr>
          <w:rFonts w:hint="eastAsia"/>
          <w:lang w:val="en-US" w:eastAsia="zh-CN"/>
        </w:rPr>
      </w:pPr>
      <w:r>
        <w:rPr>
          <w:rFonts w:hint="eastAsia"/>
          <w:lang w:val="en-US" w:eastAsia="zh-CN"/>
        </w:rPr>
        <w:t>5.社会保障和就业支出（类）其他社会保障和就业（款）其他社会保障和就业（项）2024年预算数为1.11万元，主要用于：单位缴纳的其他社会保障和就业。</w:t>
      </w:r>
    </w:p>
    <w:p>
      <w:pPr>
        <w:bidi w:val="0"/>
        <w:rPr>
          <w:rFonts w:hint="eastAsia"/>
          <w:lang w:val="en-US" w:eastAsia="zh-CN"/>
        </w:rPr>
      </w:pPr>
      <w:r>
        <w:rPr>
          <w:rFonts w:hint="eastAsia"/>
          <w:lang w:val="en-US" w:eastAsia="zh-CN"/>
        </w:rPr>
        <w:t>6. 卫生健康支出（类）行政事业单位医疗（款）行政单位医疗（项）2024年预算数为17.8万元，用于单位缴纳的行政人员基本医疗保险支出。</w:t>
      </w:r>
    </w:p>
    <w:p>
      <w:pPr>
        <w:bidi w:val="0"/>
        <w:rPr>
          <w:rFonts w:hint="eastAsia"/>
          <w:lang w:val="en-US" w:eastAsia="zh-CN"/>
        </w:rPr>
      </w:pPr>
      <w:r>
        <w:rPr>
          <w:rFonts w:hint="eastAsia"/>
          <w:lang w:val="en-US" w:eastAsia="zh-CN"/>
        </w:rPr>
        <w:t>7. 卫生健康支出（类）行政事业单位医疗（款）事业单位医疗（项）2024年预算数为9.84万元，用于为事业人员缴纳的基本医疗保险支出。</w:t>
      </w:r>
    </w:p>
    <w:p>
      <w:pPr>
        <w:bidi w:val="0"/>
        <w:rPr>
          <w:rFonts w:hint="eastAsia"/>
          <w:lang w:val="en-US" w:eastAsia="zh-CN"/>
        </w:rPr>
      </w:pPr>
      <w:r>
        <w:rPr>
          <w:rFonts w:hint="eastAsia"/>
          <w:lang w:val="en-US" w:eastAsia="zh-CN"/>
        </w:rPr>
        <w:t>8. 卫生健康支出（类）行政事业单位医疗（款）公务员医疗补助（项）2024年预算数为3.74万元，用于为职工缴纳的公务员医疗补助支出。</w:t>
      </w:r>
    </w:p>
    <w:p>
      <w:pPr>
        <w:bidi w:val="0"/>
        <w:rPr>
          <w:rFonts w:hint="eastAsia"/>
          <w:lang w:val="en-US" w:eastAsia="zh-CN"/>
        </w:rPr>
      </w:pPr>
      <w:r>
        <w:rPr>
          <w:rFonts w:hint="eastAsia"/>
          <w:lang w:val="en-US" w:eastAsia="zh-CN"/>
        </w:rPr>
        <w:t xml:space="preserve">9. 住房保障支出（类）住房改革支出（款）住房公积金（项）：2024年预算数为69.52万元，主要用于：单位按人力资源和社会保障部、财政部规定的基本工资和津贴补贴以及规定比例为职工缴纳的住房公积金支出。 </w:t>
      </w:r>
    </w:p>
    <w:p>
      <w:pPr>
        <w:bidi w:val="0"/>
        <w:rPr>
          <w:rFonts w:hint="eastAsia"/>
          <w:lang w:val="en-US" w:eastAsia="zh-CN"/>
        </w:rPr>
      </w:pPr>
      <w:r>
        <w:rPr>
          <w:rFonts w:hint="eastAsia"/>
          <w:lang w:val="en-US" w:eastAsia="zh-CN"/>
        </w:rPr>
        <w:t>10.</w:t>
      </w:r>
      <w:r>
        <w:rPr>
          <w:rFonts w:hint="eastAsia" w:ascii="方正仿宋_GBK" w:hAnsi="方正仿宋_GBK" w:eastAsia="方正仿宋_GBK" w:cs="方正仿宋_GBK"/>
          <w:lang w:val="en-US" w:eastAsia="zh-CN"/>
        </w:rPr>
        <w:t xml:space="preserve"> </w:t>
      </w:r>
      <w:r>
        <w:rPr>
          <w:rFonts w:hint="eastAsia"/>
          <w:lang w:val="en-US" w:eastAsia="zh-CN"/>
        </w:rPr>
        <w:t>城乡社区支出（类）城乡社区管理事务（款）城管执法（项）2024年预算数为477.08万元，主要用于：城管执法建设管理方面的支出。</w:t>
      </w:r>
    </w:p>
    <w:p>
      <w:pPr>
        <w:bidi w:val="0"/>
        <w:rPr>
          <w:rFonts w:hint="eastAsia"/>
          <w:lang w:val="en-US" w:eastAsia="zh-CN"/>
        </w:rPr>
      </w:pPr>
      <w:r>
        <w:rPr>
          <w:rFonts w:hint="eastAsia"/>
          <w:lang w:val="en-US" w:eastAsia="zh-CN"/>
        </w:rPr>
        <w:t>11.</w:t>
      </w:r>
      <w:r>
        <w:rPr>
          <w:rFonts w:hint="eastAsia" w:ascii="方正仿宋_GBK" w:hAnsi="方正仿宋_GBK" w:eastAsia="方正仿宋_GBK" w:cs="方正仿宋_GBK"/>
          <w:lang w:val="en-US" w:eastAsia="zh-CN"/>
        </w:rPr>
        <w:t xml:space="preserve"> </w:t>
      </w:r>
      <w:r>
        <w:rPr>
          <w:rFonts w:hint="eastAsia"/>
          <w:lang w:val="en-US" w:eastAsia="zh-CN"/>
        </w:rPr>
        <w:t>城乡社区支出（类）城乡社区环境卫生（款）城乡社区环境卫生（项）2024年预算数为2860.26万元，主要用于：城乡环卫一体化项目运行方面的支出、城乡环境综合治理方面的支出。</w:t>
      </w:r>
    </w:p>
    <w:p>
      <w:pPr>
        <w:pStyle w:val="12"/>
        <w:bidi w:val="0"/>
        <w:rPr>
          <w:rFonts w:hint="eastAsia"/>
          <w:lang w:val="en-US" w:eastAsia="zh-CN"/>
        </w:rPr>
      </w:pPr>
      <w:r>
        <w:rPr>
          <w:rFonts w:hint="eastAsia"/>
          <w:lang w:val="en-US" w:eastAsia="zh-CN"/>
        </w:rPr>
        <w:t>五、一般公共预算基本支出情况说明</w:t>
      </w:r>
    </w:p>
    <w:p>
      <w:pPr>
        <w:bidi w:val="0"/>
        <w:rPr>
          <w:rFonts w:hint="eastAsia"/>
          <w:lang w:val="en-US" w:eastAsia="zh-CN"/>
        </w:rPr>
      </w:pPr>
      <w:r>
        <w:rPr>
          <w:rFonts w:hint="eastAsia"/>
          <w:lang w:val="en-US" w:eastAsia="zh-CN"/>
        </w:rPr>
        <w:t>雁江区综合行政执法局2024年一般公共预算基本支出822.94万元，其中：</w:t>
      </w:r>
    </w:p>
    <w:p>
      <w:pPr>
        <w:bidi w:val="0"/>
        <w:rPr>
          <w:rFonts w:hint="eastAsia"/>
          <w:lang w:val="en-US" w:eastAsia="zh-CN"/>
        </w:rPr>
      </w:pPr>
      <w:r>
        <w:rPr>
          <w:rFonts w:hint="eastAsia"/>
          <w:lang w:val="en-US" w:eastAsia="zh-CN"/>
        </w:rPr>
        <w:t>人员经费704.67万元，主要包括：基本工资、津贴补贴、奖金、社会保险缴费等。</w:t>
      </w:r>
    </w:p>
    <w:p>
      <w:pPr>
        <w:bidi w:val="0"/>
        <w:rPr>
          <w:rFonts w:hint="eastAsia"/>
          <w:lang w:val="en-US" w:eastAsia="zh-CN"/>
        </w:rPr>
      </w:pPr>
      <w:r>
        <w:rPr>
          <w:rFonts w:hint="eastAsia"/>
          <w:lang w:val="en-US" w:eastAsia="zh-CN"/>
        </w:rPr>
        <w:t>公用经费118.26万元，主要包括：办公费、水费、电费、邮电费、印刷费、差旅费、维修（护）费、工会经费、福利费等。</w:t>
      </w:r>
    </w:p>
    <w:p>
      <w:pPr>
        <w:pStyle w:val="12"/>
        <w:bidi w:val="0"/>
        <w:rPr>
          <w:rFonts w:hint="eastAsia"/>
          <w:lang w:val="en-US" w:eastAsia="zh-CN"/>
        </w:rPr>
      </w:pPr>
      <w:r>
        <w:rPr>
          <w:rFonts w:hint="eastAsia"/>
          <w:lang w:val="en-US" w:eastAsia="zh-CN"/>
        </w:rPr>
        <w:t>六、“三公”经费财政拨款预算安排情况说明</w:t>
      </w:r>
    </w:p>
    <w:p>
      <w:pPr>
        <w:bidi w:val="0"/>
        <w:rPr>
          <w:rFonts w:hint="eastAsia"/>
          <w:lang w:val="en-US" w:eastAsia="zh-CN"/>
        </w:rPr>
      </w:pPr>
      <w:r>
        <w:rPr>
          <w:rFonts w:hint="eastAsia"/>
          <w:lang w:val="en-US" w:eastAsia="zh-CN"/>
        </w:rPr>
        <w:t>雁江区综合行政执法局2024年“三公”经费财政拨款预算数14万元，其中：因公出国（境）经费0万元，公务接待费0.5万元，公务用车购置及运行维护费13.5万元。</w:t>
      </w:r>
    </w:p>
    <w:p>
      <w:pPr>
        <w:bidi w:val="0"/>
        <w:rPr>
          <w:rFonts w:hint="eastAsia"/>
          <w:lang w:val="en-US" w:eastAsia="zh-CN"/>
        </w:rPr>
      </w:pPr>
      <w:r>
        <w:rPr>
          <w:rStyle w:val="17"/>
          <w:rFonts w:hint="eastAsia"/>
          <w:lang w:val="en-US" w:eastAsia="zh-CN"/>
        </w:rPr>
        <w:t>（一）因公出国（境）经费较2023年预算持平。</w:t>
      </w:r>
      <w:r>
        <w:rPr>
          <w:rFonts w:hint="eastAsia"/>
          <w:lang w:val="en-US" w:eastAsia="zh-CN"/>
        </w:rPr>
        <w:t>主要原因是本年与上年均无因公出国安排。</w:t>
      </w:r>
    </w:p>
    <w:p>
      <w:pPr>
        <w:bidi w:val="0"/>
        <w:rPr>
          <w:rFonts w:hint="eastAsia"/>
          <w:lang w:val="en-US" w:eastAsia="zh-CN"/>
        </w:rPr>
      </w:pPr>
      <w:r>
        <w:rPr>
          <w:rFonts w:hint="eastAsia"/>
          <w:lang w:val="en-US" w:eastAsia="zh-CN"/>
        </w:rPr>
        <w:t>本年度拟安排出国（境）0人次。</w:t>
      </w:r>
    </w:p>
    <w:p>
      <w:pPr>
        <w:bidi w:val="0"/>
        <w:rPr>
          <w:rFonts w:hint="eastAsia"/>
          <w:lang w:val="en-US" w:eastAsia="zh-CN"/>
        </w:rPr>
      </w:pPr>
      <w:r>
        <w:rPr>
          <w:rStyle w:val="17"/>
          <w:rFonts w:hint="eastAsia"/>
          <w:lang w:val="en-US" w:eastAsia="zh-CN"/>
        </w:rPr>
        <w:t>（二）公务接待费较2023年预算减少83.33%。</w:t>
      </w:r>
      <w:r>
        <w:rPr>
          <w:rFonts w:hint="eastAsia"/>
          <w:lang w:val="en-US" w:eastAsia="zh-CN"/>
        </w:rPr>
        <w:t>主要原因是我单位严格贯彻落实中央八项规定精神，减少不必要的公务接待。</w:t>
      </w:r>
    </w:p>
    <w:p>
      <w:pPr>
        <w:bidi w:val="0"/>
        <w:rPr>
          <w:rFonts w:hint="eastAsia"/>
          <w:lang w:val="en-US" w:eastAsia="zh-CN"/>
        </w:rPr>
      </w:pPr>
      <w:r>
        <w:rPr>
          <w:rFonts w:hint="eastAsia"/>
          <w:lang w:val="en-US" w:eastAsia="zh-CN"/>
        </w:rPr>
        <w:t xml:space="preserve">2024年公务接待费计划用于开展城乡环境治理、城市管理活动业务接待等。 </w:t>
      </w:r>
    </w:p>
    <w:p>
      <w:pPr>
        <w:pStyle w:val="13"/>
        <w:bidi w:val="0"/>
        <w:rPr>
          <w:rFonts w:hint="eastAsia"/>
          <w:lang w:val="en-US" w:eastAsia="zh-CN"/>
        </w:rPr>
      </w:pPr>
      <w:r>
        <w:rPr>
          <w:rFonts w:hint="eastAsia"/>
          <w:lang w:val="en-US" w:eastAsia="zh-CN"/>
        </w:rPr>
        <w:t>（三）公务用车购置及运行维护费较2023年预算持平。</w:t>
      </w:r>
    </w:p>
    <w:p>
      <w:pPr>
        <w:bidi w:val="0"/>
        <w:rPr>
          <w:rFonts w:hint="eastAsia"/>
          <w:lang w:val="en-US" w:eastAsia="zh-CN"/>
        </w:rPr>
      </w:pPr>
      <w:r>
        <w:rPr>
          <w:rFonts w:hint="eastAsia"/>
          <w:lang w:val="en-US" w:eastAsia="zh-CN"/>
        </w:rPr>
        <w:t>单位现有公务用车4辆，其中：轿车0辆，越野车1辆，皮卡车3辆。</w:t>
      </w:r>
    </w:p>
    <w:p>
      <w:pPr>
        <w:bidi w:val="0"/>
        <w:rPr>
          <w:rFonts w:hint="eastAsia"/>
          <w:lang w:val="en-US" w:eastAsia="zh-CN"/>
        </w:rPr>
      </w:pPr>
      <w:r>
        <w:rPr>
          <w:rFonts w:hint="eastAsia"/>
          <w:lang w:val="en-US" w:eastAsia="zh-CN"/>
        </w:rPr>
        <w:t>公务用车购置费0万元，较2023年预算持平。公务用车运行维护费13.5万元，较2023年预算持平。用于4辆公务用车燃油、维修、保险等方面支出。</w:t>
      </w:r>
    </w:p>
    <w:p>
      <w:pPr>
        <w:pStyle w:val="12"/>
        <w:bidi w:val="0"/>
        <w:rPr>
          <w:rFonts w:hint="eastAsia"/>
          <w:lang w:val="en-US" w:eastAsia="zh-CN"/>
        </w:rPr>
      </w:pPr>
      <w:r>
        <w:rPr>
          <w:rFonts w:hint="eastAsia"/>
          <w:lang w:val="en-US" w:eastAsia="zh-CN"/>
        </w:rPr>
        <w:t>七、政府性基金预算支出情况说明</w:t>
      </w:r>
    </w:p>
    <w:p>
      <w:pPr>
        <w:bidi w:val="0"/>
        <w:rPr>
          <w:rFonts w:hint="eastAsia"/>
          <w:lang w:val="en-US" w:eastAsia="zh-CN"/>
        </w:rPr>
      </w:pPr>
      <w:r>
        <w:rPr>
          <w:rFonts w:hint="eastAsia"/>
          <w:lang w:val="en-US" w:eastAsia="zh-CN"/>
        </w:rPr>
        <w:t>雁江区综合行政执法局2024年没有使用政府性基金预算拨款安排的支出。</w:t>
      </w:r>
    </w:p>
    <w:p>
      <w:pPr>
        <w:pStyle w:val="12"/>
        <w:bidi w:val="0"/>
        <w:rPr>
          <w:rFonts w:hint="eastAsia"/>
          <w:lang w:val="en-US" w:eastAsia="zh-CN"/>
        </w:rPr>
      </w:pPr>
      <w:r>
        <w:rPr>
          <w:rFonts w:hint="eastAsia"/>
          <w:lang w:val="en-US" w:eastAsia="zh-CN"/>
        </w:rPr>
        <w:t>八、国有资本经营预算支出情况说明</w:t>
      </w:r>
    </w:p>
    <w:p>
      <w:pPr>
        <w:bidi w:val="0"/>
        <w:rPr>
          <w:rFonts w:hint="eastAsia"/>
          <w:lang w:val="en-US" w:eastAsia="zh-CN"/>
        </w:rPr>
      </w:pPr>
      <w:r>
        <w:rPr>
          <w:rFonts w:hint="eastAsia"/>
          <w:lang w:val="en-US" w:eastAsia="zh-CN"/>
        </w:rPr>
        <w:t>雁江区综合行政执法局2024年没有使用国有资本经营预算拨款安排的支出。</w:t>
      </w:r>
    </w:p>
    <w:p>
      <w:pPr>
        <w:pStyle w:val="12"/>
        <w:bidi w:val="0"/>
        <w:rPr>
          <w:rFonts w:hint="eastAsia"/>
          <w:lang w:val="en-US" w:eastAsia="zh-CN"/>
        </w:rPr>
      </w:pPr>
      <w:r>
        <w:rPr>
          <w:rFonts w:hint="eastAsia"/>
          <w:lang w:val="en-US" w:eastAsia="zh-CN"/>
        </w:rPr>
        <w:t>九、其他重要事项的情况说明</w:t>
      </w:r>
    </w:p>
    <w:p>
      <w:pPr>
        <w:pStyle w:val="13"/>
        <w:bidi w:val="0"/>
        <w:rPr>
          <w:rFonts w:hint="eastAsia"/>
          <w:lang w:val="en-US" w:eastAsia="zh-CN"/>
        </w:rPr>
      </w:pPr>
      <w:r>
        <w:rPr>
          <w:rFonts w:hint="eastAsia"/>
          <w:lang w:val="en-US" w:eastAsia="zh-CN"/>
        </w:rPr>
        <w:t>（一）机关运行经费</w:t>
      </w:r>
    </w:p>
    <w:p>
      <w:pPr>
        <w:bidi w:val="0"/>
        <w:rPr>
          <w:rFonts w:hint="eastAsia"/>
          <w:lang w:val="en-US" w:eastAsia="zh-CN"/>
        </w:rPr>
      </w:pPr>
      <w:r>
        <w:rPr>
          <w:rFonts w:hint="eastAsia"/>
          <w:lang w:val="en-US" w:eastAsia="zh-CN"/>
        </w:rPr>
        <w:t>雁江区综合行政执法局2024年机关运行经费财政拨款预算为118.26万元，比2023年预算减少5.69万元，下降4.81%，主要原因是2023局机关人员调出，下属事业单位人员退休，导致机关运行经费减少。</w:t>
      </w:r>
    </w:p>
    <w:p>
      <w:pPr>
        <w:pStyle w:val="13"/>
        <w:bidi w:val="0"/>
        <w:rPr>
          <w:rFonts w:hint="eastAsia"/>
          <w:lang w:val="en-US" w:eastAsia="zh-CN"/>
        </w:rPr>
      </w:pPr>
      <w:r>
        <w:rPr>
          <w:rFonts w:hint="eastAsia"/>
          <w:lang w:val="en-US" w:eastAsia="zh-CN"/>
        </w:rPr>
        <w:t>（二）政府采购情况</w:t>
      </w:r>
    </w:p>
    <w:p>
      <w:pPr>
        <w:bidi w:val="0"/>
        <w:rPr>
          <w:rFonts w:hint="eastAsia"/>
          <w:lang w:val="en-US" w:eastAsia="zh-CN"/>
        </w:rPr>
      </w:pPr>
      <w:r>
        <w:rPr>
          <w:rFonts w:hint="eastAsia"/>
          <w:lang w:val="en-US" w:eastAsia="zh-CN"/>
        </w:rPr>
        <w:t>2024年，雁江区综合行政执法局没有使用政府采购预算安排的支出。</w:t>
      </w:r>
    </w:p>
    <w:p>
      <w:pPr>
        <w:pStyle w:val="13"/>
        <w:bidi w:val="0"/>
        <w:rPr>
          <w:rFonts w:hint="eastAsia"/>
          <w:lang w:val="en-US" w:eastAsia="zh-CN"/>
        </w:rPr>
      </w:pPr>
      <w:r>
        <w:rPr>
          <w:rFonts w:hint="eastAsia"/>
          <w:lang w:val="en-US" w:eastAsia="zh-CN"/>
        </w:rPr>
        <w:t>（三）国有资产占有使用情况</w:t>
      </w:r>
    </w:p>
    <w:p>
      <w:pPr>
        <w:bidi w:val="0"/>
        <w:rPr>
          <w:rFonts w:hint="eastAsia"/>
          <w:lang w:val="en-US" w:eastAsia="zh-CN"/>
        </w:rPr>
      </w:pPr>
      <w:r>
        <w:rPr>
          <w:rFonts w:hint="eastAsia"/>
          <w:lang w:val="en-US" w:eastAsia="zh-CN"/>
        </w:rPr>
        <w:t>截至2023年底，雁江区综合行政执法局共有车辆10辆，其中，领导干部用车0辆、定向保障用车0辆、执法执勤用车0辆、越野车1辆、皮卡车3辆，特种用车6辆，其中越野车编制在机关事务局。单位价值100万元以上大型设备0台（套）。</w:t>
      </w:r>
    </w:p>
    <w:p>
      <w:pPr>
        <w:bidi w:val="0"/>
        <w:rPr>
          <w:rFonts w:hint="eastAsia"/>
          <w:lang w:val="en-US" w:eastAsia="zh-CN"/>
        </w:rPr>
      </w:pPr>
      <w:r>
        <w:rPr>
          <w:rFonts w:hint="eastAsia"/>
          <w:lang w:val="en-US" w:eastAsia="zh-CN"/>
        </w:rPr>
        <w:t>2024年单位预算未安排购置车辆及单位价值100万元以上大型设备。</w:t>
      </w:r>
    </w:p>
    <w:p>
      <w:pPr>
        <w:pStyle w:val="13"/>
        <w:bidi w:val="0"/>
        <w:rPr>
          <w:rFonts w:hint="eastAsia"/>
          <w:lang w:val="en-US" w:eastAsia="zh-CN"/>
        </w:rPr>
      </w:pPr>
      <w:r>
        <w:rPr>
          <w:rFonts w:hint="eastAsia"/>
          <w:lang w:val="en-US" w:eastAsia="zh-CN"/>
        </w:rPr>
        <w:t>（四）绩效目标设置情况</w:t>
      </w:r>
    </w:p>
    <w:p>
      <w:pPr>
        <w:bidi w:val="0"/>
        <w:rPr>
          <w:rFonts w:hint="eastAsia"/>
          <w:lang w:val="en-US" w:eastAsia="zh-CN"/>
        </w:rPr>
      </w:pPr>
      <w:r>
        <w:rPr>
          <w:rFonts w:hint="eastAsia"/>
          <w:lang w:val="en-US" w:eastAsia="zh-CN"/>
        </w:rPr>
        <w:t>绩效目标是预算编制的前提和基础，按照“费随事定”的原则，2024年雁江区综合行政执法局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pStyle w:val="12"/>
        <w:bidi w:val="0"/>
        <w:rPr>
          <w:rFonts w:hint="eastAsia"/>
          <w:lang w:val="en-US" w:eastAsia="zh-CN"/>
        </w:rPr>
      </w:pPr>
      <w:r>
        <w:rPr>
          <w:rFonts w:hint="eastAsia"/>
          <w:lang w:val="en-US" w:eastAsia="zh-CN"/>
        </w:rPr>
        <w:t>十、名词解释</w:t>
      </w:r>
    </w:p>
    <w:p>
      <w:pPr>
        <w:bidi w:val="0"/>
        <w:rPr>
          <w:rFonts w:hint="eastAsia"/>
          <w:lang w:val="en-US" w:eastAsia="zh-CN"/>
        </w:rPr>
      </w:pPr>
      <w:r>
        <w:rPr>
          <w:rStyle w:val="16"/>
          <w:rFonts w:hint="eastAsia"/>
          <w:lang w:val="en-US" w:eastAsia="zh-CN"/>
        </w:rPr>
        <w:t>（一）一般公共预算拨款收入：</w:t>
      </w:r>
      <w:r>
        <w:rPr>
          <w:rFonts w:hint="eastAsia"/>
          <w:lang w:val="en-US" w:eastAsia="zh-CN"/>
        </w:rPr>
        <w:t>指区级财政当年拨付的资金。</w:t>
      </w:r>
    </w:p>
    <w:p>
      <w:pPr>
        <w:bidi w:val="0"/>
        <w:rPr>
          <w:rFonts w:hint="eastAsia"/>
          <w:lang w:val="en-US" w:eastAsia="zh-CN"/>
        </w:rPr>
      </w:pPr>
      <w:r>
        <w:rPr>
          <w:rStyle w:val="16"/>
          <w:rFonts w:hint="eastAsia"/>
          <w:lang w:val="en-US" w:eastAsia="zh-CN"/>
        </w:rPr>
        <w:t>（二）上年结转：</w:t>
      </w:r>
      <w:r>
        <w:rPr>
          <w:rFonts w:hint="eastAsia"/>
          <w:lang w:val="en-US" w:eastAsia="zh-CN"/>
        </w:rPr>
        <w:t>指以前年度尚未完成，结转到本年仍按原规定用途继续使用的资金。</w:t>
      </w:r>
    </w:p>
    <w:p>
      <w:pPr>
        <w:bidi w:val="0"/>
        <w:rPr>
          <w:rFonts w:hint="eastAsia"/>
          <w:lang w:val="en-US" w:eastAsia="zh-CN"/>
        </w:rPr>
      </w:pPr>
      <w:r>
        <w:rPr>
          <w:rStyle w:val="16"/>
          <w:rFonts w:hint="eastAsia"/>
          <w:lang w:val="en-US" w:eastAsia="zh-CN"/>
        </w:rPr>
        <w:t>（三）一般公共服务（类）财政事务（款）行政运行（项）：</w:t>
      </w:r>
      <w:r>
        <w:rPr>
          <w:rFonts w:hint="eastAsia"/>
          <w:lang w:val="en-US" w:eastAsia="zh-CN"/>
        </w:rPr>
        <w:t>指局机关及参公管理事业单位用于保障机构正常运行、开展日常工作的基本支出。</w:t>
      </w:r>
    </w:p>
    <w:p>
      <w:pPr>
        <w:bidi w:val="0"/>
        <w:rPr>
          <w:rFonts w:hint="eastAsia"/>
          <w:lang w:val="en-US" w:eastAsia="zh-CN"/>
        </w:rPr>
      </w:pPr>
      <w:r>
        <w:rPr>
          <w:rStyle w:val="16"/>
          <w:rFonts w:hint="eastAsia"/>
          <w:lang w:val="en-US" w:eastAsia="zh-CN"/>
        </w:rPr>
        <w:t>（四）一般公共服务（类）财政事务（款）一般行政管理事务（项）：</w:t>
      </w:r>
      <w:r>
        <w:rPr>
          <w:rFonts w:hint="eastAsia"/>
          <w:lang w:val="en-US" w:eastAsia="zh-CN"/>
        </w:rPr>
        <w:t>指局机关及参公管理事业单位开展财政综合业务、预决算编审等未单独设置项级科目的专门性财政管理工作的项目支出。</w:t>
      </w:r>
    </w:p>
    <w:p>
      <w:pPr>
        <w:bidi w:val="0"/>
        <w:rPr>
          <w:rFonts w:hint="eastAsia"/>
          <w:lang w:val="en-US" w:eastAsia="zh-CN"/>
        </w:rPr>
      </w:pPr>
      <w:r>
        <w:rPr>
          <w:rStyle w:val="16"/>
          <w:rFonts w:hint="eastAsia"/>
          <w:lang w:val="en-US" w:eastAsia="zh-CN"/>
        </w:rPr>
        <w:t>（五）一般公共服务（类）财政事务（款）机关服务（项）：</w:t>
      </w:r>
      <w:r>
        <w:rPr>
          <w:rFonts w:hint="eastAsia"/>
          <w:lang w:val="en-US" w:eastAsia="zh-CN"/>
        </w:rPr>
        <w:t>指后勤服务中心、信息中心为本单位正常运行提供服务的基本支出。</w:t>
      </w:r>
    </w:p>
    <w:p>
      <w:pPr>
        <w:bidi w:val="0"/>
        <w:rPr>
          <w:rFonts w:hint="eastAsia"/>
          <w:lang w:val="en-US" w:eastAsia="zh-CN"/>
        </w:rPr>
      </w:pPr>
      <w:r>
        <w:rPr>
          <w:rStyle w:val="16"/>
          <w:rFonts w:hint="eastAsia"/>
          <w:lang w:val="en-US" w:eastAsia="zh-CN"/>
        </w:rPr>
        <w:t>（六）一般公共服务（类）财政事务（款）信息化建设（项）：</w:t>
      </w:r>
      <w:r>
        <w:rPr>
          <w:rFonts w:hint="eastAsia"/>
          <w:lang w:val="en-US" w:eastAsia="zh-CN"/>
        </w:rPr>
        <w:t>指财政局用于业务软件开发、硬件购置、系统升级等信息化建设方面的项目支出。</w:t>
      </w:r>
    </w:p>
    <w:p>
      <w:pPr>
        <w:bidi w:val="0"/>
        <w:rPr>
          <w:rFonts w:hint="eastAsia"/>
          <w:lang w:val="en-US" w:eastAsia="zh-CN"/>
        </w:rPr>
      </w:pPr>
      <w:r>
        <w:rPr>
          <w:rStyle w:val="16"/>
          <w:rFonts w:hint="eastAsia"/>
          <w:lang w:val="en-US" w:eastAsia="zh-CN"/>
        </w:rPr>
        <w:t>（七）一般公共服务（类）财政事务（款）事业运行（项）：</w:t>
      </w:r>
      <w:r>
        <w:rPr>
          <w:rFonts w:hint="eastAsia"/>
          <w:lang w:val="en-US" w:eastAsia="zh-CN"/>
        </w:rPr>
        <w:t>指资阳市雁江区财政投资评审中心、资阳市雁江区政府与社会资本合作中心用于保障机构正常运行、开展日常工作的基本支出。</w:t>
      </w:r>
    </w:p>
    <w:p>
      <w:pPr>
        <w:bidi w:val="0"/>
        <w:rPr>
          <w:rFonts w:hint="eastAsia"/>
          <w:lang w:val="en-US" w:eastAsia="zh-CN"/>
        </w:rPr>
      </w:pPr>
      <w:r>
        <w:rPr>
          <w:rStyle w:val="16"/>
          <w:rFonts w:hint="eastAsia"/>
          <w:lang w:val="en-US" w:eastAsia="zh-CN"/>
        </w:rPr>
        <w:t>（八）一般公共服务（类）财政事务（款）其他财政事务支出（项）：</w:t>
      </w:r>
      <w:r>
        <w:rPr>
          <w:rFonts w:hint="eastAsia"/>
          <w:lang w:val="en-US" w:eastAsia="zh-CN"/>
        </w:rPr>
        <w:t>指财政局除上述项目外，开展其他财政事务方面专门性工作任务的项目支出，如高级会计师评审工作的相关支出。</w:t>
      </w:r>
    </w:p>
    <w:p>
      <w:pPr>
        <w:bidi w:val="0"/>
        <w:rPr>
          <w:rFonts w:hint="eastAsia"/>
          <w:lang w:val="en-US" w:eastAsia="zh-CN"/>
        </w:rPr>
      </w:pPr>
      <w:r>
        <w:rPr>
          <w:rStyle w:val="16"/>
          <w:rFonts w:hint="eastAsia"/>
          <w:lang w:val="en-US" w:eastAsia="zh-CN"/>
        </w:rPr>
        <w:t>（九）教育（类）进修及培训（款）培训支出（项）：</w:t>
      </w:r>
      <w:r>
        <w:rPr>
          <w:rFonts w:hint="eastAsia"/>
          <w:lang w:val="en-US" w:eastAsia="zh-CN"/>
        </w:rPr>
        <w:t>指为配合财政业务开展，用于单位在职人员参加相关业务培训及举办财政管理业务培训的经费支出。</w:t>
      </w:r>
    </w:p>
    <w:p>
      <w:pPr>
        <w:bidi w:val="0"/>
        <w:rPr>
          <w:rFonts w:hint="eastAsia"/>
          <w:lang w:val="en-US" w:eastAsia="zh-CN"/>
        </w:rPr>
      </w:pPr>
      <w:r>
        <w:rPr>
          <w:rStyle w:val="16"/>
          <w:rFonts w:hint="eastAsia"/>
          <w:lang w:val="en-US" w:eastAsia="zh-CN"/>
        </w:rPr>
        <w:t>（十）社会保障和就业（类）行政事业单位养老支出（款）行政单位离退休（项）：</w:t>
      </w:r>
      <w:r>
        <w:rPr>
          <w:rFonts w:hint="eastAsia"/>
          <w:lang w:val="en-US" w:eastAsia="zh-CN"/>
        </w:rPr>
        <w:t>指局机关离退休人员的支出。</w:t>
      </w:r>
    </w:p>
    <w:p>
      <w:pPr>
        <w:bidi w:val="0"/>
        <w:rPr>
          <w:rFonts w:hint="eastAsia"/>
          <w:lang w:val="en-US" w:eastAsia="zh-CN"/>
        </w:rPr>
      </w:pPr>
      <w:r>
        <w:rPr>
          <w:rStyle w:val="16"/>
          <w:rFonts w:hint="eastAsia"/>
          <w:lang w:val="en-US" w:eastAsia="zh-CN"/>
        </w:rPr>
        <w:t>（十一）社会保障和就业（类）行政事业单位养老支出（款）机关事业单位基本养老保险缴费支出（项）：</w:t>
      </w:r>
      <w:r>
        <w:rPr>
          <w:rFonts w:hint="eastAsia"/>
          <w:lang w:val="en-US" w:eastAsia="zh-CN"/>
        </w:rPr>
        <w:t>指单位实施养老保险制度由单位缴纳的养老保险费的支出。</w:t>
      </w:r>
    </w:p>
    <w:p>
      <w:pPr>
        <w:bidi w:val="0"/>
        <w:rPr>
          <w:rFonts w:hint="eastAsia"/>
          <w:lang w:val="en-US" w:eastAsia="zh-CN"/>
        </w:rPr>
      </w:pPr>
      <w:r>
        <w:rPr>
          <w:rStyle w:val="16"/>
          <w:rFonts w:hint="eastAsia"/>
          <w:lang w:val="en-US" w:eastAsia="zh-CN"/>
        </w:rPr>
        <w:t>（十二）社会保障和就业（类）行政事业单位养老支出（款）机关事业单位职业年金缴费支出（项）：</w:t>
      </w:r>
      <w:r>
        <w:rPr>
          <w:rFonts w:hint="eastAsia"/>
          <w:lang w:val="en-US" w:eastAsia="zh-CN"/>
        </w:rPr>
        <w:t>指单位实施养老保险制度由单位缴纳的职业年金的支出。</w:t>
      </w:r>
    </w:p>
    <w:p>
      <w:pPr>
        <w:bidi w:val="0"/>
        <w:rPr>
          <w:rFonts w:hint="eastAsia"/>
          <w:lang w:val="en-US" w:eastAsia="zh-CN"/>
        </w:rPr>
      </w:pPr>
      <w:r>
        <w:rPr>
          <w:rStyle w:val="16"/>
          <w:rFonts w:hint="eastAsia"/>
          <w:lang w:val="en-US" w:eastAsia="zh-CN"/>
        </w:rPr>
        <w:t>（十三）卫生健康（类）行政事业单位医疗（款）行政单位医疗（项）：</w:t>
      </w:r>
      <w:r>
        <w:rPr>
          <w:rFonts w:hint="eastAsia"/>
          <w:lang w:val="en-US" w:eastAsia="zh-CN"/>
        </w:rPr>
        <w:t>指局机关及参公管理事业单位用于单位应缴纳基本医疗保险支出。</w:t>
      </w:r>
    </w:p>
    <w:p>
      <w:pPr>
        <w:bidi w:val="0"/>
        <w:rPr>
          <w:rFonts w:hint="eastAsia"/>
          <w:lang w:val="en-US" w:eastAsia="zh-CN"/>
        </w:rPr>
      </w:pPr>
      <w:r>
        <w:rPr>
          <w:rStyle w:val="16"/>
          <w:rFonts w:hint="eastAsia"/>
          <w:lang w:val="en-US" w:eastAsia="zh-CN"/>
        </w:rPr>
        <w:t>（十四）卫生健康（类）行政事业单位医疗（款）事业单位医疗（项）：</w:t>
      </w:r>
      <w:r>
        <w:rPr>
          <w:rFonts w:hint="eastAsia"/>
          <w:lang w:val="en-US" w:eastAsia="zh-CN"/>
        </w:rPr>
        <w:t>指事业单位用于单位应缴纳基本医疗保险支出。</w:t>
      </w:r>
    </w:p>
    <w:p>
      <w:pPr>
        <w:bidi w:val="0"/>
        <w:rPr>
          <w:rFonts w:hint="eastAsia"/>
          <w:lang w:val="en-US" w:eastAsia="zh-CN"/>
        </w:rPr>
      </w:pPr>
      <w:r>
        <w:rPr>
          <w:rStyle w:val="16"/>
          <w:rFonts w:hint="eastAsia"/>
          <w:lang w:val="en-US" w:eastAsia="zh-CN"/>
        </w:rPr>
        <w:t>（十五）卫生健康（类）行政事业单位医疗（款）公务员医疗补助（项）：</w:t>
      </w:r>
      <w:r>
        <w:rPr>
          <w:rFonts w:hint="eastAsia"/>
          <w:lang w:val="en-US" w:eastAsia="zh-CN"/>
        </w:rPr>
        <w:t>指局机关及参公管理事业单位用于集中缴纳公务员医疗补助支出。</w:t>
      </w:r>
    </w:p>
    <w:p>
      <w:pPr>
        <w:bidi w:val="0"/>
        <w:rPr>
          <w:rFonts w:hint="eastAsia"/>
          <w:lang w:val="en-US" w:eastAsia="zh-CN"/>
        </w:rPr>
      </w:pPr>
      <w:r>
        <w:rPr>
          <w:rStyle w:val="16"/>
          <w:rFonts w:hint="eastAsia"/>
          <w:lang w:val="en-US" w:eastAsia="zh-CN"/>
        </w:rPr>
        <w:t>（十六）住房保障（类）住房改革支出（款）住房公积金（项）：</w:t>
      </w:r>
      <w:r>
        <w:rPr>
          <w:rFonts w:hint="eastAsia"/>
          <w:lang w:val="en-US" w:eastAsia="zh-CN"/>
        </w:rPr>
        <w:t>指按照《住房公积金管理条例》的规定，由单位及其在职职工缴存的长期住房储金。</w:t>
      </w:r>
    </w:p>
    <w:p>
      <w:pPr>
        <w:bidi w:val="0"/>
        <w:rPr>
          <w:rFonts w:hint="eastAsia"/>
          <w:lang w:val="en-US" w:eastAsia="zh-CN"/>
        </w:rPr>
      </w:pPr>
      <w:r>
        <w:rPr>
          <w:rStyle w:val="16"/>
          <w:rFonts w:hint="eastAsia"/>
          <w:lang w:val="en-US" w:eastAsia="zh-CN"/>
        </w:rPr>
        <w:t>（十七）基本支出：</w:t>
      </w:r>
      <w:r>
        <w:rPr>
          <w:rFonts w:hint="eastAsia"/>
          <w:lang w:val="en-US" w:eastAsia="zh-CN"/>
        </w:rPr>
        <w:t>指为保证机构正常运转，完成日常工作任务而发生的人员支出和公用支出。</w:t>
      </w:r>
    </w:p>
    <w:p>
      <w:pPr>
        <w:bidi w:val="0"/>
        <w:rPr>
          <w:rFonts w:hint="eastAsia"/>
          <w:lang w:val="en-US" w:eastAsia="zh-CN"/>
        </w:rPr>
      </w:pPr>
      <w:r>
        <w:rPr>
          <w:rStyle w:val="16"/>
          <w:rFonts w:hint="eastAsia"/>
          <w:lang w:val="en-US" w:eastAsia="zh-CN"/>
        </w:rPr>
        <w:t>（十八）项目支出：</w:t>
      </w:r>
      <w:r>
        <w:rPr>
          <w:rFonts w:hint="eastAsia"/>
          <w:lang w:val="en-US" w:eastAsia="zh-CN"/>
        </w:rPr>
        <w:t>指在基本支出之外为完成特定行政任务和事业发展目标所发生的支出。</w:t>
      </w:r>
    </w:p>
    <w:p>
      <w:pPr>
        <w:bidi w:val="0"/>
        <w:rPr>
          <w:rFonts w:hint="eastAsia"/>
          <w:lang w:val="en-US" w:eastAsia="zh-CN"/>
        </w:rPr>
      </w:pPr>
      <w:r>
        <w:rPr>
          <w:rStyle w:val="16"/>
          <w:rFonts w:hint="eastAsia"/>
          <w:lang w:val="en-US" w:eastAsia="zh-CN"/>
        </w:rPr>
        <w:t>（十九）“三公”经费：</w:t>
      </w:r>
      <w:r>
        <w:rPr>
          <w:rFonts w:hint="eastAsia"/>
          <w:lang w:val="en-US" w:eastAsia="zh-CN"/>
        </w:rPr>
        <w:t>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bidi w:val="0"/>
        <w:rPr>
          <w:rFonts w:hint="eastAsia"/>
          <w:lang w:val="en-US" w:eastAsia="zh-CN"/>
        </w:rPr>
      </w:pPr>
      <w:r>
        <w:rPr>
          <w:rStyle w:val="16"/>
          <w:rFonts w:hint="eastAsia"/>
          <w:lang w:val="en-US" w:eastAsia="zh-CN"/>
        </w:rPr>
        <w:t>（二十）机关运行经费：</w:t>
      </w:r>
      <w:r>
        <w:rPr>
          <w:rFonts w:hint="eastAsia"/>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lang w:val="en-US" w:eastAsia="zh-CN"/>
        </w:rPr>
        <w:t>附件：1.</w:t>
      </w:r>
      <w:r>
        <w:rPr>
          <w:rFonts w:hint="eastAsia" w:ascii="方正仿宋_GBK" w:hAnsi="方正仿宋_GBK" w:eastAsia="方正仿宋_GBK" w:cs="方正仿宋_GBK"/>
          <w:lang w:val="en-US" w:eastAsia="zh-CN"/>
        </w:rPr>
        <w:t xml:space="preserve"> </w:t>
      </w:r>
      <w:r>
        <w:rPr>
          <w:rFonts w:hint="eastAsia"/>
          <w:lang w:val="en-US" w:eastAsia="zh-CN"/>
        </w:rPr>
        <w:t>2024年单位预算公开表</w:t>
      </w:r>
    </w:p>
    <w:p>
      <w:pPr>
        <w:bidi w:val="0"/>
        <w:ind w:firstLine="1650" w:firstLineChars="500"/>
        <w:rPr>
          <w:rFonts w:hint="eastAsia"/>
          <w:lang w:val="en-US" w:eastAsia="zh-CN"/>
        </w:rPr>
      </w:pPr>
      <w:r>
        <w:rPr>
          <w:rFonts w:hint="eastAsia"/>
          <w:lang w:val="en-US" w:eastAsia="zh-CN"/>
        </w:rPr>
        <w:t>2.</w:t>
      </w:r>
      <w:r>
        <w:rPr>
          <w:rFonts w:hint="eastAsia" w:ascii="方正仿宋_GBK" w:hAnsi="方正仿宋_GBK" w:eastAsia="方正仿宋_GBK" w:cs="方正仿宋_GBK"/>
          <w:lang w:val="en-US" w:eastAsia="zh-CN"/>
        </w:rPr>
        <w:t xml:space="preserve"> </w:t>
      </w:r>
      <w:r>
        <w:rPr>
          <w:rFonts w:hint="eastAsia"/>
          <w:lang w:val="en-US" w:eastAsia="zh-CN"/>
        </w:rPr>
        <w:t>2024年部门整体支出绩效目标表</w:t>
      </w:r>
    </w:p>
    <w:p>
      <w:pPr>
        <w:bidi w:val="0"/>
        <w:ind w:firstLine="1650" w:firstLineChars="500"/>
        <w:rPr>
          <w:rFonts w:hint="eastAsia"/>
          <w:lang w:val="en-US" w:eastAsia="zh-CN"/>
        </w:rPr>
      </w:pPr>
      <w:r>
        <w:rPr>
          <w:rFonts w:hint="eastAsia"/>
          <w:lang w:val="en-US" w:eastAsia="zh-CN"/>
        </w:rPr>
        <w:t>3.</w:t>
      </w:r>
      <w:r>
        <w:rPr>
          <w:rFonts w:hint="eastAsia" w:ascii="方正仿宋_GBK" w:hAnsi="方正仿宋_GBK" w:eastAsia="方正仿宋_GBK" w:cs="方正仿宋_GBK"/>
          <w:lang w:val="en-US" w:eastAsia="zh-CN"/>
        </w:rPr>
        <w:t xml:space="preserve"> </w:t>
      </w:r>
      <w:r>
        <w:rPr>
          <w:rFonts w:hint="eastAsia"/>
          <w:lang w:val="en-US" w:eastAsia="zh-CN"/>
        </w:rPr>
        <w:t>2024年部门预算项目绩效目标表</w:t>
      </w:r>
    </w:p>
    <w:p>
      <w:pPr>
        <w:bidi w:val="0"/>
        <w:rPr>
          <w:rFonts w:hint="eastAsia"/>
          <w:lang w:val="en-US" w:eastAsia="zh-CN"/>
        </w:rPr>
      </w:pPr>
      <w:r>
        <w:rPr>
          <w:rFonts w:hint="eastAsia"/>
          <w:lang w:val="en-US" w:eastAsia="zh-CN"/>
        </w:rPr>
        <w:t xml:space="preserve">   </w:t>
      </w:r>
    </w:p>
    <w:p>
      <w:pPr>
        <w:bidi w:val="0"/>
        <w:rPr>
          <w:rFonts w:hint="eastAsia"/>
          <w:lang w:val="en-US" w:eastAsia="zh-CN"/>
        </w:rPr>
      </w:pPr>
    </w:p>
    <w:p>
      <w:pPr>
        <w:bidi w:val="0"/>
        <w:rPr>
          <w:rFonts w:hint="eastAsia"/>
          <w:lang w:val="en-US" w:eastAsia="zh-CN"/>
        </w:rPr>
      </w:pPr>
    </w:p>
    <w:sectPr>
      <w:footerReference r:id="rId5" w:type="default"/>
      <w:pgSz w:w="11906" w:h="16838"/>
      <w:pgMar w:top="1984" w:right="1531" w:bottom="1531" w:left="1531" w:header="0" w:footer="1417"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60"/>
      </w:pPr>
      <w:r>
        <w:separator/>
      </w:r>
    </w:p>
  </w:endnote>
  <w:endnote w:type="continuationSeparator" w:id="1">
    <w:p>
      <w:pPr>
        <w:spacing w:line="240" w:lineRule="auto"/>
        <w:ind w:firstLine="6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2000000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60"/>
      </w:pPr>
      <w:r>
        <w:separator/>
      </w:r>
    </w:p>
  </w:footnote>
  <w:footnote w:type="continuationSeparator" w:id="1">
    <w:p>
      <w:pPr>
        <w:spacing w:line="240" w:lineRule="auto"/>
        <w:ind w:firstLine="6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2175B"/>
    <w:rsid w:val="02247F74"/>
    <w:rsid w:val="032B0C76"/>
    <w:rsid w:val="03372E4E"/>
    <w:rsid w:val="0791564F"/>
    <w:rsid w:val="08A53F4F"/>
    <w:rsid w:val="08F85F5E"/>
    <w:rsid w:val="0A811567"/>
    <w:rsid w:val="0DE46874"/>
    <w:rsid w:val="0F97411A"/>
    <w:rsid w:val="18395090"/>
    <w:rsid w:val="19C9166E"/>
    <w:rsid w:val="2AA43788"/>
    <w:rsid w:val="2F3E5B7C"/>
    <w:rsid w:val="30AC097A"/>
    <w:rsid w:val="32CE4F50"/>
    <w:rsid w:val="35ED7C27"/>
    <w:rsid w:val="485B603E"/>
    <w:rsid w:val="4A47243D"/>
    <w:rsid w:val="5137697C"/>
    <w:rsid w:val="562663F8"/>
    <w:rsid w:val="587E4EDC"/>
    <w:rsid w:val="6232591A"/>
    <w:rsid w:val="63523E96"/>
    <w:rsid w:val="6C620D55"/>
    <w:rsid w:val="6DE0678C"/>
    <w:rsid w:val="6F7A42D1"/>
    <w:rsid w:val="715808B8"/>
    <w:rsid w:val="7EF21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0" w:lineRule="exact"/>
      <w:ind w:firstLine="640" w:firstLineChars="200"/>
      <w:jc w:val="left"/>
    </w:pPr>
    <w:rPr>
      <w:rFonts w:ascii="宋体" w:hAnsi="宋体" w:eastAsia="方正仿宋_GBK" w:cs="宋体"/>
      <w:kern w:val="2"/>
      <w:sz w:val="33"/>
      <w:szCs w:val="24"/>
      <w:lang w:val="en-US" w:eastAsia="zh-CN" w:bidi="ar-SA"/>
    </w:rPr>
  </w:style>
  <w:style w:type="paragraph" w:styleId="2">
    <w:name w:val="heading 1"/>
    <w:basedOn w:val="1"/>
    <w:next w:val="1"/>
    <w:qFormat/>
    <w:uiPriority w:val="0"/>
    <w:pPr>
      <w:spacing w:beforeAutospacing="0" w:afterAutospacing="0"/>
      <w:ind w:firstLine="0" w:firstLineChars="0"/>
      <w:jc w:val="center"/>
      <w:outlineLvl w:val="0"/>
    </w:pPr>
    <w:rPr>
      <w:rFonts w:hint="eastAsia" w:eastAsia="方正小标宋简体"/>
      <w:kern w:val="44"/>
      <w:sz w:val="44"/>
      <w:szCs w:val="48"/>
    </w:rPr>
  </w:style>
  <w:style w:type="paragraph" w:styleId="3">
    <w:name w:val="heading 2"/>
    <w:basedOn w:val="1"/>
    <w:next w:val="1"/>
    <w:semiHidden/>
    <w:unhideWhenUsed/>
    <w:qFormat/>
    <w:uiPriority w:val="0"/>
    <w:pPr>
      <w:keepNext/>
      <w:keepLines/>
      <w:spacing w:beforeLines="0" w:beforeAutospacing="0" w:afterLines="0" w:afterAutospacing="0" w:line="590" w:lineRule="exact"/>
      <w:outlineLvl w:val="1"/>
    </w:pPr>
    <w:rPr>
      <w:rFonts w:ascii="宋体" w:hAnsi="宋体" w:eastAsia="方正黑体_GBK"/>
    </w:rPr>
  </w:style>
  <w:style w:type="paragraph" w:styleId="4">
    <w:name w:val="heading 3"/>
    <w:basedOn w:val="1"/>
    <w:next w:val="1"/>
    <w:semiHidden/>
    <w:unhideWhenUsed/>
    <w:qFormat/>
    <w:uiPriority w:val="0"/>
    <w:pPr>
      <w:keepNext/>
      <w:keepLines/>
      <w:spacing w:beforeLines="0" w:beforeAutospacing="0" w:afterLines="0" w:afterAutospacing="0" w:line="590" w:lineRule="exact"/>
      <w:outlineLvl w:val="2"/>
    </w:pPr>
    <w:rPr>
      <w:rFonts w:ascii="Times New Roman" w:hAnsi="Times New Roman" w:eastAsia="方正楷体_GBK"/>
      <w:b/>
    </w:rPr>
  </w:style>
  <w:style w:type="paragraph" w:styleId="5">
    <w:name w:val="heading 4"/>
    <w:basedOn w:val="1"/>
    <w:next w:val="1"/>
    <w:link w:val="11"/>
    <w:semiHidden/>
    <w:unhideWhenUsed/>
    <w:qFormat/>
    <w:uiPriority w:val="0"/>
    <w:pPr>
      <w:keepNext/>
      <w:keepLines/>
      <w:spacing w:beforeLines="0" w:beforeAutospacing="0" w:afterLines="0" w:afterAutospacing="0" w:line="590" w:lineRule="exact"/>
      <w:outlineLvl w:val="3"/>
    </w:pPr>
    <w:rPr>
      <w:rFonts w:ascii="宋体" w:hAnsi="宋体" w:eastAsia="方正仿宋_GBK" w:cs="宋体"/>
      <w:b/>
      <w:sz w:val="33"/>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annotation text"/>
    <w:basedOn w:val="1"/>
    <w:semiHidden/>
    <w:qFormat/>
    <w:uiPriority w:val="0"/>
    <w:pPr>
      <w:jc w:val="left"/>
    </w:pPr>
  </w:style>
  <w:style w:type="paragraph" w:styleId="7">
    <w:name w:val="footer"/>
    <w:basedOn w:val="1"/>
    <w:qFormat/>
    <w:uiPriority w:val="0"/>
    <w:pPr>
      <w:tabs>
        <w:tab w:val="center" w:pos="4153"/>
        <w:tab w:val="right" w:pos="8306"/>
      </w:tabs>
      <w:snapToGrid w:val="0"/>
      <w:spacing w:line="360" w:lineRule="exact"/>
      <w:ind w:firstLine="0" w:firstLineChars="0"/>
      <w:jc w:val="left"/>
    </w:pPr>
    <w:rPr>
      <w:rFonts w:eastAsia="宋体"/>
      <w:sz w:val="2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1">
    <w:name w:val="标题 4 Char"/>
    <w:link w:val="5"/>
    <w:qFormat/>
    <w:uiPriority w:val="0"/>
    <w:rPr>
      <w:rFonts w:ascii="Arial" w:hAnsi="Arial" w:eastAsia="方正楷体_GBK"/>
      <w:b/>
      <w:sz w:val="33"/>
    </w:rPr>
  </w:style>
  <w:style w:type="paragraph" w:customStyle="1" w:styleId="12">
    <w:name w:val="公文一级标题"/>
    <w:next w:val="1"/>
    <w:qFormat/>
    <w:uiPriority w:val="0"/>
    <w:pPr>
      <w:spacing w:line="590" w:lineRule="exact"/>
      <w:ind w:firstLine="880" w:firstLineChars="200"/>
      <w:jc w:val="left"/>
      <w:outlineLvl w:val="0"/>
    </w:pPr>
    <w:rPr>
      <w:rFonts w:hint="eastAsia" w:ascii="方正黑体_GBK" w:hAnsi="方正黑体_GBK" w:eastAsia="方正黑体_GBK" w:cs="方正黑体_GBK"/>
      <w:kern w:val="44"/>
      <w:sz w:val="33"/>
      <w:szCs w:val="48"/>
    </w:rPr>
  </w:style>
  <w:style w:type="paragraph" w:customStyle="1" w:styleId="13">
    <w:name w:val="公文二级标题"/>
    <w:basedOn w:val="1"/>
    <w:next w:val="1"/>
    <w:link w:val="17"/>
    <w:qFormat/>
    <w:uiPriority w:val="0"/>
    <w:pPr>
      <w:tabs>
        <w:tab w:val="center" w:pos="4153"/>
        <w:tab w:val="right" w:pos="8306"/>
      </w:tabs>
      <w:snapToGrid w:val="0"/>
      <w:spacing w:line="590" w:lineRule="exact"/>
    </w:pPr>
    <w:rPr>
      <w:rFonts w:ascii="方正楷体_GBK" w:hAnsi="方正楷体_GBK" w:eastAsia="方正楷体_GBK" w:cs="方正楷体_GBK"/>
      <w:b/>
    </w:rPr>
  </w:style>
  <w:style w:type="paragraph" w:customStyle="1" w:styleId="14">
    <w:name w:val="公文三级标题"/>
    <w:basedOn w:val="1"/>
    <w:next w:val="1"/>
    <w:link w:val="16"/>
    <w:qFormat/>
    <w:uiPriority w:val="0"/>
    <w:pPr>
      <w:tabs>
        <w:tab w:val="center" w:pos="4153"/>
        <w:tab w:val="right" w:pos="8306"/>
      </w:tabs>
      <w:snapToGrid w:val="0"/>
      <w:spacing w:line="590" w:lineRule="exact"/>
    </w:pPr>
    <w:rPr>
      <w:rFonts w:eastAsia="方正仿宋_GBK"/>
      <w:b/>
      <w:sz w:val="33"/>
    </w:rPr>
  </w:style>
  <w:style w:type="paragraph" w:customStyle="1" w:styleId="15">
    <w:name w:val="公文标题"/>
    <w:basedOn w:val="1"/>
    <w:next w:val="1"/>
    <w:qFormat/>
    <w:uiPriority w:val="0"/>
    <w:pPr>
      <w:tabs>
        <w:tab w:val="center" w:pos="4153"/>
        <w:tab w:val="right" w:pos="8306"/>
      </w:tabs>
      <w:snapToGrid w:val="0"/>
      <w:spacing w:line="590" w:lineRule="exact"/>
      <w:ind w:firstLine="0" w:firstLineChars="0"/>
      <w:jc w:val="center"/>
    </w:pPr>
    <w:rPr>
      <w:rFonts w:ascii="方正小标宋_GBK" w:hAnsi="方正小标宋_GBK" w:eastAsia="方正小标宋_GBK" w:cs="方正小标宋_GBK"/>
      <w:sz w:val="44"/>
      <w:szCs w:val="44"/>
    </w:rPr>
  </w:style>
  <w:style w:type="character" w:customStyle="1" w:styleId="16">
    <w:name w:val="公文三级标题 Char"/>
    <w:link w:val="14"/>
    <w:uiPriority w:val="0"/>
    <w:rPr>
      <w:rFonts w:eastAsia="方正仿宋_GBK"/>
      <w:b/>
      <w:sz w:val="33"/>
    </w:rPr>
  </w:style>
  <w:style w:type="character" w:customStyle="1" w:styleId="17">
    <w:name w:val="公文二级标题 Char"/>
    <w:link w:val="13"/>
    <w:uiPriority w:val="0"/>
    <w:rPr>
      <w:rFonts w:ascii="方正楷体_GBK" w:hAnsi="方正楷体_GBK" w:eastAsia="方正楷体_GBK" w:cs="方正楷体_GBK"/>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2023-12-27T08:01:00Z</dcterms:created>
  <dc:creator>邵凯</dc:creator>
  <cp:lastModifiedBy>邵凯</cp:lastModifiedBy>
  <dcterms:modified xsi:type="dcterms:W3CDTF">2024-01-23T09:28:34Z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DE93BCC41F854B9E8E3F1EBBC25C24B7</vt:lpwstr>
  </property>
</Properties>
</file>